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Default Extension="jpeg" ContentType="image/jpeg"/>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9"/>
        <w:rPr>
          <w:sz w:val="7"/>
        </w:rPr>
      </w:pPr>
    </w:p>
    <w:tbl>
      <w:tblPr>
        <w:tblW w:w="0" w:type="auto"/>
        <w:jc w:val="left"/>
        <w:tblInd w:w="7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51"/>
        <w:gridCol w:w="7042"/>
      </w:tblGrid>
      <w:tr>
        <w:trPr>
          <w:trHeight w:val="1182" w:hRule="exact"/>
        </w:trPr>
        <w:tc>
          <w:tcPr>
            <w:tcW w:w="951" w:type="dxa"/>
          </w:tcPr>
          <w:p>
            <w:pPr>
              <w:pStyle w:val="TableParagraph"/>
              <w:spacing w:line="123" w:lineRule="exact"/>
              <w:ind w:left="200"/>
              <w:rPr>
                <w:sz w:val="12"/>
              </w:rPr>
            </w:pPr>
            <w:r>
              <w:rPr>
                <w:sz w:val="12"/>
              </w:rPr>
              <w:t>ic</w:t>
            </w:r>
          </w:p>
        </w:tc>
        <w:tc>
          <w:tcPr>
            <w:tcW w:w="7042" w:type="dxa"/>
          </w:tcPr>
          <w:p>
            <w:pPr>
              <w:pStyle w:val="TableParagraph"/>
              <w:spacing w:before="108"/>
              <w:ind w:left="668"/>
              <w:rPr>
                <w:b/>
                <w:sz w:val="32"/>
              </w:rPr>
            </w:pPr>
            <w:r>
              <w:rPr>
                <w:b/>
                <w:sz w:val="32"/>
              </w:rPr>
              <w:t>Universidad Autónoma del Estado de México</w:t>
            </w:r>
          </w:p>
          <w:p>
            <w:pPr>
              <w:pStyle w:val="TableParagraph"/>
              <w:spacing w:before="113"/>
              <w:ind w:left="668"/>
              <w:rPr>
                <w:sz w:val="26"/>
              </w:rPr>
            </w:pPr>
            <w:r>
              <w:rPr>
                <w:sz w:val="26"/>
              </w:rPr>
              <w:t>Facultad de Economía</w:t>
            </w:r>
          </w:p>
          <w:p>
            <w:pPr>
              <w:pStyle w:val="TableParagraph"/>
              <w:spacing w:before="1"/>
              <w:ind w:left="668"/>
              <w:rPr>
                <w:sz w:val="26"/>
              </w:rPr>
            </w:pPr>
            <w:r>
              <w:rPr>
                <w:sz w:val="26"/>
              </w:rPr>
              <w:t>Facultad de Contaduría y Administración</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pStyle w:val="Heading2"/>
        <w:spacing w:line="360" w:lineRule="auto" w:before="65"/>
        <w:ind w:right="115"/>
        <w:jc w:val="center"/>
      </w:pPr>
      <w:r>
        <w:rPr/>
        <w:drawing>
          <wp:anchor distT="0" distB="0" distL="0" distR="0" allowOverlap="1" layoutInCell="1" locked="0" behindDoc="1" simplePos="0" relativeHeight="268033847">
            <wp:simplePos x="0" y="0"/>
            <wp:positionH relativeFrom="page">
              <wp:posOffset>1030605</wp:posOffset>
            </wp:positionH>
            <wp:positionV relativeFrom="paragraph">
              <wp:posOffset>-1519805</wp:posOffset>
            </wp:positionV>
            <wp:extent cx="1339801" cy="1100137"/>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339801" cy="1100137"/>
                    </a:xfrm>
                    <a:prstGeom prst="rect">
                      <a:avLst/>
                    </a:prstGeom>
                  </pic:spPr>
                </pic:pic>
              </a:graphicData>
            </a:graphic>
          </wp:anchor>
        </w:drawing>
      </w:r>
      <w:r>
        <w:rPr/>
        <w:t>Proceso de transición al mercado de trabajo de los egresados de la Licenciatura en Economía.</w:t>
      </w:r>
    </w:p>
    <w:p>
      <w:pPr>
        <w:spacing w:before="6"/>
        <w:ind w:left="1084" w:right="109" w:firstLine="0"/>
        <w:jc w:val="center"/>
        <w:rPr>
          <w:b/>
          <w:sz w:val="28"/>
        </w:rPr>
      </w:pPr>
      <w:r>
        <w:rPr>
          <w:b/>
          <w:sz w:val="28"/>
        </w:rPr>
        <w:t>Caso de estudio de la UAEMéx, 2000 – 2010.</w:t>
      </w:r>
    </w:p>
    <w:p>
      <w:pPr>
        <w:pStyle w:val="BodyText"/>
        <w:rPr>
          <w:b/>
          <w:sz w:val="28"/>
        </w:rPr>
      </w:pPr>
    </w:p>
    <w:p>
      <w:pPr>
        <w:pStyle w:val="BodyText"/>
        <w:rPr>
          <w:b/>
          <w:sz w:val="28"/>
        </w:rPr>
      </w:pPr>
    </w:p>
    <w:p>
      <w:pPr>
        <w:pStyle w:val="BodyText"/>
        <w:rPr>
          <w:b/>
          <w:sz w:val="28"/>
        </w:rPr>
      </w:pPr>
    </w:p>
    <w:p>
      <w:pPr>
        <w:spacing w:before="219"/>
        <w:ind w:left="1606" w:right="115" w:firstLine="0"/>
        <w:jc w:val="center"/>
        <w:rPr>
          <w:b/>
          <w:sz w:val="36"/>
        </w:rPr>
      </w:pPr>
      <w:r>
        <w:rPr>
          <w:b/>
          <w:sz w:val="36"/>
        </w:rPr>
        <w:t>TESIS</w:t>
      </w:r>
    </w:p>
    <w:p>
      <w:pPr>
        <w:pStyle w:val="BodyText"/>
        <w:spacing w:before="8"/>
        <w:rPr>
          <w:b/>
          <w:sz w:val="34"/>
        </w:rPr>
      </w:pPr>
    </w:p>
    <w:p>
      <w:pPr>
        <w:spacing w:before="1"/>
        <w:ind w:left="1084" w:right="115" w:firstLine="0"/>
        <w:jc w:val="center"/>
        <w:rPr>
          <w:sz w:val="28"/>
        </w:rPr>
      </w:pPr>
      <w:r>
        <w:rPr>
          <w:sz w:val="28"/>
        </w:rPr>
        <w:t>que para obtener el grado de</w:t>
      </w:r>
    </w:p>
    <w:p>
      <w:pPr>
        <w:spacing w:line="360" w:lineRule="auto" w:before="163"/>
        <w:ind w:left="2265" w:right="1299" w:firstLine="0"/>
        <w:jc w:val="center"/>
        <w:rPr>
          <w:sz w:val="28"/>
        </w:rPr>
      </w:pPr>
      <w:r>
        <w:rPr>
          <w:sz w:val="28"/>
        </w:rPr>
        <w:t>Doctora en Ciencias Económico Administrativas Presenta:</w:t>
      </w:r>
    </w:p>
    <w:p>
      <w:pPr>
        <w:pStyle w:val="BodyText"/>
        <w:rPr>
          <w:sz w:val="28"/>
        </w:rPr>
      </w:pPr>
    </w:p>
    <w:p>
      <w:pPr>
        <w:pStyle w:val="BodyText"/>
        <w:spacing w:before="5"/>
        <w:rPr>
          <w:sz w:val="38"/>
        </w:rPr>
      </w:pPr>
    </w:p>
    <w:p>
      <w:pPr>
        <w:spacing w:before="1"/>
        <w:ind w:left="1082" w:right="115" w:firstLine="0"/>
        <w:jc w:val="center"/>
        <w:rPr>
          <w:b/>
          <w:sz w:val="32"/>
        </w:rPr>
      </w:pPr>
      <w:r>
        <w:rPr>
          <w:b/>
          <w:sz w:val="32"/>
        </w:rPr>
        <w:t>Lisy Rubio Hernández</w:t>
      </w:r>
    </w:p>
    <w:p>
      <w:pPr>
        <w:pStyle w:val="BodyText"/>
        <w:rPr>
          <w:b/>
          <w:sz w:val="32"/>
        </w:rPr>
      </w:pPr>
    </w:p>
    <w:p>
      <w:pPr>
        <w:pStyle w:val="BodyText"/>
        <w:rPr>
          <w:b/>
          <w:sz w:val="32"/>
        </w:rPr>
      </w:pPr>
    </w:p>
    <w:p>
      <w:pPr>
        <w:pStyle w:val="BodyText"/>
        <w:spacing w:before="1"/>
        <w:rPr>
          <w:b/>
          <w:sz w:val="34"/>
        </w:rPr>
      </w:pPr>
    </w:p>
    <w:p>
      <w:pPr>
        <w:spacing w:before="0"/>
        <w:ind w:left="1084" w:right="113" w:firstLine="0"/>
        <w:jc w:val="center"/>
        <w:rPr>
          <w:sz w:val="36"/>
        </w:rPr>
      </w:pPr>
      <w:r>
        <w:rPr/>
        <w:drawing>
          <wp:anchor distT="0" distB="0" distL="0" distR="0" allowOverlap="1" layoutInCell="1" locked="0" behindDoc="0" simplePos="0" relativeHeight="1072">
            <wp:simplePos x="0" y="0"/>
            <wp:positionH relativeFrom="page">
              <wp:posOffset>1197433</wp:posOffset>
            </wp:positionH>
            <wp:positionV relativeFrom="paragraph">
              <wp:posOffset>-250745</wp:posOffset>
            </wp:positionV>
            <wp:extent cx="990983" cy="1162232"/>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990983" cy="1162232"/>
                    </a:xfrm>
                    <a:prstGeom prst="rect">
                      <a:avLst/>
                    </a:prstGeom>
                  </pic:spPr>
                </pic:pic>
              </a:graphicData>
            </a:graphic>
          </wp:anchor>
        </w:drawing>
      </w:r>
      <w:r>
        <w:rPr>
          <w:sz w:val="36"/>
        </w:rPr>
        <w:t>Comité Tutorial:</w:t>
      </w:r>
    </w:p>
    <w:p>
      <w:pPr>
        <w:pStyle w:val="BodyText"/>
        <w:spacing w:before="3"/>
        <w:rPr>
          <w:sz w:val="35"/>
        </w:rPr>
      </w:pPr>
    </w:p>
    <w:p>
      <w:pPr>
        <w:spacing w:line="276" w:lineRule="auto" w:before="1"/>
        <w:ind w:left="3043" w:right="1552" w:hanging="341"/>
        <w:jc w:val="left"/>
        <w:rPr>
          <w:sz w:val="32"/>
        </w:rPr>
      </w:pPr>
      <w:r>
        <w:rPr/>
        <w:drawing>
          <wp:anchor distT="0" distB="0" distL="0" distR="0" allowOverlap="1" layoutInCell="1" locked="0" behindDoc="0" simplePos="0" relativeHeight="0">
            <wp:simplePos x="0" y="0"/>
            <wp:positionH relativeFrom="page">
              <wp:posOffset>1035685</wp:posOffset>
            </wp:positionH>
            <wp:positionV relativeFrom="paragraph">
              <wp:posOffset>610330</wp:posOffset>
            </wp:positionV>
            <wp:extent cx="1162050" cy="1066799"/>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1162050" cy="1066799"/>
                    </a:xfrm>
                    <a:prstGeom prst="rect">
                      <a:avLst/>
                    </a:prstGeom>
                  </pic:spPr>
                </pic:pic>
              </a:graphicData>
            </a:graphic>
          </wp:anchor>
        </w:drawing>
      </w:r>
      <w:r>
        <w:rPr>
          <w:sz w:val="32"/>
        </w:rPr>
        <w:t>Dra. Ma. Del Carmen Salgado Vega Dra. Patricia Mercado Salgado Dra. Ma. Dolores García Perea</w:t>
      </w:r>
    </w:p>
    <w:p>
      <w:pPr>
        <w:pStyle w:val="BodyText"/>
        <w:rPr>
          <w:sz w:val="32"/>
        </w:rPr>
      </w:pPr>
    </w:p>
    <w:p>
      <w:pPr>
        <w:pStyle w:val="BodyText"/>
        <w:spacing w:before="3"/>
        <w:rPr>
          <w:sz w:val="37"/>
        </w:rPr>
      </w:pPr>
    </w:p>
    <w:p>
      <w:pPr>
        <w:spacing w:before="0"/>
        <w:ind w:left="1084" w:right="112" w:firstLine="0"/>
        <w:jc w:val="center"/>
        <w:rPr>
          <w:sz w:val="28"/>
        </w:rPr>
      </w:pPr>
      <w:r>
        <w:rPr>
          <w:sz w:val="28"/>
        </w:rPr>
        <w:t>Toluca, México, agosto 2014</w:t>
      </w:r>
    </w:p>
    <w:p>
      <w:pPr>
        <w:spacing w:after="0"/>
        <w:jc w:val="center"/>
        <w:rPr>
          <w:sz w:val="28"/>
        </w:rPr>
        <w:sectPr>
          <w:type w:val="continuous"/>
          <w:pgSz w:w="12240" w:h="15840"/>
          <w:pgMar w:top="1340" w:bottom="280" w:left="1520" w:right="1640"/>
        </w:sectPr>
      </w:pPr>
    </w:p>
    <w:p>
      <w:pPr>
        <w:pStyle w:val="Heading3"/>
        <w:ind w:right="18"/>
        <w:jc w:val="center"/>
      </w:pPr>
      <w:r>
        <w:rPr/>
        <w:t>ÍNDICE</w:t>
      </w:r>
    </w:p>
    <w:p>
      <w:pPr>
        <w:spacing w:after="0"/>
        <w:jc w:val="center"/>
        <w:sectPr>
          <w:footerReference w:type="default" r:id="rId8"/>
          <w:pgSz w:w="12240" w:h="15840"/>
          <w:pgMar w:footer="1480" w:header="0" w:top="1360" w:bottom="1812" w:left="1600" w:right="1580"/>
          <w:pgNumType w:start="1"/>
        </w:sectPr>
      </w:pPr>
    </w:p>
    <w:sdt>
      <w:sdtPr>
        <w:docPartObj>
          <w:docPartGallery w:val="Table of Contents"/>
          <w:docPartUnique/>
        </w:docPartObj>
      </w:sdtPr>
      <w:sdtEndPr/>
      <w:sdtContent>
        <w:p>
          <w:pPr>
            <w:pStyle w:val="TOC1"/>
            <w:tabs>
              <w:tab w:pos="8931" w:val="right" w:leader="dot"/>
            </w:tabs>
            <w:spacing w:before="235"/>
          </w:pPr>
          <w:hyperlink w:history="true" w:anchor="_bookmark0">
            <w:r>
              <w:rPr/>
              <w:t>ÍNDICE</w:t>
            </w:r>
            <w:r>
              <w:rPr>
                <w:spacing w:val="-1"/>
              </w:rPr>
              <w:t> </w:t>
            </w:r>
            <w:r>
              <w:rPr/>
              <w:t>DE</w:t>
            </w:r>
            <w:r>
              <w:rPr>
                <w:spacing w:val="-1"/>
              </w:rPr>
              <w:t> </w:t>
            </w:r>
            <w:r>
              <w:rPr/>
              <w:t>TABLAS</w:t>
              <w:tab/>
              <w:t>V</w:t>
            </w:r>
          </w:hyperlink>
        </w:p>
        <w:p>
          <w:pPr>
            <w:pStyle w:val="TOC1"/>
            <w:tabs>
              <w:tab w:pos="8931" w:val="right" w:leader="dot"/>
            </w:tabs>
          </w:pPr>
          <w:hyperlink w:history="true" w:anchor="_bookmark1">
            <w:r>
              <w:rPr/>
              <w:t>ÍNDICE</w:t>
            </w:r>
            <w:r>
              <w:rPr>
                <w:spacing w:val="-1"/>
              </w:rPr>
              <w:t> </w:t>
            </w:r>
            <w:r>
              <w:rPr/>
              <w:t>DE</w:t>
            </w:r>
            <w:r>
              <w:rPr>
                <w:spacing w:val="-1"/>
              </w:rPr>
              <w:t> </w:t>
            </w:r>
            <w:r>
              <w:rPr/>
              <w:t>GRÁFICAS</w:t>
              <w:tab/>
              <w:t>VII</w:t>
            </w:r>
          </w:hyperlink>
        </w:p>
        <w:p>
          <w:pPr>
            <w:pStyle w:val="TOC1"/>
            <w:tabs>
              <w:tab w:pos="8931" w:val="right" w:leader="dot"/>
            </w:tabs>
          </w:pPr>
          <w:hyperlink w:history="true" w:anchor="_bookmark2">
            <w:r>
              <w:rPr/>
              <w:t>SIGLAS</w:t>
              <w:tab/>
              <w:t>X</w:t>
            </w:r>
          </w:hyperlink>
        </w:p>
        <w:p>
          <w:pPr>
            <w:pStyle w:val="TOC1"/>
            <w:tabs>
              <w:tab w:pos="8930" w:val="right" w:leader="dot"/>
            </w:tabs>
          </w:pPr>
          <w:hyperlink w:history="true" w:anchor="_bookmark3">
            <w:r>
              <w:rPr/>
              <w:t>INTRODUCCIÓN</w:t>
              <w:tab/>
              <w:t>1</w:t>
            </w:r>
          </w:hyperlink>
        </w:p>
        <w:p>
          <w:pPr>
            <w:pStyle w:val="TOC1"/>
            <w:tabs>
              <w:tab w:pos="8930" w:val="right" w:leader="dot"/>
            </w:tabs>
          </w:pPr>
          <w:hyperlink w:history="true" w:anchor="_bookmark4">
            <w:r>
              <w:rPr/>
              <w:t>CAPÍTULO 1 - MERCADO DE</w:t>
            </w:r>
            <w:r>
              <w:rPr>
                <w:spacing w:val="-1"/>
              </w:rPr>
              <w:t> </w:t>
            </w:r>
            <w:r>
              <w:rPr/>
              <w:t>TRABAJO</w:t>
              <w:tab/>
              <w:t>6</w:t>
            </w:r>
          </w:hyperlink>
        </w:p>
        <w:p>
          <w:pPr>
            <w:pStyle w:val="TOC1"/>
            <w:numPr>
              <w:ilvl w:val="1"/>
              <w:numId w:val="1"/>
            </w:numPr>
            <w:tabs>
              <w:tab w:pos="668" w:val="left" w:leader="none"/>
              <w:tab w:pos="669" w:val="left" w:leader="none"/>
              <w:tab w:pos="8930" w:val="right" w:leader="dot"/>
            </w:tabs>
            <w:spacing w:line="240" w:lineRule="auto" w:before="141" w:after="0"/>
            <w:ind w:left="668" w:right="0" w:hanging="566"/>
            <w:jc w:val="left"/>
          </w:pPr>
          <w:hyperlink w:history="true" w:anchor="_bookmark5">
            <w:r>
              <w:rPr/>
              <w:t>Teoría neoclásica del mercado</w:t>
            </w:r>
            <w:r>
              <w:rPr>
                <w:spacing w:val="-4"/>
              </w:rPr>
              <w:t> </w:t>
            </w:r>
            <w:r>
              <w:rPr/>
              <w:t>de</w:t>
            </w:r>
            <w:r>
              <w:rPr>
                <w:spacing w:val="-2"/>
              </w:rPr>
              <w:t> </w:t>
            </w:r>
            <w:r>
              <w:rPr/>
              <w:t>trabajo</w:t>
              <w:tab/>
              <w:t>7</w:t>
            </w:r>
          </w:hyperlink>
        </w:p>
        <w:p>
          <w:pPr>
            <w:pStyle w:val="TOC1"/>
            <w:numPr>
              <w:ilvl w:val="2"/>
              <w:numId w:val="1"/>
            </w:numPr>
            <w:tabs>
              <w:tab w:pos="669" w:val="left" w:leader="none"/>
              <w:tab w:pos="8930" w:val="right" w:leader="dot"/>
            </w:tabs>
            <w:spacing w:line="240" w:lineRule="auto" w:before="139" w:after="0"/>
            <w:ind w:left="668" w:right="0" w:hanging="566"/>
            <w:jc w:val="left"/>
          </w:pPr>
          <w:hyperlink w:history="true" w:anchor="_bookmark6">
            <w:r>
              <w:rPr/>
              <w:t>Supuestos de la teoría neoclásica del mercado</w:t>
            </w:r>
            <w:r>
              <w:rPr>
                <w:spacing w:val="-5"/>
              </w:rPr>
              <w:t> </w:t>
            </w:r>
            <w:r>
              <w:rPr/>
              <w:t>de</w:t>
            </w:r>
            <w:r>
              <w:rPr>
                <w:spacing w:val="-2"/>
              </w:rPr>
              <w:t> </w:t>
            </w:r>
            <w:r>
              <w:rPr/>
              <w:t>trabajo</w:t>
              <w:tab/>
              <w:t>10</w:t>
            </w:r>
          </w:hyperlink>
        </w:p>
        <w:p>
          <w:pPr>
            <w:pStyle w:val="TOC1"/>
            <w:numPr>
              <w:ilvl w:val="2"/>
              <w:numId w:val="1"/>
            </w:numPr>
            <w:tabs>
              <w:tab w:pos="669" w:val="left" w:leader="none"/>
              <w:tab w:pos="8930" w:val="right" w:leader="dot"/>
            </w:tabs>
            <w:spacing w:line="240" w:lineRule="auto" w:before="142" w:after="0"/>
            <w:ind w:left="668" w:right="0" w:hanging="566"/>
            <w:jc w:val="left"/>
          </w:pPr>
          <w:hyperlink w:history="true" w:anchor="_bookmark7">
            <w:r>
              <w:rPr/>
              <w:t>Equilibrio del mercado de trabajo - ley de oferta</w:t>
            </w:r>
            <w:r>
              <w:rPr>
                <w:spacing w:val="-6"/>
              </w:rPr>
              <w:t> </w:t>
            </w:r>
            <w:r>
              <w:rPr/>
              <w:t>y</w:t>
            </w:r>
            <w:r>
              <w:rPr>
                <w:spacing w:val="-4"/>
              </w:rPr>
              <w:t> </w:t>
            </w:r>
            <w:r>
              <w:rPr/>
              <w:t>demanda</w:t>
              <w:tab/>
              <w:t>12</w:t>
            </w:r>
          </w:hyperlink>
        </w:p>
        <w:p>
          <w:pPr>
            <w:pStyle w:val="TOC1"/>
            <w:numPr>
              <w:ilvl w:val="2"/>
              <w:numId w:val="1"/>
            </w:numPr>
            <w:tabs>
              <w:tab w:pos="669" w:val="left" w:leader="none"/>
              <w:tab w:pos="8930" w:val="right" w:leader="dot"/>
            </w:tabs>
            <w:spacing w:line="240" w:lineRule="auto" w:before="141" w:after="0"/>
            <w:ind w:left="668" w:right="0" w:hanging="566"/>
            <w:jc w:val="left"/>
          </w:pPr>
          <w:hyperlink w:history="true" w:anchor="_bookmark8">
            <w:r>
              <w:rPr/>
              <w:t>Supuestos de la ley de oferta</w:t>
            </w:r>
            <w:r>
              <w:rPr>
                <w:spacing w:val="-4"/>
              </w:rPr>
              <w:t> </w:t>
            </w:r>
            <w:r>
              <w:rPr/>
              <w:t>y</w:t>
            </w:r>
            <w:r>
              <w:rPr>
                <w:spacing w:val="-5"/>
              </w:rPr>
              <w:t> </w:t>
            </w:r>
            <w:r>
              <w:rPr/>
              <w:t>demanda</w:t>
              <w:tab/>
              <w:t>14</w:t>
            </w:r>
          </w:hyperlink>
        </w:p>
        <w:p>
          <w:pPr>
            <w:pStyle w:val="TOC1"/>
            <w:numPr>
              <w:ilvl w:val="2"/>
              <w:numId w:val="1"/>
            </w:numPr>
            <w:tabs>
              <w:tab w:pos="669" w:val="left" w:leader="none"/>
              <w:tab w:pos="8930" w:val="right" w:leader="dot"/>
            </w:tabs>
            <w:spacing w:line="240" w:lineRule="auto" w:before="141" w:after="0"/>
            <w:ind w:left="668" w:right="0" w:hanging="566"/>
            <w:jc w:val="left"/>
          </w:pPr>
          <w:hyperlink w:history="true" w:anchor="_bookmark9">
            <w:r>
              <w:rPr/>
              <w:t>Teoría del</w:t>
            </w:r>
            <w:r>
              <w:rPr>
                <w:spacing w:val="-1"/>
              </w:rPr>
              <w:t> </w:t>
            </w:r>
            <w:r>
              <w:rPr/>
              <w:t>capital</w:t>
            </w:r>
            <w:r>
              <w:rPr>
                <w:spacing w:val="-1"/>
              </w:rPr>
              <w:t> </w:t>
            </w:r>
            <w:r>
              <w:rPr/>
              <w:t>humano</w:t>
              <w:tab/>
              <w:t>15</w:t>
            </w:r>
          </w:hyperlink>
        </w:p>
        <w:p>
          <w:pPr>
            <w:pStyle w:val="TOC1"/>
            <w:numPr>
              <w:ilvl w:val="1"/>
              <w:numId w:val="1"/>
            </w:numPr>
            <w:tabs>
              <w:tab w:pos="668" w:val="left" w:leader="none"/>
              <w:tab w:pos="669" w:val="left" w:leader="none"/>
              <w:tab w:pos="8930" w:val="right" w:leader="dot"/>
            </w:tabs>
            <w:spacing w:line="240" w:lineRule="auto" w:before="141" w:after="0"/>
            <w:ind w:left="668" w:right="0" w:hanging="566"/>
            <w:jc w:val="left"/>
          </w:pPr>
          <w:hyperlink w:history="true" w:anchor="_bookmark10">
            <w:r>
              <w:rPr/>
              <w:t>Teoría de la segmentación del mercado</w:t>
            </w:r>
            <w:r>
              <w:rPr>
                <w:spacing w:val="-6"/>
              </w:rPr>
              <w:t> </w:t>
            </w:r>
            <w:r>
              <w:rPr/>
              <w:t>de</w:t>
            </w:r>
            <w:r>
              <w:rPr>
                <w:spacing w:val="-2"/>
              </w:rPr>
              <w:t> </w:t>
            </w:r>
            <w:r>
              <w:rPr/>
              <w:t>trabajo</w:t>
              <w:tab/>
              <w:t>20</w:t>
            </w:r>
          </w:hyperlink>
        </w:p>
        <w:p>
          <w:pPr>
            <w:pStyle w:val="TOC1"/>
            <w:numPr>
              <w:ilvl w:val="2"/>
              <w:numId w:val="1"/>
            </w:numPr>
            <w:tabs>
              <w:tab w:pos="669" w:val="left" w:leader="none"/>
              <w:tab w:pos="8930" w:val="right" w:leader="dot"/>
            </w:tabs>
            <w:spacing w:line="273" w:lineRule="auto" w:before="144" w:after="0"/>
            <w:ind w:left="102" w:right="114" w:firstLine="0"/>
            <w:jc w:val="left"/>
          </w:pPr>
          <w:hyperlink w:history="true" w:anchor="_bookmark11">
            <w:r>
              <w:rPr/>
              <w:t>Primera generación de la segmentación del mercado de trabajo – Teoría</w:t>
            </w:r>
          </w:hyperlink>
          <w:r>
            <w:rPr/>
            <w:t> </w:t>
          </w:r>
          <w:hyperlink w:history="true" w:anchor="_bookmark11">
            <w:r>
              <w:rPr/>
              <w:t>Institucionalista</w:t>
              <w:tab/>
              <w:t>22</w:t>
            </w:r>
          </w:hyperlink>
        </w:p>
        <w:p>
          <w:pPr>
            <w:pStyle w:val="TOC1"/>
            <w:numPr>
              <w:ilvl w:val="2"/>
              <w:numId w:val="1"/>
            </w:numPr>
            <w:tabs>
              <w:tab w:pos="669" w:val="left" w:leader="none"/>
              <w:tab w:pos="8930" w:val="right" w:leader="dot"/>
            </w:tabs>
            <w:spacing w:line="240" w:lineRule="auto" w:before="104" w:after="0"/>
            <w:ind w:left="668" w:right="0" w:hanging="566"/>
            <w:jc w:val="left"/>
          </w:pPr>
          <w:hyperlink w:history="true" w:anchor="_bookmark12">
            <w:r>
              <w:rPr/>
              <w:t>Segunda  generación de la segmentación del mercado de trabajo –</w:t>
            </w:r>
            <w:r>
              <w:rPr>
                <w:spacing w:val="-10"/>
              </w:rPr>
              <w:t> </w:t>
            </w:r>
            <w:r>
              <w:rPr/>
              <w:t>Teoría radical</w:t>
              <w:tab/>
              <w:t>25</w:t>
            </w:r>
          </w:hyperlink>
        </w:p>
        <w:p>
          <w:pPr>
            <w:pStyle w:val="TOC1"/>
            <w:numPr>
              <w:ilvl w:val="2"/>
              <w:numId w:val="1"/>
            </w:numPr>
            <w:tabs>
              <w:tab w:pos="669" w:val="left" w:leader="none"/>
            </w:tabs>
            <w:spacing w:line="240" w:lineRule="auto" w:before="141" w:after="0"/>
            <w:ind w:left="668" w:right="0" w:hanging="566"/>
            <w:jc w:val="left"/>
          </w:pPr>
          <w:hyperlink w:history="true" w:anchor="_bookmark13">
            <w:r>
              <w:rPr/>
              <w:t>Tercera generación de la segmentación del mercado de trabajo – Teoría</w:t>
            </w:r>
            <w:r>
              <w:rPr>
                <w:spacing w:val="-15"/>
              </w:rPr>
              <w:t> </w:t>
            </w:r>
            <w:r>
              <w:rPr/>
              <w:t>multicausal29</w:t>
            </w:r>
          </w:hyperlink>
        </w:p>
        <w:p>
          <w:pPr>
            <w:pStyle w:val="TOC1"/>
            <w:numPr>
              <w:ilvl w:val="2"/>
              <w:numId w:val="1"/>
            </w:numPr>
            <w:tabs>
              <w:tab w:pos="669" w:val="left" w:leader="none"/>
              <w:tab w:pos="8930" w:val="right" w:leader="dot"/>
            </w:tabs>
            <w:spacing w:line="240" w:lineRule="auto" w:before="142" w:after="0"/>
            <w:ind w:left="668" w:right="0" w:hanging="566"/>
            <w:jc w:val="left"/>
          </w:pPr>
          <w:hyperlink w:history="true" w:anchor="_bookmark14">
            <w:r>
              <w:rPr/>
              <w:t>Cuarta  generación de la segmentación del mercado de trabajo</w:t>
            </w:r>
            <w:r>
              <w:rPr>
                <w:spacing w:val="-5"/>
              </w:rPr>
              <w:t> </w:t>
            </w:r>
            <w:r>
              <w:rPr/>
              <w:t>–</w:t>
            </w:r>
            <w:r>
              <w:rPr>
                <w:spacing w:val="-1"/>
              </w:rPr>
              <w:t> </w:t>
            </w:r>
            <w:r>
              <w:rPr/>
              <w:t>Toyotismo</w:t>
              <w:tab/>
              <w:t>30</w:t>
            </w:r>
          </w:hyperlink>
        </w:p>
        <w:p>
          <w:pPr>
            <w:pStyle w:val="TOC1"/>
            <w:numPr>
              <w:ilvl w:val="2"/>
              <w:numId w:val="1"/>
            </w:numPr>
            <w:tabs>
              <w:tab w:pos="669" w:val="left" w:leader="none"/>
              <w:tab w:pos="8930" w:val="right" w:leader="dot"/>
            </w:tabs>
            <w:spacing w:line="240" w:lineRule="auto" w:before="141" w:after="0"/>
            <w:ind w:left="668" w:right="0" w:hanging="566"/>
            <w:jc w:val="left"/>
          </w:pPr>
          <w:hyperlink w:history="true" w:anchor="_bookmark15">
            <w:r>
              <w:rPr/>
              <w:t>Teoría neoclásica vs teoría de</w:t>
            </w:r>
            <w:r>
              <w:rPr>
                <w:spacing w:val="-6"/>
              </w:rPr>
              <w:t> </w:t>
            </w:r>
            <w:r>
              <w:rPr/>
              <w:t>la</w:t>
            </w:r>
            <w:r>
              <w:rPr>
                <w:spacing w:val="-1"/>
              </w:rPr>
              <w:t> </w:t>
            </w:r>
            <w:r>
              <w:rPr/>
              <w:t>segmentación</w:t>
              <w:tab/>
              <w:t>33</w:t>
            </w:r>
          </w:hyperlink>
        </w:p>
        <w:p>
          <w:pPr>
            <w:pStyle w:val="TOC1"/>
            <w:numPr>
              <w:ilvl w:val="1"/>
              <w:numId w:val="2"/>
            </w:numPr>
            <w:tabs>
              <w:tab w:pos="583" w:val="left" w:leader="none"/>
              <w:tab w:pos="8930" w:val="right" w:leader="dot"/>
            </w:tabs>
            <w:spacing w:line="240" w:lineRule="auto" w:before="141" w:after="0"/>
            <w:ind w:left="582" w:right="0" w:hanging="480"/>
            <w:jc w:val="left"/>
          </w:pPr>
          <w:hyperlink w:history="true" w:anchor="_bookmark16">
            <w:r>
              <w:rPr/>
              <w:t>Flexibilidad del mercado</w:t>
            </w:r>
            <w:r>
              <w:rPr>
                <w:spacing w:val="-1"/>
              </w:rPr>
              <w:t> </w:t>
            </w:r>
            <w:r>
              <w:rPr/>
              <w:t>de</w:t>
            </w:r>
            <w:r>
              <w:rPr>
                <w:spacing w:val="-2"/>
              </w:rPr>
              <w:t> </w:t>
            </w:r>
            <w:r>
              <w:rPr/>
              <w:t>trabajo</w:t>
              <w:tab/>
              <w:t>34</w:t>
            </w:r>
          </w:hyperlink>
        </w:p>
        <w:p>
          <w:pPr>
            <w:pStyle w:val="TOC1"/>
            <w:numPr>
              <w:ilvl w:val="2"/>
              <w:numId w:val="2"/>
            </w:numPr>
            <w:tabs>
              <w:tab w:pos="703" w:val="left" w:leader="none"/>
              <w:tab w:pos="8930" w:val="right" w:leader="dot"/>
            </w:tabs>
            <w:spacing w:line="240" w:lineRule="auto" w:before="141" w:after="0"/>
            <w:ind w:left="702" w:right="0" w:hanging="600"/>
            <w:jc w:val="left"/>
          </w:pPr>
          <w:hyperlink w:history="true" w:anchor="_bookmark17">
            <w:r>
              <w:rPr/>
              <w:t>Perspectivas teóricas de la flexibilidad del mercado</w:t>
            </w:r>
            <w:r>
              <w:rPr>
                <w:spacing w:val="-3"/>
              </w:rPr>
              <w:t> </w:t>
            </w:r>
            <w:r>
              <w:rPr/>
              <w:t>de</w:t>
            </w:r>
            <w:r>
              <w:rPr>
                <w:spacing w:val="-2"/>
              </w:rPr>
              <w:t> </w:t>
            </w:r>
            <w:r>
              <w:rPr/>
              <w:t>trabajo</w:t>
              <w:tab/>
              <w:t>35</w:t>
            </w:r>
          </w:hyperlink>
        </w:p>
        <w:p>
          <w:pPr>
            <w:pStyle w:val="TOC1"/>
            <w:numPr>
              <w:ilvl w:val="2"/>
              <w:numId w:val="2"/>
            </w:numPr>
            <w:tabs>
              <w:tab w:pos="703" w:val="left" w:leader="none"/>
              <w:tab w:pos="8930" w:val="right" w:leader="dot"/>
            </w:tabs>
            <w:spacing w:line="240" w:lineRule="auto" w:before="141" w:after="0"/>
            <w:ind w:left="702" w:right="0" w:hanging="600"/>
            <w:jc w:val="left"/>
          </w:pPr>
          <w:hyperlink w:history="true" w:anchor="_bookmark18">
            <w:r>
              <w:rPr/>
              <w:t>Tipos</w:t>
            </w:r>
            <w:r>
              <w:rPr>
                <w:spacing w:val="-2"/>
              </w:rPr>
              <w:t> </w:t>
            </w:r>
            <w:r>
              <w:rPr/>
              <w:t>de</w:t>
            </w:r>
            <w:r>
              <w:rPr>
                <w:spacing w:val="-1"/>
              </w:rPr>
              <w:t> </w:t>
            </w:r>
            <w:r>
              <w:rPr/>
              <w:t>flexibilidad</w:t>
              <w:tab/>
              <w:t>37</w:t>
            </w:r>
          </w:hyperlink>
        </w:p>
        <w:p>
          <w:pPr>
            <w:pStyle w:val="TOC1"/>
            <w:numPr>
              <w:ilvl w:val="2"/>
              <w:numId w:val="2"/>
            </w:numPr>
            <w:tabs>
              <w:tab w:pos="703" w:val="left" w:leader="none"/>
              <w:tab w:pos="8930" w:val="right" w:leader="dot"/>
            </w:tabs>
            <w:spacing w:line="240" w:lineRule="auto" w:before="139" w:after="0"/>
            <w:ind w:left="702" w:right="0" w:hanging="600"/>
            <w:jc w:val="left"/>
          </w:pPr>
          <w:hyperlink w:history="true" w:anchor="_bookmark19">
            <w:r>
              <w:rPr/>
              <w:t>Estrategias para flexibilizar el mercado</w:t>
            </w:r>
            <w:r>
              <w:rPr>
                <w:spacing w:val="-2"/>
              </w:rPr>
              <w:t> </w:t>
            </w:r>
            <w:r>
              <w:rPr/>
              <w:t>de</w:t>
            </w:r>
            <w:r>
              <w:rPr>
                <w:spacing w:val="-2"/>
              </w:rPr>
              <w:t> </w:t>
            </w:r>
            <w:r>
              <w:rPr/>
              <w:t>trabajo</w:t>
              <w:tab/>
              <w:t>39</w:t>
            </w:r>
          </w:hyperlink>
        </w:p>
        <w:p>
          <w:pPr>
            <w:pStyle w:val="TOC2"/>
            <w:tabs>
              <w:tab w:pos="8933" w:val="right" w:leader="dot"/>
            </w:tabs>
            <w:rPr>
              <w:rFonts w:ascii="Calibri" w:hAnsi="Calibri"/>
            </w:rPr>
          </w:pPr>
          <w:hyperlink w:history="true" w:anchor="_bookmark20">
            <w:r>
              <w:rPr/>
              <w:t>CAPÍTULO 2- PROCESO DE TRANSICIÓN AL MERCADO</w:t>
            </w:r>
            <w:r>
              <w:rPr>
                <w:spacing w:val="-15"/>
              </w:rPr>
              <w:t> </w:t>
            </w:r>
            <w:r>
              <w:rPr/>
              <w:t>DE</w:t>
            </w:r>
            <w:r>
              <w:rPr>
                <w:spacing w:val="-1"/>
              </w:rPr>
              <w:t> </w:t>
            </w:r>
            <w:r>
              <w:rPr/>
              <w:t>TRABAJO</w:t>
            </w:r>
            <w:r>
              <w:rPr>
                <w:rFonts w:ascii="Calibri" w:hAnsi="Calibri"/>
              </w:rPr>
              <w:tab/>
              <w:t>43</w:t>
            </w:r>
          </w:hyperlink>
        </w:p>
        <w:p>
          <w:pPr>
            <w:pStyle w:val="TOC1"/>
            <w:numPr>
              <w:ilvl w:val="1"/>
              <w:numId w:val="3"/>
            </w:numPr>
            <w:tabs>
              <w:tab w:pos="668" w:val="left" w:leader="none"/>
              <w:tab w:pos="669" w:val="left" w:leader="none"/>
              <w:tab w:pos="8930" w:val="right" w:leader="dot"/>
            </w:tabs>
            <w:spacing w:line="240" w:lineRule="auto" w:before="137" w:after="0"/>
            <w:ind w:left="668" w:right="0" w:hanging="566"/>
            <w:jc w:val="left"/>
          </w:pPr>
          <w:hyperlink w:history="true" w:anchor="_bookmark21">
            <w:r>
              <w:rPr/>
              <w:t>Proceso</w:t>
            </w:r>
            <w:r>
              <w:rPr>
                <w:spacing w:val="-1"/>
              </w:rPr>
              <w:t> </w:t>
            </w:r>
            <w:r>
              <w:rPr/>
              <w:t>de</w:t>
            </w:r>
            <w:r>
              <w:rPr>
                <w:spacing w:val="-1"/>
              </w:rPr>
              <w:t> </w:t>
            </w:r>
            <w:r>
              <w:rPr/>
              <w:t>transición</w:t>
              <w:tab/>
              <w:t>43</w:t>
            </w:r>
          </w:hyperlink>
        </w:p>
        <w:p>
          <w:pPr>
            <w:pStyle w:val="TOC1"/>
            <w:numPr>
              <w:ilvl w:val="2"/>
              <w:numId w:val="3"/>
            </w:numPr>
            <w:tabs>
              <w:tab w:pos="669" w:val="left" w:leader="none"/>
              <w:tab w:pos="8930" w:val="right" w:leader="dot"/>
            </w:tabs>
            <w:spacing w:line="240" w:lineRule="auto" w:before="141" w:after="0"/>
            <w:ind w:left="668" w:right="0" w:hanging="566"/>
            <w:jc w:val="left"/>
          </w:pPr>
          <w:hyperlink w:history="true" w:anchor="_bookmark22">
            <w:r>
              <w:rPr/>
              <w:t>Modalidades de</w:t>
            </w:r>
            <w:r>
              <w:rPr>
                <w:spacing w:val="-2"/>
              </w:rPr>
              <w:t> </w:t>
            </w:r>
            <w:r>
              <w:rPr/>
              <w:t>transición</w:t>
            </w:r>
            <w:r>
              <w:rPr>
                <w:spacing w:val="-2"/>
              </w:rPr>
              <w:t> </w:t>
            </w:r>
            <w:r>
              <w:rPr/>
              <w:t>profesional</w:t>
              <w:tab/>
              <w:t>45</w:t>
            </w:r>
          </w:hyperlink>
        </w:p>
        <w:p>
          <w:pPr>
            <w:pStyle w:val="TOC1"/>
            <w:numPr>
              <w:ilvl w:val="2"/>
              <w:numId w:val="3"/>
            </w:numPr>
            <w:tabs>
              <w:tab w:pos="669" w:val="left" w:leader="none"/>
              <w:tab w:pos="8930" w:val="right" w:leader="dot"/>
            </w:tabs>
            <w:spacing w:line="240" w:lineRule="auto" w:before="140" w:after="0"/>
            <w:ind w:left="668" w:right="0" w:hanging="566"/>
            <w:jc w:val="left"/>
          </w:pPr>
          <w:hyperlink w:history="true" w:anchor="_bookmark23">
            <w:r>
              <w:rPr/>
              <w:t>Teorías del proceso de transición al mercado</w:t>
            </w:r>
            <w:r>
              <w:rPr>
                <w:spacing w:val="-3"/>
              </w:rPr>
              <w:t> </w:t>
            </w:r>
            <w:r>
              <w:rPr/>
              <w:t>de</w:t>
            </w:r>
            <w:r>
              <w:rPr>
                <w:spacing w:val="-2"/>
              </w:rPr>
              <w:t> </w:t>
            </w:r>
            <w:r>
              <w:rPr/>
              <w:t>trabajo</w:t>
              <w:tab/>
              <w:t>48</w:t>
            </w:r>
          </w:hyperlink>
        </w:p>
        <w:p>
          <w:pPr>
            <w:pStyle w:val="TOC1"/>
            <w:numPr>
              <w:ilvl w:val="3"/>
              <w:numId w:val="3"/>
            </w:numPr>
            <w:tabs>
              <w:tab w:pos="943" w:val="left" w:leader="none"/>
              <w:tab w:pos="8930" w:val="right" w:leader="dot"/>
            </w:tabs>
            <w:spacing w:line="240" w:lineRule="auto" w:before="141" w:after="0"/>
            <w:ind w:left="942" w:right="0" w:hanging="840"/>
            <w:jc w:val="left"/>
          </w:pPr>
          <w:hyperlink w:history="true" w:anchor="_bookmark24">
            <w:r>
              <w:rPr/>
              <w:t>Teoría de</w:t>
            </w:r>
            <w:r>
              <w:rPr>
                <w:spacing w:val="-3"/>
              </w:rPr>
              <w:t> </w:t>
            </w:r>
            <w:r>
              <w:rPr/>
              <w:t>la</w:t>
            </w:r>
            <w:r>
              <w:rPr>
                <w:spacing w:val="-1"/>
              </w:rPr>
              <w:t> </w:t>
            </w:r>
            <w:r>
              <w:rPr/>
              <w:t>búsqueda</w:t>
              <w:tab/>
              <w:t>48</w:t>
            </w:r>
          </w:hyperlink>
        </w:p>
        <w:p>
          <w:pPr>
            <w:pStyle w:val="TOC1"/>
            <w:numPr>
              <w:ilvl w:val="3"/>
              <w:numId w:val="3"/>
            </w:numPr>
            <w:tabs>
              <w:tab w:pos="883" w:val="left" w:leader="none"/>
              <w:tab w:pos="8930" w:val="right" w:leader="dot"/>
            </w:tabs>
            <w:spacing w:line="240" w:lineRule="auto" w:before="141" w:after="0"/>
            <w:ind w:left="882" w:right="0" w:hanging="780"/>
            <w:jc w:val="left"/>
          </w:pPr>
          <w:hyperlink w:history="true" w:anchor="_bookmark25">
            <w:r>
              <w:rPr/>
              <w:t>Teoría de</w:t>
            </w:r>
            <w:r>
              <w:rPr>
                <w:spacing w:val="-3"/>
              </w:rPr>
              <w:t> </w:t>
            </w:r>
            <w:r>
              <w:rPr/>
              <w:t>las señales</w:t>
              <w:tab/>
              <w:t>49</w:t>
            </w:r>
          </w:hyperlink>
        </w:p>
        <w:p>
          <w:pPr>
            <w:pStyle w:val="TOC1"/>
            <w:numPr>
              <w:ilvl w:val="3"/>
              <w:numId w:val="3"/>
            </w:numPr>
            <w:tabs>
              <w:tab w:pos="883" w:val="left" w:leader="none"/>
              <w:tab w:pos="8930" w:val="right" w:leader="dot"/>
            </w:tabs>
            <w:spacing w:line="240" w:lineRule="auto" w:before="141" w:after="0"/>
            <w:ind w:left="882" w:right="0" w:hanging="780"/>
            <w:jc w:val="left"/>
          </w:pPr>
          <w:hyperlink w:history="true" w:anchor="_bookmark26">
            <w:r>
              <w:rPr/>
              <w:t>Teoría</w:t>
            </w:r>
            <w:r>
              <w:rPr>
                <w:spacing w:val="-2"/>
              </w:rPr>
              <w:t> </w:t>
            </w:r>
            <w:r>
              <w:rPr/>
              <w:t>de filas</w:t>
              <w:tab/>
              <w:t>50</w:t>
            </w:r>
          </w:hyperlink>
        </w:p>
        <w:p>
          <w:pPr>
            <w:pStyle w:val="TOC1"/>
            <w:numPr>
              <w:ilvl w:val="1"/>
              <w:numId w:val="4"/>
            </w:numPr>
            <w:tabs>
              <w:tab w:pos="523" w:val="left" w:leader="none"/>
              <w:tab w:pos="8930" w:val="right" w:leader="dot"/>
            </w:tabs>
            <w:spacing w:line="240" w:lineRule="auto" w:before="141" w:after="0"/>
            <w:ind w:left="102" w:right="0" w:firstLine="0"/>
            <w:jc w:val="left"/>
          </w:pPr>
          <w:hyperlink w:history="true" w:anchor="_bookmark27">
            <w:r>
              <w:rPr/>
              <w:t>Modelo hipotético</w:t>
              <w:tab/>
              <w:t>52</w:t>
            </w:r>
          </w:hyperlink>
        </w:p>
        <w:p>
          <w:pPr>
            <w:pStyle w:val="TOC1"/>
            <w:numPr>
              <w:ilvl w:val="1"/>
              <w:numId w:val="4"/>
            </w:numPr>
            <w:tabs>
              <w:tab w:pos="616" w:val="left" w:leader="none"/>
              <w:tab w:pos="8930" w:val="right" w:leader="dot"/>
            </w:tabs>
            <w:spacing w:line="276" w:lineRule="auto" w:before="50" w:after="0"/>
            <w:ind w:left="102" w:right="121" w:firstLine="0"/>
            <w:jc w:val="left"/>
          </w:pPr>
          <w:hyperlink w:history="true" w:anchor="_bookmark28">
            <w:r>
              <w:rPr/>
              <w:t>Inmersión del proceso de transición al mercado de trabajo desde las ciencias</w:t>
            </w:r>
          </w:hyperlink>
          <w:r>
            <w:rPr/>
            <w:t> </w:t>
          </w:r>
          <w:hyperlink w:history="true" w:anchor="_bookmark28">
            <w:r>
              <w:rPr/>
              <w:t>económico-administrativas.</w:t>
              <w:tab/>
              <w:t>54</w:t>
            </w:r>
          </w:hyperlink>
        </w:p>
        <w:p>
          <w:pPr>
            <w:pStyle w:val="TOC1"/>
            <w:tabs>
              <w:tab w:pos="8930" w:val="right" w:leader="dot"/>
            </w:tabs>
            <w:spacing w:before="101"/>
          </w:pPr>
          <w:hyperlink w:history="true" w:anchor="_bookmark29">
            <w:r>
              <w:rPr/>
              <w:t>CAPÍTULO 3 - LA EDUCACIÓN SUPERIOR EN MÉXICO,</w:t>
            </w:r>
            <w:r>
              <w:rPr>
                <w:spacing w:val="-6"/>
              </w:rPr>
              <w:t> </w:t>
            </w:r>
            <w:r>
              <w:rPr/>
              <w:t>PERIODO 2000-2010</w:t>
              <w:tab/>
              <w:t>62</w:t>
            </w:r>
          </w:hyperlink>
        </w:p>
        <w:p>
          <w:pPr>
            <w:pStyle w:val="TOC1"/>
            <w:numPr>
              <w:ilvl w:val="1"/>
              <w:numId w:val="5"/>
            </w:numPr>
            <w:tabs>
              <w:tab w:pos="525" w:val="left" w:leader="none"/>
              <w:tab w:pos="8930" w:val="right" w:leader="dot"/>
            </w:tabs>
            <w:spacing w:line="240" w:lineRule="auto" w:before="139" w:after="0"/>
            <w:ind w:left="524" w:right="0" w:hanging="422"/>
            <w:jc w:val="left"/>
          </w:pPr>
          <w:hyperlink w:history="true" w:anchor="_bookmark30">
            <w:r>
              <w:rPr>
                <w:spacing w:val="-3"/>
              </w:rPr>
              <w:t>La </w:t>
            </w:r>
            <w:r>
              <w:rPr/>
              <w:t>masificación de la educación</w:t>
            </w:r>
            <w:r>
              <w:rPr>
                <w:spacing w:val="59"/>
              </w:rPr>
              <w:t> </w:t>
            </w:r>
            <w:r>
              <w:rPr/>
              <w:t>superior</w:t>
              <w:tab/>
              <w:t>63</w:t>
            </w:r>
          </w:hyperlink>
        </w:p>
        <w:p>
          <w:pPr>
            <w:pStyle w:val="TOC1"/>
            <w:numPr>
              <w:ilvl w:val="1"/>
              <w:numId w:val="5"/>
            </w:numPr>
            <w:tabs>
              <w:tab w:pos="523" w:val="left" w:leader="none"/>
              <w:tab w:pos="8930" w:val="right" w:leader="dot"/>
            </w:tabs>
            <w:spacing w:line="240" w:lineRule="auto" w:before="141" w:after="0"/>
            <w:ind w:left="522" w:right="0" w:hanging="420"/>
            <w:jc w:val="left"/>
          </w:pPr>
          <w:hyperlink w:history="true" w:anchor="_bookmark31">
            <w:r>
              <w:rPr/>
              <w:t>Educación superior</w:t>
            </w:r>
            <w:r>
              <w:rPr>
                <w:spacing w:val="-2"/>
              </w:rPr>
              <w:t> </w:t>
            </w:r>
            <w:r>
              <w:rPr/>
              <w:t>en México</w:t>
              <w:tab/>
              <w:t>66</w:t>
            </w:r>
          </w:hyperlink>
        </w:p>
        <w:p>
          <w:pPr>
            <w:pStyle w:val="TOC1"/>
            <w:numPr>
              <w:ilvl w:val="1"/>
              <w:numId w:val="5"/>
            </w:numPr>
            <w:tabs>
              <w:tab w:pos="523" w:val="left" w:leader="none"/>
              <w:tab w:pos="8930" w:val="right" w:leader="dot"/>
            </w:tabs>
            <w:spacing w:line="240" w:lineRule="auto" w:before="141" w:after="0"/>
            <w:ind w:left="522" w:right="0" w:hanging="420"/>
            <w:jc w:val="left"/>
          </w:pPr>
          <w:hyperlink w:history="true" w:anchor="_bookmark32">
            <w:r>
              <w:rPr/>
              <w:t>Educación y</w:t>
            </w:r>
            <w:r>
              <w:rPr>
                <w:spacing w:val="-1"/>
              </w:rPr>
              <w:t> </w:t>
            </w:r>
            <w:r>
              <w:rPr/>
              <w:t>políticas</w:t>
            </w:r>
            <w:r>
              <w:rPr>
                <w:spacing w:val="-1"/>
              </w:rPr>
              <w:t> </w:t>
            </w:r>
            <w:r>
              <w:rPr/>
              <w:t>educativas</w:t>
              <w:tab/>
              <w:t>68</w:t>
            </w:r>
          </w:hyperlink>
        </w:p>
        <w:p>
          <w:pPr>
            <w:pStyle w:val="TOC1"/>
            <w:numPr>
              <w:ilvl w:val="2"/>
              <w:numId w:val="5"/>
            </w:numPr>
            <w:tabs>
              <w:tab w:pos="703" w:val="left" w:leader="none"/>
              <w:tab w:pos="8930" w:val="right" w:leader="dot"/>
            </w:tabs>
            <w:spacing w:line="240" w:lineRule="auto" w:before="141" w:after="0"/>
            <w:ind w:left="702" w:right="0" w:hanging="600"/>
            <w:jc w:val="left"/>
          </w:pPr>
          <w:hyperlink w:history="true" w:anchor="_bookmark33">
            <w:r>
              <w:rPr/>
              <w:t>Políticas internacionales</w:t>
            </w:r>
            <w:r>
              <w:rPr>
                <w:spacing w:val="1"/>
              </w:rPr>
              <w:t> </w:t>
            </w:r>
            <w:r>
              <w:rPr/>
              <w:t>y</w:t>
            </w:r>
            <w:r>
              <w:rPr>
                <w:spacing w:val="-6"/>
              </w:rPr>
              <w:t> </w:t>
            </w:r>
            <w:r>
              <w:rPr/>
              <w:t>latinoamericanas</w:t>
              <w:tab/>
              <w:t>69</w:t>
            </w:r>
          </w:hyperlink>
        </w:p>
        <w:p>
          <w:pPr>
            <w:pStyle w:val="TOC1"/>
            <w:numPr>
              <w:ilvl w:val="2"/>
              <w:numId w:val="5"/>
            </w:numPr>
            <w:tabs>
              <w:tab w:pos="705" w:val="left" w:leader="none"/>
              <w:tab w:pos="8930" w:val="right" w:leader="dot"/>
            </w:tabs>
            <w:spacing w:line="240" w:lineRule="auto" w:before="141" w:after="0"/>
            <w:ind w:left="704" w:right="0" w:hanging="602"/>
            <w:jc w:val="left"/>
          </w:pPr>
          <w:hyperlink w:history="true" w:anchor="_bookmark34">
            <w:r>
              <w:rPr>
                <w:spacing w:val="-3"/>
              </w:rPr>
              <w:t>La </w:t>
            </w:r>
            <w:r>
              <w:rPr/>
              <w:t>educación superior en los planes</w:t>
            </w:r>
            <w:r>
              <w:rPr>
                <w:spacing w:val="1"/>
              </w:rPr>
              <w:t> </w:t>
            </w:r>
            <w:r>
              <w:rPr/>
              <w:t>de</w:t>
            </w:r>
            <w:r>
              <w:rPr>
                <w:spacing w:val="-1"/>
              </w:rPr>
              <w:t> </w:t>
            </w:r>
            <w:r>
              <w:rPr/>
              <w:t>desarrollo</w:t>
              <w:tab/>
              <w:t>71</w:t>
            </w:r>
          </w:hyperlink>
        </w:p>
        <w:p>
          <w:pPr>
            <w:pStyle w:val="TOC1"/>
            <w:numPr>
              <w:ilvl w:val="3"/>
              <w:numId w:val="5"/>
            </w:numPr>
            <w:tabs>
              <w:tab w:pos="883" w:val="left" w:leader="none"/>
              <w:tab w:pos="8930" w:val="right" w:leader="dot"/>
            </w:tabs>
            <w:spacing w:line="240" w:lineRule="auto" w:before="141" w:after="0"/>
            <w:ind w:left="882" w:right="0" w:hanging="780"/>
            <w:jc w:val="left"/>
          </w:pPr>
          <w:hyperlink w:history="true" w:anchor="_bookmark35">
            <w:r>
              <w:rPr/>
              <w:t>Plan Nacional de</w:t>
            </w:r>
            <w:r>
              <w:rPr>
                <w:spacing w:val="-1"/>
              </w:rPr>
              <w:t> </w:t>
            </w:r>
            <w:r>
              <w:rPr/>
              <w:t>Desarrollo</w:t>
            </w:r>
            <w:r>
              <w:rPr>
                <w:spacing w:val="-1"/>
              </w:rPr>
              <w:t> </w:t>
            </w:r>
            <w:r>
              <w:rPr/>
              <w:t>(2001-2006)</w:t>
              <w:tab/>
              <w:t>71</w:t>
            </w:r>
          </w:hyperlink>
        </w:p>
        <w:p>
          <w:pPr>
            <w:pStyle w:val="TOC1"/>
            <w:numPr>
              <w:ilvl w:val="3"/>
              <w:numId w:val="5"/>
            </w:numPr>
            <w:tabs>
              <w:tab w:pos="883" w:val="left" w:leader="none"/>
              <w:tab w:pos="8930" w:val="right" w:leader="dot"/>
            </w:tabs>
            <w:spacing w:line="240" w:lineRule="auto" w:before="142" w:after="0"/>
            <w:ind w:left="882" w:right="0" w:hanging="780"/>
            <w:jc w:val="left"/>
          </w:pPr>
          <w:hyperlink w:history="true" w:anchor="_bookmark36">
            <w:r>
              <w:rPr/>
              <w:t>Plan Nacional de</w:t>
            </w:r>
            <w:r>
              <w:rPr>
                <w:spacing w:val="-1"/>
              </w:rPr>
              <w:t> </w:t>
            </w:r>
            <w:r>
              <w:rPr/>
              <w:t>Desarrollo</w:t>
            </w:r>
            <w:r>
              <w:rPr>
                <w:spacing w:val="-1"/>
              </w:rPr>
              <w:t> </w:t>
            </w:r>
            <w:r>
              <w:rPr/>
              <w:t>(2007-2012)</w:t>
              <w:tab/>
              <w:t>73</w:t>
            </w:r>
          </w:hyperlink>
        </w:p>
        <w:p>
          <w:pPr>
            <w:pStyle w:val="TOC1"/>
            <w:numPr>
              <w:ilvl w:val="3"/>
              <w:numId w:val="5"/>
            </w:numPr>
            <w:tabs>
              <w:tab w:pos="883" w:val="left" w:leader="none"/>
              <w:tab w:pos="8930" w:val="right" w:leader="dot"/>
            </w:tabs>
            <w:spacing w:line="240" w:lineRule="auto" w:before="141" w:after="0"/>
            <w:ind w:left="882" w:right="0" w:hanging="780"/>
            <w:jc w:val="left"/>
          </w:pPr>
          <w:hyperlink w:history="true" w:anchor="_bookmark37">
            <w:r>
              <w:rPr/>
              <w:t>Plan de desarrollo</w:t>
            </w:r>
            <w:r>
              <w:rPr>
                <w:spacing w:val="-3"/>
              </w:rPr>
              <w:t> </w:t>
            </w:r>
            <w:r>
              <w:rPr/>
              <w:t>estatal</w:t>
            </w:r>
            <w:r>
              <w:rPr>
                <w:spacing w:val="-1"/>
              </w:rPr>
              <w:t> </w:t>
            </w:r>
            <w:r>
              <w:rPr/>
              <w:t>(1999-2005)</w:t>
              <w:tab/>
              <w:t>77</w:t>
            </w:r>
          </w:hyperlink>
        </w:p>
        <w:p>
          <w:pPr>
            <w:pStyle w:val="TOC1"/>
            <w:numPr>
              <w:ilvl w:val="3"/>
              <w:numId w:val="5"/>
            </w:numPr>
            <w:tabs>
              <w:tab w:pos="883" w:val="left" w:leader="none"/>
              <w:tab w:pos="8930" w:val="right" w:leader="dot"/>
            </w:tabs>
            <w:spacing w:line="240" w:lineRule="auto" w:before="141" w:after="0"/>
            <w:ind w:left="882" w:right="0" w:hanging="780"/>
            <w:jc w:val="left"/>
          </w:pPr>
          <w:hyperlink w:history="true" w:anchor="_bookmark38">
            <w:r>
              <w:rPr/>
              <w:t>Plan de desarrollo</w:t>
            </w:r>
            <w:r>
              <w:rPr>
                <w:spacing w:val="-3"/>
              </w:rPr>
              <w:t> </w:t>
            </w:r>
            <w:r>
              <w:rPr/>
              <w:t>estatal</w:t>
            </w:r>
            <w:r>
              <w:rPr>
                <w:spacing w:val="-1"/>
              </w:rPr>
              <w:t> </w:t>
            </w:r>
            <w:r>
              <w:rPr/>
              <w:t>(2005-2011)</w:t>
              <w:tab/>
              <w:t>77</w:t>
            </w:r>
          </w:hyperlink>
        </w:p>
        <w:p>
          <w:pPr>
            <w:pStyle w:val="TOC1"/>
            <w:numPr>
              <w:ilvl w:val="1"/>
              <w:numId w:val="6"/>
            </w:numPr>
            <w:tabs>
              <w:tab w:pos="523" w:val="left" w:leader="none"/>
              <w:tab w:pos="8930" w:val="right" w:leader="dot"/>
            </w:tabs>
            <w:spacing w:line="240" w:lineRule="auto" w:before="141" w:after="0"/>
            <w:ind w:left="522" w:right="0" w:hanging="420"/>
            <w:jc w:val="left"/>
          </w:pPr>
          <w:hyperlink w:history="true" w:anchor="_bookmark39">
            <w:r>
              <w:rPr/>
              <w:t>Diagnóstico de la educación</w:t>
            </w:r>
            <w:r>
              <w:rPr>
                <w:spacing w:val="-3"/>
              </w:rPr>
              <w:t> </w:t>
            </w:r>
            <w:r>
              <w:rPr/>
              <w:t>en</w:t>
            </w:r>
            <w:r>
              <w:rPr>
                <w:spacing w:val="-1"/>
              </w:rPr>
              <w:t> </w:t>
            </w:r>
            <w:r>
              <w:rPr/>
              <w:t>México</w:t>
              <w:tab/>
              <w:t>81</w:t>
            </w:r>
          </w:hyperlink>
        </w:p>
        <w:p>
          <w:pPr>
            <w:pStyle w:val="TOC1"/>
            <w:numPr>
              <w:ilvl w:val="2"/>
              <w:numId w:val="6"/>
            </w:numPr>
            <w:tabs>
              <w:tab w:pos="703" w:val="left" w:leader="none"/>
              <w:tab w:pos="8930" w:val="right" w:leader="dot"/>
            </w:tabs>
            <w:spacing w:line="240" w:lineRule="auto" w:before="141" w:after="0"/>
            <w:ind w:left="702" w:right="0" w:hanging="600"/>
            <w:jc w:val="left"/>
          </w:pPr>
          <w:hyperlink w:history="true" w:anchor="_bookmark40">
            <w:r>
              <w:rPr/>
              <w:t>Sistema</w:t>
            </w:r>
            <w:r>
              <w:rPr>
                <w:spacing w:val="-1"/>
              </w:rPr>
              <w:t> </w:t>
            </w:r>
            <w:r>
              <w:rPr/>
              <w:t>educativo</w:t>
            </w:r>
            <w:r>
              <w:rPr>
                <w:spacing w:val="-1"/>
              </w:rPr>
              <w:t> </w:t>
            </w:r>
            <w:r>
              <w:rPr/>
              <w:t>mexicano.</w:t>
              <w:tab/>
              <w:t>81</w:t>
            </w:r>
          </w:hyperlink>
        </w:p>
        <w:p>
          <w:pPr>
            <w:pStyle w:val="TOC1"/>
            <w:numPr>
              <w:ilvl w:val="2"/>
              <w:numId w:val="6"/>
            </w:numPr>
            <w:tabs>
              <w:tab w:pos="703" w:val="left" w:leader="none"/>
              <w:tab w:pos="8930" w:val="right" w:leader="dot"/>
            </w:tabs>
            <w:spacing w:line="240" w:lineRule="auto" w:before="139" w:after="0"/>
            <w:ind w:left="702" w:right="0" w:hanging="600"/>
            <w:jc w:val="left"/>
          </w:pPr>
          <w:hyperlink w:history="true" w:anchor="_bookmark41">
            <w:r>
              <w:rPr/>
              <w:t>Educación</w:t>
            </w:r>
            <w:r>
              <w:rPr>
                <w:spacing w:val="-2"/>
              </w:rPr>
              <w:t> </w:t>
            </w:r>
            <w:r>
              <w:rPr/>
              <w:t>superior</w:t>
              <w:tab/>
              <w:t>85</w:t>
            </w:r>
          </w:hyperlink>
        </w:p>
        <w:p>
          <w:pPr>
            <w:pStyle w:val="TOC1"/>
            <w:numPr>
              <w:ilvl w:val="1"/>
              <w:numId w:val="7"/>
            </w:numPr>
            <w:tabs>
              <w:tab w:pos="523" w:val="left" w:leader="none"/>
              <w:tab w:pos="8930" w:val="right" w:leader="dot"/>
            </w:tabs>
            <w:spacing w:line="240" w:lineRule="auto" w:before="141" w:after="0"/>
            <w:ind w:left="522" w:right="0" w:hanging="420"/>
            <w:jc w:val="left"/>
          </w:pPr>
          <w:hyperlink w:history="true" w:anchor="_bookmark42">
            <w:r>
              <w:rPr/>
              <w:t>Educación superior y el mercado de</w:t>
            </w:r>
            <w:r>
              <w:rPr>
                <w:spacing w:val="-5"/>
              </w:rPr>
              <w:t> </w:t>
            </w:r>
            <w:r>
              <w:rPr/>
              <w:t>trabajo</w:t>
            </w:r>
            <w:r>
              <w:rPr>
                <w:spacing w:val="1"/>
              </w:rPr>
              <w:t> </w:t>
            </w:r>
            <w:r>
              <w:rPr/>
              <w:t>mexicano</w:t>
              <w:tab/>
              <w:t>93</w:t>
            </w:r>
          </w:hyperlink>
        </w:p>
        <w:p>
          <w:pPr>
            <w:pStyle w:val="TOC1"/>
            <w:numPr>
              <w:ilvl w:val="2"/>
              <w:numId w:val="7"/>
            </w:numPr>
            <w:tabs>
              <w:tab w:pos="703" w:val="left" w:leader="none"/>
              <w:tab w:pos="8930" w:val="right" w:leader="dot"/>
            </w:tabs>
            <w:spacing w:line="240" w:lineRule="auto" w:before="141" w:after="0"/>
            <w:ind w:left="702" w:right="0" w:hanging="600"/>
            <w:jc w:val="left"/>
          </w:pPr>
          <w:hyperlink w:history="true" w:anchor="_bookmark43">
            <w:r>
              <w:rPr/>
              <w:t>Profesiones en</w:t>
            </w:r>
            <w:r>
              <w:rPr>
                <w:spacing w:val="-1"/>
              </w:rPr>
              <w:t> </w:t>
            </w:r>
            <w:r>
              <w:rPr/>
              <w:t>México</w:t>
            </w:r>
            <w:r>
              <w:rPr>
                <w:spacing w:val="-1"/>
              </w:rPr>
              <w:t> </w:t>
            </w:r>
            <w:r>
              <w:rPr/>
              <w:t>(nacional)</w:t>
              <w:tab/>
              <w:t>94</w:t>
            </w:r>
          </w:hyperlink>
        </w:p>
        <w:p>
          <w:pPr>
            <w:pStyle w:val="TOC1"/>
            <w:numPr>
              <w:ilvl w:val="2"/>
              <w:numId w:val="7"/>
            </w:numPr>
            <w:tabs>
              <w:tab w:pos="703" w:val="left" w:leader="none"/>
              <w:tab w:pos="8930" w:val="right" w:leader="dot"/>
            </w:tabs>
            <w:spacing w:line="240" w:lineRule="auto" w:before="142" w:after="0"/>
            <w:ind w:left="702" w:right="0" w:hanging="600"/>
            <w:jc w:val="left"/>
          </w:pPr>
          <w:hyperlink w:history="true" w:anchor="_bookmark44">
            <w:r>
              <w:rPr/>
              <w:t>Panorama del mercado de trabajo del Estado</w:t>
            </w:r>
            <w:r>
              <w:rPr>
                <w:spacing w:val="-1"/>
              </w:rPr>
              <w:t> </w:t>
            </w:r>
            <w:r>
              <w:rPr/>
              <w:t>de</w:t>
            </w:r>
            <w:r>
              <w:rPr>
                <w:spacing w:val="-2"/>
              </w:rPr>
              <w:t> </w:t>
            </w:r>
            <w:r>
              <w:rPr/>
              <w:t>México</w:t>
              <w:tab/>
              <w:t>99</w:t>
            </w:r>
          </w:hyperlink>
        </w:p>
        <w:p>
          <w:pPr>
            <w:pStyle w:val="TOC1"/>
            <w:numPr>
              <w:ilvl w:val="1"/>
              <w:numId w:val="8"/>
            </w:numPr>
            <w:tabs>
              <w:tab w:pos="523" w:val="left" w:leader="none"/>
              <w:tab w:pos="8930" w:val="right" w:leader="dot"/>
            </w:tabs>
            <w:spacing w:line="240" w:lineRule="auto" w:before="141" w:after="0"/>
            <w:ind w:left="522" w:right="0" w:hanging="420"/>
            <w:jc w:val="left"/>
          </w:pPr>
          <w:hyperlink w:history="true" w:anchor="_bookmark45">
            <w:r>
              <w:rPr/>
              <w:t>Panorama general del ámbito de</w:t>
            </w:r>
            <w:r>
              <w:rPr>
                <w:spacing w:val="1"/>
              </w:rPr>
              <w:t> </w:t>
            </w:r>
            <w:r>
              <w:rPr/>
              <w:t>estudio</w:t>
            </w:r>
            <w:r>
              <w:rPr>
                <w:spacing w:val="-1"/>
              </w:rPr>
              <w:t> </w:t>
            </w:r>
            <w:r>
              <w:rPr/>
              <w:t>UAEMéx</w:t>
              <w:tab/>
              <w:t>102</w:t>
            </w:r>
          </w:hyperlink>
        </w:p>
        <w:p>
          <w:pPr>
            <w:pStyle w:val="TOC1"/>
            <w:numPr>
              <w:ilvl w:val="1"/>
              <w:numId w:val="8"/>
            </w:numPr>
            <w:tabs>
              <w:tab w:pos="523" w:val="left" w:leader="none"/>
              <w:tab w:pos="8930" w:val="right" w:leader="dot"/>
            </w:tabs>
            <w:spacing w:line="240" w:lineRule="auto" w:before="141" w:after="0"/>
            <w:ind w:left="522" w:right="0" w:hanging="420"/>
            <w:jc w:val="left"/>
          </w:pPr>
          <w:hyperlink w:history="true" w:anchor="_bookmark46">
            <w:r>
              <w:rPr/>
              <w:t>Facultad de Economía</w:t>
            </w:r>
            <w:r>
              <w:rPr>
                <w:spacing w:val="-2"/>
              </w:rPr>
              <w:t> </w:t>
            </w:r>
            <w:r>
              <w:rPr/>
              <w:t>-</w:t>
            </w:r>
            <w:r>
              <w:rPr>
                <w:spacing w:val="-2"/>
              </w:rPr>
              <w:t> </w:t>
            </w:r>
            <w:r>
              <w:rPr/>
              <w:t>UAEMéx</w:t>
              <w:tab/>
              <w:t>105</w:t>
            </w:r>
          </w:hyperlink>
        </w:p>
        <w:p>
          <w:pPr>
            <w:pStyle w:val="TOC1"/>
            <w:tabs>
              <w:tab w:pos="8930" w:val="right" w:leader="dot"/>
            </w:tabs>
            <w:spacing w:line="273" w:lineRule="auto" w:before="144"/>
            <w:ind w:right="123"/>
          </w:pPr>
          <w:hyperlink w:history="true" w:anchor="_bookmark47">
            <w:r>
              <w:rPr/>
              <w:t>CAPÍTULO 4 - EL MERCADO DE TRABAJO EN MÉXICO Y EL ESTADO DE</w:t>
            </w:r>
          </w:hyperlink>
          <w:r>
            <w:rPr/>
            <w:t> </w:t>
          </w:r>
          <w:hyperlink w:history="true" w:anchor="_bookmark47">
            <w:r>
              <w:rPr/>
              <w:t>MÉXICO</w:t>
            </w:r>
            <w:r>
              <w:rPr>
                <w:spacing w:val="1"/>
              </w:rPr>
              <w:t> </w:t>
            </w:r>
            <w:r>
              <w:rPr/>
              <w:t>(2000-2012)</w:t>
              <w:tab/>
              <w:t>110</w:t>
            </w:r>
          </w:hyperlink>
        </w:p>
        <w:p>
          <w:pPr>
            <w:pStyle w:val="TOC1"/>
            <w:numPr>
              <w:ilvl w:val="1"/>
              <w:numId w:val="9"/>
            </w:numPr>
            <w:tabs>
              <w:tab w:pos="523" w:val="left" w:leader="none"/>
              <w:tab w:pos="8930" w:val="right" w:leader="dot"/>
            </w:tabs>
            <w:spacing w:line="240" w:lineRule="auto" w:before="104" w:after="0"/>
            <w:ind w:left="522" w:right="0" w:hanging="420"/>
            <w:jc w:val="left"/>
          </w:pPr>
          <w:hyperlink w:history="true" w:anchor="_bookmark48">
            <w:r>
              <w:rPr/>
              <w:t>Mercado de trabajo</w:t>
            </w:r>
            <w:r>
              <w:rPr>
                <w:spacing w:val="-2"/>
              </w:rPr>
              <w:t> </w:t>
            </w:r>
            <w:r>
              <w:rPr/>
              <w:t>en México</w:t>
              <w:tab/>
              <w:t>111</w:t>
            </w:r>
          </w:hyperlink>
        </w:p>
        <w:p>
          <w:pPr>
            <w:pStyle w:val="TOC1"/>
            <w:numPr>
              <w:ilvl w:val="2"/>
              <w:numId w:val="9"/>
            </w:numPr>
            <w:tabs>
              <w:tab w:pos="705" w:val="left" w:leader="none"/>
              <w:tab w:pos="8930" w:val="right" w:leader="dot"/>
            </w:tabs>
            <w:spacing w:line="240" w:lineRule="auto" w:before="141" w:after="0"/>
            <w:ind w:left="704" w:right="0" w:hanging="602"/>
            <w:jc w:val="left"/>
          </w:pPr>
          <w:hyperlink w:history="true" w:anchor="_bookmark49">
            <w:r>
              <w:rPr>
                <w:spacing w:val="-3"/>
              </w:rPr>
              <w:t>La </w:t>
            </w:r>
            <w:r>
              <w:rPr/>
              <w:t>crisis y el comportamiento</w:t>
            </w:r>
            <w:r>
              <w:rPr>
                <w:spacing w:val="3"/>
              </w:rPr>
              <w:t> </w:t>
            </w:r>
            <w:r>
              <w:rPr/>
              <w:t>del</w:t>
            </w:r>
            <w:r>
              <w:rPr>
                <w:spacing w:val="-1"/>
              </w:rPr>
              <w:t> </w:t>
            </w:r>
            <w:r>
              <w:rPr/>
              <w:t>PIB</w:t>
              <w:tab/>
              <w:t>112</w:t>
            </w:r>
          </w:hyperlink>
        </w:p>
        <w:p>
          <w:pPr>
            <w:pStyle w:val="TOC1"/>
            <w:numPr>
              <w:ilvl w:val="2"/>
              <w:numId w:val="9"/>
            </w:numPr>
            <w:tabs>
              <w:tab w:pos="703" w:val="left" w:leader="none"/>
              <w:tab w:pos="8930" w:val="right" w:leader="dot"/>
            </w:tabs>
            <w:spacing w:line="240" w:lineRule="auto" w:before="141" w:after="0"/>
            <w:ind w:left="702" w:right="0" w:hanging="600"/>
            <w:jc w:val="left"/>
          </w:pPr>
          <w:hyperlink w:history="true" w:anchor="_bookmark50">
            <w:r>
              <w:rPr/>
              <w:t>Tasa</w:t>
            </w:r>
            <w:r>
              <w:rPr>
                <w:spacing w:val="-2"/>
              </w:rPr>
              <w:t> </w:t>
            </w:r>
            <w:r>
              <w:rPr/>
              <w:t>de</w:t>
            </w:r>
            <w:r>
              <w:rPr>
                <w:spacing w:val="-2"/>
              </w:rPr>
              <w:t> </w:t>
            </w:r>
            <w:r>
              <w:rPr/>
              <w:t>desempleo</w:t>
              <w:tab/>
              <w:t>113</w:t>
            </w:r>
          </w:hyperlink>
        </w:p>
        <w:p>
          <w:pPr>
            <w:pStyle w:val="TOC1"/>
            <w:numPr>
              <w:ilvl w:val="2"/>
              <w:numId w:val="9"/>
            </w:numPr>
            <w:tabs>
              <w:tab w:pos="703" w:val="left" w:leader="none"/>
              <w:tab w:pos="8930" w:val="right" w:leader="dot"/>
            </w:tabs>
            <w:spacing w:line="240" w:lineRule="auto" w:before="142" w:after="0"/>
            <w:ind w:left="702" w:right="0" w:hanging="600"/>
            <w:jc w:val="left"/>
          </w:pPr>
          <w:hyperlink w:history="true" w:anchor="_bookmark51">
            <w:r>
              <w:rPr/>
              <w:t>Tasa</w:t>
            </w:r>
            <w:r>
              <w:rPr>
                <w:spacing w:val="-1"/>
              </w:rPr>
              <w:t> </w:t>
            </w:r>
            <w:r>
              <w:rPr/>
              <w:t>de</w:t>
            </w:r>
            <w:r>
              <w:rPr>
                <w:spacing w:val="-1"/>
              </w:rPr>
              <w:t> </w:t>
            </w:r>
            <w:r>
              <w:rPr/>
              <w:t>desocupación</w:t>
              <w:tab/>
              <w:t>115</w:t>
            </w:r>
          </w:hyperlink>
        </w:p>
        <w:p>
          <w:pPr>
            <w:pStyle w:val="TOC1"/>
            <w:numPr>
              <w:ilvl w:val="2"/>
              <w:numId w:val="9"/>
            </w:numPr>
            <w:tabs>
              <w:tab w:pos="703" w:val="left" w:leader="none"/>
              <w:tab w:pos="8930" w:val="right" w:leader="dot"/>
            </w:tabs>
            <w:spacing w:line="240" w:lineRule="auto" w:before="141" w:after="0"/>
            <w:ind w:left="702" w:right="0" w:hanging="600"/>
            <w:jc w:val="left"/>
          </w:pPr>
          <w:hyperlink w:history="true" w:anchor="_bookmark52">
            <w:r>
              <w:rPr/>
              <w:t>Características del empleo</w:t>
            </w:r>
            <w:r>
              <w:rPr>
                <w:spacing w:val="1"/>
              </w:rPr>
              <w:t> </w:t>
            </w:r>
            <w:r>
              <w:rPr/>
              <w:t>para</w:t>
            </w:r>
            <w:r>
              <w:rPr>
                <w:spacing w:val="-3"/>
              </w:rPr>
              <w:t> </w:t>
            </w:r>
            <w:r>
              <w:rPr/>
              <w:t>2020</w:t>
              <w:tab/>
              <w:t>116</w:t>
            </w:r>
          </w:hyperlink>
        </w:p>
        <w:p>
          <w:pPr>
            <w:pStyle w:val="TOC1"/>
            <w:numPr>
              <w:ilvl w:val="2"/>
              <w:numId w:val="9"/>
            </w:numPr>
            <w:tabs>
              <w:tab w:pos="703" w:val="left" w:leader="none"/>
              <w:tab w:pos="8930" w:val="right" w:leader="dot"/>
            </w:tabs>
            <w:spacing w:line="240" w:lineRule="auto" w:before="141" w:after="0"/>
            <w:ind w:left="702" w:right="0" w:hanging="600"/>
            <w:jc w:val="left"/>
          </w:pPr>
          <w:hyperlink w:history="true" w:anchor="_bookmark53">
            <w:r>
              <w:rPr/>
              <w:t>Población Económicamente Activa (PEA) y</w:t>
            </w:r>
            <w:r>
              <w:rPr>
                <w:spacing w:val="-5"/>
              </w:rPr>
              <w:t> </w:t>
            </w:r>
            <w:r>
              <w:rPr/>
              <w:t>Población</w:t>
            </w:r>
            <w:r>
              <w:rPr>
                <w:spacing w:val="-2"/>
              </w:rPr>
              <w:t> </w:t>
            </w:r>
            <w:r>
              <w:rPr/>
              <w:t>Ocupada</w:t>
              <w:tab/>
              <w:t>117</w:t>
            </w:r>
          </w:hyperlink>
        </w:p>
        <w:p>
          <w:pPr>
            <w:pStyle w:val="TOC1"/>
            <w:numPr>
              <w:ilvl w:val="2"/>
              <w:numId w:val="9"/>
            </w:numPr>
            <w:tabs>
              <w:tab w:pos="703" w:val="left" w:leader="none"/>
              <w:tab w:pos="8930" w:val="right" w:leader="dot"/>
            </w:tabs>
            <w:spacing w:line="240" w:lineRule="auto" w:before="139" w:after="0"/>
            <w:ind w:left="702" w:right="0" w:hanging="600"/>
            <w:jc w:val="left"/>
          </w:pPr>
          <w:hyperlink w:history="true" w:anchor="_bookmark54">
            <w:r>
              <w:rPr/>
              <w:t>Tasa</w:t>
            </w:r>
            <w:r>
              <w:rPr>
                <w:spacing w:val="-1"/>
              </w:rPr>
              <w:t> </w:t>
            </w:r>
            <w:r>
              <w:rPr/>
              <w:t>de</w:t>
            </w:r>
            <w:r>
              <w:rPr>
                <w:spacing w:val="-1"/>
              </w:rPr>
              <w:t> </w:t>
            </w:r>
            <w:r>
              <w:rPr/>
              <w:t>desocupación</w:t>
              <w:tab/>
              <w:t>119</w:t>
            </w:r>
          </w:hyperlink>
        </w:p>
        <w:p>
          <w:pPr>
            <w:pStyle w:val="TOC1"/>
            <w:numPr>
              <w:ilvl w:val="1"/>
              <w:numId w:val="9"/>
            </w:numPr>
            <w:tabs>
              <w:tab w:pos="668" w:val="left" w:leader="none"/>
              <w:tab w:pos="669" w:val="left" w:leader="none"/>
              <w:tab w:pos="8930" w:val="right" w:leader="dot"/>
            </w:tabs>
            <w:spacing w:line="240" w:lineRule="auto" w:before="141" w:after="0"/>
            <w:ind w:left="668" w:right="0" w:hanging="566"/>
            <w:jc w:val="left"/>
          </w:pPr>
          <w:hyperlink w:history="true" w:anchor="_bookmark55">
            <w:r>
              <w:rPr/>
              <w:t>Mercado de trabajo, situación actual en el Estado</w:t>
            </w:r>
            <w:r>
              <w:rPr>
                <w:spacing w:val="-1"/>
              </w:rPr>
              <w:t> </w:t>
            </w:r>
            <w:r>
              <w:rPr/>
              <w:t>de</w:t>
            </w:r>
            <w:r>
              <w:rPr>
                <w:spacing w:val="-2"/>
              </w:rPr>
              <w:t> </w:t>
            </w:r>
            <w:r>
              <w:rPr/>
              <w:t>México</w:t>
              <w:tab/>
              <w:t>121</w:t>
            </w:r>
          </w:hyperlink>
        </w:p>
        <w:p>
          <w:pPr>
            <w:pStyle w:val="TOC1"/>
            <w:numPr>
              <w:ilvl w:val="2"/>
              <w:numId w:val="9"/>
            </w:numPr>
            <w:tabs>
              <w:tab w:pos="703" w:val="left" w:leader="none"/>
              <w:tab w:pos="8930" w:val="right" w:leader="dot"/>
            </w:tabs>
            <w:spacing w:line="240" w:lineRule="auto" w:before="141" w:after="0"/>
            <w:ind w:left="702" w:right="0" w:hanging="600"/>
            <w:jc w:val="left"/>
          </w:pPr>
          <w:hyperlink w:history="true" w:anchor="_bookmark56">
            <w:r>
              <w:rPr/>
              <w:t>Tasa de desempleo en el Estado</w:t>
            </w:r>
            <w:r>
              <w:rPr>
                <w:spacing w:val="-1"/>
              </w:rPr>
              <w:t> </w:t>
            </w:r>
            <w:r>
              <w:rPr/>
              <w:t>de</w:t>
            </w:r>
            <w:r>
              <w:rPr>
                <w:spacing w:val="-2"/>
              </w:rPr>
              <w:t> </w:t>
            </w:r>
            <w:r>
              <w:rPr/>
              <w:t>México</w:t>
              <w:tab/>
              <w:t>122</w:t>
            </w:r>
          </w:hyperlink>
        </w:p>
        <w:p>
          <w:pPr>
            <w:pStyle w:val="TOC1"/>
            <w:numPr>
              <w:ilvl w:val="2"/>
              <w:numId w:val="9"/>
            </w:numPr>
            <w:tabs>
              <w:tab w:pos="703" w:val="left" w:leader="none"/>
              <w:tab w:pos="8930" w:val="right" w:leader="dot"/>
            </w:tabs>
            <w:spacing w:line="240" w:lineRule="auto" w:before="48" w:after="0"/>
            <w:ind w:left="702" w:right="0" w:hanging="600"/>
            <w:jc w:val="left"/>
          </w:pPr>
          <w:hyperlink w:history="true" w:anchor="_bookmark57">
            <w:r>
              <w:rPr/>
              <w:t>PEA por grupo de ocupación en el Estado</w:t>
            </w:r>
            <w:r>
              <w:rPr>
                <w:spacing w:val="-2"/>
              </w:rPr>
              <w:t> </w:t>
            </w:r>
            <w:r>
              <w:rPr/>
              <w:t>de</w:t>
            </w:r>
            <w:r>
              <w:rPr>
                <w:spacing w:val="-2"/>
              </w:rPr>
              <w:t> </w:t>
            </w:r>
            <w:r>
              <w:rPr/>
              <w:t>México</w:t>
              <w:tab/>
              <w:t>122</w:t>
            </w:r>
          </w:hyperlink>
        </w:p>
        <w:p>
          <w:pPr>
            <w:pStyle w:val="TOC1"/>
            <w:tabs>
              <w:tab w:pos="8930" w:val="right" w:leader="dot"/>
            </w:tabs>
          </w:pPr>
          <w:hyperlink w:history="true" w:anchor="_bookmark58">
            <w:r>
              <w:rPr/>
              <w:t>CAPÍTULO 5 - DISEÑO DE LA INVESTIGACIÓN  Y MÉTODO</w:t>
            </w:r>
            <w:r>
              <w:rPr>
                <w:spacing w:val="-8"/>
              </w:rPr>
              <w:t> </w:t>
            </w:r>
            <w:r>
              <w:rPr/>
              <w:t>DE</w:t>
            </w:r>
            <w:r>
              <w:rPr>
                <w:spacing w:val="-3"/>
              </w:rPr>
              <w:t> </w:t>
            </w:r>
            <w:r>
              <w:rPr/>
              <w:t>TRABAJO</w:t>
              <w:tab/>
              <w:t>124</w:t>
            </w:r>
          </w:hyperlink>
        </w:p>
        <w:p>
          <w:pPr>
            <w:pStyle w:val="TOC1"/>
            <w:numPr>
              <w:ilvl w:val="1"/>
              <w:numId w:val="10"/>
            </w:numPr>
            <w:tabs>
              <w:tab w:pos="523" w:val="left" w:leader="none"/>
              <w:tab w:pos="8930" w:val="right" w:leader="dot"/>
            </w:tabs>
            <w:spacing w:line="240" w:lineRule="auto" w:before="141" w:after="0"/>
            <w:ind w:left="522" w:right="0" w:hanging="420"/>
            <w:jc w:val="left"/>
          </w:pPr>
          <w:hyperlink w:history="true" w:anchor="_bookmark59">
            <w:r>
              <w:rPr/>
              <w:t>Tipo</w:t>
            </w:r>
            <w:r>
              <w:rPr>
                <w:spacing w:val="-1"/>
              </w:rPr>
              <w:t> </w:t>
            </w:r>
            <w:r>
              <w:rPr/>
              <w:t>de</w:t>
            </w:r>
            <w:r>
              <w:rPr>
                <w:spacing w:val="-1"/>
              </w:rPr>
              <w:t> </w:t>
            </w:r>
            <w:r>
              <w:rPr/>
              <w:t>investigación</w:t>
              <w:tab/>
              <w:t>124</w:t>
            </w:r>
          </w:hyperlink>
        </w:p>
        <w:p>
          <w:pPr>
            <w:pStyle w:val="TOC1"/>
            <w:numPr>
              <w:ilvl w:val="2"/>
              <w:numId w:val="10"/>
            </w:numPr>
            <w:tabs>
              <w:tab w:pos="703" w:val="left" w:leader="none"/>
              <w:tab w:pos="8930" w:val="right" w:leader="dot"/>
            </w:tabs>
            <w:spacing w:line="240" w:lineRule="auto" w:before="141" w:after="0"/>
            <w:ind w:left="702" w:right="0" w:hanging="600"/>
            <w:jc w:val="left"/>
          </w:pPr>
          <w:hyperlink w:history="true" w:anchor="_bookmark60">
            <w:r>
              <w:rPr/>
              <w:t>Planteamiento</w:t>
            </w:r>
            <w:r>
              <w:rPr>
                <w:spacing w:val="-1"/>
              </w:rPr>
              <w:t> </w:t>
            </w:r>
            <w:r>
              <w:rPr/>
              <w:t>del</w:t>
            </w:r>
            <w:r>
              <w:rPr>
                <w:spacing w:val="-1"/>
              </w:rPr>
              <w:t> </w:t>
            </w:r>
            <w:r>
              <w:rPr/>
              <w:t>problema</w:t>
              <w:tab/>
              <w:t>124</w:t>
            </w:r>
          </w:hyperlink>
        </w:p>
        <w:p>
          <w:pPr>
            <w:pStyle w:val="TOC1"/>
            <w:numPr>
              <w:ilvl w:val="2"/>
              <w:numId w:val="10"/>
            </w:numPr>
            <w:tabs>
              <w:tab w:pos="703" w:val="left" w:leader="none"/>
              <w:tab w:pos="8930" w:val="right" w:leader="dot"/>
            </w:tabs>
            <w:spacing w:line="240" w:lineRule="auto" w:before="141" w:after="0"/>
            <w:ind w:left="702" w:right="0" w:hanging="600"/>
            <w:jc w:val="left"/>
          </w:pPr>
          <w:hyperlink w:history="true" w:anchor="_bookmark61">
            <w:r>
              <w:rPr/>
              <w:t>Justificación</w:t>
              <w:tab/>
              <w:t>124</w:t>
            </w:r>
          </w:hyperlink>
        </w:p>
        <w:p>
          <w:pPr>
            <w:pStyle w:val="TOC1"/>
            <w:numPr>
              <w:ilvl w:val="1"/>
              <w:numId w:val="11"/>
            </w:numPr>
            <w:tabs>
              <w:tab w:pos="523" w:val="left" w:leader="none"/>
              <w:tab w:pos="8930" w:val="right" w:leader="dot"/>
            </w:tabs>
            <w:spacing w:line="240" w:lineRule="auto" w:before="141" w:after="0"/>
            <w:ind w:left="522" w:right="0" w:hanging="420"/>
            <w:jc w:val="left"/>
          </w:pPr>
          <w:hyperlink w:history="true" w:anchor="_bookmark62">
            <w:r>
              <w:rPr/>
              <w:t>Diseño de</w:t>
            </w:r>
            <w:r>
              <w:rPr>
                <w:spacing w:val="-4"/>
              </w:rPr>
              <w:t> </w:t>
            </w:r>
            <w:r>
              <w:rPr/>
              <w:t>la investigación</w:t>
              <w:tab/>
              <w:t>125</w:t>
            </w:r>
          </w:hyperlink>
        </w:p>
        <w:p>
          <w:pPr>
            <w:pStyle w:val="TOC1"/>
            <w:numPr>
              <w:ilvl w:val="1"/>
              <w:numId w:val="11"/>
            </w:numPr>
            <w:tabs>
              <w:tab w:pos="583" w:val="left" w:leader="none"/>
              <w:tab w:pos="8930" w:val="right" w:leader="dot"/>
            </w:tabs>
            <w:spacing w:line="240" w:lineRule="auto" w:before="141" w:after="0"/>
            <w:ind w:left="582" w:right="0" w:hanging="480"/>
            <w:jc w:val="left"/>
          </w:pPr>
          <w:hyperlink w:history="true" w:anchor="_bookmark63">
            <w:r>
              <w:rPr/>
              <w:t>Pregunta</w:t>
            </w:r>
            <w:r>
              <w:rPr>
                <w:spacing w:val="-2"/>
              </w:rPr>
              <w:t> </w:t>
            </w:r>
            <w:r>
              <w:rPr/>
              <w:t>de</w:t>
            </w:r>
            <w:r>
              <w:rPr>
                <w:spacing w:val="-2"/>
              </w:rPr>
              <w:t> </w:t>
            </w:r>
            <w:r>
              <w:rPr/>
              <w:t>investigación</w:t>
              <w:tab/>
              <w:t>126</w:t>
            </w:r>
          </w:hyperlink>
        </w:p>
        <w:p>
          <w:pPr>
            <w:pStyle w:val="TOC1"/>
            <w:numPr>
              <w:ilvl w:val="1"/>
              <w:numId w:val="11"/>
            </w:numPr>
            <w:tabs>
              <w:tab w:pos="523" w:val="left" w:leader="none"/>
              <w:tab w:pos="8930" w:val="right" w:leader="dot"/>
            </w:tabs>
            <w:spacing w:line="240" w:lineRule="auto" w:before="141" w:after="0"/>
            <w:ind w:left="522" w:right="0" w:hanging="420"/>
            <w:jc w:val="left"/>
          </w:pPr>
          <w:hyperlink w:history="true" w:anchor="_bookmark64">
            <w:r>
              <w:rPr/>
              <w:t>Objetivos</w:t>
              <w:tab/>
              <w:t>126</w:t>
            </w:r>
          </w:hyperlink>
        </w:p>
        <w:p>
          <w:pPr>
            <w:pStyle w:val="TOC1"/>
            <w:numPr>
              <w:ilvl w:val="2"/>
              <w:numId w:val="11"/>
            </w:numPr>
            <w:tabs>
              <w:tab w:pos="703" w:val="left" w:leader="none"/>
              <w:tab w:pos="8930" w:val="right" w:leader="dot"/>
            </w:tabs>
            <w:spacing w:line="240" w:lineRule="auto" w:before="142" w:after="0"/>
            <w:ind w:left="702" w:right="0" w:hanging="600"/>
            <w:jc w:val="left"/>
          </w:pPr>
          <w:hyperlink w:history="true" w:anchor="_bookmark65">
            <w:r>
              <w:rPr/>
              <w:t>General</w:t>
              <w:tab/>
              <w:t>126</w:t>
            </w:r>
          </w:hyperlink>
        </w:p>
        <w:p>
          <w:pPr>
            <w:pStyle w:val="TOC1"/>
            <w:numPr>
              <w:ilvl w:val="2"/>
              <w:numId w:val="11"/>
            </w:numPr>
            <w:tabs>
              <w:tab w:pos="703" w:val="left" w:leader="none"/>
              <w:tab w:pos="8930" w:val="right" w:leader="dot"/>
            </w:tabs>
            <w:spacing w:line="240" w:lineRule="auto" w:before="141" w:after="0"/>
            <w:ind w:left="702" w:right="0" w:hanging="600"/>
            <w:jc w:val="left"/>
          </w:pPr>
          <w:hyperlink w:history="true" w:anchor="_bookmark66">
            <w:r>
              <w:rPr/>
              <w:t>Particulares</w:t>
              <w:tab/>
              <w:t>127</w:t>
            </w:r>
          </w:hyperlink>
        </w:p>
        <w:p>
          <w:pPr>
            <w:pStyle w:val="TOC1"/>
            <w:numPr>
              <w:ilvl w:val="1"/>
              <w:numId w:val="12"/>
            </w:numPr>
            <w:tabs>
              <w:tab w:pos="523" w:val="left" w:leader="none"/>
              <w:tab w:pos="8930" w:val="right" w:leader="dot"/>
            </w:tabs>
            <w:spacing w:line="240" w:lineRule="auto" w:before="139" w:after="0"/>
            <w:ind w:left="522" w:right="0" w:hanging="420"/>
            <w:jc w:val="left"/>
          </w:pPr>
          <w:hyperlink w:history="true" w:anchor="_bookmark67">
            <w:r>
              <w:rPr/>
              <w:t>Hipótesis</w:t>
              <w:tab/>
              <w:t>127</w:t>
            </w:r>
          </w:hyperlink>
        </w:p>
        <w:p>
          <w:pPr>
            <w:pStyle w:val="TOC1"/>
            <w:numPr>
              <w:ilvl w:val="1"/>
              <w:numId w:val="12"/>
            </w:numPr>
            <w:tabs>
              <w:tab w:pos="523" w:val="left" w:leader="none"/>
              <w:tab w:pos="8930" w:val="right" w:leader="dot"/>
            </w:tabs>
            <w:spacing w:line="240" w:lineRule="auto" w:before="141" w:after="0"/>
            <w:ind w:left="522" w:right="0" w:hanging="420"/>
            <w:jc w:val="left"/>
          </w:pPr>
          <w:hyperlink w:history="true" w:anchor="_bookmark68">
            <w:r>
              <w:rPr/>
              <w:t>Variables</w:t>
              <w:tab/>
              <w:t>127</w:t>
            </w:r>
          </w:hyperlink>
        </w:p>
        <w:p>
          <w:pPr>
            <w:pStyle w:val="TOC1"/>
            <w:numPr>
              <w:ilvl w:val="1"/>
              <w:numId w:val="12"/>
            </w:numPr>
            <w:tabs>
              <w:tab w:pos="523" w:val="left" w:leader="none"/>
              <w:tab w:pos="8930" w:val="right" w:leader="dot"/>
            </w:tabs>
            <w:spacing w:line="240" w:lineRule="auto" w:before="141" w:after="0"/>
            <w:ind w:left="522" w:right="0" w:hanging="420"/>
            <w:jc w:val="left"/>
          </w:pPr>
          <w:hyperlink w:history="true" w:anchor="_bookmark69">
            <w:r>
              <w:rPr/>
              <w:t>Población</w:t>
            </w:r>
            <w:r>
              <w:rPr>
                <w:spacing w:val="2"/>
              </w:rPr>
              <w:t> </w:t>
            </w:r>
            <w:r>
              <w:rPr/>
              <w:t>y</w:t>
            </w:r>
            <w:r>
              <w:rPr>
                <w:spacing w:val="-5"/>
              </w:rPr>
              <w:t> </w:t>
            </w:r>
            <w:r>
              <w:rPr/>
              <w:t>muestra</w:t>
              <w:tab/>
              <w:t>128</w:t>
            </w:r>
          </w:hyperlink>
        </w:p>
        <w:p>
          <w:pPr>
            <w:pStyle w:val="TOC1"/>
            <w:numPr>
              <w:ilvl w:val="1"/>
              <w:numId w:val="12"/>
            </w:numPr>
            <w:tabs>
              <w:tab w:pos="525" w:val="left" w:leader="none"/>
              <w:tab w:pos="8930" w:val="right" w:leader="dot"/>
            </w:tabs>
            <w:spacing w:line="240" w:lineRule="auto" w:before="141" w:after="0"/>
            <w:ind w:left="524" w:right="0" w:hanging="422"/>
            <w:jc w:val="left"/>
          </w:pPr>
          <w:hyperlink w:history="true" w:anchor="_bookmark70">
            <w:r>
              <w:rPr/>
              <w:t>Instrumento de</w:t>
            </w:r>
            <w:r>
              <w:rPr>
                <w:spacing w:val="-1"/>
              </w:rPr>
              <w:t> </w:t>
            </w:r>
            <w:r>
              <w:rPr/>
              <w:t>medición-</w:t>
            </w:r>
            <w:r>
              <w:rPr>
                <w:spacing w:val="-2"/>
              </w:rPr>
              <w:t> </w:t>
            </w:r>
            <w:r>
              <w:rPr/>
              <w:t>cuestionario</w:t>
              <w:tab/>
              <w:t>130</w:t>
            </w:r>
          </w:hyperlink>
        </w:p>
        <w:p>
          <w:pPr>
            <w:pStyle w:val="TOC1"/>
            <w:numPr>
              <w:ilvl w:val="1"/>
              <w:numId w:val="12"/>
            </w:numPr>
            <w:tabs>
              <w:tab w:pos="523" w:val="left" w:leader="none"/>
              <w:tab w:pos="8930" w:val="right" w:leader="dot"/>
            </w:tabs>
            <w:spacing w:line="240" w:lineRule="auto" w:before="141" w:after="0"/>
            <w:ind w:left="522" w:right="0" w:hanging="420"/>
            <w:jc w:val="left"/>
          </w:pPr>
          <w:hyperlink w:history="true" w:anchor="_bookmark71">
            <w:r>
              <w:rPr/>
              <w:t>Validez y confiabilidad</w:t>
            </w:r>
            <w:r>
              <w:rPr>
                <w:spacing w:val="-4"/>
              </w:rPr>
              <w:t> </w:t>
            </w:r>
            <w:r>
              <w:rPr/>
              <w:t>del</w:t>
            </w:r>
            <w:r>
              <w:rPr>
                <w:spacing w:val="-1"/>
              </w:rPr>
              <w:t> </w:t>
            </w:r>
            <w:r>
              <w:rPr/>
              <w:t>instrumento</w:t>
              <w:tab/>
              <w:t>133</w:t>
            </w:r>
          </w:hyperlink>
        </w:p>
        <w:p>
          <w:pPr>
            <w:pStyle w:val="TOC1"/>
            <w:tabs>
              <w:tab w:pos="8930" w:val="right" w:leader="dot"/>
            </w:tabs>
          </w:pPr>
          <w:hyperlink w:history="true" w:anchor="_bookmark72">
            <w:r>
              <w:rPr/>
              <w:t>CAPÍTULO 6 - ANÁLISIS DE</w:t>
            </w:r>
            <w:r>
              <w:rPr>
                <w:spacing w:val="58"/>
              </w:rPr>
              <w:t> </w:t>
            </w:r>
            <w:r>
              <w:rPr/>
              <w:t>RESULTADOS</w:t>
              <w:tab/>
              <w:t>137</w:t>
            </w:r>
          </w:hyperlink>
        </w:p>
        <w:p>
          <w:pPr>
            <w:pStyle w:val="TOC1"/>
            <w:numPr>
              <w:ilvl w:val="1"/>
              <w:numId w:val="13"/>
            </w:numPr>
            <w:tabs>
              <w:tab w:pos="668" w:val="left" w:leader="none"/>
              <w:tab w:pos="669" w:val="left" w:leader="none"/>
              <w:tab w:pos="8930" w:val="right" w:leader="dot"/>
            </w:tabs>
            <w:spacing w:line="240" w:lineRule="auto" w:before="142" w:after="0"/>
            <w:ind w:left="668" w:right="0" w:hanging="566"/>
            <w:jc w:val="left"/>
          </w:pPr>
          <w:hyperlink w:history="true" w:anchor="_bookmark73">
            <w:r>
              <w:rPr/>
              <w:t>Caracterización de</w:t>
            </w:r>
            <w:r>
              <w:rPr>
                <w:spacing w:val="-2"/>
              </w:rPr>
              <w:t> </w:t>
            </w:r>
            <w:r>
              <w:rPr/>
              <w:t>la</w:t>
            </w:r>
            <w:r>
              <w:rPr>
                <w:spacing w:val="-2"/>
              </w:rPr>
              <w:t> </w:t>
            </w:r>
            <w:r>
              <w:rPr/>
              <w:t>muestra</w:t>
              <w:tab/>
              <w:t>137</w:t>
            </w:r>
          </w:hyperlink>
        </w:p>
        <w:p>
          <w:pPr>
            <w:pStyle w:val="TOC1"/>
            <w:numPr>
              <w:ilvl w:val="1"/>
              <w:numId w:val="13"/>
            </w:numPr>
            <w:tabs>
              <w:tab w:pos="523" w:val="left" w:leader="none"/>
              <w:tab w:pos="8930" w:val="right" w:leader="dot"/>
            </w:tabs>
            <w:spacing w:line="240" w:lineRule="auto" w:before="141" w:after="0"/>
            <w:ind w:left="522" w:right="0" w:hanging="420"/>
            <w:jc w:val="left"/>
          </w:pPr>
          <w:hyperlink w:history="true" w:anchor="_bookmark74">
            <w:r>
              <w:rPr/>
              <w:t>Asertividad de</w:t>
            </w:r>
            <w:r>
              <w:rPr>
                <w:spacing w:val="-2"/>
              </w:rPr>
              <w:t> </w:t>
            </w:r>
            <w:r>
              <w:rPr/>
              <w:t>la transición</w:t>
              <w:tab/>
              <w:t>138</w:t>
            </w:r>
          </w:hyperlink>
        </w:p>
        <w:p>
          <w:pPr>
            <w:pStyle w:val="TOC1"/>
            <w:numPr>
              <w:ilvl w:val="1"/>
              <w:numId w:val="13"/>
            </w:numPr>
            <w:tabs>
              <w:tab w:pos="523" w:val="left" w:leader="none"/>
              <w:tab w:pos="8930" w:val="right" w:leader="dot"/>
            </w:tabs>
            <w:spacing w:line="240" w:lineRule="auto" w:before="141" w:after="0"/>
            <w:ind w:left="522" w:right="0" w:hanging="420"/>
            <w:jc w:val="left"/>
          </w:pPr>
          <w:hyperlink w:history="true" w:anchor="_bookmark75">
            <w:r>
              <w:rPr/>
              <w:t>Calidad de</w:t>
            </w:r>
            <w:r>
              <w:rPr>
                <w:spacing w:val="-2"/>
              </w:rPr>
              <w:t> </w:t>
            </w:r>
            <w:r>
              <w:rPr/>
              <w:t>la</w:t>
            </w:r>
            <w:r>
              <w:rPr>
                <w:spacing w:val="-1"/>
              </w:rPr>
              <w:t> </w:t>
            </w:r>
            <w:r>
              <w:rPr/>
              <w:t>transición</w:t>
              <w:tab/>
              <w:t>146</w:t>
            </w:r>
          </w:hyperlink>
        </w:p>
        <w:p>
          <w:pPr>
            <w:pStyle w:val="TOC1"/>
            <w:numPr>
              <w:ilvl w:val="1"/>
              <w:numId w:val="13"/>
            </w:numPr>
            <w:tabs>
              <w:tab w:pos="523" w:val="left" w:leader="none"/>
              <w:tab w:pos="8930" w:val="right" w:leader="dot"/>
            </w:tabs>
            <w:spacing w:line="240" w:lineRule="auto" w:before="141" w:after="0"/>
            <w:ind w:left="522" w:right="0" w:hanging="420"/>
            <w:jc w:val="left"/>
          </w:pPr>
          <w:hyperlink w:history="true" w:anchor="_bookmark76">
            <w:r>
              <w:rPr/>
              <w:t>Consolidación de</w:t>
            </w:r>
            <w:r>
              <w:rPr>
                <w:spacing w:val="-2"/>
              </w:rPr>
              <w:t> </w:t>
            </w:r>
            <w:r>
              <w:rPr/>
              <w:t>la</w:t>
            </w:r>
            <w:r>
              <w:rPr>
                <w:spacing w:val="-2"/>
              </w:rPr>
              <w:t> </w:t>
            </w:r>
            <w:r>
              <w:rPr/>
              <w:t>transición</w:t>
              <w:tab/>
              <w:t>156</w:t>
            </w:r>
          </w:hyperlink>
        </w:p>
        <w:p>
          <w:pPr>
            <w:pStyle w:val="TOC1"/>
            <w:numPr>
              <w:ilvl w:val="1"/>
              <w:numId w:val="13"/>
            </w:numPr>
            <w:tabs>
              <w:tab w:pos="523" w:val="left" w:leader="none"/>
              <w:tab w:pos="8930" w:val="right" w:leader="dot"/>
            </w:tabs>
            <w:spacing w:line="240" w:lineRule="auto" w:before="141" w:after="0"/>
            <w:ind w:left="522" w:right="0" w:hanging="420"/>
            <w:jc w:val="left"/>
          </w:pPr>
          <w:hyperlink w:history="true" w:anchor="_bookmark77">
            <w:r>
              <w:rPr/>
              <w:t>Trabajo</w:t>
            </w:r>
            <w:r>
              <w:rPr>
                <w:spacing w:val="-1"/>
              </w:rPr>
              <w:t> </w:t>
            </w:r>
            <w:r>
              <w:rPr/>
              <w:t>actual</w:t>
              <w:tab/>
              <w:t>157</w:t>
            </w:r>
          </w:hyperlink>
        </w:p>
        <w:p>
          <w:pPr>
            <w:pStyle w:val="TOC1"/>
            <w:tabs>
              <w:tab w:pos="8930" w:val="right" w:leader="dot"/>
            </w:tabs>
            <w:spacing w:before="139"/>
          </w:pPr>
          <w:hyperlink w:history="true" w:anchor="_bookmark78">
            <w:r>
              <w:rPr/>
              <w:t>UNIDAD 7 - REDES</w:t>
            </w:r>
            <w:r>
              <w:rPr>
                <w:spacing w:val="-1"/>
              </w:rPr>
              <w:t> </w:t>
            </w:r>
            <w:r>
              <w:rPr/>
              <w:t>SOCIALES</w:t>
              <w:tab/>
              <w:t>166</w:t>
            </w:r>
          </w:hyperlink>
        </w:p>
        <w:p>
          <w:pPr>
            <w:pStyle w:val="TOC1"/>
            <w:numPr>
              <w:ilvl w:val="1"/>
              <w:numId w:val="14"/>
            </w:numPr>
            <w:tabs>
              <w:tab w:pos="668" w:val="left" w:leader="none"/>
              <w:tab w:pos="669" w:val="left" w:leader="none"/>
              <w:tab w:pos="8930" w:val="right" w:leader="dot"/>
            </w:tabs>
            <w:spacing w:line="240" w:lineRule="auto" w:before="141" w:after="0"/>
            <w:ind w:left="668" w:right="0" w:hanging="566"/>
            <w:jc w:val="left"/>
          </w:pPr>
          <w:hyperlink w:history="true" w:anchor="_bookmark79">
            <w:r>
              <w:rPr/>
              <w:t>Teoría de las</w:t>
            </w:r>
            <w:r>
              <w:rPr>
                <w:spacing w:val="-4"/>
              </w:rPr>
              <w:t> </w:t>
            </w:r>
            <w:r>
              <w:rPr/>
              <w:t>redes</w:t>
            </w:r>
            <w:r>
              <w:rPr>
                <w:spacing w:val="-1"/>
              </w:rPr>
              <w:t> </w:t>
            </w:r>
            <w:r>
              <w:rPr/>
              <w:t>sociales</w:t>
              <w:tab/>
              <w:t>167</w:t>
            </w:r>
          </w:hyperlink>
        </w:p>
        <w:p>
          <w:pPr>
            <w:pStyle w:val="TOC1"/>
            <w:numPr>
              <w:ilvl w:val="2"/>
              <w:numId w:val="14"/>
            </w:numPr>
            <w:tabs>
              <w:tab w:pos="669" w:val="left" w:leader="none"/>
              <w:tab w:pos="8930" w:val="right" w:leader="dot"/>
            </w:tabs>
            <w:spacing w:line="240" w:lineRule="auto" w:before="141" w:after="0"/>
            <w:ind w:left="668" w:right="0" w:hanging="566"/>
            <w:jc w:val="left"/>
          </w:pPr>
          <w:hyperlink w:history="true" w:anchor="_bookmark80">
            <w:r>
              <w:rPr/>
              <w:t>Análisis de</w:t>
            </w:r>
            <w:r>
              <w:rPr>
                <w:spacing w:val="-2"/>
              </w:rPr>
              <w:t> </w:t>
            </w:r>
            <w:r>
              <w:rPr/>
              <w:t>Redes</w:t>
            </w:r>
            <w:r>
              <w:rPr>
                <w:spacing w:val="-1"/>
              </w:rPr>
              <w:t> </w:t>
            </w:r>
            <w:r>
              <w:rPr/>
              <w:t>Sociales</w:t>
              <w:tab/>
              <w:t>167</w:t>
            </w:r>
          </w:hyperlink>
        </w:p>
        <w:p>
          <w:pPr>
            <w:pStyle w:val="TOC1"/>
            <w:numPr>
              <w:ilvl w:val="2"/>
              <w:numId w:val="14"/>
            </w:numPr>
            <w:tabs>
              <w:tab w:pos="669" w:val="left" w:leader="none"/>
              <w:tab w:pos="8930" w:val="right" w:leader="dot"/>
            </w:tabs>
            <w:spacing w:line="240" w:lineRule="auto" w:before="141" w:after="0"/>
            <w:ind w:left="668" w:right="0" w:hanging="566"/>
            <w:jc w:val="left"/>
          </w:pPr>
          <w:hyperlink w:history="true" w:anchor="_bookmark81">
            <w:r>
              <w:rPr/>
              <w:t>Modelo matemático de las</w:t>
            </w:r>
            <w:r>
              <w:rPr>
                <w:spacing w:val="-2"/>
              </w:rPr>
              <w:t> </w:t>
            </w:r>
            <w:r>
              <w:rPr/>
              <w:t>redes</w:t>
            </w:r>
            <w:r>
              <w:rPr>
                <w:spacing w:val="-1"/>
              </w:rPr>
              <w:t> </w:t>
            </w:r>
            <w:r>
              <w:rPr/>
              <w:t>sociales</w:t>
              <w:tab/>
              <w:t>168</w:t>
            </w:r>
          </w:hyperlink>
        </w:p>
        <w:p>
          <w:pPr>
            <w:pStyle w:val="TOC1"/>
            <w:numPr>
              <w:ilvl w:val="2"/>
              <w:numId w:val="14"/>
            </w:numPr>
            <w:tabs>
              <w:tab w:pos="669" w:val="left" w:leader="none"/>
              <w:tab w:pos="8930" w:val="right" w:leader="dot"/>
            </w:tabs>
            <w:spacing w:line="240" w:lineRule="auto" w:before="142" w:after="0"/>
            <w:ind w:left="668" w:right="0" w:hanging="566"/>
            <w:jc w:val="left"/>
          </w:pPr>
          <w:hyperlink w:history="true" w:anchor="_bookmark82">
            <w:r>
              <w:rPr/>
              <w:t>Propiedades de la</w:t>
            </w:r>
            <w:r>
              <w:rPr>
                <w:spacing w:val="-1"/>
              </w:rPr>
              <w:t> </w:t>
            </w:r>
            <w:r>
              <w:rPr/>
              <w:t>red</w:t>
            </w:r>
            <w:r>
              <w:rPr>
                <w:spacing w:val="-1"/>
              </w:rPr>
              <w:t> </w:t>
            </w:r>
            <w:r>
              <w:rPr/>
              <w:t>social</w:t>
              <w:tab/>
              <w:t>169</w:t>
            </w:r>
          </w:hyperlink>
        </w:p>
        <w:p>
          <w:pPr>
            <w:pStyle w:val="TOC1"/>
            <w:numPr>
              <w:ilvl w:val="1"/>
              <w:numId w:val="14"/>
            </w:numPr>
            <w:tabs>
              <w:tab w:pos="668" w:val="left" w:leader="none"/>
              <w:tab w:pos="669" w:val="left" w:leader="none"/>
              <w:tab w:pos="8930" w:val="right" w:leader="dot"/>
            </w:tabs>
            <w:spacing w:line="240" w:lineRule="auto" w:before="141" w:after="0"/>
            <w:ind w:left="668" w:right="0" w:hanging="566"/>
            <w:jc w:val="left"/>
          </w:pPr>
          <w:hyperlink w:history="true" w:anchor="_bookmark83">
            <w:r>
              <w:rPr/>
              <w:t>Análisis de resultados</w:t>
            </w:r>
            <w:r>
              <w:rPr>
                <w:spacing w:val="-2"/>
              </w:rPr>
              <w:t> </w:t>
            </w:r>
            <w:r>
              <w:rPr/>
              <w:t>redes</w:t>
            </w:r>
            <w:r>
              <w:rPr>
                <w:spacing w:val="-1"/>
              </w:rPr>
              <w:t> </w:t>
            </w:r>
            <w:r>
              <w:rPr/>
              <w:t>sociales</w:t>
              <w:tab/>
              <w:t>170</w:t>
            </w:r>
          </w:hyperlink>
        </w:p>
        <w:p>
          <w:pPr>
            <w:pStyle w:val="TOC1"/>
            <w:tabs>
              <w:tab w:pos="8930" w:val="right" w:leader="dot"/>
            </w:tabs>
          </w:pPr>
          <w:hyperlink w:history="true" w:anchor="_bookmark84">
            <w:r>
              <w:rPr/>
              <w:t>CAPÍTULO 8 - ÍNDICE DE CALIDAD</w:t>
            </w:r>
            <w:r>
              <w:rPr>
                <w:spacing w:val="2"/>
              </w:rPr>
              <w:t> </w:t>
            </w:r>
            <w:r>
              <w:rPr/>
              <w:t>DE</w:t>
            </w:r>
            <w:r>
              <w:rPr>
                <w:spacing w:val="-2"/>
              </w:rPr>
              <w:t> </w:t>
            </w:r>
            <w:r>
              <w:rPr/>
              <w:t>EMPLEO</w:t>
              <w:tab/>
              <w:t>183</w:t>
            </w:r>
          </w:hyperlink>
        </w:p>
        <w:p>
          <w:pPr>
            <w:pStyle w:val="TOC1"/>
            <w:numPr>
              <w:ilvl w:val="1"/>
              <w:numId w:val="15"/>
            </w:numPr>
            <w:tabs>
              <w:tab w:pos="523" w:val="left" w:leader="none"/>
              <w:tab w:pos="8930" w:val="right" w:leader="dot"/>
            </w:tabs>
            <w:spacing w:line="240" w:lineRule="auto" w:before="141" w:after="0"/>
            <w:ind w:left="522" w:right="0" w:hanging="420"/>
            <w:jc w:val="left"/>
          </w:pPr>
          <w:hyperlink w:history="true" w:anchor="_bookmark85">
            <w:r>
              <w:rPr/>
              <w:t>Revisión de índices sobre</w:t>
            </w:r>
            <w:r>
              <w:rPr>
                <w:spacing w:val="-4"/>
              </w:rPr>
              <w:t> </w:t>
            </w:r>
            <w:r>
              <w:rPr/>
              <w:t>empleo</w:t>
            </w:r>
            <w:r>
              <w:rPr>
                <w:spacing w:val="-1"/>
              </w:rPr>
              <w:t> </w:t>
            </w:r>
            <w:r>
              <w:rPr/>
              <w:t>existentes</w:t>
              <w:tab/>
              <w:t>184</w:t>
            </w:r>
          </w:hyperlink>
        </w:p>
        <w:p>
          <w:pPr>
            <w:pStyle w:val="TOC1"/>
            <w:numPr>
              <w:ilvl w:val="1"/>
              <w:numId w:val="15"/>
            </w:numPr>
            <w:tabs>
              <w:tab w:pos="523" w:val="left" w:leader="none"/>
              <w:tab w:pos="8930" w:val="right" w:leader="dot"/>
            </w:tabs>
            <w:spacing w:line="240" w:lineRule="auto" w:before="141" w:after="0"/>
            <w:ind w:left="522" w:right="0" w:hanging="420"/>
            <w:jc w:val="left"/>
          </w:pPr>
          <w:hyperlink w:history="true" w:anchor="_bookmark86">
            <w:r>
              <w:rPr/>
              <w:t>Construcción del Índice de Calidad del</w:t>
            </w:r>
            <w:r>
              <w:rPr>
                <w:spacing w:val="-4"/>
              </w:rPr>
              <w:t> </w:t>
            </w:r>
            <w:r>
              <w:rPr/>
              <w:t>Empleo</w:t>
            </w:r>
            <w:r>
              <w:rPr>
                <w:spacing w:val="-1"/>
              </w:rPr>
              <w:t> </w:t>
            </w:r>
            <w:r>
              <w:rPr/>
              <w:t>(ICE)</w:t>
              <w:tab/>
              <w:t>186</w:t>
            </w:r>
          </w:hyperlink>
        </w:p>
        <w:p>
          <w:pPr>
            <w:pStyle w:val="TOC1"/>
            <w:numPr>
              <w:ilvl w:val="2"/>
              <w:numId w:val="15"/>
            </w:numPr>
            <w:tabs>
              <w:tab w:pos="703" w:val="left" w:leader="none"/>
              <w:tab w:pos="8930" w:val="right" w:leader="dot"/>
            </w:tabs>
            <w:spacing w:line="240" w:lineRule="auto" w:before="48" w:after="0"/>
            <w:ind w:left="702" w:right="0" w:hanging="600"/>
            <w:jc w:val="left"/>
          </w:pPr>
          <w:hyperlink w:history="true" w:anchor="_bookmark87">
            <w:r>
              <w:rPr/>
              <w:t>Componentes</w:t>
            </w:r>
            <w:r>
              <w:rPr>
                <w:spacing w:val="-1"/>
              </w:rPr>
              <w:t> </w:t>
            </w:r>
            <w:r>
              <w:rPr/>
              <w:t>del</w:t>
            </w:r>
            <w:r>
              <w:rPr>
                <w:spacing w:val="59"/>
              </w:rPr>
              <w:t> </w:t>
            </w:r>
            <w:r>
              <w:rPr/>
              <w:t>ICE</w:t>
              <w:tab/>
              <w:t>188</w:t>
            </w:r>
          </w:hyperlink>
        </w:p>
        <w:p>
          <w:pPr>
            <w:pStyle w:val="TOC1"/>
            <w:numPr>
              <w:ilvl w:val="2"/>
              <w:numId w:val="15"/>
            </w:numPr>
            <w:tabs>
              <w:tab w:pos="703" w:val="left" w:leader="none"/>
              <w:tab w:pos="8930" w:val="right" w:leader="dot"/>
            </w:tabs>
            <w:spacing w:line="240" w:lineRule="auto" w:before="141" w:after="0"/>
            <w:ind w:left="702" w:right="0" w:hanging="600"/>
            <w:jc w:val="left"/>
          </w:pPr>
          <w:hyperlink w:history="true" w:anchor="_bookmark88">
            <w:r>
              <w:rPr/>
              <w:t>Agregación</w:t>
            </w:r>
            <w:r>
              <w:rPr>
                <w:spacing w:val="-2"/>
              </w:rPr>
              <w:t> </w:t>
            </w:r>
            <w:r>
              <w:rPr/>
              <w:t>del </w:t>
            </w:r>
            <w:r>
              <w:rPr>
                <w:spacing w:val="1"/>
              </w:rPr>
              <w:t> </w:t>
            </w:r>
            <w:r>
              <w:rPr/>
              <w:t>ICE</w:t>
              <w:tab/>
              <w:t>189</w:t>
            </w:r>
          </w:hyperlink>
        </w:p>
        <w:p>
          <w:pPr>
            <w:pStyle w:val="TOC1"/>
            <w:tabs>
              <w:tab w:pos="8930" w:val="right" w:leader="dot"/>
            </w:tabs>
          </w:pPr>
          <w:hyperlink w:history="true" w:anchor="_bookmark89">
            <w:r>
              <w:rPr/>
              <w:t>CONCLUSIONES</w:t>
            </w:r>
            <w:r>
              <w:rPr>
                <w:spacing w:val="-1"/>
              </w:rPr>
              <w:t> </w:t>
            </w:r>
            <w:r>
              <w:rPr/>
              <w:t>GENERALES</w:t>
              <w:tab/>
              <w:t>195</w:t>
            </w:r>
          </w:hyperlink>
        </w:p>
        <w:p>
          <w:pPr>
            <w:pStyle w:val="TOC1"/>
            <w:tabs>
              <w:tab w:pos="8930" w:val="right" w:leader="dot"/>
            </w:tabs>
          </w:pPr>
          <w:hyperlink w:history="true" w:anchor="_bookmark90">
            <w:r>
              <w:rPr/>
              <w:t>FUTURAS LÍNEAS</w:t>
            </w:r>
            <w:r>
              <w:rPr>
                <w:spacing w:val="1"/>
              </w:rPr>
              <w:t> </w:t>
            </w:r>
            <w:r>
              <w:rPr/>
              <w:t>DE INVESTIGACIÓN</w:t>
              <w:tab/>
              <w:t>200</w:t>
            </w:r>
          </w:hyperlink>
        </w:p>
        <w:p>
          <w:pPr>
            <w:pStyle w:val="TOC1"/>
            <w:tabs>
              <w:tab w:pos="8930" w:val="right" w:leader="dot"/>
            </w:tabs>
          </w:pPr>
          <w:hyperlink w:history="true" w:anchor="_bookmark91">
            <w:r>
              <w:rPr/>
              <w:t>BIBLIOGRAFÍA</w:t>
              <w:tab/>
              <w:t>201</w:t>
            </w:r>
          </w:hyperlink>
        </w:p>
        <w:p>
          <w:pPr>
            <w:pStyle w:val="TOC1"/>
            <w:tabs>
              <w:tab w:pos="8930" w:val="right" w:leader="dot"/>
            </w:tabs>
          </w:pPr>
          <w:hyperlink w:history="true" w:anchor="_bookmark92">
            <w:r>
              <w:rPr/>
              <w:t>REFERENCIAS</w:t>
            </w:r>
            <w:r>
              <w:rPr>
                <w:spacing w:val="-1"/>
              </w:rPr>
              <w:t> </w:t>
            </w:r>
            <w:r>
              <w:rPr/>
              <w:t>EN</w:t>
            </w:r>
            <w:r>
              <w:rPr>
                <w:spacing w:val="1"/>
              </w:rPr>
              <w:t> </w:t>
            </w:r>
            <w:r>
              <w:rPr/>
              <w:t>LÍNEA</w:t>
              <w:tab/>
              <w:t>213</w:t>
            </w:r>
          </w:hyperlink>
        </w:p>
        <w:p>
          <w:pPr>
            <w:pStyle w:val="TOC1"/>
            <w:tabs>
              <w:tab w:pos="8930" w:val="right" w:leader="dot"/>
            </w:tabs>
          </w:pPr>
          <w:hyperlink w:history="true" w:anchor="_bookmark93">
            <w:r>
              <w:rPr/>
              <w:t>Anexo 1</w:t>
              <w:tab/>
              <w:t>219</w:t>
            </w:r>
          </w:hyperlink>
        </w:p>
        <w:p>
          <w:pPr>
            <w:pStyle w:val="TOC1"/>
            <w:tabs>
              <w:tab w:pos="8930" w:val="right" w:leader="dot"/>
            </w:tabs>
          </w:pPr>
          <w:hyperlink w:history="true" w:anchor="_bookmark94">
            <w:r>
              <w:rPr/>
              <w:t>Anexo 2</w:t>
              <w:tab/>
              <w:t>222</w:t>
            </w:r>
          </w:hyperlink>
        </w:p>
        <w:p>
          <w:pPr>
            <w:pStyle w:val="TOC1"/>
            <w:tabs>
              <w:tab w:pos="8930" w:val="right" w:leader="dot"/>
            </w:tabs>
            <w:spacing w:before="142"/>
          </w:pPr>
          <w:hyperlink w:history="true" w:anchor="_bookmark95">
            <w:r>
              <w:rPr/>
              <w:t>Anexo 3</w:t>
              <w:tab/>
              <w:t>226</w:t>
            </w:r>
          </w:hyperlink>
        </w:p>
        <w:p>
          <w:pPr>
            <w:pStyle w:val="TOC1"/>
            <w:tabs>
              <w:tab w:pos="8930" w:val="right" w:leader="dot"/>
            </w:tabs>
          </w:pPr>
          <w:hyperlink w:history="true" w:anchor="_bookmark96">
            <w:r>
              <w:rPr/>
              <w:t>Anexo 4</w:t>
              <w:tab/>
              <w:t>231</w:t>
            </w:r>
          </w:hyperlink>
        </w:p>
      </w:sdtContent>
    </w:sdt>
    <w:p>
      <w:pPr>
        <w:spacing w:after="0"/>
        <w:sectPr>
          <w:type w:val="continuous"/>
          <w:pgSz w:w="12240" w:h="15840"/>
          <w:pgMar w:top="1360" w:bottom="1812" w:left="1600" w:right="1580"/>
        </w:sectPr>
      </w:pPr>
    </w:p>
    <w:p>
      <w:pPr>
        <w:pStyle w:val="Heading3"/>
        <w:spacing w:before="194"/>
        <w:ind w:right="14"/>
        <w:jc w:val="center"/>
      </w:pPr>
      <w:bookmarkStart w:name="_bookmark0" w:id="1"/>
      <w:bookmarkEnd w:id="1"/>
      <w:r>
        <w:rPr>
          <w:b w:val="0"/>
        </w:rPr>
      </w:r>
      <w:r>
        <w:rPr/>
        <w:t>ÍNDICE DE TABLAS</w:t>
      </w:r>
    </w:p>
    <w:p>
      <w:pPr>
        <w:pStyle w:val="BodyText"/>
        <w:rPr>
          <w:b/>
        </w:rPr>
      </w:pPr>
    </w:p>
    <w:p>
      <w:pPr>
        <w:pStyle w:val="BodyText"/>
        <w:spacing w:before="4"/>
        <w:rPr>
          <w:b/>
          <w:sz w:val="23"/>
        </w:rPr>
      </w:pPr>
    </w:p>
    <w:p>
      <w:pPr>
        <w:pStyle w:val="ListParagraph"/>
        <w:numPr>
          <w:ilvl w:val="1"/>
          <w:numId w:val="16"/>
        </w:numPr>
        <w:tabs>
          <w:tab w:pos="668" w:val="left" w:leader="none"/>
          <w:tab w:pos="669" w:val="left" w:leader="none"/>
          <w:tab w:pos="8810" w:val="left" w:leader="dot"/>
        </w:tabs>
        <w:spacing w:line="240" w:lineRule="auto" w:before="0" w:after="0"/>
        <w:ind w:left="668" w:right="0" w:hanging="566"/>
        <w:jc w:val="left"/>
        <w:rPr>
          <w:sz w:val="24"/>
        </w:rPr>
      </w:pPr>
      <w:r>
        <w:rPr>
          <w:sz w:val="24"/>
        </w:rPr>
        <w:t>Principales criterios para la clasificación</w:t>
      </w:r>
      <w:r>
        <w:rPr>
          <w:spacing w:val="-6"/>
          <w:sz w:val="24"/>
        </w:rPr>
        <w:t> </w:t>
      </w:r>
      <w:r>
        <w:rPr>
          <w:sz w:val="24"/>
        </w:rPr>
        <w:t>de</w:t>
      </w:r>
      <w:r>
        <w:rPr>
          <w:spacing w:val="-1"/>
          <w:sz w:val="24"/>
        </w:rPr>
        <w:t> </w:t>
      </w:r>
      <w:r>
        <w:rPr>
          <w:sz w:val="24"/>
        </w:rPr>
        <w:t>mercados</w:t>
        <w:tab/>
        <w:t>9</w:t>
      </w:r>
    </w:p>
    <w:p>
      <w:pPr>
        <w:pStyle w:val="ListParagraph"/>
        <w:numPr>
          <w:ilvl w:val="1"/>
          <w:numId w:val="16"/>
        </w:numPr>
        <w:tabs>
          <w:tab w:pos="668" w:val="left" w:leader="none"/>
          <w:tab w:pos="669" w:val="left" w:leader="none"/>
          <w:tab w:pos="8690" w:val="left" w:leader="dot"/>
        </w:tabs>
        <w:spacing w:line="240" w:lineRule="auto" w:before="141" w:after="0"/>
        <w:ind w:left="668" w:right="0" w:hanging="566"/>
        <w:jc w:val="left"/>
        <w:rPr>
          <w:sz w:val="24"/>
        </w:rPr>
      </w:pPr>
      <w:r>
        <w:rPr>
          <w:sz w:val="24"/>
        </w:rPr>
        <w:t>Características del sector primario y secundario,</w:t>
      </w:r>
      <w:r>
        <w:rPr>
          <w:spacing w:val="-8"/>
          <w:sz w:val="24"/>
        </w:rPr>
        <w:t> </w:t>
      </w:r>
      <w:r>
        <w:rPr>
          <w:sz w:val="24"/>
        </w:rPr>
        <w:t>mercado</w:t>
      </w:r>
      <w:r>
        <w:rPr>
          <w:spacing w:val="-1"/>
          <w:sz w:val="24"/>
        </w:rPr>
        <w:t> </w:t>
      </w:r>
      <w:r>
        <w:rPr>
          <w:sz w:val="24"/>
        </w:rPr>
        <w:t>dual.</w:t>
        <w:tab/>
        <w:t>24</w:t>
      </w:r>
    </w:p>
    <w:p>
      <w:pPr>
        <w:pStyle w:val="ListParagraph"/>
        <w:numPr>
          <w:ilvl w:val="1"/>
          <w:numId w:val="16"/>
        </w:numPr>
        <w:tabs>
          <w:tab w:pos="668" w:val="left" w:leader="none"/>
          <w:tab w:pos="669" w:val="left" w:leader="none"/>
          <w:tab w:pos="8690" w:val="left" w:leader="dot"/>
        </w:tabs>
        <w:spacing w:line="240" w:lineRule="auto" w:before="141" w:after="0"/>
        <w:ind w:left="668" w:right="0" w:hanging="566"/>
        <w:jc w:val="left"/>
        <w:rPr>
          <w:sz w:val="24"/>
        </w:rPr>
      </w:pPr>
      <w:r>
        <w:rPr>
          <w:sz w:val="24"/>
        </w:rPr>
        <w:t>Características de los segmentos en la</w:t>
      </w:r>
      <w:r>
        <w:rPr>
          <w:spacing w:val="-9"/>
          <w:sz w:val="24"/>
        </w:rPr>
        <w:t> </w:t>
      </w:r>
      <w:r>
        <w:rPr>
          <w:sz w:val="24"/>
        </w:rPr>
        <w:t>segunda</w:t>
      </w:r>
      <w:r>
        <w:rPr>
          <w:spacing w:val="-1"/>
          <w:sz w:val="24"/>
        </w:rPr>
        <w:t> </w:t>
      </w:r>
      <w:r>
        <w:rPr>
          <w:sz w:val="24"/>
        </w:rPr>
        <w:t>generación</w:t>
        <w:tab/>
        <w:t>28</w:t>
      </w:r>
    </w:p>
    <w:p>
      <w:pPr>
        <w:pStyle w:val="ListParagraph"/>
        <w:numPr>
          <w:ilvl w:val="1"/>
          <w:numId w:val="16"/>
        </w:numPr>
        <w:tabs>
          <w:tab w:pos="668" w:val="left" w:leader="none"/>
          <w:tab w:pos="669" w:val="left" w:leader="none"/>
          <w:tab w:pos="8690" w:val="left" w:leader="dot"/>
        </w:tabs>
        <w:spacing w:line="240" w:lineRule="auto" w:before="141" w:after="0"/>
        <w:ind w:left="668" w:right="0" w:hanging="566"/>
        <w:jc w:val="left"/>
        <w:rPr>
          <w:sz w:val="24"/>
        </w:rPr>
      </w:pPr>
      <w:r>
        <w:rPr>
          <w:sz w:val="24"/>
        </w:rPr>
        <w:t>Características de la</w:t>
      </w:r>
      <w:r>
        <w:rPr>
          <w:spacing w:val="-5"/>
          <w:sz w:val="24"/>
        </w:rPr>
        <w:t> </w:t>
      </w:r>
      <w:r>
        <w:rPr>
          <w:sz w:val="24"/>
        </w:rPr>
        <w:t>segmentación</w:t>
      </w:r>
      <w:r>
        <w:rPr>
          <w:spacing w:val="-3"/>
          <w:sz w:val="24"/>
        </w:rPr>
        <w:t> </w:t>
      </w:r>
      <w:r>
        <w:rPr>
          <w:sz w:val="24"/>
        </w:rPr>
        <w:t>multicausal</w:t>
        <w:tab/>
        <w:t>30</w:t>
      </w:r>
    </w:p>
    <w:p>
      <w:pPr>
        <w:pStyle w:val="ListParagraph"/>
        <w:numPr>
          <w:ilvl w:val="1"/>
          <w:numId w:val="16"/>
        </w:numPr>
        <w:tabs>
          <w:tab w:pos="668" w:val="left" w:leader="none"/>
          <w:tab w:pos="669" w:val="left" w:leader="none"/>
          <w:tab w:pos="8690" w:val="left" w:leader="dot"/>
        </w:tabs>
        <w:spacing w:line="240" w:lineRule="auto" w:before="141" w:after="0"/>
        <w:ind w:left="668" w:right="0" w:hanging="566"/>
        <w:jc w:val="left"/>
        <w:rPr>
          <w:sz w:val="24"/>
        </w:rPr>
      </w:pPr>
      <w:r>
        <w:rPr>
          <w:sz w:val="24"/>
        </w:rPr>
        <w:t>Características de la</w:t>
      </w:r>
      <w:r>
        <w:rPr>
          <w:spacing w:val="-4"/>
          <w:sz w:val="24"/>
        </w:rPr>
        <w:t> </w:t>
      </w:r>
      <w:r>
        <w:rPr>
          <w:sz w:val="24"/>
        </w:rPr>
        <w:t>cuarta</w:t>
      </w:r>
      <w:r>
        <w:rPr>
          <w:spacing w:val="-2"/>
          <w:sz w:val="24"/>
        </w:rPr>
        <w:t> </w:t>
      </w:r>
      <w:r>
        <w:rPr>
          <w:sz w:val="24"/>
        </w:rPr>
        <w:t>generación</w:t>
        <w:tab/>
        <w:t>32</w:t>
      </w:r>
    </w:p>
    <w:p>
      <w:pPr>
        <w:pStyle w:val="ListParagraph"/>
        <w:numPr>
          <w:ilvl w:val="1"/>
          <w:numId w:val="17"/>
        </w:numPr>
        <w:tabs>
          <w:tab w:pos="668" w:val="left" w:leader="none"/>
          <w:tab w:pos="669" w:val="left" w:leader="none"/>
        </w:tabs>
        <w:spacing w:line="240" w:lineRule="auto" w:before="141" w:after="0"/>
        <w:ind w:left="668" w:right="0" w:hanging="566"/>
        <w:jc w:val="left"/>
        <w:rPr>
          <w:sz w:val="24"/>
        </w:rPr>
      </w:pPr>
      <w:r>
        <w:rPr>
          <w:sz w:val="24"/>
        </w:rPr>
        <w:t>Tasa de empleo por grupos de edad y máximo nivel de estudios</w:t>
      </w:r>
      <w:r>
        <w:rPr>
          <w:spacing w:val="-13"/>
          <w:sz w:val="24"/>
        </w:rPr>
        <w:t> </w:t>
      </w:r>
      <w:r>
        <w:rPr>
          <w:sz w:val="24"/>
        </w:rPr>
        <w:t>alcanzado,</w:t>
      </w:r>
    </w:p>
    <w:p>
      <w:pPr>
        <w:pStyle w:val="BodyText"/>
        <w:tabs>
          <w:tab w:pos="8690" w:val="left" w:leader="dot"/>
        </w:tabs>
        <w:spacing w:before="142"/>
        <w:ind w:left="102"/>
      </w:pPr>
      <w:r>
        <w:rPr/>
        <w:t>tercer trimestre de 2010 (%)</w:t>
      </w:r>
      <w:r>
        <w:rPr>
          <w:spacing w:val="-4"/>
        </w:rPr>
        <w:t> </w:t>
      </w:r>
      <w:r>
        <w:rPr/>
        <w:t>en</w:t>
      </w:r>
      <w:r>
        <w:rPr>
          <w:spacing w:val="-1"/>
        </w:rPr>
        <w:t> </w:t>
      </w:r>
      <w:r>
        <w:rPr/>
        <w:t>México</w:t>
        <w:tab/>
        <w:t>67</w:t>
      </w:r>
    </w:p>
    <w:p>
      <w:pPr>
        <w:pStyle w:val="ListParagraph"/>
        <w:numPr>
          <w:ilvl w:val="1"/>
          <w:numId w:val="17"/>
        </w:numPr>
        <w:tabs>
          <w:tab w:pos="668" w:val="left" w:leader="none"/>
          <w:tab w:pos="669" w:val="left" w:leader="none"/>
        </w:tabs>
        <w:spacing w:line="240" w:lineRule="auto" w:before="144" w:after="0"/>
        <w:ind w:left="668" w:right="0" w:hanging="566"/>
        <w:jc w:val="left"/>
        <w:rPr>
          <w:sz w:val="24"/>
        </w:rPr>
      </w:pPr>
      <w:r>
        <w:rPr>
          <w:sz w:val="24"/>
        </w:rPr>
        <w:t>Gasto nacional en educación según origen de los recursos  (porcentaje del PIB</w:t>
      </w:r>
      <w:r>
        <w:rPr>
          <w:spacing w:val="-13"/>
          <w:sz w:val="24"/>
        </w:rPr>
        <w:t> </w:t>
      </w:r>
      <w:r>
        <w:rPr>
          <w:sz w:val="24"/>
        </w:rPr>
        <w:t>),</w:t>
      </w:r>
    </w:p>
    <w:p>
      <w:pPr>
        <w:pStyle w:val="BodyText"/>
        <w:spacing w:before="41"/>
        <w:ind w:left="102"/>
      </w:pPr>
      <w:r>
        <w:rPr/>
        <w:t>2000-2010 ............................................................................................................................ 77</w:t>
      </w:r>
    </w:p>
    <w:p>
      <w:pPr>
        <w:pStyle w:val="ListParagraph"/>
        <w:numPr>
          <w:ilvl w:val="1"/>
          <w:numId w:val="17"/>
        </w:numPr>
        <w:tabs>
          <w:tab w:pos="668" w:val="left" w:leader="none"/>
          <w:tab w:pos="669" w:val="left" w:leader="none"/>
          <w:tab w:pos="8690" w:val="left" w:leader="dot"/>
        </w:tabs>
        <w:spacing w:line="240" w:lineRule="auto" w:before="38" w:after="0"/>
        <w:ind w:left="668" w:right="0" w:hanging="566"/>
        <w:jc w:val="left"/>
        <w:rPr>
          <w:sz w:val="24"/>
        </w:rPr>
      </w:pPr>
      <w:r>
        <w:rPr>
          <w:sz w:val="24"/>
        </w:rPr>
        <w:t>Alumnos y maestros de todos los niveles educativos en México</w:t>
      </w:r>
      <w:r>
        <w:rPr>
          <w:spacing w:val="-4"/>
          <w:sz w:val="24"/>
        </w:rPr>
        <w:t> </w:t>
      </w:r>
      <w:r>
        <w:rPr>
          <w:sz w:val="24"/>
        </w:rPr>
        <w:t>de</w:t>
      </w:r>
      <w:r>
        <w:rPr>
          <w:spacing w:val="-2"/>
          <w:sz w:val="24"/>
        </w:rPr>
        <w:t> </w:t>
      </w:r>
      <w:r>
        <w:rPr>
          <w:sz w:val="24"/>
        </w:rPr>
        <w:t>2000-2010</w:t>
        <w:tab/>
        <w:t>82</w:t>
      </w:r>
    </w:p>
    <w:p>
      <w:pPr>
        <w:pStyle w:val="ListParagraph"/>
        <w:numPr>
          <w:ilvl w:val="1"/>
          <w:numId w:val="17"/>
        </w:numPr>
        <w:tabs>
          <w:tab w:pos="668" w:val="left" w:leader="none"/>
          <w:tab w:pos="669" w:val="left" w:leader="none"/>
          <w:tab w:pos="8690" w:val="left" w:leader="dot"/>
        </w:tabs>
        <w:spacing w:line="240" w:lineRule="auto" w:before="141" w:after="0"/>
        <w:ind w:left="668" w:right="0" w:hanging="566"/>
        <w:jc w:val="left"/>
        <w:rPr>
          <w:sz w:val="24"/>
        </w:rPr>
      </w:pPr>
      <w:r>
        <w:rPr>
          <w:sz w:val="24"/>
        </w:rPr>
        <w:t>Serie histórica de indicadores del sistema educativo nacional</w:t>
      </w:r>
      <w:r>
        <w:rPr>
          <w:spacing w:val="-5"/>
          <w:sz w:val="24"/>
        </w:rPr>
        <w:t> </w:t>
      </w:r>
      <w:r>
        <w:rPr>
          <w:sz w:val="24"/>
        </w:rPr>
        <w:t>2000-2010</w:t>
      </w:r>
      <w:r>
        <w:rPr>
          <w:spacing w:val="-1"/>
          <w:sz w:val="24"/>
        </w:rPr>
        <w:t> </w:t>
      </w:r>
      <w:r>
        <w:rPr>
          <w:sz w:val="24"/>
        </w:rPr>
        <w:t>(%)</w:t>
        <w:tab/>
        <w:t>84</w:t>
      </w:r>
    </w:p>
    <w:p>
      <w:pPr>
        <w:pStyle w:val="ListParagraph"/>
        <w:numPr>
          <w:ilvl w:val="1"/>
          <w:numId w:val="17"/>
        </w:numPr>
        <w:tabs>
          <w:tab w:pos="668" w:val="left" w:leader="none"/>
          <w:tab w:pos="669" w:val="left" w:leader="none"/>
          <w:tab w:pos="8690" w:val="left" w:leader="dot"/>
        </w:tabs>
        <w:spacing w:line="240" w:lineRule="auto" w:before="141" w:after="0"/>
        <w:ind w:left="668" w:right="0" w:hanging="566"/>
        <w:jc w:val="left"/>
        <w:rPr>
          <w:sz w:val="24"/>
        </w:rPr>
      </w:pPr>
      <w:r>
        <w:rPr>
          <w:sz w:val="24"/>
        </w:rPr>
        <w:t>Tasa bruta de cobertura educativa nivle superior en</w:t>
      </w:r>
      <w:r>
        <w:rPr>
          <w:spacing w:val="-4"/>
          <w:sz w:val="24"/>
        </w:rPr>
        <w:t> </w:t>
      </w:r>
      <w:r>
        <w:rPr>
          <w:sz w:val="24"/>
        </w:rPr>
        <w:t>México</w:t>
      </w:r>
      <w:r>
        <w:rPr>
          <w:spacing w:val="-1"/>
          <w:sz w:val="24"/>
        </w:rPr>
        <w:t> </w:t>
      </w:r>
      <w:r>
        <w:rPr>
          <w:sz w:val="24"/>
        </w:rPr>
        <w:t>2000-2013</w:t>
        <w:tab/>
        <w:t>85</w:t>
      </w:r>
    </w:p>
    <w:p>
      <w:pPr>
        <w:pStyle w:val="ListParagraph"/>
        <w:numPr>
          <w:ilvl w:val="1"/>
          <w:numId w:val="17"/>
        </w:numPr>
        <w:tabs>
          <w:tab w:pos="668" w:val="left" w:leader="none"/>
          <w:tab w:pos="669" w:val="left" w:leader="none"/>
          <w:tab w:pos="8690" w:val="left" w:leader="dot"/>
        </w:tabs>
        <w:spacing w:line="240" w:lineRule="auto" w:before="141" w:after="0"/>
        <w:ind w:left="668" w:right="0" w:hanging="566"/>
        <w:jc w:val="left"/>
        <w:rPr>
          <w:sz w:val="24"/>
        </w:rPr>
      </w:pPr>
      <w:r>
        <w:rPr>
          <w:sz w:val="24"/>
        </w:rPr>
        <w:t>Número de IES por estado en</w:t>
      </w:r>
      <w:r>
        <w:rPr>
          <w:spacing w:val="-3"/>
          <w:sz w:val="24"/>
        </w:rPr>
        <w:t> </w:t>
      </w:r>
      <w:r>
        <w:rPr>
          <w:sz w:val="24"/>
        </w:rPr>
        <w:t>México</w:t>
      </w:r>
      <w:r>
        <w:rPr>
          <w:spacing w:val="-1"/>
          <w:sz w:val="24"/>
        </w:rPr>
        <w:t> </w:t>
      </w:r>
      <w:r>
        <w:rPr>
          <w:sz w:val="24"/>
        </w:rPr>
        <w:t>(2012)</w:t>
        <w:tab/>
        <w:t>86</w:t>
      </w:r>
    </w:p>
    <w:p>
      <w:pPr>
        <w:pStyle w:val="ListParagraph"/>
        <w:numPr>
          <w:ilvl w:val="1"/>
          <w:numId w:val="17"/>
        </w:numPr>
        <w:tabs>
          <w:tab w:pos="668" w:val="left" w:leader="none"/>
          <w:tab w:pos="669" w:val="left" w:leader="none"/>
          <w:tab w:pos="8690" w:val="left" w:leader="dot"/>
        </w:tabs>
        <w:spacing w:line="240" w:lineRule="auto" w:before="141" w:after="0"/>
        <w:ind w:left="668" w:right="0" w:hanging="566"/>
        <w:jc w:val="left"/>
        <w:rPr>
          <w:sz w:val="24"/>
        </w:rPr>
      </w:pPr>
      <w:r>
        <w:rPr>
          <w:sz w:val="24"/>
        </w:rPr>
        <w:t>Principales profesiones en el Estado de</w:t>
      </w:r>
      <w:r>
        <w:rPr>
          <w:spacing w:val="-4"/>
          <w:sz w:val="24"/>
        </w:rPr>
        <w:t> </w:t>
      </w:r>
      <w:r>
        <w:rPr>
          <w:sz w:val="24"/>
        </w:rPr>
        <w:t>México</w:t>
      </w:r>
      <w:r>
        <w:rPr>
          <w:spacing w:val="-1"/>
          <w:sz w:val="24"/>
        </w:rPr>
        <w:t> </w:t>
      </w:r>
      <w:r>
        <w:rPr>
          <w:sz w:val="24"/>
        </w:rPr>
        <w:t>2012</w:t>
        <w:tab/>
        <w:t>99</w:t>
      </w:r>
    </w:p>
    <w:p>
      <w:pPr>
        <w:pStyle w:val="ListParagraph"/>
        <w:numPr>
          <w:ilvl w:val="1"/>
          <w:numId w:val="18"/>
        </w:numPr>
        <w:tabs>
          <w:tab w:pos="668" w:val="left" w:leader="none"/>
          <w:tab w:pos="669" w:val="left" w:leader="none"/>
          <w:tab w:pos="8570" w:val="left" w:leader="dot"/>
        </w:tabs>
        <w:spacing w:line="240" w:lineRule="auto" w:before="142" w:after="0"/>
        <w:ind w:left="668" w:right="0" w:hanging="566"/>
        <w:jc w:val="left"/>
        <w:rPr>
          <w:sz w:val="24"/>
        </w:rPr>
      </w:pPr>
      <w:r>
        <w:rPr>
          <w:sz w:val="24"/>
        </w:rPr>
        <w:t>Definición</w:t>
      </w:r>
      <w:r>
        <w:rPr>
          <w:spacing w:val="-3"/>
          <w:sz w:val="24"/>
        </w:rPr>
        <w:t> </w:t>
      </w:r>
      <w:r>
        <w:rPr>
          <w:sz w:val="24"/>
        </w:rPr>
        <w:t>de</w:t>
      </w:r>
      <w:r>
        <w:rPr>
          <w:spacing w:val="-2"/>
          <w:sz w:val="24"/>
        </w:rPr>
        <w:t> </w:t>
      </w:r>
      <w:r>
        <w:rPr>
          <w:sz w:val="24"/>
        </w:rPr>
        <w:t>variables</w:t>
        <w:tab/>
        <w:t>128</w:t>
      </w:r>
    </w:p>
    <w:p>
      <w:pPr>
        <w:pStyle w:val="ListParagraph"/>
        <w:numPr>
          <w:ilvl w:val="1"/>
          <w:numId w:val="18"/>
        </w:numPr>
        <w:tabs>
          <w:tab w:pos="668" w:val="left" w:leader="none"/>
          <w:tab w:pos="669" w:val="left" w:leader="none"/>
          <w:tab w:pos="8570" w:val="left" w:leader="dot"/>
        </w:tabs>
        <w:spacing w:line="240" w:lineRule="auto" w:before="141" w:after="0"/>
        <w:ind w:left="668" w:right="0" w:hanging="566"/>
        <w:jc w:val="left"/>
        <w:rPr>
          <w:sz w:val="24"/>
        </w:rPr>
      </w:pPr>
      <w:r>
        <w:rPr>
          <w:sz w:val="24"/>
        </w:rPr>
        <w:t>Muestra</w:t>
      </w:r>
      <w:r>
        <w:rPr>
          <w:spacing w:val="-3"/>
          <w:sz w:val="24"/>
        </w:rPr>
        <w:t> </w:t>
      </w:r>
      <w:r>
        <w:rPr>
          <w:sz w:val="24"/>
        </w:rPr>
        <w:t>estratificada</w:t>
        <w:tab/>
        <w:t>129</w:t>
      </w:r>
    </w:p>
    <w:p>
      <w:pPr>
        <w:pStyle w:val="ListParagraph"/>
        <w:numPr>
          <w:ilvl w:val="1"/>
          <w:numId w:val="18"/>
        </w:numPr>
        <w:tabs>
          <w:tab w:pos="668" w:val="left" w:leader="none"/>
          <w:tab w:pos="669" w:val="left" w:leader="none"/>
          <w:tab w:pos="8570" w:val="left" w:leader="dot"/>
        </w:tabs>
        <w:spacing w:line="240" w:lineRule="auto" w:before="139" w:after="0"/>
        <w:ind w:left="668" w:right="0" w:hanging="566"/>
        <w:jc w:val="left"/>
        <w:rPr>
          <w:sz w:val="24"/>
        </w:rPr>
      </w:pPr>
      <w:r>
        <w:rPr>
          <w:sz w:val="24"/>
        </w:rPr>
        <w:t>Tasa de respuesta</w:t>
      </w:r>
      <w:r>
        <w:rPr>
          <w:spacing w:val="-3"/>
          <w:sz w:val="24"/>
        </w:rPr>
        <w:t> </w:t>
      </w:r>
      <w:r>
        <w:rPr>
          <w:sz w:val="24"/>
        </w:rPr>
        <w:t>al</w:t>
      </w:r>
      <w:r>
        <w:rPr>
          <w:spacing w:val="-1"/>
          <w:sz w:val="24"/>
        </w:rPr>
        <w:t> </w:t>
      </w:r>
      <w:r>
        <w:rPr>
          <w:sz w:val="24"/>
        </w:rPr>
        <w:t>cuestionario</w:t>
        <w:tab/>
        <w:t>130</w:t>
      </w:r>
    </w:p>
    <w:p>
      <w:pPr>
        <w:pStyle w:val="ListParagraph"/>
        <w:numPr>
          <w:ilvl w:val="1"/>
          <w:numId w:val="18"/>
        </w:numPr>
        <w:tabs>
          <w:tab w:pos="668" w:val="left" w:leader="none"/>
          <w:tab w:pos="669" w:val="left" w:leader="none"/>
          <w:tab w:pos="8570" w:val="left" w:leader="dot"/>
        </w:tabs>
        <w:spacing w:line="240" w:lineRule="auto" w:before="141" w:after="0"/>
        <w:ind w:left="668" w:right="0" w:hanging="566"/>
        <w:jc w:val="left"/>
        <w:rPr>
          <w:sz w:val="24"/>
        </w:rPr>
      </w:pPr>
      <w:r>
        <w:rPr>
          <w:sz w:val="24"/>
        </w:rPr>
        <w:t>Etapas de la elaboración</w:t>
      </w:r>
      <w:r>
        <w:rPr>
          <w:spacing w:val="-2"/>
          <w:sz w:val="24"/>
        </w:rPr>
        <w:t> </w:t>
      </w:r>
      <w:r>
        <w:rPr>
          <w:sz w:val="24"/>
        </w:rPr>
        <w:t>del</w:t>
      </w:r>
      <w:r>
        <w:rPr>
          <w:spacing w:val="-1"/>
          <w:sz w:val="24"/>
        </w:rPr>
        <w:t> </w:t>
      </w:r>
      <w:r>
        <w:rPr>
          <w:sz w:val="24"/>
        </w:rPr>
        <w:t>instrumento</w:t>
        <w:tab/>
        <w:t>131</w:t>
      </w:r>
    </w:p>
    <w:p>
      <w:pPr>
        <w:pStyle w:val="ListParagraph"/>
        <w:numPr>
          <w:ilvl w:val="1"/>
          <w:numId w:val="18"/>
        </w:numPr>
        <w:tabs>
          <w:tab w:pos="668" w:val="left" w:leader="none"/>
          <w:tab w:pos="669" w:val="left" w:leader="none"/>
          <w:tab w:pos="8570" w:val="left" w:leader="dot"/>
        </w:tabs>
        <w:spacing w:line="240" w:lineRule="auto" w:before="141" w:after="0"/>
        <w:ind w:left="668" w:right="0" w:hanging="566"/>
        <w:jc w:val="left"/>
        <w:rPr>
          <w:sz w:val="24"/>
        </w:rPr>
      </w:pPr>
      <w:r>
        <w:rPr>
          <w:sz w:val="24"/>
        </w:rPr>
        <w:t>Dimensiones</w:t>
        <w:tab/>
        <w:t>132</w:t>
      </w:r>
    </w:p>
    <w:p>
      <w:pPr>
        <w:pStyle w:val="ListParagraph"/>
        <w:numPr>
          <w:ilvl w:val="1"/>
          <w:numId w:val="18"/>
        </w:numPr>
        <w:tabs>
          <w:tab w:pos="668" w:val="left" w:leader="none"/>
          <w:tab w:pos="669" w:val="left" w:leader="none"/>
          <w:tab w:pos="8570" w:val="left" w:leader="dot"/>
        </w:tabs>
        <w:spacing w:line="240" w:lineRule="auto" w:before="141" w:after="0"/>
        <w:ind w:left="668" w:right="0" w:hanging="566"/>
        <w:jc w:val="left"/>
        <w:rPr>
          <w:sz w:val="24"/>
        </w:rPr>
      </w:pPr>
      <w:r>
        <w:rPr>
          <w:i/>
          <w:sz w:val="24"/>
        </w:rPr>
        <w:t>Ítems</w:t>
      </w:r>
      <w:r>
        <w:rPr>
          <w:i/>
          <w:spacing w:val="-3"/>
          <w:sz w:val="24"/>
        </w:rPr>
        <w:t> </w:t>
      </w:r>
      <w:r>
        <w:rPr>
          <w:sz w:val="24"/>
        </w:rPr>
        <w:t>por</w:t>
      </w:r>
      <w:r>
        <w:rPr>
          <w:spacing w:val="-2"/>
          <w:sz w:val="24"/>
        </w:rPr>
        <w:t> </w:t>
      </w:r>
      <w:r>
        <w:rPr>
          <w:sz w:val="24"/>
        </w:rPr>
        <w:t>apartado</w:t>
        <w:tab/>
        <w:t>133</w:t>
      </w:r>
    </w:p>
    <w:p>
      <w:pPr>
        <w:pStyle w:val="ListParagraph"/>
        <w:numPr>
          <w:ilvl w:val="1"/>
          <w:numId w:val="18"/>
        </w:numPr>
        <w:tabs>
          <w:tab w:pos="668" w:val="left" w:leader="none"/>
          <w:tab w:pos="669" w:val="left" w:leader="none"/>
          <w:tab w:pos="8570" w:val="left" w:leader="dot"/>
        </w:tabs>
        <w:spacing w:line="240" w:lineRule="auto" w:before="141" w:after="0"/>
        <w:ind w:left="668" w:right="0" w:hanging="566"/>
        <w:jc w:val="left"/>
        <w:rPr>
          <w:sz w:val="24"/>
        </w:rPr>
      </w:pPr>
      <w:r>
        <w:rPr>
          <w:sz w:val="24"/>
        </w:rPr>
        <w:t>Valores mínimos</w:t>
      </w:r>
      <w:r>
        <w:rPr>
          <w:spacing w:val="-3"/>
          <w:sz w:val="24"/>
        </w:rPr>
        <w:t> </w:t>
      </w:r>
      <w:r>
        <w:rPr>
          <w:sz w:val="24"/>
        </w:rPr>
        <w:t>de</w:t>
      </w:r>
      <w:r>
        <w:rPr>
          <w:spacing w:val="-2"/>
          <w:sz w:val="24"/>
        </w:rPr>
        <w:t> </w:t>
      </w:r>
      <w:r>
        <w:rPr>
          <w:sz w:val="24"/>
        </w:rPr>
        <w:t>CVR</w:t>
        <w:tab/>
        <w:t>135</w:t>
      </w:r>
    </w:p>
    <w:p>
      <w:pPr>
        <w:pStyle w:val="ListParagraph"/>
        <w:numPr>
          <w:ilvl w:val="1"/>
          <w:numId w:val="18"/>
        </w:numPr>
        <w:tabs>
          <w:tab w:pos="668" w:val="left" w:leader="none"/>
          <w:tab w:pos="669" w:val="left" w:leader="none"/>
          <w:tab w:pos="8570" w:val="left" w:leader="dot"/>
        </w:tabs>
        <w:spacing w:line="240" w:lineRule="auto" w:before="141" w:after="0"/>
        <w:ind w:left="668" w:right="0" w:hanging="566"/>
        <w:jc w:val="left"/>
        <w:rPr>
          <w:sz w:val="24"/>
        </w:rPr>
      </w:pPr>
      <w:r>
        <w:rPr>
          <w:sz w:val="24"/>
        </w:rPr>
        <w:t>Resumen CVR</w:t>
      </w:r>
      <w:r>
        <w:rPr>
          <w:spacing w:val="-2"/>
          <w:sz w:val="24"/>
        </w:rPr>
        <w:t> </w:t>
      </w:r>
      <w:r>
        <w:rPr>
          <w:sz w:val="24"/>
        </w:rPr>
        <w:t>por</w:t>
      </w:r>
      <w:r>
        <w:rPr>
          <w:spacing w:val="-1"/>
          <w:sz w:val="24"/>
        </w:rPr>
        <w:t> </w:t>
      </w:r>
      <w:r>
        <w:rPr>
          <w:sz w:val="24"/>
        </w:rPr>
        <w:t>constructo</w:t>
        <w:tab/>
        <w:t>136</w:t>
      </w:r>
    </w:p>
    <w:p>
      <w:pPr>
        <w:pStyle w:val="ListParagraph"/>
        <w:numPr>
          <w:ilvl w:val="1"/>
          <w:numId w:val="19"/>
        </w:numPr>
        <w:tabs>
          <w:tab w:pos="668" w:val="left" w:leader="none"/>
          <w:tab w:pos="669" w:val="left" w:leader="none"/>
          <w:tab w:pos="8570" w:val="left" w:leader="dot"/>
        </w:tabs>
        <w:spacing w:line="240" w:lineRule="auto" w:before="142" w:after="0"/>
        <w:ind w:left="102" w:right="0" w:firstLine="0"/>
        <w:jc w:val="left"/>
        <w:rPr>
          <w:sz w:val="24"/>
        </w:rPr>
      </w:pPr>
      <w:r>
        <w:rPr>
          <w:sz w:val="24"/>
        </w:rPr>
        <w:t>Caracterización de</w:t>
      </w:r>
      <w:r>
        <w:rPr>
          <w:spacing w:val="-3"/>
          <w:sz w:val="24"/>
        </w:rPr>
        <w:t> </w:t>
      </w:r>
      <w:r>
        <w:rPr>
          <w:sz w:val="24"/>
        </w:rPr>
        <w:t>la</w:t>
      </w:r>
      <w:r>
        <w:rPr>
          <w:spacing w:val="-2"/>
          <w:sz w:val="24"/>
        </w:rPr>
        <w:t> </w:t>
      </w:r>
      <w:r>
        <w:rPr>
          <w:sz w:val="24"/>
        </w:rPr>
        <w:t>muestra</w:t>
        <w:tab/>
        <w:t>138</w:t>
      </w:r>
    </w:p>
    <w:p>
      <w:pPr>
        <w:pStyle w:val="ListParagraph"/>
        <w:numPr>
          <w:ilvl w:val="1"/>
          <w:numId w:val="19"/>
        </w:numPr>
        <w:tabs>
          <w:tab w:pos="668" w:val="left" w:leader="none"/>
          <w:tab w:pos="669" w:val="left" w:leader="none"/>
          <w:tab w:pos="8570" w:val="left" w:leader="dot"/>
        </w:tabs>
        <w:spacing w:line="240" w:lineRule="auto" w:before="141" w:after="0"/>
        <w:ind w:left="668" w:right="0" w:hanging="566"/>
        <w:jc w:val="left"/>
        <w:rPr>
          <w:sz w:val="24"/>
        </w:rPr>
      </w:pPr>
      <w:r>
        <w:rPr>
          <w:sz w:val="24"/>
        </w:rPr>
        <w:t>Primer</w:t>
      </w:r>
      <w:r>
        <w:rPr>
          <w:spacing w:val="-2"/>
          <w:sz w:val="24"/>
        </w:rPr>
        <w:t> </w:t>
      </w:r>
      <w:r>
        <w:rPr>
          <w:sz w:val="24"/>
        </w:rPr>
        <w:t>empleo</w:t>
        <w:tab/>
        <w:t>152</w:t>
      </w:r>
    </w:p>
    <w:p>
      <w:pPr>
        <w:pStyle w:val="ListParagraph"/>
        <w:numPr>
          <w:ilvl w:val="1"/>
          <w:numId w:val="19"/>
        </w:numPr>
        <w:tabs>
          <w:tab w:pos="668" w:val="left" w:leader="none"/>
          <w:tab w:pos="669" w:val="left" w:leader="none"/>
          <w:tab w:pos="8570" w:val="left" w:leader="dot"/>
        </w:tabs>
        <w:spacing w:line="362" w:lineRule="auto" w:before="141" w:after="0"/>
        <w:ind w:left="102" w:right="127" w:firstLine="0"/>
        <w:jc w:val="left"/>
        <w:rPr>
          <w:sz w:val="24"/>
        </w:rPr>
      </w:pPr>
      <w:r>
        <w:rPr>
          <w:sz w:val="24"/>
        </w:rPr>
        <w:t>¿Cuáles fueron para usted los mayores obstáculos en el período de transición desde que se graduó hasta que consiguió su</w:t>
      </w:r>
      <w:r>
        <w:rPr>
          <w:spacing w:val="-7"/>
          <w:sz w:val="24"/>
        </w:rPr>
        <w:t> </w:t>
      </w:r>
      <w:r>
        <w:rPr>
          <w:sz w:val="24"/>
        </w:rPr>
        <w:t>primer</w:t>
      </w:r>
      <w:r>
        <w:rPr>
          <w:spacing w:val="-1"/>
          <w:sz w:val="24"/>
        </w:rPr>
        <w:t> </w:t>
      </w:r>
      <w:r>
        <w:rPr>
          <w:sz w:val="24"/>
        </w:rPr>
        <w:t>empleo:</w:t>
        <w:tab/>
        <w:t>155</w:t>
      </w:r>
    </w:p>
    <w:p>
      <w:pPr>
        <w:pStyle w:val="ListParagraph"/>
        <w:numPr>
          <w:ilvl w:val="1"/>
          <w:numId w:val="19"/>
        </w:numPr>
        <w:tabs>
          <w:tab w:pos="668" w:val="left" w:leader="none"/>
          <w:tab w:pos="669" w:val="left" w:leader="none"/>
          <w:tab w:pos="8570" w:val="left" w:leader="dot"/>
        </w:tabs>
        <w:spacing w:line="240" w:lineRule="auto" w:before="6" w:after="0"/>
        <w:ind w:left="668" w:right="0" w:hanging="566"/>
        <w:jc w:val="left"/>
        <w:rPr>
          <w:sz w:val="24"/>
        </w:rPr>
      </w:pPr>
      <w:r>
        <w:rPr>
          <w:sz w:val="24"/>
        </w:rPr>
        <w:t>Sector en el que se ubica</w:t>
      </w:r>
      <w:r>
        <w:rPr>
          <w:spacing w:val="-8"/>
          <w:sz w:val="24"/>
        </w:rPr>
        <w:t> </w:t>
      </w:r>
      <w:r>
        <w:rPr>
          <w:sz w:val="24"/>
        </w:rPr>
        <w:t>el</w:t>
      </w:r>
      <w:r>
        <w:rPr>
          <w:spacing w:val="-1"/>
          <w:sz w:val="24"/>
        </w:rPr>
        <w:t> </w:t>
      </w:r>
      <w:r>
        <w:rPr>
          <w:sz w:val="24"/>
        </w:rPr>
        <w:t>trabajo</w:t>
        <w:tab/>
        <w:t>159</w:t>
      </w:r>
    </w:p>
    <w:p>
      <w:pPr>
        <w:pStyle w:val="ListParagraph"/>
        <w:numPr>
          <w:ilvl w:val="1"/>
          <w:numId w:val="19"/>
        </w:numPr>
        <w:tabs>
          <w:tab w:pos="668" w:val="left" w:leader="none"/>
          <w:tab w:pos="669" w:val="left" w:leader="none"/>
        </w:tabs>
        <w:spacing w:line="240" w:lineRule="auto" w:before="139" w:after="0"/>
        <w:ind w:left="668" w:right="0" w:hanging="566"/>
        <w:jc w:val="left"/>
        <w:rPr>
          <w:sz w:val="24"/>
        </w:rPr>
      </w:pPr>
      <w:r>
        <w:rPr>
          <w:sz w:val="24"/>
        </w:rPr>
        <w:t>Habilidades esenciales para que un licenciado en economía tenga éxito en</w:t>
      </w:r>
      <w:r>
        <w:rPr>
          <w:spacing w:val="-9"/>
          <w:sz w:val="24"/>
        </w:rPr>
        <w:t> </w:t>
      </w:r>
      <w:r>
        <w:rPr>
          <w:sz w:val="24"/>
        </w:rPr>
        <w:t>su</w:t>
      </w:r>
    </w:p>
    <w:p>
      <w:pPr>
        <w:spacing w:after="0" w:line="240" w:lineRule="auto"/>
        <w:jc w:val="left"/>
        <w:rPr>
          <w:sz w:val="24"/>
        </w:rPr>
        <w:sectPr>
          <w:footerReference w:type="default" r:id="rId9"/>
          <w:pgSz w:w="12240" w:h="15840"/>
          <w:pgMar w:footer="1480" w:header="0" w:top="1500" w:bottom="1680" w:left="1600" w:right="1580"/>
          <w:pgNumType w:start="5"/>
        </w:sectPr>
      </w:pPr>
    </w:p>
    <w:p>
      <w:pPr>
        <w:pStyle w:val="BodyText"/>
        <w:tabs>
          <w:tab w:pos="8521" w:val="left" w:leader="dot"/>
        </w:tabs>
        <w:spacing w:before="48"/>
        <w:ind w:left="102"/>
      </w:pPr>
      <w:r>
        <w:rPr/>
        <w:t>Profesión</w:t>
        <w:tab/>
        <w:t>162</w:t>
      </w:r>
    </w:p>
    <w:p>
      <w:pPr>
        <w:pStyle w:val="ListParagraph"/>
        <w:numPr>
          <w:ilvl w:val="1"/>
          <w:numId w:val="20"/>
        </w:numPr>
        <w:tabs>
          <w:tab w:pos="668" w:val="left" w:leader="none"/>
          <w:tab w:pos="669" w:val="left" w:leader="none"/>
          <w:tab w:pos="8358" w:val="left" w:leader="dot"/>
        </w:tabs>
        <w:spacing w:line="240" w:lineRule="auto" w:before="141" w:after="0"/>
        <w:ind w:left="668" w:right="0" w:hanging="566"/>
        <w:jc w:val="left"/>
        <w:rPr>
          <w:sz w:val="24"/>
        </w:rPr>
      </w:pPr>
      <w:r>
        <w:rPr>
          <w:sz w:val="24"/>
        </w:rPr>
        <w:t>Ayuda que obtuvieron para encontrar</w:t>
      </w:r>
      <w:r>
        <w:rPr>
          <w:spacing w:val="-6"/>
          <w:sz w:val="24"/>
        </w:rPr>
        <w:t> </w:t>
      </w:r>
      <w:r>
        <w:rPr>
          <w:sz w:val="24"/>
        </w:rPr>
        <w:t>primer</w:t>
      </w:r>
      <w:r>
        <w:rPr>
          <w:spacing w:val="-1"/>
          <w:sz w:val="24"/>
        </w:rPr>
        <w:t> </w:t>
      </w:r>
      <w:r>
        <w:rPr>
          <w:sz w:val="24"/>
        </w:rPr>
        <w:t>empleo</w:t>
        <w:tab/>
        <w:t>172</w:t>
      </w:r>
    </w:p>
    <w:p>
      <w:pPr>
        <w:pStyle w:val="ListParagraph"/>
        <w:numPr>
          <w:ilvl w:val="1"/>
          <w:numId w:val="20"/>
        </w:numPr>
        <w:tabs>
          <w:tab w:pos="668" w:val="left" w:leader="none"/>
          <w:tab w:pos="669" w:val="left" w:leader="none"/>
          <w:tab w:pos="8576" w:val="left" w:leader="dot"/>
        </w:tabs>
        <w:spacing w:line="240" w:lineRule="auto" w:before="141" w:after="0"/>
        <w:ind w:left="668" w:right="0" w:hanging="566"/>
        <w:jc w:val="left"/>
        <w:rPr>
          <w:sz w:val="24"/>
        </w:rPr>
      </w:pPr>
      <w:r>
        <w:rPr>
          <w:sz w:val="24"/>
        </w:rPr>
        <w:t>¿Quién de los siguientes familiares es Licenciado</w:t>
      </w:r>
      <w:r>
        <w:rPr>
          <w:spacing w:val="-7"/>
          <w:sz w:val="24"/>
        </w:rPr>
        <w:t> </w:t>
      </w:r>
      <w:r>
        <w:rPr>
          <w:sz w:val="24"/>
        </w:rPr>
        <w:t>en</w:t>
      </w:r>
      <w:r>
        <w:rPr>
          <w:spacing w:val="-2"/>
          <w:sz w:val="24"/>
        </w:rPr>
        <w:t> </w:t>
      </w:r>
      <w:r>
        <w:rPr>
          <w:sz w:val="24"/>
        </w:rPr>
        <w:t>Economía?</w:t>
        <w:tab/>
        <w:t>175</w:t>
      </w:r>
    </w:p>
    <w:p>
      <w:pPr>
        <w:pStyle w:val="BodyText"/>
        <w:tabs>
          <w:tab w:pos="668" w:val="left" w:leader="none"/>
          <w:tab w:pos="8489" w:val="left" w:leader="dot"/>
        </w:tabs>
        <w:spacing w:before="141"/>
        <w:ind w:left="102"/>
      </w:pPr>
      <w:r>
        <w:rPr/>
        <w:t>8.1.</w:t>
        <w:tab/>
        <w:t>Componentes</w:t>
      </w:r>
      <w:r>
        <w:rPr>
          <w:spacing w:val="-2"/>
        </w:rPr>
        <w:t> </w:t>
      </w:r>
      <w:r>
        <w:rPr/>
        <w:t>del ICE</w:t>
        <w:tab/>
        <w:t>189</w:t>
      </w:r>
    </w:p>
    <w:p>
      <w:pPr>
        <w:spacing w:after="0"/>
        <w:sectPr>
          <w:pgSz w:w="12240" w:h="15840"/>
          <w:pgMar w:header="0" w:footer="1480" w:top="1360" w:bottom="1680" w:left="1600" w:right="1580"/>
        </w:sectPr>
      </w:pPr>
    </w:p>
    <w:p>
      <w:pPr>
        <w:pStyle w:val="BodyText"/>
        <w:spacing w:before="4"/>
        <w:rPr>
          <w:sz w:val="34"/>
        </w:rPr>
      </w:pPr>
    </w:p>
    <w:p>
      <w:pPr>
        <w:pStyle w:val="Heading3"/>
        <w:spacing w:before="0"/>
        <w:ind w:right="20"/>
        <w:jc w:val="center"/>
      </w:pPr>
      <w:bookmarkStart w:name="_bookmark1" w:id="2"/>
      <w:bookmarkEnd w:id="2"/>
      <w:r>
        <w:rPr>
          <w:b w:val="0"/>
        </w:rPr>
      </w:r>
      <w:r>
        <w:rPr/>
        <w:t>ÍNDICE DE GRÁFICAS</w:t>
      </w:r>
    </w:p>
    <w:p>
      <w:pPr>
        <w:pStyle w:val="BodyText"/>
        <w:rPr>
          <w:b/>
        </w:rPr>
      </w:pPr>
    </w:p>
    <w:p>
      <w:pPr>
        <w:pStyle w:val="BodyText"/>
        <w:spacing w:before="4"/>
        <w:rPr>
          <w:b/>
          <w:sz w:val="23"/>
        </w:rPr>
      </w:pPr>
    </w:p>
    <w:p>
      <w:pPr>
        <w:pStyle w:val="ListParagraph"/>
        <w:numPr>
          <w:ilvl w:val="1"/>
          <w:numId w:val="21"/>
        </w:numPr>
        <w:tabs>
          <w:tab w:pos="668" w:val="left" w:leader="none"/>
          <w:tab w:pos="669" w:val="left" w:leader="none"/>
          <w:tab w:pos="8690" w:val="left" w:leader="dot"/>
        </w:tabs>
        <w:spacing w:line="240" w:lineRule="auto" w:before="0" w:after="0"/>
        <w:ind w:left="668" w:right="0" w:hanging="566"/>
        <w:jc w:val="left"/>
        <w:rPr>
          <w:sz w:val="24"/>
        </w:rPr>
      </w:pPr>
      <w:r>
        <w:rPr>
          <w:sz w:val="24"/>
        </w:rPr>
        <w:t>Equilibrio del mercado</w:t>
      </w:r>
      <w:r>
        <w:rPr>
          <w:spacing w:val="-4"/>
          <w:sz w:val="24"/>
        </w:rPr>
        <w:t> </w:t>
      </w:r>
      <w:r>
        <w:rPr>
          <w:sz w:val="24"/>
        </w:rPr>
        <w:t>de</w:t>
      </w:r>
      <w:r>
        <w:rPr>
          <w:spacing w:val="-2"/>
          <w:sz w:val="24"/>
        </w:rPr>
        <w:t> </w:t>
      </w:r>
      <w:r>
        <w:rPr>
          <w:sz w:val="24"/>
        </w:rPr>
        <w:t>trabajo</w:t>
        <w:tab/>
        <w:t>14</w:t>
      </w:r>
    </w:p>
    <w:p>
      <w:pPr>
        <w:pStyle w:val="ListParagraph"/>
        <w:numPr>
          <w:ilvl w:val="1"/>
          <w:numId w:val="21"/>
        </w:numPr>
        <w:tabs>
          <w:tab w:pos="668" w:val="left" w:leader="none"/>
          <w:tab w:pos="669" w:val="left" w:leader="none"/>
          <w:tab w:pos="8690" w:val="left" w:leader="dot"/>
        </w:tabs>
        <w:spacing w:line="240" w:lineRule="auto" w:before="141" w:after="0"/>
        <w:ind w:left="668" w:right="0" w:hanging="566"/>
        <w:jc w:val="left"/>
        <w:rPr>
          <w:sz w:val="24"/>
        </w:rPr>
      </w:pPr>
      <w:r>
        <w:rPr>
          <w:sz w:val="24"/>
        </w:rPr>
        <w:t>Aumento de la demanda de trabajo</w:t>
      </w:r>
      <w:r>
        <w:rPr>
          <w:spacing w:val="-5"/>
          <w:sz w:val="24"/>
        </w:rPr>
        <w:t> </w:t>
      </w:r>
      <w:r>
        <w:rPr>
          <w:sz w:val="24"/>
        </w:rPr>
        <w:t>(perspectiva</w:t>
      </w:r>
      <w:r>
        <w:rPr>
          <w:spacing w:val="-2"/>
          <w:sz w:val="24"/>
        </w:rPr>
        <w:t> </w:t>
      </w:r>
      <w:r>
        <w:rPr>
          <w:sz w:val="24"/>
        </w:rPr>
        <w:t>neoclásica)</w:t>
        <w:tab/>
        <w:t>17</w:t>
      </w:r>
    </w:p>
    <w:p>
      <w:pPr>
        <w:pStyle w:val="ListParagraph"/>
        <w:numPr>
          <w:ilvl w:val="1"/>
          <w:numId w:val="21"/>
        </w:numPr>
        <w:tabs>
          <w:tab w:pos="668" w:val="left" w:leader="none"/>
          <w:tab w:pos="669" w:val="left" w:leader="none"/>
          <w:tab w:pos="8690" w:val="left" w:leader="dot"/>
        </w:tabs>
        <w:spacing w:line="240" w:lineRule="auto" w:before="139" w:after="0"/>
        <w:ind w:left="668" w:right="0" w:hanging="566"/>
        <w:jc w:val="left"/>
        <w:rPr>
          <w:sz w:val="24"/>
        </w:rPr>
      </w:pPr>
      <w:r>
        <w:rPr>
          <w:sz w:val="24"/>
        </w:rPr>
        <w:t>Flexibildad</w:t>
      </w:r>
      <w:r>
        <w:rPr>
          <w:spacing w:val="-3"/>
          <w:sz w:val="24"/>
        </w:rPr>
        <w:t> </w:t>
      </w:r>
      <w:r>
        <w:rPr>
          <w:sz w:val="24"/>
        </w:rPr>
        <w:t>laboral</w:t>
        <w:tab/>
        <w:t>37</w:t>
      </w:r>
    </w:p>
    <w:p>
      <w:pPr>
        <w:pStyle w:val="ListParagraph"/>
        <w:numPr>
          <w:ilvl w:val="1"/>
          <w:numId w:val="22"/>
        </w:numPr>
        <w:tabs>
          <w:tab w:pos="668" w:val="left" w:leader="none"/>
          <w:tab w:pos="669" w:val="left" w:leader="none"/>
          <w:tab w:pos="8690" w:val="left" w:leader="dot"/>
        </w:tabs>
        <w:spacing w:line="240" w:lineRule="auto" w:before="141" w:after="0"/>
        <w:ind w:left="668" w:right="0" w:hanging="566"/>
        <w:jc w:val="left"/>
        <w:rPr>
          <w:sz w:val="24"/>
        </w:rPr>
      </w:pPr>
      <w:r>
        <w:rPr>
          <w:sz w:val="24"/>
        </w:rPr>
        <w:t>Línea del tiempo de las teoráis del proceso de transición al mercado</w:t>
      </w:r>
      <w:r>
        <w:rPr>
          <w:spacing w:val="-8"/>
          <w:sz w:val="24"/>
        </w:rPr>
        <w:t> </w:t>
      </w:r>
      <w:r>
        <w:rPr>
          <w:sz w:val="24"/>
        </w:rPr>
        <w:t>de</w:t>
      </w:r>
      <w:r>
        <w:rPr>
          <w:spacing w:val="-2"/>
          <w:sz w:val="24"/>
        </w:rPr>
        <w:t> </w:t>
      </w:r>
      <w:r>
        <w:rPr>
          <w:sz w:val="24"/>
        </w:rPr>
        <w:t>trabajo</w:t>
        <w:tab/>
        <w:t>51</w:t>
      </w:r>
    </w:p>
    <w:p>
      <w:pPr>
        <w:pStyle w:val="ListParagraph"/>
        <w:numPr>
          <w:ilvl w:val="1"/>
          <w:numId w:val="22"/>
        </w:numPr>
        <w:tabs>
          <w:tab w:pos="668" w:val="left" w:leader="none"/>
          <w:tab w:pos="669" w:val="left" w:leader="none"/>
          <w:tab w:pos="8690" w:val="left" w:leader="dot"/>
        </w:tabs>
        <w:spacing w:line="240" w:lineRule="auto" w:before="141" w:after="0"/>
        <w:ind w:left="668" w:right="0" w:hanging="566"/>
        <w:jc w:val="left"/>
        <w:rPr>
          <w:sz w:val="24"/>
        </w:rPr>
      </w:pPr>
      <w:r>
        <w:rPr>
          <w:sz w:val="24"/>
        </w:rPr>
        <w:t>Modelo</w:t>
      </w:r>
      <w:r>
        <w:rPr>
          <w:spacing w:val="-1"/>
          <w:sz w:val="24"/>
        </w:rPr>
        <w:t> </w:t>
      </w:r>
      <w:r>
        <w:rPr>
          <w:sz w:val="24"/>
        </w:rPr>
        <w:t>hipotético</w:t>
        <w:tab/>
        <w:t>53</w:t>
      </w:r>
    </w:p>
    <w:p>
      <w:pPr>
        <w:pStyle w:val="ListParagraph"/>
        <w:numPr>
          <w:ilvl w:val="1"/>
          <w:numId w:val="23"/>
        </w:numPr>
        <w:tabs>
          <w:tab w:pos="668" w:val="left" w:leader="none"/>
          <w:tab w:pos="669" w:val="left" w:leader="none"/>
          <w:tab w:pos="8690" w:val="left" w:leader="dot"/>
        </w:tabs>
        <w:spacing w:line="240" w:lineRule="auto" w:before="142" w:after="0"/>
        <w:ind w:left="668" w:right="0" w:hanging="566"/>
        <w:jc w:val="left"/>
        <w:rPr>
          <w:sz w:val="24"/>
        </w:rPr>
      </w:pPr>
      <w:r>
        <w:rPr>
          <w:sz w:val="24"/>
        </w:rPr>
        <w:t>Masificación de la educación superior en</w:t>
      </w:r>
      <w:r>
        <w:rPr>
          <w:spacing w:val="-5"/>
          <w:sz w:val="24"/>
        </w:rPr>
        <w:t> </w:t>
      </w:r>
      <w:r>
        <w:rPr>
          <w:sz w:val="24"/>
        </w:rPr>
        <w:t>México,</w:t>
      </w:r>
      <w:r>
        <w:rPr>
          <w:spacing w:val="-2"/>
          <w:sz w:val="24"/>
        </w:rPr>
        <w:t> </w:t>
      </w:r>
      <w:r>
        <w:rPr>
          <w:sz w:val="24"/>
        </w:rPr>
        <w:t>1990-2010</w:t>
        <w:tab/>
        <w:t>64</w:t>
      </w:r>
    </w:p>
    <w:p>
      <w:pPr>
        <w:pStyle w:val="ListParagraph"/>
        <w:numPr>
          <w:ilvl w:val="1"/>
          <w:numId w:val="23"/>
        </w:numPr>
        <w:tabs>
          <w:tab w:pos="668" w:val="left" w:leader="none"/>
          <w:tab w:pos="669" w:val="left" w:leader="none"/>
        </w:tabs>
        <w:spacing w:line="240" w:lineRule="auto" w:before="141" w:after="0"/>
        <w:ind w:left="668" w:right="0" w:hanging="566"/>
        <w:jc w:val="left"/>
        <w:rPr>
          <w:sz w:val="24"/>
        </w:rPr>
      </w:pPr>
      <w:r>
        <w:rPr>
          <w:sz w:val="24"/>
        </w:rPr>
        <w:t>Personal Docente por sector público y privado de 2000 a 2010 (todos</w:t>
      </w:r>
      <w:r>
        <w:rPr>
          <w:spacing w:val="-10"/>
          <w:sz w:val="24"/>
        </w:rPr>
        <w:t> </w:t>
      </w:r>
      <w:r>
        <w:rPr>
          <w:sz w:val="24"/>
        </w:rPr>
        <w:t>los</w:t>
      </w:r>
    </w:p>
    <w:p>
      <w:pPr>
        <w:pStyle w:val="BodyText"/>
        <w:tabs>
          <w:tab w:pos="8690" w:val="left" w:leader="dot"/>
        </w:tabs>
        <w:spacing w:before="141"/>
        <w:ind w:left="668"/>
      </w:pPr>
      <w:r>
        <w:rPr/>
        <w:t>niveles</w:t>
      </w:r>
      <w:r>
        <w:rPr>
          <w:spacing w:val="-2"/>
        </w:rPr>
        <w:t> </w:t>
      </w:r>
      <w:r>
        <w:rPr/>
        <w:t>educativos</w:t>
      </w:r>
      <w:r>
        <w:rPr>
          <w:spacing w:val="-2"/>
        </w:rPr>
        <w:t> </w:t>
      </w:r>
      <w:r>
        <w:rPr/>
        <w:t>mexicanos)</w:t>
        <w:tab/>
        <w:t>83</w:t>
      </w:r>
    </w:p>
    <w:p>
      <w:pPr>
        <w:pStyle w:val="ListParagraph"/>
        <w:numPr>
          <w:ilvl w:val="1"/>
          <w:numId w:val="23"/>
        </w:numPr>
        <w:tabs>
          <w:tab w:pos="668" w:val="left" w:leader="none"/>
          <w:tab w:pos="669" w:val="left" w:leader="none"/>
        </w:tabs>
        <w:spacing w:line="240" w:lineRule="auto" w:before="141" w:after="0"/>
        <w:ind w:left="668" w:right="0" w:hanging="566"/>
        <w:jc w:val="left"/>
        <w:rPr>
          <w:sz w:val="24"/>
        </w:rPr>
      </w:pPr>
      <w:r>
        <w:rPr>
          <w:sz w:val="24"/>
        </w:rPr>
        <w:t>Matrícula por sector público y privado de 2000 a 2010 (todos los</w:t>
      </w:r>
      <w:r>
        <w:rPr>
          <w:spacing w:val="-11"/>
          <w:sz w:val="24"/>
        </w:rPr>
        <w:t> </w:t>
      </w:r>
      <w:r>
        <w:rPr>
          <w:sz w:val="24"/>
        </w:rPr>
        <w:t>niveles</w:t>
      </w:r>
    </w:p>
    <w:p>
      <w:pPr>
        <w:pStyle w:val="BodyText"/>
        <w:tabs>
          <w:tab w:pos="8690" w:val="left" w:leader="dot"/>
        </w:tabs>
        <w:spacing w:before="141"/>
        <w:ind w:left="668"/>
      </w:pPr>
      <w:r>
        <w:rPr/>
        <w:t>educativos</w:t>
      </w:r>
      <w:r>
        <w:rPr>
          <w:spacing w:val="-2"/>
        </w:rPr>
        <w:t> </w:t>
      </w:r>
      <w:r>
        <w:rPr/>
        <w:t>mexicanos)</w:t>
        <w:tab/>
        <w:t>83</w:t>
      </w:r>
    </w:p>
    <w:p>
      <w:pPr>
        <w:pStyle w:val="ListParagraph"/>
        <w:numPr>
          <w:ilvl w:val="1"/>
          <w:numId w:val="23"/>
        </w:numPr>
        <w:tabs>
          <w:tab w:pos="668" w:val="left" w:leader="none"/>
          <w:tab w:pos="669" w:val="left" w:leader="none"/>
        </w:tabs>
        <w:spacing w:line="240" w:lineRule="auto" w:before="141" w:after="0"/>
        <w:ind w:left="668" w:right="0" w:hanging="566"/>
        <w:jc w:val="left"/>
        <w:rPr>
          <w:sz w:val="24"/>
        </w:rPr>
      </w:pPr>
      <w:r>
        <w:rPr>
          <w:sz w:val="24"/>
        </w:rPr>
        <w:t>Profesionales Ocupados por Área de Conocimiento en México 2005-2012</w:t>
      </w:r>
      <w:r>
        <w:rPr>
          <w:spacing w:val="-5"/>
          <w:sz w:val="24"/>
        </w:rPr>
        <w:t> </w:t>
      </w:r>
      <w:r>
        <w:rPr>
          <w:sz w:val="24"/>
        </w:rPr>
        <w:t>(Miles</w:t>
      </w:r>
    </w:p>
    <w:p>
      <w:pPr>
        <w:pStyle w:val="BodyText"/>
        <w:tabs>
          <w:tab w:pos="8690" w:val="left" w:leader="dot"/>
        </w:tabs>
        <w:spacing w:before="141"/>
        <w:ind w:left="668"/>
      </w:pPr>
      <w:r>
        <w:rPr/>
        <w:t>de</w:t>
      </w:r>
      <w:r>
        <w:rPr>
          <w:spacing w:val="-2"/>
        </w:rPr>
        <w:t> </w:t>
      </w:r>
      <w:r>
        <w:rPr/>
        <w:t>Ocupados)</w:t>
        <w:tab/>
        <w:t>94</w:t>
      </w:r>
    </w:p>
    <w:p>
      <w:pPr>
        <w:pStyle w:val="ListParagraph"/>
        <w:numPr>
          <w:ilvl w:val="1"/>
          <w:numId w:val="23"/>
        </w:numPr>
        <w:tabs>
          <w:tab w:pos="668" w:val="left" w:leader="none"/>
          <w:tab w:pos="669" w:val="left" w:leader="none"/>
          <w:tab w:pos="8690" w:val="left" w:leader="dot"/>
        </w:tabs>
        <w:spacing w:line="240" w:lineRule="auto" w:before="141" w:after="0"/>
        <w:ind w:left="668" w:right="0" w:hanging="566"/>
        <w:jc w:val="left"/>
        <w:rPr>
          <w:sz w:val="24"/>
        </w:rPr>
      </w:pPr>
      <w:r>
        <w:rPr>
          <w:sz w:val="24"/>
        </w:rPr>
        <w:t>Relación entre Ocupación y Estudios Realizados 2013,</w:t>
      </w:r>
      <w:r>
        <w:rPr>
          <w:spacing w:val="-7"/>
          <w:sz w:val="24"/>
        </w:rPr>
        <w:t> </w:t>
      </w:r>
      <w:r>
        <w:rPr>
          <w:sz w:val="24"/>
        </w:rPr>
        <w:t>nacional</w:t>
      </w:r>
      <w:r>
        <w:rPr>
          <w:spacing w:val="-1"/>
          <w:sz w:val="24"/>
        </w:rPr>
        <w:t> </w:t>
      </w:r>
      <w:r>
        <w:rPr>
          <w:sz w:val="24"/>
        </w:rPr>
        <w:t>(%)</w:t>
        <w:tab/>
        <w:t>95</w:t>
      </w:r>
    </w:p>
    <w:p>
      <w:pPr>
        <w:pStyle w:val="ListParagraph"/>
        <w:numPr>
          <w:ilvl w:val="1"/>
          <w:numId w:val="23"/>
        </w:numPr>
        <w:tabs>
          <w:tab w:pos="668" w:val="left" w:leader="none"/>
          <w:tab w:pos="669" w:val="left" w:leader="none"/>
          <w:tab w:pos="8690" w:val="left" w:leader="dot"/>
        </w:tabs>
        <w:spacing w:line="240" w:lineRule="auto" w:before="139" w:after="0"/>
        <w:ind w:left="668" w:right="0" w:hanging="566"/>
        <w:jc w:val="left"/>
        <w:rPr>
          <w:sz w:val="24"/>
        </w:rPr>
      </w:pPr>
      <w:r>
        <w:rPr>
          <w:sz w:val="24"/>
        </w:rPr>
        <w:t>Promedio de Ingresos 2013,</w:t>
      </w:r>
      <w:r>
        <w:rPr>
          <w:spacing w:val="-4"/>
          <w:sz w:val="24"/>
        </w:rPr>
        <w:t> </w:t>
      </w:r>
      <w:r>
        <w:rPr>
          <w:sz w:val="24"/>
        </w:rPr>
        <w:t>nacional</w:t>
      </w:r>
      <w:r>
        <w:rPr>
          <w:spacing w:val="-2"/>
          <w:sz w:val="24"/>
        </w:rPr>
        <w:t> </w:t>
      </w:r>
      <w:r>
        <w:rPr>
          <w:sz w:val="24"/>
        </w:rPr>
        <w:t>($)</w:t>
        <w:tab/>
        <w:t>98</w:t>
      </w:r>
    </w:p>
    <w:p>
      <w:pPr>
        <w:pStyle w:val="ListParagraph"/>
        <w:numPr>
          <w:ilvl w:val="1"/>
          <w:numId w:val="23"/>
        </w:numPr>
        <w:tabs>
          <w:tab w:pos="668" w:val="left" w:leader="none"/>
          <w:tab w:pos="669" w:val="left" w:leader="none"/>
          <w:tab w:pos="8570" w:val="left" w:leader="dot"/>
        </w:tabs>
        <w:spacing w:line="240" w:lineRule="auto" w:before="141" w:after="0"/>
        <w:ind w:left="668" w:right="0" w:hanging="566"/>
        <w:jc w:val="left"/>
        <w:rPr>
          <w:sz w:val="24"/>
        </w:rPr>
      </w:pPr>
      <w:r>
        <w:rPr>
          <w:sz w:val="24"/>
        </w:rPr>
        <w:t>Profesionistas Estado de</w:t>
      </w:r>
      <w:r>
        <w:rPr>
          <w:spacing w:val="-2"/>
          <w:sz w:val="24"/>
        </w:rPr>
        <w:t> </w:t>
      </w:r>
      <w:r>
        <w:rPr>
          <w:sz w:val="24"/>
        </w:rPr>
        <w:t>México</w:t>
      </w:r>
      <w:r>
        <w:rPr>
          <w:spacing w:val="-1"/>
          <w:sz w:val="24"/>
        </w:rPr>
        <w:t> </w:t>
      </w:r>
      <w:r>
        <w:rPr>
          <w:sz w:val="24"/>
        </w:rPr>
        <w:t>2000-2010</w:t>
        <w:tab/>
        <w:t>101</w:t>
      </w:r>
    </w:p>
    <w:p>
      <w:pPr>
        <w:pStyle w:val="ListParagraph"/>
        <w:numPr>
          <w:ilvl w:val="1"/>
          <w:numId w:val="24"/>
        </w:numPr>
        <w:tabs>
          <w:tab w:pos="668" w:val="left" w:leader="none"/>
          <w:tab w:pos="669" w:val="left" w:leader="none"/>
          <w:tab w:pos="8570" w:val="left" w:leader="dot"/>
        </w:tabs>
        <w:spacing w:line="240" w:lineRule="auto" w:before="141" w:after="0"/>
        <w:ind w:left="668" w:right="0" w:hanging="566"/>
        <w:jc w:val="left"/>
        <w:rPr>
          <w:sz w:val="24"/>
        </w:rPr>
      </w:pPr>
      <w:r>
        <w:rPr>
          <w:sz w:val="24"/>
        </w:rPr>
        <w:t>PIB en México, periodo de 2000</w:t>
      </w:r>
      <w:r>
        <w:rPr>
          <w:spacing w:val="-6"/>
          <w:sz w:val="24"/>
        </w:rPr>
        <w:t> </w:t>
      </w:r>
      <w:r>
        <w:rPr>
          <w:sz w:val="24"/>
        </w:rPr>
        <w:t>al</w:t>
      </w:r>
      <w:r>
        <w:rPr>
          <w:spacing w:val="-1"/>
          <w:sz w:val="24"/>
        </w:rPr>
        <w:t> </w:t>
      </w:r>
      <w:r>
        <w:rPr>
          <w:sz w:val="24"/>
        </w:rPr>
        <w:t>2012</w:t>
        <w:tab/>
        <w:t>113</w:t>
      </w:r>
    </w:p>
    <w:p>
      <w:pPr>
        <w:pStyle w:val="ListParagraph"/>
        <w:numPr>
          <w:ilvl w:val="1"/>
          <w:numId w:val="24"/>
        </w:numPr>
        <w:tabs>
          <w:tab w:pos="668" w:val="left" w:leader="none"/>
          <w:tab w:pos="669" w:val="left" w:leader="none"/>
          <w:tab w:pos="8570" w:val="left" w:leader="dot"/>
        </w:tabs>
        <w:spacing w:line="240" w:lineRule="auto" w:before="141" w:after="0"/>
        <w:ind w:left="668" w:right="0" w:hanging="566"/>
        <w:jc w:val="left"/>
        <w:rPr>
          <w:sz w:val="24"/>
        </w:rPr>
      </w:pPr>
      <w:r>
        <w:rPr>
          <w:sz w:val="24"/>
        </w:rPr>
        <w:t>Tasa de desempleo en México, periodo de 2000</w:t>
      </w:r>
      <w:r>
        <w:rPr>
          <w:spacing w:val="-8"/>
          <w:sz w:val="24"/>
        </w:rPr>
        <w:t> </w:t>
      </w:r>
      <w:r>
        <w:rPr>
          <w:sz w:val="24"/>
        </w:rPr>
        <w:t>al</w:t>
      </w:r>
      <w:r>
        <w:rPr>
          <w:spacing w:val="1"/>
          <w:sz w:val="24"/>
        </w:rPr>
        <w:t> </w:t>
      </w:r>
      <w:r>
        <w:rPr>
          <w:sz w:val="24"/>
        </w:rPr>
        <w:t>2012</w:t>
        <w:tab/>
        <w:t>114</w:t>
      </w:r>
    </w:p>
    <w:p>
      <w:pPr>
        <w:pStyle w:val="ListParagraph"/>
        <w:numPr>
          <w:ilvl w:val="1"/>
          <w:numId w:val="24"/>
        </w:numPr>
        <w:tabs>
          <w:tab w:pos="668" w:val="left" w:leader="none"/>
          <w:tab w:pos="669" w:val="left" w:leader="none"/>
          <w:tab w:pos="8570" w:val="left" w:leader="dot"/>
        </w:tabs>
        <w:spacing w:line="240" w:lineRule="auto" w:before="141" w:after="0"/>
        <w:ind w:left="668" w:right="0" w:hanging="566"/>
        <w:jc w:val="left"/>
        <w:rPr>
          <w:sz w:val="24"/>
        </w:rPr>
      </w:pPr>
      <w:r>
        <w:rPr>
          <w:sz w:val="24"/>
        </w:rPr>
        <w:t>Desempleo</w:t>
      </w:r>
      <w:r>
        <w:rPr>
          <w:spacing w:val="-2"/>
          <w:sz w:val="24"/>
        </w:rPr>
        <w:t> </w:t>
      </w:r>
      <w:r>
        <w:rPr>
          <w:sz w:val="24"/>
        </w:rPr>
        <w:t>desglosado</w:t>
      </w:r>
      <w:r>
        <w:rPr>
          <w:spacing w:val="-2"/>
          <w:sz w:val="24"/>
        </w:rPr>
        <w:t> </w:t>
      </w:r>
      <w:r>
        <w:rPr>
          <w:sz w:val="24"/>
        </w:rPr>
        <w:t>2005-2012</w:t>
        <w:tab/>
        <w:t>115</w:t>
      </w:r>
    </w:p>
    <w:p>
      <w:pPr>
        <w:pStyle w:val="ListParagraph"/>
        <w:numPr>
          <w:ilvl w:val="1"/>
          <w:numId w:val="24"/>
        </w:numPr>
        <w:tabs>
          <w:tab w:pos="668" w:val="left" w:leader="none"/>
          <w:tab w:pos="669" w:val="left" w:leader="none"/>
          <w:tab w:pos="8570" w:val="left" w:leader="dot"/>
        </w:tabs>
        <w:spacing w:line="240" w:lineRule="auto" w:before="141" w:after="0"/>
        <w:ind w:left="668" w:right="0" w:hanging="566"/>
        <w:jc w:val="left"/>
        <w:rPr>
          <w:sz w:val="24"/>
        </w:rPr>
      </w:pPr>
      <w:r>
        <w:rPr>
          <w:sz w:val="24"/>
        </w:rPr>
        <w:t>Tasa de subocupación en México, 2000</w:t>
      </w:r>
      <w:r>
        <w:rPr>
          <w:spacing w:val="-6"/>
          <w:sz w:val="24"/>
        </w:rPr>
        <w:t> </w:t>
      </w:r>
      <w:r>
        <w:rPr>
          <w:sz w:val="24"/>
        </w:rPr>
        <w:t>al</w:t>
      </w:r>
      <w:r>
        <w:rPr>
          <w:spacing w:val="-1"/>
          <w:sz w:val="24"/>
        </w:rPr>
        <w:t> </w:t>
      </w:r>
      <w:r>
        <w:rPr>
          <w:sz w:val="24"/>
        </w:rPr>
        <w:t>2012</w:t>
        <w:tab/>
        <w:t>116</w:t>
      </w:r>
    </w:p>
    <w:p>
      <w:pPr>
        <w:pStyle w:val="ListParagraph"/>
        <w:numPr>
          <w:ilvl w:val="1"/>
          <w:numId w:val="24"/>
        </w:numPr>
        <w:tabs>
          <w:tab w:pos="668" w:val="left" w:leader="none"/>
          <w:tab w:pos="669" w:val="left" w:leader="none"/>
          <w:tab w:pos="8570" w:val="left" w:leader="dot"/>
        </w:tabs>
        <w:spacing w:line="240" w:lineRule="auto" w:before="141" w:after="0"/>
        <w:ind w:left="668" w:right="0" w:hanging="566"/>
        <w:jc w:val="left"/>
        <w:rPr>
          <w:sz w:val="24"/>
        </w:rPr>
      </w:pPr>
      <w:r>
        <w:rPr>
          <w:sz w:val="24"/>
        </w:rPr>
        <w:t>Población nacional ocupada según posición, cuarto trimestre</w:t>
      </w:r>
      <w:r>
        <w:rPr>
          <w:spacing w:val="-12"/>
          <w:sz w:val="24"/>
        </w:rPr>
        <w:t> </w:t>
      </w:r>
      <w:r>
        <w:rPr>
          <w:sz w:val="24"/>
        </w:rPr>
        <w:t>2012</w:t>
      </w:r>
      <w:r>
        <w:rPr>
          <w:spacing w:val="-1"/>
          <w:sz w:val="24"/>
        </w:rPr>
        <w:t> </w:t>
      </w:r>
      <w:r>
        <w:rPr>
          <w:sz w:val="24"/>
        </w:rPr>
        <w:t>(%)</w:t>
        <w:tab/>
        <w:t>118</w:t>
      </w:r>
    </w:p>
    <w:p>
      <w:pPr>
        <w:pStyle w:val="ListParagraph"/>
        <w:numPr>
          <w:ilvl w:val="1"/>
          <w:numId w:val="24"/>
        </w:numPr>
        <w:tabs>
          <w:tab w:pos="668" w:val="left" w:leader="none"/>
          <w:tab w:pos="669" w:val="left" w:leader="none"/>
          <w:tab w:pos="8570" w:val="left" w:leader="dot"/>
        </w:tabs>
        <w:spacing w:line="364" w:lineRule="auto" w:before="141" w:after="0"/>
        <w:ind w:left="668" w:right="127" w:hanging="566"/>
        <w:jc w:val="left"/>
        <w:rPr>
          <w:sz w:val="24"/>
        </w:rPr>
      </w:pPr>
      <w:r>
        <w:rPr>
          <w:sz w:val="24"/>
        </w:rPr>
        <w:t>PEA nacional ocupada por grupos de ocupación principal y por sexo septiembre  2012</w:t>
        <w:tab/>
        <w:t>119</w:t>
      </w:r>
    </w:p>
    <w:p>
      <w:pPr>
        <w:pStyle w:val="ListParagraph"/>
        <w:numPr>
          <w:ilvl w:val="1"/>
          <w:numId w:val="24"/>
        </w:numPr>
        <w:tabs>
          <w:tab w:pos="668" w:val="left" w:leader="none"/>
          <w:tab w:pos="669" w:val="left" w:leader="none"/>
          <w:tab w:pos="8570" w:val="left" w:leader="dot"/>
        </w:tabs>
        <w:spacing w:line="240" w:lineRule="auto" w:before="3" w:after="0"/>
        <w:ind w:left="668" w:right="0" w:hanging="566"/>
        <w:jc w:val="left"/>
        <w:rPr>
          <w:sz w:val="24"/>
        </w:rPr>
      </w:pPr>
      <w:r>
        <w:rPr>
          <w:sz w:val="24"/>
        </w:rPr>
        <w:t>Tasa de desocupación nacional a septiembre de 2012 (%</w:t>
      </w:r>
      <w:r>
        <w:rPr>
          <w:spacing w:val="-9"/>
          <w:sz w:val="24"/>
        </w:rPr>
        <w:t> </w:t>
      </w:r>
      <w:r>
        <w:rPr>
          <w:sz w:val="24"/>
        </w:rPr>
        <w:t>del</w:t>
      </w:r>
      <w:r>
        <w:rPr>
          <w:spacing w:val="-1"/>
          <w:sz w:val="24"/>
        </w:rPr>
        <w:t> </w:t>
      </w:r>
      <w:r>
        <w:rPr>
          <w:sz w:val="24"/>
        </w:rPr>
        <w:t>PEA)</w:t>
        <w:tab/>
        <w:t>120</w:t>
      </w:r>
    </w:p>
    <w:p>
      <w:pPr>
        <w:pStyle w:val="ListParagraph"/>
        <w:numPr>
          <w:ilvl w:val="1"/>
          <w:numId w:val="24"/>
        </w:numPr>
        <w:tabs>
          <w:tab w:pos="668" w:val="left" w:leader="none"/>
          <w:tab w:pos="669" w:val="left" w:leader="none"/>
          <w:tab w:pos="8570" w:val="left" w:leader="dot"/>
        </w:tabs>
        <w:spacing w:line="240" w:lineRule="auto" w:before="139" w:after="0"/>
        <w:ind w:left="668" w:right="0" w:hanging="566"/>
        <w:jc w:val="left"/>
        <w:rPr>
          <w:sz w:val="24"/>
        </w:rPr>
      </w:pPr>
      <w:r>
        <w:rPr>
          <w:sz w:val="24"/>
        </w:rPr>
        <w:t>Preparados pero sin empleo (Cifras</w:t>
      </w:r>
      <w:r>
        <w:rPr>
          <w:spacing w:val="-5"/>
          <w:sz w:val="24"/>
        </w:rPr>
        <w:t> </w:t>
      </w:r>
      <w:r>
        <w:rPr>
          <w:sz w:val="24"/>
        </w:rPr>
        <w:t>en</w:t>
      </w:r>
      <w:r>
        <w:rPr>
          <w:spacing w:val="1"/>
          <w:sz w:val="24"/>
        </w:rPr>
        <w:t> </w:t>
      </w:r>
      <w:r>
        <w:rPr>
          <w:sz w:val="24"/>
        </w:rPr>
        <w:t>%)</w:t>
        <w:tab/>
        <w:t>121</w:t>
      </w:r>
    </w:p>
    <w:p>
      <w:pPr>
        <w:pStyle w:val="ListParagraph"/>
        <w:numPr>
          <w:ilvl w:val="1"/>
          <w:numId w:val="24"/>
        </w:numPr>
        <w:tabs>
          <w:tab w:pos="668" w:val="left" w:leader="none"/>
          <w:tab w:pos="669" w:val="left" w:leader="none"/>
          <w:tab w:pos="8570" w:val="left" w:leader="dot"/>
        </w:tabs>
        <w:spacing w:line="362" w:lineRule="auto" w:before="141" w:after="0"/>
        <w:ind w:left="102" w:right="127" w:firstLine="0"/>
        <w:jc w:val="left"/>
        <w:rPr>
          <w:sz w:val="24"/>
        </w:rPr>
      </w:pPr>
      <w:r>
        <w:rPr>
          <w:sz w:val="24"/>
        </w:rPr>
        <w:t>Población Estado de México ocupada según posición cuarto trimestre 2012 (%) ...</w:t>
      </w:r>
      <w:r>
        <w:rPr>
          <w:spacing w:val="-46"/>
          <w:sz w:val="24"/>
        </w:rPr>
        <w:t> </w:t>
      </w:r>
      <w:r>
        <w:rPr>
          <w:sz w:val="24"/>
        </w:rPr>
        <w:t>123 5.1.</w:t>
        <w:tab/>
        <w:t>Etapas de la elaboración</w:t>
      </w:r>
      <w:r>
        <w:rPr>
          <w:spacing w:val="-2"/>
          <w:sz w:val="24"/>
        </w:rPr>
        <w:t> </w:t>
      </w:r>
      <w:r>
        <w:rPr>
          <w:sz w:val="24"/>
        </w:rPr>
        <w:t>del</w:t>
      </w:r>
      <w:r>
        <w:rPr>
          <w:spacing w:val="-1"/>
          <w:sz w:val="24"/>
        </w:rPr>
        <w:t> </w:t>
      </w:r>
      <w:r>
        <w:rPr>
          <w:sz w:val="24"/>
        </w:rPr>
        <w:t>instrumento</w:t>
        <w:tab/>
        <w:t>131</w:t>
      </w:r>
    </w:p>
    <w:p>
      <w:pPr>
        <w:pStyle w:val="ListParagraph"/>
        <w:numPr>
          <w:ilvl w:val="1"/>
          <w:numId w:val="25"/>
        </w:numPr>
        <w:tabs>
          <w:tab w:pos="668" w:val="left" w:leader="none"/>
          <w:tab w:pos="669" w:val="left" w:leader="none"/>
          <w:tab w:pos="8570" w:val="left" w:leader="dot"/>
        </w:tabs>
        <w:spacing w:line="240" w:lineRule="auto" w:before="6" w:after="0"/>
        <w:ind w:left="668" w:right="0" w:hanging="566"/>
        <w:jc w:val="left"/>
        <w:rPr>
          <w:sz w:val="24"/>
        </w:rPr>
      </w:pPr>
      <w:r>
        <w:rPr>
          <w:sz w:val="24"/>
        </w:rPr>
        <w:t>Año</w:t>
      </w:r>
      <w:r>
        <w:rPr>
          <w:spacing w:val="-1"/>
          <w:sz w:val="24"/>
        </w:rPr>
        <w:t> </w:t>
      </w:r>
      <w:r>
        <w:rPr>
          <w:sz w:val="24"/>
        </w:rPr>
        <w:t>de</w:t>
      </w:r>
      <w:r>
        <w:rPr>
          <w:spacing w:val="-3"/>
          <w:sz w:val="24"/>
        </w:rPr>
        <w:t> </w:t>
      </w:r>
      <w:r>
        <w:rPr>
          <w:sz w:val="24"/>
        </w:rPr>
        <w:t>titulación</w:t>
        <w:tab/>
        <w:t>140</w:t>
      </w:r>
    </w:p>
    <w:p>
      <w:pPr>
        <w:spacing w:after="0" w:line="240" w:lineRule="auto"/>
        <w:jc w:val="left"/>
        <w:rPr>
          <w:sz w:val="24"/>
        </w:rPr>
        <w:sectPr>
          <w:pgSz w:w="12240" w:h="15840"/>
          <w:pgMar w:header="0" w:footer="1480" w:top="1500" w:bottom="1680" w:left="1600" w:right="1580"/>
        </w:sectPr>
      </w:pPr>
    </w:p>
    <w:p>
      <w:pPr>
        <w:pStyle w:val="ListParagraph"/>
        <w:numPr>
          <w:ilvl w:val="1"/>
          <w:numId w:val="25"/>
        </w:numPr>
        <w:tabs>
          <w:tab w:pos="668" w:val="left" w:leader="none"/>
          <w:tab w:pos="669" w:val="left" w:leader="none"/>
        </w:tabs>
        <w:spacing w:line="240" w:lineRule="auto" w:before="50" w:after="0"/>
        <w:ind w:left="668" w:right="0" w:hanging="566"/>
        <w:jc w:val="left"/>
        <w:rPr>
          <w:sz w:val="24"/>
        </w:rPr>
      </w:pPr>
      <w:r>
        <w:rPr>
          <w:sz w:val="24"/>
        </w:rPr>
        <w:t>¿Cuál</w:t>
      </w:r>
      <w:r>
        <w:rPr>
          <w:spacing w:val="-2"/>
          <w:sz w:val="24"/>
        </w:rPr>
        <w:t> </w:t>
      </w:r>
      <w:r>
        <w:rPr>
          <w:sz w:val="24"/>
        </w:rPr>
        <w:t>era</w:t>
      </w:r>
      <w:r>
        <w:rPr>
          <w:spacing w:val="-3"/>
          <w:sz w:val="24"/>
        </w:rPr>
        <w:t> </w:t>
      </w:r>
      <w:r>
        <w:rPr>
          <w:sz w:val="24"/>
        </w:rPr>
        <w:t>su</w:t>
      </w:r>
      <w:r>
        <w:rPr>
          <w:spacing w:val="-2"/>
          <w:sz w:val="24"/>
        </w:rPr>
        <w:t> </w:t>
      </w:r>
      <w:r>
        <w:rPr>
          <w:sz w:val="24"/>
        </w:rPr>
        <w:t>situación</w:t>
      </w:r>
      <w:r>
        <w:rPr>
          <w:spacing w:val="-3"/>
          <w:sz w:val="24"/>
        </w:rPr>
        <w:t> </w:t>
      </w:r>
      <w:r>
        <w:rPr>
          <w:sz w:val="24"/>
        </w:rPr>
        <w:t>ocupacional</w:t>
      </w:r>
      <w:r>
        <w:rPr>
          <w:spacing w:val="-3"/>
          <w:sz w:val="24"/>
        </w:rPr>
        <w:t> </w:t>
      </w:r>
      <w:r>
        <w:rPr>
          <w:sz w:val="24"/>
        </w:rPr>
        <w:t>durante</w:t>
      </w:r>
      <w:r>
        <w:rPr>
          <w:spacing w:val="-3"/>
          <w:sz w:val="24"/>
        </w:rPr>
        <w:t> </w:t>
      </w:r>
      <w:r>
        <w:rPr>
          <w:sz w:val="24"/>
        </w:rPr>
        <w:t>los</w:t>
      </w:r>
      <w:r>
        <w:rPr>
          <w:spacing w:val="-3"/>
          <w:sz w:val="24"/>
        </w:rPr>
        <w:t> </w:t>
      </w:r>
      <w:r>
        <w:rPr>
          <w:sz w:val="24"/>
        </w:rPr>
        <w:t>dos</w:t>
      </w:r>
      <w:r>
        <w:rPr>
          <w:spacing w:val="-2"/>
          <w:sz w:val="24"/>
        </w:rPr>
        <w:t> </w:t>
      </w:r>
      <w:r>
        <w:rPr>
          <w:sz w:val="24"/>
        </w:rPr>
        <w:t>últimos</w:t>
      </w:r>
      <w:r>
        <w:rPr>
          <w:spacing w:val="-3"/>
          <w:sz w:val="24"/>
        </w:rPr>
        <w:t> </w:t>
      </w:r>
      <w:r>
        <w:rPr>
          <w:sz w:val="24"/>
        </w:rPr>
        <w:t>semestres</w:t>
      </w:r>
      <w:r>
        <w:rPr>
          <w:spacing w:val="-2"/>
          <w:sz w:val="24"/>
        </w:rPr>
        <w:t> </w:t>
      </w:r>
      <w:r>
        <w:rPr>
          <w:sz w:val="24"/>
        </w:rPr>
        <w:t>de</w:t>
      </w:r>
      <w:r>
        <w:rPr>
          <w:spacing w:val="-3"/>
          <w:sz w:val="24"/>
        </w:rPr>
        <w:t> </w:t>
      </w:r>
      <w:r>
        <w:rPr>
          <w:sz w:val="24"/>
        </w:rPr>
        <w:t>la</w:t>
      </w:r>
      <w:r>
        <w:rPr>
          <w:spacing w:val="-2"/>
          <w:sz w:val="24"/>
        </w:rPr>
        <w:t> </w:t>
      </w:r>
      <w:r>
        <w:rPr>
          <w:sz w:val="24"/>
        </w:rPr>
        <w:t>carrera?</w:t>
      </w:r>
      <w:r>
        <w:rPr>
          <w:spacing w:val="-32"/>
          <w:sz w:val="24"/>
        </w:rPr>
        <w:t> </w:t>
      </w:r>
      <w:r>
        <w:rPr>
          <w:sz w:val="24"/>
        </w:rPr>
        <w:t>....</w:t>
      </w:r>
    </w:p>
    <w:p>
      <w:pPr>
        <w:pStyle w:val="BodyText"/>
        <w:spacing w:before="41"/>
        <w:ind w:left="680"/>
      </w:pPr>
      <w:r>
        <w:rPr/>
        <w:t>................................................................................................................................... 141</w:t>
      </w:r>
    </w:p>
    <w:p>
      <w:pPr>
        <w:pStyle w:val="ListParagraph"/>
        <w:numPr>
          <w:ilvl w:val="1"/>
          <w:numId w:val="25"/>
        </w:numPr>
        <w:tabs>
          <w:tab w:pos="668" w:val="left" w:leader="none"/>
          <w:tab w:pos="669" w:val="left" w:leader="none"/>
          <w:tab w:pos="8930" w:val="right" w:leader="dot"/>
        </w:tabs>
        <w:spacing w:line="240" w:lineRule="auto" w:before="141" w:after="0"/>
        <w:ind w:left="668" w:right="0" w:hanging="566"/>
        <w:jc w:val="left"/>
        <w:rPr>
          <w:sz w:val="24"/>
        </w:rPr>
      </w:pPr>
      <w:r>
        <w:rPr>
          <w:sz w:val="24"/>
        </w:rPr>
        <w:t>Su primer empleo estaba relacionado con su</w:t>
      </w:r>
      <w:r>
        <w:rPr>
          <w:spacing w:val="-1"/>
          <w:sz w:val="24"/>
        </w:rPr>
        <w:t> </w:t>
      </w:r>
      <w:r>
        <w:rPr>
          <w:sz w:val="24"/>
        </w:rPr>
        <w:t>carrera</w:t>
      </w:r>
      <w:r>
        <w:rPr>
          <w:spacing w:val="-2"/>
          <w:sz w:val="24"/>
        </w:rPr>
        <w:t> </w:t>
      </w:r>
      <w:r>
        <w:rPr>
          <w:sz w:val="24"/>
        </w:rPr>
        <w:t>profesional.</w:t>
        <w:tab/>
        <w:t>143</w:t>
      </w:r>
    </w:p>
    <w:p>
      <w:pPr>
        <w:pStyle w:val="ListParagraph"/>
        <w:numPr>
          <w:ilvl w:val="1"/>
          <w:numId w:val="25"/>
        </w:numPr>
        <w:tabs>
          <w:tab w:pos="668" w:val="left" w:leader="none"/>
          <w:tab w:pos="669" w:val="left" w:leader="none"/>
        </w:tabs>
        <w:spacing w:line="240" w:lineRule="auto" w:before="139" w:after="0"/>
        <w:ind w:left="668" w:right="0" w:hanging="566"/>
        <w:jc w:val="left"/>
        <w:rPr>
          <w:sz w:val="24"/>
        </w:rPr>
      </w:pPr>
      <w:r>
        <w:rPr>
          <w:sz w:val="24"/>
        </w:rPr>
        <w:t>La enseñanza recibida en la Facultad de Economía de la UAEMéx</w:t>
      </w:r>
      <w:r>
        <w:rPr>
          <w:spacing w:val="-14"/>
          <w:sz w:val="24"/>
        </w:rPr>
        <w:t> </w:t>
      </w:r>
      <w:r>
        <w:rPr>
          <w:sz w:val="24"/>
        </w:rPr>
        <w:t>ofrece</w:t>
      </w:r>
    </w:p>
    <w:p>
      <w:pPr>
        <w:pStyle w:val="BodyText"/>
        <w:tabs>
          <w:tab w:pos="8930" w:val="right" w:leader="dot"/>
        </w:tabs>
        <w:spacing w:before="141"/>
        <w:ind w:left="668"/>
      </w:pPr>
      <w:r>
        <w:rPr/>
        <w:t>una</w:t>
      </w:r>
      <w:r>
        <w:rPr>
          <w:spacing w:val="-1"/>
        </w:rPr>
        <w:t> </w:t>
      </w:r>
      <w:r>
        <w:rPr/>
        <w:t>formación</w:t>
        <w:tab/>
        <w:t>144</w:t>
      </w:r>
    </w:p>
    <w:p>
      <w:pPr>
        <w:pStyle w:val="ListParagraph"/>
        <w:numPr>
          <w:ilvl w:val="1"/>
          <w:numId w:val="25"/>
        </w:numPr>
        <w:tabs>
          <w:tab w:pos="668" w:val="left" w:leader="none"/>
          <w:tab w:pos="669" w:val="left" w:leader="none"/>
        </w:tabs>
        <w:spacing w:line="240" w:lineRule="auto" w:before="141" w:after="0"/>
        <w:ind w:left="668" w:right="0" w:hanging="566"/>
        <w:jc w:val="left"/>
        <w:rPr>
          <w:sz w:val="24"/>
        </w:rPr>
      </w:pPr>
      <w:r>
        <w:rPr>
          <w:sz w:val="24"/>
        </w:rPr>
        <w:t>Sus fuentes de información sobre las posibilidades de empleo durante</w:t>
      </w:r>
      <w:r>
        <w:rPr>
          <w:spacing w:val="-13"/>
          <w:sz w:val="24"/>
        </w:rPr>
        <w:t> </w:t>
      </w:r>
      <w:r>
        <w:rPr>
          <w:sz w:val="24"/>
        </w:rPr>
        <w:t>la</w:t>
      </w:r>
    </w:p>
    <w:p>
      <w:pPr>
        <w:pStyle w:val="BodyText"/>
        <w:tabs>
          <w:tab w:pos="8930" w:val="right" w:leader="dot"/>
        </w:tabs>
        <w:spacing w:before="141"/>
        <w:ind w:left="668"/>
      </w:pPr>
      <w:r>
        <w:rPr/>
        <w:t>carrera</w:t>
      </w:r>
      <w:r>
        <w:rPr>
          <w:spacing w:val="-1"/>
        </w:rPr>
        <w:t> </w:t>
      </w:r>
      <w:r>
        <w:rPr/>
        <w:t>fueron</w:t>
        <w:tab/>
        <w:t>145</w:t>
      </w:r>
    </w:p>
    <w:p>
      <w:pPr>
        <w:pStyle w:val="ListParagraph"/>
        <w:numPr>
          <w:ilvl w:val="1"/>
          <w:numId w:val="25"/>
        </w:numPr>
        <w:tabs>
          <w:tab w:pos="668" w:val="left" w:leader="none"/>
          <w:tab w:pos="669" w:val="left" w:leader="none"/>
          <w:tab w:pos="8930" w:val="right" w:leader="dot"/>
        </w:tabs>
        <w:spacing w:line="240" w:lineRule="auto" w:before="141" w:after="0"/>
        <w:ind w:left="668" w:right="0" w:hanging="566"/>
        <w:jc w:val="left"/>
        <w:rPr>
          <w:sz w:val="24"/>
        </w:rPr>
      </w:pPr>
      <w:r>
        <w:rPr>
          <w:sz w:val="24"/>
        </w:rPr>
        <w:t>Tipo de contrato que obtuvo en su</w:t>
      </w:r>
      <w:r>
        <w:rPr>
          <w:spacing w:val="-3"/>
          <w:sz w:val="24"/>
        </w:rPr>
        <w:t> </w:t>
      </w:r>
      <w:r>
        <w:rPr>
          <w:sz w:val="24"/>
        </w:rPr>
        <w:t>primer</w:t>
      </w:r>
      <w:r>
        <w:rPr>
          <w:spacing w:val="-3"/>
          <w:sz w:val="24"/>
        </w:rPr>
        <w:t> </w:t>
      </w:r>
      <w:r>
        <w:rPr>
          <w:sz w:val="24"/>
        </w:rPr>
        <w:t>empleo</w:t>
        <w:tab/>
        <w:t>147</w:t>
      </w:r>
    </w:p>
    <w:p>
      <w:pPr>
        <w:pStyle w:val="ListParagraph"/>
        <w:numPr>
          <w:ilvl w:val="1"/>
          <w:numId w:val="25"/>
        </w:numPr>
        <w:tabs>
          <w:tab w:pos="668" w:val="left" w:leader="none"/>
          <w:tab w:pos="669" w:val="left" w:leader="none"/>
          <w:tab w:pos="8930" w:val="right" w:leader="dot"/>
        </w:tabs>
        <w:spacing w:line="240" w:lineRule="auto" w:before="141" w:after="0"/>
        <w:ind w:left="668" w:right="0" w:hanging="566"/>
        <w:jc w:val="left"/>
        <w:rPr>
          <w:sz w:val="24"/>
        </w:rPr>
      </w:pPr>
      <w:r>
        <w:rPr>
          <w:sz w:val="24"/>
        </w:rPr>
        <w:t>¿Para cuántos empleadores ha trabajado desde que egresó de</w:t>
      </w:r>
      <w:r>
        <w:rPr>
          <w:spacing w:val="-7"/>
          <w:sz w:val="24"/>
        </w:rPr>
        <w:t> </w:t>
      </w:r>
      <w:r>
        <w:rPr>
          <w:sz w:val="24"/>
        </w:rPr>
        <w:t>la</w:t>
      </w:r>
      <w:r>
        <w:rPr>
          <w:spacing w:val="-2"/>
          <w:sz w:val="24"/>
        </w:rPr>
        <w:t> </w:t>
      </w:r>
      <w:r>
        <w:rPr>
          <w:sz w:val="24"/>
        </w:rPr>
        <w:t>licenciatura?</w:t>
        <w:tab/>
        <w:t>147</w:t>
      </w:r>
    </w:p>
    <w:p>
      <w:pPr>
        <w:pStyle w:val="ListParagraph"/>
        <w:numPr>
          <w:ilvl w:val="1"/>
          <w:numId w:val="25"/>
        </w:numPr>
        <w:tabs>
          <w:tab w:pos="668" w:val="left" w:leader="none"/>
          <w:tab w:pos="669" w:val="left" w:leader="none"/>
          <w:tab w:pos="8930" w:val="right" w:leader="dot"/>
        </w:tabs>
        <w:spacing w:line="240" w:lineRule="auto" w:before="142" w:after="0"/>
        <w:ind w:left="668" w:right="0" w:hanging="566"/>
        <w:jc w:val="left"/>
        <w:rPr>
          <w:sz w:val="24"/>
        </w:rPr>
      </w:pPr>
      <w:r>
        <w:rPr>
          <w:sz w:val="24"/>
        </w:rPr>
        <w:t>Primer</w:t>
      </w:r>
      <w:r>
        <w:rPr>
          <w:spacing w:val="-1"/>
          <w:sz w:val="24"/>
        </w:rPr>
        <w:t> </w:t>
      </w:r>
      <w:r>
        <w:rPr>
          <w:sz w:val="24"/>
        </w:rPr>
        <w:t>salario</w:t>
        <w:tab/>
        <w:t>148</w:t>
      </w:r>
    </w:p>
    <w:p>
      <w:pPr>
        <w:pStyle w:val="ListParagraph"/>
        <w:numPr>
          <w:ilvl w:val="1"/>
          <w:numId w:val="25"/>
        </w:numPr>
        <w:tabs>
          <w:tab w:pos="668" w:val="left" w:leader="none"/>
          <w:tab w:pos="669" w:val="left" w:leader="none"/>
          <w:tab w:pos="8930" w:val="right" w:leader="dot"/>
        </w:tabs>
        <w:spacing w:line="240" w:lineRule="auto" w:before="141" w:after="0"/>
        <w:ind w:left="668" w:right="0" w:hanging="566"/>
        <w:jc w:val="left"/>
        <w:rPr>
          <w:sz w:val="24"/>
        </w:rPr>
      </w:pPr>
      <w:r>
        <w:rPr>
          <w:sz w:val="24"/>
        </w:rPr>
        <w:t>Para encontrar  su primer empleo, tuvo</w:t>
      </w:r>
      <w:r>
        <w:rPr>
          <w:spacing w:val="-3"/>
          <w:sz w:val="24"/>
        </w:rPr>
        <w:t> </w:t>
      </w:r>
      <w:r>
        <w:rPr>
          <w:sz w:val="24"/>
        </w:rPr>
        <w:t>ayuda</w:t>
      </w:r>
      <w:r>
        <w:rPr>
          <w:spacing w:val="-2"/>
          <w:sz w:val="24"/>
        </w:rPr>
        <w:t> </w:t>
      </w:r>
      <w:r>
        <w:rPr>
          <w:sz w:val="24"/>
        </w:rPr>
        <w:t>de</w:t>
        <w:tab/>
        <w:t>149</w:t>
      </w:r>
    </w:p>
    <w:p>
      <w:pPr>
        <w:pStyle w:val="ListParagraph"/>
        <w:numPr>
          <w:ilvl w:val="1"/>
          <w:numId w:val="25"/>
        </w:numPr>
        <w:tabs>
          <w:tab w:pos="669" w:val="left" w:leader="none"/>
          <w:tab w:pos="8930" w:val="right" w:leader="dot"/>
        </w:tabs>
        <w:spacing w:line="240" w:lineRule="auto" w:before="141" w:after="0"/>
        <w:ind w:left="668" w:right="0" w:hanging="566"/>
        <w:jc w:val="left"/>
        <w:rPr>
          <w:sz w:val="24"/>
        </w:rPr>
      </w:pPr>
      <w:r>
        <w:rPr>
          <w:sz w:val="24"/>
        </w:rPr>
        <w:t>¿Cómo fue su incorporación al mercado de trabajo por</w:t>
      </w:r>
      <w:r>
        <w:rPr>
          <w:spacing w:val="-4"/>
          <w:sz w:val="24"/>
        </w:rPr>
        <w:t> </w:t>
      </w:r>
      <w:r>
        <w:rPr>
          <w:sz w:val="24"/>
        </w:rPr>
        <w:t>primera</w:t>
      </w:r>
      <w:r>
        <w:rPr>
          <w:spacing w:val="-3"/>
          <w:sz w:val="24"/>
        </w:rPr>
        <w:t> </w:t>
      </w:r>
      <w:r>
        <w:rPr>
          <w:sz w:val="24"/>
        </w:rPr>
        <w:t>vez?</w:t>
        <w:tab/>
        <w:t>150</w:t>
      </w:r>
    </w:p>
    <w:p>
      <w:pPr>
        <w:pStyle w:val="ListParagraph"/>
        <w:numPr>
          <w:ilvl w:val="1"/>
          <w:numId w:val="25"/>
        </w:numPr>
        <w:tabs>
          <w:tab w:pos="669" w:val="left" w:leader="none"/>
          <w:tab w:pos="8930" w:val="right" w:leader="dot"/>
        </w:tabs>
        <w:spacing w:line="240" w:lineRule="auto" w:before="141" w:after="0"/>
        <w:ind w:left="668" w:right="0" w:hanging="566"/>
        <w:jc w:val="left"/>
        <w:rPr>
          <w:sz w:val="24"/>
        </w:rPr>
      </w:pPr>
      <w:r>
        <w:rPr>
          <w:sz w:val="24"/>
        </w:rPr>
        <w:t>Tiempo que tardó en encontrar su</w:t>
      </w:r>
      <w:r>
        <w:rPr>
          <w:spacing w:val="-1"/>
          <w:sz w:val="24"/>
        </w:rPr>
        <w:t> </w:t>
      </w:r>
      <w:r>
        <w:rPr>
          <w:sz w:val="24"/>
        </w:rPr>
        <w:t>primer empleo</w:t>
        <w:tab/>
        <w:t>150</w:t>
      </w:r>
    </w:p>
    <w:p>
      <w:pPr>
        <w:pStyle w:val="ListParagraph"/>
        <w:numPr>
          <w:ilvl w:val="1"/>
          <w:numId w:val="25"/>
        </w:numPr>
        <w:tabs>
          <w:tab w:pos="669" w:val="left" w:leader="none"/>
        </w:tabs>
        <w:spacing w:line="240" w:lineRule="auto" w:before="141" w:after="0"/>
        <w:ind w:left="668" w:right="0" w:hanging="566"/>
        <w:jc w:val="left"/>
        <w:rPr>
          <w:sz w:val="24"/>
        </w:rPr>
      </w:pPr>
      <w:r>
        <w:rPr>
          <w:sz w:val="24"/>
        </w:rPr>
        <w:t>Señale si realizó alguna de estas actividades complementarias</w:t>
      </w:r>
      <w:r>
        <w:rPr>
          <w:spacing w:val="-16"/>
          <w:sz w:val="24"/>
        </w:rPr>
        <w:t> </w:t>
      </w:r>
      <w:r>
        <w:rPr>
          <w:sz w:val="24"/>
        </w:rPr>
        <w:t>(extracurriculares,</w:t>
      </w:r>
    </w:p>
    <w:p>
      <w:pPr>
        <w:pStyle w:val="BodyText"/>
        <w:tabs>
          <w:tab w:pos="8930" w:val="right" w:leader="dot"/>
        </w:tabs>
        <w:spacing w:before="139"/>
        <w:ind w:left="668"/>
      </w:pPr>
      <w:r>
        <w:rPr/>
        <w:t>no contenidas en el plan de estudios) durante o después de</w:t>
      </w:r>
      <w:r>
        <w:rPr>
          <w:spacing w:val="-3"/>
        </w:rPr>
        <w:t> </w:t>
      </w:r>
      <w:r>
        <w:rPr/>
        <w:t>la</w:t>
      </w:r>
      <w:r>
        <w:rPr>
          <w:spacing w:val="-1"/>
        </w:rPr>
        <w:t> </w:t>
      </w:r>
      <w:r>
        <w:rPr/>
        <w:t>carrera</w:t>
        <w:tab/>
        <w:t>154</w:t>
      </w:r>
    </w:p>
    <w:p>
      <w:pPr>
        <w:pStyle w:val="ListParagraph"/>
        <w:numPr>
          <w:ilvl w:val="1"/>
          <w:numId w:val="25"/>
        </w:numPr>
        <w:tabs>
          <w:tab w:pos="669" w:val="left" w:leader="none"/>
          <w:tab w:pos="8930" w:val="right" w:leader="dot"/>
        </w:tabs>
        <w:spacing w:line="240" w:lineRule="auto" w:before="141" w:after="0"/>
        <w:ind w:left="668" w:right="0" w:hanging="566"/>
        <w:jc w:val="left"/>
        <w:rPr>
          <w:sz w:val="24"/>
        </w:rPr>
      </w:pPr>
      <w:r>
        <w:rPr>
          <w:sz w:val="24"/>
        </w:rPr>
        <w:t>¿Trabaja</w:t>
      </w:r>
      <w:r>
        <w:rPr>
          <w:spacing w:val="-1"/>
          <w:sz w:val="24"/>
        </w:rPr>
        <w:t> </w:t>
      </w:r>
      <w:r>
        <w:rPr>
          <w:sz w:val="24"/>
        </w:rPr>
        <w:t>actualmente?</w:t>
        <w:tab/>
        <w:t>157</w:t>
      </w:r>
    </w:p>
    <w:p>
      <w:pPr>
        <w:pStyle w:val="ListParagraph"/>
        <w:numPr>
          <w:ilvl w:val="1"/>
          <w:numId w:val="25"/>
        </w:numPr>
        <w:tabs>
          <w:tab w:pos="669" w:val="left" w:leader="none"/>
          <w:tab w:pos="8930" w:val="right" w:leader="dot"/>
        </w:tabs>
        <w:spacing w:line="240" w:lineRule="auto" w:before="141" w:after="0"/>
        <w:ind w:left="668" w:right="0" w:hanging="566"/>
        <w:jc w:val="left"/>
        <w:rPr>
          <w:sz w:val="24"/>
        </w:rPr>
      </w:pPr>
      <w:r>
        <w:rPr>
          <w:sz w:val="24"/>
        </w:rPr>
        <w:t>Relación entre trabajo actual y profesión</w:t>
      </w:r>
      <w:r>
        <w:rPr>
          <w:spacing w:val="-6"/>
          <w:sz w:val="24"/>
        </w:rPr>
        <w:t> </w:t>
      </w:r>
      <w:r>
        <w:rPr>
          <w:sz w:val="24"/>
        </w:rPr>
        <w:t>de</w:t>
      </w:r>
      <w:r>
        <w:rPr>
          <w:spacing w:val="-2"/>
          <w:sz w:val="24"/>
        </w:rPr>
        <w:t> </w:t>
      </w:r>
      <w:r>
        <w:rPr>
          <w:sz w:val="24"/>
        </w:rPr>
        <w:t>economía</w:t>
        <w:tab/>
        <w:t>158</w:t>
      </w:r>
    </w:p>
    <w:p>
      <w:pPr>
        <w:pStyle w:val="ListParagraph"/>
        <w:numPr>
          <w:ilvl w:val="1"/>
          <w:numId w:val="25"/>
        </w:numPr>
        <w:tabs>
          <w:tab w:pos="669" w:val="left" w:leader="none"/>
          <w:tab w:pos="8930" w:val="right" w:leader="dot"/>
        </w:tabs>
        <w:spacing w:line="240" w:lineRule="auto" w:before="142" w:after="0"/>
        <w:ind w:left="668" w:right="0" w:hanging="566"/>
        <w:jc w:val="left"/>
        <w:rPr>
          <w:sz w:val="24"/>
        </w:rPr>
      </w:pPr>
      <w:r>
        <w:rPr>
          <w:sz w:val="24"/>
        </w:rPr>
        <w:t>Empleo actual ¿tiempo completo</w:t>
      </w:r>
      <w:r>
        <w:rPr>
          <w:spacing w:val="-3"/>
          <w:sz w:val="24"/>
        </w:rPr>
        <w:t> </w:t>
      </w:r>
      <w:r>
        <w:rPr>
          <w:sz w:val="24"/>
        </w:rPr>
        <w:t>o</w:t>
      </w:r>
      <w:r>
        <w:rPr>
          <w:spacing w:val="-1"/>
          <w:sz w:val="24"/>
        </w:rPr>
        <w:t> </w:t>
      </w:r>
      <w:r>
        <w:rPr>
          <w:sz w:val="24"/>
        </w:rPr>
        <w:t>parcial?</w:t>
        <w:tab/>
        <w:t>159</w:t>
      </w:r>
    </w:p>
    <w:p>
      <w:pPr>
        <w:pStyle w:val="ListParagraph"/>
        <w:numPr>
          <w:ilvl w:val="1"/>
          <w:numId w:val="25"/>
        </w:numPr>
        <w:tabs>
          <w:tab w:pos="669" w:val="left" w:leader="none"/>
          <w:tab w:pos="8930" w:val="right" w:leader="dot"/>
        </w:tabs>
        <w:spacing w:line="240" w:lineRule="auto" w:before="141" w:after="0"/>
        <w:ind w:left="668" w:right="0" w:hanging="566"/>
        <w:jc w:val="left"/>
        <w:rPr>
          <w:sz w:val="24"/>
        </w:rPr>
      </w:pPr>
      <w:r>
        <w:rPr>
          <w:sz w:val="24"/>
        </w:rPr>
        <w:t>Puesto ocupado en el</w:t>
      </w:r>
      <w:r>
        <w:rPr>
          <w:spacing w:val="-1"/>
          <w:sz w:val="24"/>
        </w:rPr>
        <w:t> </w:t>
      </w:r>
      <w:r>
        <w:rPr>
          <w:sz w:val="24"/>
        </w:rPr>
        <w:t>empleado</w:t>
      </w:r>
      <w:r>
        <w:rPr>
          <w:spacing w:val="-1"/>
          <w:sz w:val="24"/>
        </w:rPr>
        <w:t> </w:t>
      </w:r>
      <w:r>
        <w:rPr>
          <w:sz w:val="24"/>
        </w:rPr>
        <w:t>actual</w:t>
        <w:tab/>
        <w:t>160</w:t>
      </w:r>
    </w:p>
    <w:p>
      <w:pPr>
        <w:pStyle w:val="ListParagraph"/>
        <w:numPr>
          <w:ilvl w:val="1"/>
          <w:numId w:val="25"/>
        </w:numPr>
        <w:tabs>
          <w:tab w:pos="669" w:val="left" w:leader="none"/>
          <w:tab w:pos="8930" w:val="right" w:leader="dot"/>
        </w:tabs>
        <w:spacing w:line="240" w:lineRule="auto" w:before="141" w:after="0"/>
        <w:ind w:left="668" w:right="0" w:hanging="566"/>
        <w:jc w:val="left"/>
        <w:rPr>
          <w:sz w:val="24"/>
        </w:rPr>
      </w:pPr>
      <w:r>
        <w:rPr>
          <w:sz w:val="24"/>
        </w:rPr>
        <w:t>Salario mensual obtenido</w:t>
      </w:r>
      <w:r>
        <w:rPr>
          <w:spacing w:val="1"/>
          <w:sz w:val="24"/>
        </w:rPr>
        <w:t> </w:t>
      </w:r>
      <w:r>
        <w:rPr>
          <w:sz w:val="24"/>
        </w:rPr>
        <w:t>empleo</w:t>
      </w:r>
      <w:r>
        <w:rPr>
          <w:spacing w:val="-1"/>
          <w:sz w:val="24"/>
        </w:rPr>
        <w:t> </w:t>
      </w:r>
      <w:r>
        <w:rPr>
          <w:sz w:val="24"/>
        </w:rPr>
        <w:t>actual</w:t>
        <w:tab/>
        <w:t>161</w:t>
      </w:r>
    </w:p>
    <w:p>
      <w:pPr>
        <w:pStyle w:val="ListParagraph"/>
        <w:numPr>
          <w:ilvl w:val="1"/>
          <w:numId w:val="26"/>
        </w:numPr>
        <w:tabs>
          <w:tab w:pos="668" w:val="left" w:leader="none"/>
          <w:tab w:pos="669" w:val="left" w:leader="none"/>
          <w:tab w:pos="8930" w:val="right" w:leader="dot"/>
        </w:tabs>
        <w:spacing w:line="240" w:lineRule="auto" w:before="141" w:after="0"/>
        <w:ind w:left="668" w:right="0" w:hanging="566"/>
        <w:jc w:val="left"/>
        <w:rPr>
          <w:sz w:val="24"/>
        </w:rPr>
      </w:pPr>
      <w:r>
        <w:rPr>
          <w:sz w:val="24"/>
        </w:rPr>
        <w:t>Red social – segmentación</w:t>
      </w:r>
      <w:r>
        <w:rPr>
          <w:spacing w:val="-1"/>
          <w:sz w:val="24"/>
        </w:rPr>
        <w:t> </w:t>
      </w:r>
      <w:r>
        <w:rPr>
          <w:sz w:val="24"/>
        </w:rPr>
        <w:t>por</w:t>
      </w:r>
      <w:r>
        <w:rPr>
          <w:spacing w:val="-2"/>
          <w:sz w:val="24"/>
        </w:rPr>
        <w:t> </w:t>
      </w:r>
      <w:r>
        <w:rPr>
          <w:sz w:val="24"/>
        </w:rPr>
        <w:t>generación</w:t>
        <w:tab/>
        <w:t>171</w:t>
      </w:r>
    </w:p>
    <w:p>
      <w:pPr>
        <w:pStyle w:val="ListParagraph"/>
        <w:numPr>
          <w:ilvl w:val="1"/>
          <w:numId w:val="26"/>
        </w:numPr>
        <w:tabs>
          <w:tab w:pos="668" w:val="left" w:leader="none"/>
          <w:tab w:pos="669" w:val="left" w:leader="none"/>
          <w:tab w:pos="8930" w:val="right" w:leader="dot"/>
        </w:tabs>
        <w:spacing w:line="240" w:lineRule="auto" w:before="141" w:after="0"/>
        <w:ind w:left="668" w:right="0" w:hanging="566"/>
        <w:jc w:val="left"/>
        <w:rPr>
          <w:sz w:val="24"/>
        </w:rPr>
      </w:pPr>
      <w:r>
        <w:rPr>
          <w:sz w:val="24"/>
        </w:rPr>
        <w:t>Contacto entre compañeros</w:t>
      </w:r>
      <w:r>
        <w:rPr>
          <w:spacing w:val="-2"/>
          <w:sz w:val="24"/>
        </w:rPr>
        <w:t> </w:t>
      </w:r>
      <w:r>
        <w:rPr>
          <w:sz w:val="24"/>
        </w:rPr>
        <w:t>de</w:t>
      </w:r>
      <w:r>
        <w:rPr>
          <w:spacing w:val="-2"/>
          <w:sz w:val="24"/>
        </w:rPr>
        <w:t> </w:t>
      </w:r>
      <w:r>
        <w:rPr>
          <w:sz w:val="24"/>
        </w:rPr>
        <w:t>generación</w:t>
        <w:tab/>
        <w:t>173</w:t>
      </w:r>
    </w:p>
    <w:p>
      <w:pPr>
        <w:pStyle w:val="ListParagraph"/>
        <w:numPr>
          <w:ilvl w:val="1"/>
          <w:numId w:val="26"/>
        </w:numPr>
        <w:tabs>
          <w:tab w:pos="668" w:val="left" w:leader="none"/>
          <w:tab w:pos="669" w:val="left" w:leader="none"/>
          <w:tab w:pos="8930" w:val="right" w:leader="dot"/>
        </w:tabs>
        <w:spacing w:line="240" w:lineRule="auto" w:before="141" w:after="0"/>
        <w:ind w:left="668" w:right="0" w:hanging="566"/>
        <w:jc w:val="left"/>
        <w:rPr>
          <w:sz w:val="24"/>
        </w:rPr>
      </w:pPr>
      <w:r>
        <w:rPr>
          <w:sz w:val="24"/>
        </w:rPr>
        <w:t>Red de ayuda para</w:t>
      </w:r>
      <w:r>
        <w:rPr>
          <w:spacing w:val="-5"/>
          <w:sz w:val="24"/>
        </w:rPr>
        <w:t> </w:t>
      </w:r>
      <w:r>
        <w:rPr>
          <w:sz w:val="24"/>
        </w:rPr>
        <w:t>primer</w:t>
      </w:r>
      <w:r>
        <w:rPr>
          <w:spacing w:val="-1"/>
          <w:sz w:val="24"/>
        </w:rPr>
        <w:t> </w:t>
      </w:r>
      <w:r>
        <w:rPr>
          <w:sz w:val="24"/>
        </w:rPr>
        <w:t>empleo</w:t>
        <w:tab/>
        <w:t>174</w:t>
      </w:r>
    </w:p>
    <w:p>
      <w:pPr>
        <w:pStyle w:val="ListParagraph"/>
        <w:numPr>
          <w:ilvl w:val="1"/>
          <w:numId w:val="26"/>
        </w:numPr>
        <w:tabs>
          <w:tab w:pos="668" w:val="left" w:leader="none"/>
          <w:tab w:pos="669" w:val="left" w:leader="none"/>
          <w:tab w:pos="8930" w:val="right" w:leader="dot"/>
        </w:tabs>
        <w:spacing w:line="240" w:lineRule="auto" w:before="141" w:after="0"/>
        <w:ind w:left="668" w:right="0" w:hanging="566"/>
        <w:jc w:val="left"/>
        <w:rPr>
          <w:sz w:val="24"/>
        </w:rPr>
      </w:pPr>
      <w:r>
        <w:rPr>
          <w:sz w:val="24"/>
        </w:rPr>
        <w:t>Tiene hermanos que estudien en la facultad</w:t>
      </w:r>
      <w:r>
        <w:rPr>
          <w:spacing w:val="-3"/>
          <w:sz w:val="24"/>
        </w:rPr>
        <w:t> </w:t>
      </w:r>
      <w:r>
        <w:rPr>
          <w:sz w:val="24"/>
        </w:rPr>
        <w:t>de</w:t>
      </w:r>
      <w:r>
        <w:rPr>
          <w:spacing w:val="-2"/>
          <w:sz w:val="24"/>
        </w:rPr>
        <w:t> </w:t>
      </w:r>
      <w:r>
        <w:rPr>
          <w:sz w:val="24"/>
        </w:rPr>
        <w:t>Economía</w:t>
        <w:tab/>
        <w:t>176</w:t>
      </w:r>
    </w:p>
    <w:p>
      <w:pPr>
        <w:pStyle w:val="ListParagraph"/>
        <w:numPr>
          <w:ilvl w:val="1"/>
          <w:numId w:val="26"/>
        </w:numPr>
        <w:tabs>
          <w:tab w:pos="668" w:val="left" w:leader="none"/>
          <w:tab w:pos="669" w:val="left" w:leader="none"/>
          <w:tab w:pos="8930" w:val="right" w:leader="dot"/>
        </w:tabs>
        <w:spacing w:line="240" w:lineRule="auto" w:before="139" w:after="0"/>
        <w:ind w:left="668" w:right="0" w:hanging="566"/>
        <w:jc w:val="left"/>
        <w:rPr>
          <w:sz w:val="24"/>
        </w:rPr>
      </w:pPr>
      <w:r>
        <w:rPr>
          <w:sz w:val="24"/>
        </w:rPr>
        <w:t>Red familiar estudiaron en la facultad de</w:t>
      </w:r>
      <w:r>
        <w:rPr>
          <w:spacing w:val="-2"/>
          <w:sz w:val="24"/>
        </w:rPr>
        <w:t> </w:t>
      </w:r>
      <w:r>
        <w:rPr>
          <w:sz w:val="24"/>
        </w:rPr>
        <w:t>Economía</w:t>
        <w:tab/>
        <w:t>177</w:t>
      </w:r>
    </w:p>
    <w:p>
      <w:pPr>
        <w:pStyle w:val="ListParagraph"/>
        <w:numPr>
          <w:ilvl w:val="1"/>
          <w:numId w:val="26"/>
        </w:numPr>
        <w:tabs>
          <w:tab w:pos="668" w:val="left" w:leader="none"/>
          <w:tab w:pos="669" w:val="left" w:leader="none"/>
          <w:tab w:pos="8930" w:val="right" w:leader="dot"/>
        </w:tabs>
        <w:spacing w:line="240" w:lineRule="auto" w:before="142" w:after="0"/>
        <w:ind w:left="668" w:right="0" w:hanging="566"/>
        <w:jc w:val="left"/>
        <w:rPr>
          <w:sz w:val="24"/>
        </w:rPr>
      </w:pPr>
      <w:r>
        <w:rPr>
          <w:sz w:val="24"/>
        </w:rPr>
        <w:t>Red social – compañeros de</w:t>
      </w:r>
      <w:r>
        <w:rPr>
          <w:spacing w:val="-2"/>
          <w:sz w:val="24"/>
        </w:rPr>
        <w:t> </w:t>
      </w:r>
      <w:r>
        <w:rPr>
          <w:sz w:val="24"/>
        </w:rPr>
        <w:t>trabajo</w:t>
        <w:tab/>
        <w:t>178</w:t>
      </w:r>
    </w:p>
    <w:p>
      <w:pPr>
        <w:pStyle w:val="BodyText"/>
        <w:tabs>
          <w:tab w:pos="8930" w:val="right" w:leader="dot"/>
        </w:tabs>
        <w:spacing w:before="141"/>
        <w:ind w:left="102"/>
      </w:pPr>
      <w:r>
        <w:rPr/>
        <w:t>7.6a.  Red social – compañeros de trabajo</w:t>
      </w:r>
      <w:r>
        <w:rPr>
          <w:spacing w:val="-21"/>
        </w:rPr>
        <w:t> </w:t>
      </w:r>
      <w:r>
        <w:rPr/>
        <w:t>(primera</w:t>
      </w:r>
      <w:r>
        <w:rPr>
          <w:spacing w:val="-3"/>
        </w:rPr>
        <w:t> </w:t>
      </w:r>
      <w:r>
        <w:rPr/>
        <w:t>parte)</w:t>
        <w:tab/>
        <w:t>178</w:t>
      </w:r>
    </w:p>
    <w:p>
      <w:pPr>
        <w:pStyle w:val="BodyText"/>
        <w:tabs>
          <w:tab w:pos="8930" w:val="right" w:leader="dot"/>
        </w:tabs>
        <w:spacing w:before="141"/>
        <w:ind w:left="102"/>
      </w:pPr>
      <w:r>
        <w:rPr/>
        <w:t>7.6b. Red social – compañeros de trabajo</w:t>
      </w:r>
      <w:r>
        <w:rPr>
          <w:spacing w:val="25"/>
        </w:rPr>
        <w:t> </w:t>
      </w:r>
      <w:r>
        <w:rPr/>
        <w:t>(segunda</w:t>
      </w:r>
      <w:r>
        <w:rPr>
          <w:spacing w:val="-2"/>
        </w:rPr>
        <w:t> </w:t>
      </w:r>
      <w:r>
        <w:rPr/>
        <w:t>parte)</w:t>
        <w:tab/>
        <w:t>179</w:t>
      </w:r>
    </w:p>
    <w:p>
      <w:pPr>
        <w:pStyle w:val="BodyText"/>
        <w:tabs>
          <w:tab w:pos="8930" w:val="right" w:leader="dot"/>
        </w:tabs>
        <w:spacing w:before="141"/>
        <w:ind w:left="102"/>
      </w:pPr>
      <w:r>
        <w:rPr/>
        <w:t>7.6c.  Red social – compañeros de trabajo</w:t>
      </w:r>
      <w:r>
        <w:rPr>
          <w:spacing w:val="-22"/>
        </w:rPr>
        <w:t> </w:t>
      </w:r>
      <w:r>
        <w:rPr/>
        <w:t>(tercera</w:t>
      </w:r>
      <w:r>
        <w:rPr>
          <w:spacing w:val="-3"/>
        </w:rPr>
        <w:t> </w:t>
      </w:r>
      <w:r>
        <w:rPr/>
        <w:t>parte)</w:t>
        <w:tab/>
        <w:t>179</w:t>
      </w:r>
    </w:p>
    <w:p>
      <w:pPr>
        <w:pStyle w:val="ListParagraph"/>
        <w:numPr>
          <w:ilvl w:val="1"/>
          <w:numId w:val="26"/>
        </w:numPr>
        <w:tabs>
          <w:tab w:pos="668" w:val="left" w:leader="none"/>
          <w:tab w:pos="669" w:val="left" w:leader="none"/>
          <w:tab w:pos="8930" w:val="right" w:leader="dot"/>
        </w:tabs>
        <w:spacing w:line="240" w:lineRule="auto" w:before="141" w:after="0"/>
        <w:ind w:left="668" w:right="0" w:hanging="566"/>
        <w:jc w:val="left"/>
        <w:rPr>
          <w:sz w:val="24"/>
        </w:rPr>
      </w:pPr>
      <w:r>
        <w:rPr>
          <w:sz w:val="24"/>
        </w:rPr>
        <w:t>Red social</w:t>
      </w:r>
      <w:r>
        <w:rPr>
          <w:spacing w:val="-1"/>
          <w:sz w:val="24"/>
        </w:rPr>
        <w:t> </w:t>
      </w:r>
      <w:r>
        <w:rPr>
          <w:sz w:val="24"/>
        </w:rPr>
        <w:t>–</w:t>
      </w:r>
      <w:r>
        <w:rPr>
          <w:spacing w:val="-1"/>
          <w:sz w:val="24"/>
        </w:rPr>
        <w:t> </w:t>
      </w:r>
      <w:r>
        <w:rPr>
          <w:sz w:val="24"/>
        </w:rPr>
        <w:t>amigos</w:t>
        <w:tab/>
        <w:t>180</w:t>
      </w:r>
    </w:p>
    <w:p>
      <w:pPr>
        <w:spacing w:after="0" w:line="240" w:lineRule="auto"/>
        <w:jc w:val="left"/>
        <w:rPr>
          <w:sz w:val="24"/>
        </w:rPr>
        <w:sectPr>
          <w:pgSz w:w="12240" w:h="15840"/>
          <w:pgMar w:header="0" w:footer="1480" w:top="1360" w:bottom="1680" w:left="1600" w:right="1580"/>
        </w:sectPr>
      </w:pPr>
    </w:p>
    <w:p>
      <w:pPr>
        <w:pStyle w:val="ListParagraph"/>
        <w:numPr>
          <w:ilvl w:val="1"/>
          <w:numId w:val="26"/>
        </w:numPr>
        <w:tabs>
          <w:tab w:pos="668" w:val="left" w:leader="none"/>
          <w:tab w:pos="669" w:val="left" w:leader="none"/>
          <w:tab w:pos="8930" w:val="right" w:leader="dot"/>
        </w:tabs>
        <w:spacing w:line="240" w:lineRule="auto" w:before="48" w:after="0"/>
        <w:ind w:left="668" w:right="0" w:hanging="566"/>
        <w:jc w:val="left"/>
        <w:rPr>
          <w:sz w:val="24"/>
        </w:rPr>
      </w:pPr>
      <w:r>
        <w:rPr>
          <w:sz w:val="24"/>
        </w:rPr>
        <w:t>Red social</w:t>
      </w:r>
      <w:r>
        <w:rPr>
          <w:spacing w:val="-1"/>
          <w:sz w:val="24"/>
        </w:rPr>
        <w:t> </w:t>
      </w:r>
      <w:r>
        <w:rPr>
          <w:sz w:val="24"/>
        </w:rPr>
        <w:t>–</w:t>
      </w:r>
      <w:r>
        <w:rPr>
          <w:spacing w:val="-1"/>
          <w:sz w:val="24"/>
        </w:rPr>
        <w:t> </w:t>
      </w:r>
      <w:r>
        <w:rPr>
          <w:sz w:val="24"/>
        </w:rPr>
        <w:t>profesores</w:t>
        <w:tab/>
        <w:t>181</w:t>
      </w:r>
    </w:p>
    <w:p>
      <w:pPr>
        <w:pStyle w:val="BodyText"/>
        <w:tabs>
          <w:tab w:pos="668" w:val="left" w:leader="none"/>
          <w:tab w:pos="8930" w:val="right" w:leader="dot"/>
        </w:tabs>
        <w:spacing w:before="141"/>
        <w:ind w:left="102"/>
      </w:pPr>
      <w:r>
        <w:rPr/>
        <w:t>8.1.</w:t>
        <w:tab/>
        <w:t>ICE egresados Economía</w:t>
      </w:r>
      <w:r>
        <w:rPr>
          <w:spacing w:val="2"/>
        </w:rPr>
        <w:t> </w:t>
      </w:r>
      <w:r>
        <w:rPr/>
        <w:t>UAEMéx,</w:t>
      </w:r>
      <w:r>
        <w:rPr>
          <w:spacing w:val="-1"/>
        </w:rPr>
        <w:t> </w:t>
      </w:r>
      <w:r>
        <w:rPr/>
        <w:t>2000-2010</w:t>
        <w:tab/>
        <w:t>190</w:t>
      </w:r>
    </w:p>
    <w:p>
      <w:pPr>
        <w:pStyle w:val="BodyText"/>
        <w:tabs>
          <w:tab w:pos="668" w:val="left" w:leader="none"/>
          <w:tab w:pos="8930" w:val="right" w:leader="dot"/>
        </w:tabs>
        <w:spacing w:before="141"/>
        <w:ind w:left="102"/>
      </w:pPr>
      <w:r>
        <w:rPr/>
        <w:t>8.2.</w:t>
        <w:tab/>
        <w:t>ICE vs PIB, 2000 –</w:t>
      </w:r>
      <w:r>
        <w:rPr>
          <w:spacing w:val="-1"/>
        </w:rPr>
        <w:t> </w:t>
      </w:r>
      <w:r>
        <w:rPr/>
        <w:t>2010</w:t>
        <w:tab/>
        <w:t>192</w:t>
      </w:r>
    </w:p>
    <w:p>
      <w:pPr>
        <w:pStyle w:val="BodyText"/>
        <w:tabs>
          <w:tab w:pos="668" w:val="left" w:leader="none"/>
          <w:tab w:pos="8930" w:val="right" w:leader="dot"/>
        </w:tabs>
        <w:spacing w:before="141"/>
        <w:ind w:left="102"/>
      </w:pPr>
      <w:r>
        <w:rPr/>
        <w:t>8.3.</w:t>
        <w:tab/>
        <w:t>ICE vs Tasa de desempleo, 2000</w:t>
      </w:r>
      <w:r>
        <w:rPr>
          <w:spacing w:val="-2"/>
        </w:rPr>
        <w:t> </w:t>
      </w:r>
      <w:r>
        <w:rPr/>
        <w:t>–</w:t>
      </w:r>
      <w:r>
        <w:rPr>
          <w:spacing w:val="-1"/>
        </w:rPr>
        <w:t> </w:t>
      </w:r>
      <w:r>
        <w:rPr/>
        <w:t>2010</w:t>
        <w:tab/>
        <w:t>193</w:t>
      </w:r>
    </w:p>
    <w:p>
      <w:pPr>
        <w:spacing w:after="0"/>
        <w:sectPr>
          <w:footerReference w:type="default" r:id="rId10"/>
          <w:pgSz w:w="12240" w:h="15840"/>
          <w:pgMar w:footer="1480" w:header="0" w:top="1360" w:bottom="1680" w:left="1600" w:right="1600"/>
        </w:sectPr>
      </w:pPr>
    </w:p>
    <w:p>
      <w:pPr>
        <w:pStyle w:val="Heading3"/>
        <w:ind w:left="4059" w:right="4060"/>
        <w:jc w:val="center"/>
      </w:pPr>
      <w:bookmarkStart w:name="_bookmark2" w:id="3"/>
      <w:bookmarkEnd w:id="3"/>
      <w:r>
        <w:rPr>
          <w:b w:val="0"/>
        </w:rPr>
      </w:r>
      <w:r>
        <w:rPr/>
        <w:t>SIGLAS</w:t>
      </w:r>
    </w:p>
    <w:p>
      <w:pPr>
        <w:pStyle w:val="BodyText"/>
        <w:rPr>
          <w:b/>
        </w:rPr>
      </w:pPr>
    </w:p>
    <w:p>
      <w:pPr>
        <w:pStyle w:val="BodyText"/>
        <w:spacing w:before="10"/>
        <w:rPr>
          <w:b/>
          <w:sz w:val="21"/>
        </w:rPr>
      </w:pPr>
    </w:p>
    <w:p>
      <w:pPr>
        <w:pStyle w:val="BodyText"/>
        <w:ind w:left="102"/>
      </w:pPr>
      <w:r>
        <w:rPr>
          <w:b/>
        </w:rPr>
        <w:t>ANUIES: </w:t>
      </w:r>
      <w:r>
        <w:rPr/>
        <w:t>Asociación Nacional de Universidades e Instituciones de Educación Superior.</w:t>
      </w:r>
    </w:p>
    <w:p>
      <w:pPr>
        <w:pStyle w:val="BodyText"/>
        <w:spacing w:before="139"/>
        <w:ind w:left="102"/>
      </w:pPr>
      <w:r>
        <w:rPr>
          <w:b/>
        </w:rPr>
        <w:t>BID: </w:t>
      </w:r>
      <w:r>
        <w:rPr/>
        <w:t>Banco Interamericano de Desarrollo.</w:t>
      </w:r>
    </w:p>
    <w:p>
      <w:pPr>
        <w:pStyle w:val="BodyText"/>
        <w:spacing w:before="137"/>
        <w:ind w:left="102"/>
      </w:pPr>
      <w:r>
        <w:rPr>
          <w:b/>
        </w:rPr>
        <w:t>CAV: </w:t>
      </w:r>
      <w:r>
        <w:rPr/>
        <w:t>Consejo Asesor de Vinculación.</w:t>
      </w:r>
    </w:p>
    <w:p>
      <w:pPr>
        <w:pStyle w:val="BodyText"/>
        <w:spacing w:before="139"/>
        <w:ind w:left="102"/>
      </w:pPr>
      <w:r>
        <w:rPr>
          <w:b/>
        </w:rPr>
        <w:t>CENEVAL: </w:t>
      </w:r>
      <w:r>
        <w:rPr/>
        <w:t>Centro Nacional de Evaluación para la Educación Superior.</w:t>
      </w:r>
    </w:p>
    <w:p>
      <w:pPr>
        <w:pStyle w:val="BodyText"/>
        <w:spacing w:before="137"/>
        <w:ind w:left="102"/>
      </w:pPr>
      <w:r>
        <w:rPr>
          <w:b/>
        </w:rPr>
        <w:t>CEPAL: </w:t>
      </w:r>
      <w:r>
        <w:rPr/>
        <w:t>Comisión Económica para América Latina y el Caribe.</w:t>
      </w:r>
    </w:p>
    <w:p>
      <w:pPr>
        <w:pStyle w:val="BodyText"/>
        <w:spacing w:before="139"/>
        <w:ind w:left="102"/>
      </w:pPr>
      <w:r>
        <w:rPr>
          <w:b/>
        </w:rPr>
        <w:t>CEV: </w:t>
      </w:r>
      <w:r>
        <w:rPr/>
        <w:t>Consejos Estatales de Vinculación.</w:t>
      </w:r>
    </w:p>
    <w:p>
      <w:pPr>
        <w:pStyle w:val="BodyText"/>
        <w:spacing w:before="137"/>
        <w:ind w:left="102"/>
      </w:pPr>
      <w:r>
        <w:rPr>
          <w:b/>
        </w:rPr>
        <w:t>CIEES: </w:t>
      </w:r>
      <w:r>
        <w:rPr/>
        <w:t>Comités Interinstitucionales para la Evaluación de la Educación Superior.</w:t>
      </w:r>
    </w:p>
    <w:p>
      <w:pPr>
        <w:pStyle w:val="BodyText"/>
        <w:spacing w:before="140"/>
        <w:ind w:left="102"/>
      </w:pPr>
      <w:r>
        <w:rPr>
          <w:b/>
        </w:rPr>
        <w:t>CIV: </w:t>
      </w:r>
      <w:r>
        <w:rPr/>
        <w:t>Consejos Institucionales de Vinculación.</w:t>
      </w:r>
    </w:p>
    <w:p>
      <w:pPr>
        <w:pStyle w:val="BodyText"/>
        <w:spacing w:before="137"/>
        <w:ind w:left="102"/>
      </w:pPr>
      <w:r>
        <w:rPr>
          <w:b/>
        </w:rPr>
        <w:t>CONACYT: </w:t>
      </w:r>
      <w:r>
        <w:rPr/>
        <w:t>Consejo Nacional de Ciencia y Tecnología.</w:t>
      </w:r>
    </w:p>
    <w:p>
      <w:pPr>
        <w:pStyle w:val="BodyText"/>
        <w:spacing w:line="357" w:lineRule="auto" w:before="144"/>
        <w:ind w:left="102" w:right="755"/>
      </w:pPr>
      <w:r>
        <w:rPr>
          <w:b/>
        </w:rPr>
        <w:t>CONAEVA</w:t>
      </w:r>
      <w:r>
        <w:rPr>
          <w:rFonts w:ascii="Calibri" w:hAnsi="Calibri"/>
          <w:b/>
          <w:sz w:val="22"/>
        </w:rPr>
        <w:t>: </w:t>
      </w:r>
      <w:r>
        <w:rPr/>
        <w:t>Comisión Nacional de Evaluación de la Educación Superior. </w:t>
      </w:r>
      <w:r>
        <w:rPr>
          <w:b/>
        </w:rPr>
        <w:t>CONPES: </w:t>
      </w:r>
      <w:r>
        <w:rPr/>
        <w:t>Coordinación Nacional para la Planeación de la Educación Superior. </w:t>
      </w:r>
      <w:r>
        <w:rPr>
          <w:b/>
        </w:rPr>
        <w:t>CONCAMIN: </w:t>
      </w:r>
      <w:r>
        <w:rPr/>
        <w:t>Confederación de Cámaras Industriales.</w:t>
      </w:r>
    </w:p>
    <w:p>
      <w:pPr>
        <w:pStyle w:val="BodyText"/>
        <w:spacing w:line="360" w:lineRule="auto" w:before="6"/>
        <w:ind w:left="102" w:right="2247"/>
      </w:pPr>
      <w:r>
        <w:rPr>
          <w:b/>
        </w:rPr>
        <w:t>COPARMEX</w:t>
      </w:r>
      <w:r>
        <w:rPr/>
        <w:t>: Confederación Patronal de la República Mexicana. </w:t>
      </w:r>
      <w:r>
        <w:rPr>
          <w:b/>
        </w:rPr>
        <w:t>EGAL: </w:t>
      </w:r>
      <w:r>
        <w:rPr/>
        <w:t>Exámenes Generales para la Acreditación de la Licenciatura. </w:t>
      </w:r>
      <w:r>
        <w:rPr>
          <w:b/>
        </w:rPr>
        <w:t>EGEL: </w:t>
      </w:r>
      <w:r>
        <w:rPr/>
        <w:t>Exámenes Generales de Egreso de la Licenciatura.</w:t>
      </w:r>
    </w:p>
    <w:p>
      <w:pPr>
        <w:pStyle w:val="BodyText"/>
        <w:spacing w:before="4"/>
        <w:ind w:left="102"/>
      </w:pPr>
      <w:r>
        <w:rPr>
          <w:b/>
        </w:rPr>
        <w:t>DIF: </w:t>
      </w:r>
      <w:r>
        <w:rPr/>
        <w:t>Sistema Nacional Desarrollo Integral de la Familia.</w:t>
      </w:r>
    </w:p>
    <w:p>
      <w:pPr>
        <w:pStyle w:val="BodyText"/>
        <w:spacing w:before="139"/>
        <w:ind w:left="102"/>
      </w:pPr>
      <w:r>
        <w:rPr>
          <w:b/>
        </w:rPr>
        <w:t>ENOE</w:t>
      </w:r>
      <w:r>
        <w:rPr/>
        <w:t>: Encuesta Nacional de Ocupación y Empleo.</w:t>
      </w:r>
    </w:p>
    <w:p>
      <w:pPr>
        <w:pStyle w:val="BodyText"/>
        <w:spacing w:before="137"/>
        <w:ind w:left="102"/>
      </w:pPr>
      <w:r>
        <w:rPr>
          <w:b/>
        </w:rPr>
        <w:t>FESE: </w:t>
      </w:r>
      <w:r>
        <w:rPr/>
        <w:t>Fundación Educación Superior Empresa.</w:t>
      </w:r>
    </w:p>
    <w:p>
      <w:pPr>
        <w:pStyle w:val="BodyText"/>
        <w:spacing w:before="139"/>
        <w:ind w:left="102"/>
      </w:pPr>
      <w:r>
        <w:rPr>
          <w:b/>
        </w:rPr>
        <w:t>FIMPES: </w:t>
      </w:r>
      <w:r>
        <w:rPr/>
        <w:t>Federación de Instituciones Mexicanas Particulares de Educación Superior, A.C.</w:t>
      </w:r>
    </w:p>
    <w:p>
      <w:pPr>
        <w:pStyle w:val="BodyText"/>
        <w:spacing w:before="137"/>
        <w:ind w:left="102"/>
      </w:pPr>
      <w:r>
        <w:rPr>
          <w:b/>
        </w:rPr>
        <w:t>FORMS: </w:t>
      </w:r>
      <w:r>
        <w:rPr/>
        <w:t>Fondo para la Modernidad de la Educación Superior</w:t>
      </w:r>
    </w:p>
    <w:p>
      <w:pPr>
        <w:pStyle w:val="BodyText"/>
        <w:rPr>
          <w:sz w:val="21"/>
        </w:rPr>
      </w:pPr>
    </w:p>
    <w:p>
      <w:pPr>
        <w:pStyle w:val="BodyText"/>
        <w:spacing w:before="1"/>
        <w:ind w:left="102"/>
      </w:pPr>
      <w:r>
        <w:rPr>
          <w:b/>
        </w:rPr>
        <w:t>IES</w:t>
      </w:r>
      <w:r>
        <w:rPr/>
        <w:t>: Instituciones de Educación Superior.</w:t>
      </w:r>
    </w:p>
    <w:p>
      <w:pPr>
        <w:pStyle w:val="BodyText"/>
        <w:spacing w:before="137"/>
        <w:ind w:left="102"/>
      </w:pPr>
      <w:r>
        <w:rPr>
          <w:b/>
        </w:rPr>
        <w:t>IMSS: </w:t>
      </w:r>
      <w:r>
        <w:rPr/>
        <w:t>Instituto Mexicano Seguro Social.</w:t>
      </w:r>
    </w:p>
    <w:p>
      <w:pPr>
        <w:pStyle w:val="BodyText"/>
        <w:spacing w:before="140"/>
        <w:ind w:left="102"/>
      </w:pPr>
      <w:r>
        <w:rPr>
          <w:b/>
        </w:rPr>
        <w:t>INEA</w:t>
      </w:r>
      <w:r>
        <w:rPr/>
        <w:t>: Instituto Nacional para la Educación de los Adultos.</w:t>
      </w:r>
    </w:p>
    <w:p>
      <w:pPr>
        <w:pStyle w:val="BodyText"/>
        <w:spacing w:before="137"/>
        <w:ind w:left="102"/>
      </w:pPr>
      <w:r>
        <w:rPr>
          <w:b/>
        </w:rPr>
        <w:t>INEGI: </w:t>
      </w:r>
      <w:r>
        <w:rPr/>
        <w:t>Instituto Nacional de Estadística y Geografía.</w:t>
      </w:r>
    </w:p>
    <w:p>
      <w:pPr>
        <w:spacing w:before="139"/>
        <w:ind w:left="102" w:right="0" w:firstLine="0"/>
        <w:jc w:val="left"/>
        <w:rPr>
          <w:i/>
          <w:sz w:val="24"/>
        </w:rPr>
      </w:pPr>
      <w:r>
        <w:rPr>
          <w:b/>
          <w:sz w:val="24"/>
        </w:rPr>
        <w:t>ISCED: </w:t>
      </w:r>
      <w:r>
        <w:rPr>
          <w:i/>
          <w:sz w:val="24"/>
        </w:rPr>
        <w:t>International Standard Classification of Education.</w:t>
      </w:r>
    </w:p>
    <w:p>
      <w:pPr>
        <w:pStyle w:val="BodyText"/>
        <w:spacing w:before="137"/>
        <w:ind w:left="102"/>
      </w:pPr>
      <w:r>
        <w:rPr>
          <w:b/>
        </w:rPr>
        <w:t>ISSSTE: </w:t>
      </w:r>
      <w:r>
        <w:rPr/>
        <w:t>Instituto de Seguridad y Servicios Sociales de los Trabajadores del Estado.</w:t>
      </w:r>
    </w:p>
    <w:p>
      <w:pPr>
        <w:pStyle w:val="BodyText"/>
        <w:spacing w:before="139"/>
        <w:ind w:left="102"/>
      </w:pPr>
      <w:r>
        <w:rPr>
          <w:b/>
        </w:rPr>
        <w:t>PAIC: </w:t>
      </w:r>
      <w:r>
        <w:rPr/>
        <w:t>Programa de Apoyo a la Investigación Científica.</w:t>
      </w:r>
    </w:p>
    <w:p>
      <w:pPr>
        <w:pStyle w:val="BodyText"/>
        <w:spacing w:before="10"/>
        <w:rPr>
          <w:sz w:val="20"/>
        </w:rPr>
      </w:pPr>
    </w:p>
    <w:p>
      <w:pPr>
        <w:pStyle w:val="BodyText"/>
        <w:ind w:left="102"/>
      </w:pPr>
      <w:r>
        <w:rPr>
          <w:b/>
        </w:rPr>
        <w:t>PEA: </w:t>
      </w:r>
      <w:r>
        <w:rPr/>
        <w:t>Población Económicamente Activa.</w:t>
      </w:r>
    </w:p>
    <w:p>
      <w:pPr>
        <w:spacing w:after="0"/>
        <w:sectPr>
          <w:footerReference w:type="default" r:id="rId11"/>
          <w:pgSz w:w="12240" w:h="15840"/>
          <w:pgMar w:footer="1480" w:header="0" w:top="1360" w:bottom="1680" w:left="1600" w:right="1600"/>
          <w:pgNumType w:start="10"/>
        </w:sectPr>
      </w:pPr>
    </w:p>
    <w:p>
      <w:pPr>
        <w:pStyle w:val="BodyText"/>
        <w:spacing w:before="50"/>
        <w:ind w:left="102"/>
      </w:pPr>
      <w:r>
        <w:rPr>
          <w:b/>
        </w:rPr>
        <w:t>PGR: </w:t>
      </w:r>
      <w:r>
        <w:rPr/>
        <w:t>Procuraduría General de la República.</w:t>
      </w:r>
    </w:p>
    <w:p>
      <w:pPr>
        <w:pStyle w:val="BodyText"/>
        <w:spacing w:before="139"/>
        <w:ind w:left="102"/>
      </w:pPr>
      <w:r>
        <w:rPr>
          <w:b/>
        </w:rPr>
        <w:t>PND: </w:t>
      </w:r>
      <w:r>
        <w:rPr/>
        <w:t>Plan Nacional de Desarrollo.</w:t>
      </w:r>
    </w:p>
    <w:p>
      <w:pPr>
        <w:pStyle w:val="BodyText"/>
        <w:spacing w:before="137"/>
        <w:ind w:left="102"/>
      </w:pPr>
      <w:r>
        <w:rPr>
          <w:b/>
        </w:rPr>
        <w:t>PROADU: </w:t>
      </w:r>
      <w:r>
        <w:rPr/>
        <w:t>Programa de Apoyo al Desarrollo Universitario.</w:t>
      </w:r>
    </w:p>
    <w:p>
      <w:pPr>
        <w:pStyle w:val="BodyText"/>
        <w:rPr>
          <w:sz w:val="21"/>
        </w:rPr>
      </w:pPr>
    </w:p>
    <w:p>
      <w:pPr>
        <w:pStyle w:val="BodyText"/>
        <w:spacing w:before="1"/>
        <w:ind w:left="102"/>
      </w:pPr>
      <w:r>
        <w:rPr>
          <w:b/>
        </w:rPr>
        <w:t>PROMEP: </w:t>
      </w:r>
      <w:r>
        <w:rPr/>
        <w:t>Programa de Mejoramiento del Profesor.</w:t>
      </w:r>
    </w:p>
    <w:p>
      <w:pPr>
        <w:pStyle w:val="BodyText"/>
        <w:rPr>
          <w:sz w:val="21"/>
        </w:rPr>
      </w:pPr>
    </w:p>
    <w:p>
      <w:pPr>
        <w:pStyle w:val="BodyText"/>
        <w:spacing w:before="1"/>
        <w:ind w:left="102"/>
      </w:pPr>
      <w:r>
        <w:rPr>
          <w:b/>
        </w:rPr>
        <w:t>SAGARPA: </w:t>
      </w:r>
      <w:r>
        <w:rPr/>
        <w:t>Secretaría de Agricultura, Ganadería, Desarrollo Rural, Pesca y Alimentación.</w:t>
      </w:r>
    </w:p>
    <w:p>
      <w:pPr>
        <w:pStyle w:val="BodyText"/>
        <w:spacing w:before="137"/>
        <w:ind w:left="102"/>
      </w:pPr>
      <w:r>
        <w:rPr>
          <w:b/>
        </w:rPr>
        <w:t>SEDENA: </w:t>
      </w:r>
      <w:r>
        <w:rPr/>
        <w:t>Secretaría de la Defensa Nacional.</w:t>
      </w:r>
    </w:p>
    <w:p>
      <w:pPr>
        <w:spacing w:before="139"/>
        <w:ind w:left="102" w:right="0" w:firstLine="0"/>
        <w:jc w:val="left"/>
        <w:rPr>
          <w:sz w:val="24"/>
        </w:rPr>
      </w:pPr>
      <w:r>
        <w:rPr>
          <w:b/>
          <w:sz w:val="24"/>
        </w:rPr>
        <w:t>SEMAR: </w:t>
      </w:r>
      <w:r>
        <w:rPr>
          <w:sz w:val="24"/>
        </w:rPr>
        <w:t>Secretaría de Marina.</w:t>
      </w:r>
    </w:p>
    <w:p>
      <w:pPr>
        <w:pStyle w:val="BodyText"/>
        <w:spacing w:before="137"/>
        <w:ind w:left="102"/>
      </w:pPr>
      <w:r>
        <w:rPr>
          <w:b/>
        </w:rPr>
        <w:t>SES: </w:t>
      </w:r>
      <w:r>
        <w:rPr/>
        <w:t>Subsecretaría de Educación Superior.</w:t>
      </w:r>
    </w:p>
    <w:p>
      <w:pPr>
        <w:pStyle w:val="BodyText"/>
        <w:spacing w:line="360" w:lineRule="auto" w:before="137"/>
        <w:ind w:left="102" w:right="4905"/>
      </w:pPr>
      <w:r>
        <w:rPr>
          <w:b/>
        </w:rPr>
        <w:t>SEP</w:t>
      </w:r>
      <w:r>
        <w:rPr/>
        <w:t>: Secretaría de Educación Pública. </w:t>
      </w:r>
      <w:r>
        <w:rPr>
          <w:b/>
        </w:rPr>
        <w:t>SNI: </w:t>
      </w:r>
      <w:r>
        <w:rPr/>
        <w:t>Sistema Nacional de Investigadores. </w:t>
      </w:r>
      <w:r>
        <w:rPr>
          <w:b/>
        </w:rPr>
        <w:t>SSA: </w:t>
      </w:r>
      <w:r>
        <w:rPr/>
        <w:t>Secretaría de Salud.</w:t>
      </w:r>
    </w:p>
    <w:p>
      <w:pPr>
        <w:pStyle w:val="BodyText"/>
        <w:spacing w:before="6"/>
        <w:ind w:left="102"/>
      </w:pPr>
      <w:r>
        <w:rPr>
          <w:b/>
        </w:rPr>
        <w:t>UAEMéx: </w:t>
      </w:r>
      <w:r>
        <w:rPr/>
        <w:t>Universidad Autónoma del Estado de México.</w:t>
      </w:r>
    </w:p>
    <w:p>
      <w:pPr>
        <w:pStyle w:val="BodyText"/>
        <w:spacing w:before="137"/>
        <w:ind w:left="102"/>
      </w:pPr>
      <w:r>
        <w:rPr>
          <w:b/>
        </w:rPr>
        <w:t>UNAM: </w:t>
      </w:r>
      <w:r>
        <w:rPr/>
        <w:t>Universidad Nacional de Autónoma de México.</w:t>
      </w:r>
    </w:p>
    <w:p>
      <w:pPr>
        <w:tabs>
          <w:tab w:pos="1426" w:val="left" w:leader="none"/>
          <w:tab w:pos="2336" w:val="left" w:leader="none"/>
          <w:tab w:pos="3338" w:val="left" w:leader="none"/>
          <w:tab w:pos="4828" w:val="left" w:leader="none"/>
          <w:tab w:pos="5975" w:val="left" w:leader="none"/>
          <w:tab w:pos="6592" w:val="left" w:leader="none"/>
          <w:tab w:pos="7661" w:val="left" w:leader="none"/>
        </w:tabs>
        <w:spacing w:before="139"/>
        <w:ind w:left="102" w:right="0" w:firstLine="0"/>
        <w:jc w:val="left"/>
        <w:rPr>
          <w:i/>
          <w:sz w:val="24"/>
        </w:rPr>
      </w:pPr>
      <w:r>
        <w:rPr>
          <w:b/>
          <w:sz w:val="24"/>
        </w:rPr>
        <w:t>UNESCO</w:t>
      </w:r>
      <w:r>
        <w:rPr>
          <w:sz w:val="24"/>
        </w:rPr>
        <w:t>:</w:t>
        <w:tab/>
      </w:r>
      <w:r>
        <w:rPr>
          <w:i/>
          <w:sz w:val="24"/>
        </w:rPr>
        <w:t>United</w:t>
        <w:tab/>
        <w:t>Nations</w:t>
        <w:tab/>
        <w:t>Educational,</w:t>
        <w:tab/>
        <w:t>Scientific</w:t>
        <w:tab/>
        <w:t>and</w:t>
        <w:tab/>
        <w:t>Cultural</w:t>
        <w:tab/>
        <w:t>Organization</w:t>
      </w:r>
    </w:p>
    <w:p>
      <w:pPr>
        <w:pStyle w:val="BodyText"/>
        <w:spacing w:before="137"/>
        <w:ind w:left="102"/>
      </w:pPr>
      <w:r>
        <w:rPr/>
        <w:t>(Organización de las Naciones Unidas para la Educación, la Ciencia y la Cultura).</w:t>
      </w:r>
    </w:p>
    <w:p>
      <w:pPr>
        <w:spacing w:after="0"/>
        <w:sectPr>
          <w:pgSz w:w="12240" w:h="15840"/>
          <w:pgMar w:header="0" w:footer="1480" w:top="1360" w:bottom="1680" w:left="1600" w:right="1580"/>
        </w:sectPr>
      </w:pPr>
    </w:p>
    <w:p>
      <w:pPr>
        <w:pStyle w:val="Heading3"/>
        <w:ind w:right="18"/>
        <w:jc w:val="center"/>
      </w:pPr>
      <w:bookmarkStart w:name="_bookmark3" w:id="4"/>
      <w:bookmarkEnd w:id="4"/>
      <w:r>
        <w:rPr>
          <w:b w:val="0"/>
        </w:rPr>
      </w:r>
      <w:r>
        <w:rPr/>
        <w:t>INTRODUCCIÓN</w:t>
      </w:r>
    </w:p>
    <w:p>
      <w:pPr>
        <w:pStyle w:val="BodyText"/>
        <w:rPr>
          <w:b/>
        </w:rPr>
      </w:pPr>
    </w:p>
    <w:p>
      <w:pPr>
        <w:pStyle w:val="BodyText"/>
        <w:spacing w:before="6"/>
        <w:rPr>
          <w:b/>
          <w:sz w:val="23"/>
        </w:rPr>
      </w:pPr>
    </w:p>
    <w:p>
      <w:pPr>
        <w:spacing w:line="360" w:lineRule="auto" w:before="0"/>
        <w:ind w:left="2934" w:right="119" w:firstLine="0"/>
        <w:jc w:val="both"/>
        <w:rPr>
          <w:i/>
          <w:sz w:val="24"/>
        </w:rPr>
      </w:pPr>
      <w:r>
        <w:rPr>
          <w:i/>
          <w:sz w:val="24"/>
        </w:rPr>
        <w:t>El grado en el cual una sociedad puede asegurar a sus </w:t>
      </w:r>
      <w:r>
        <w:rPr>
          <w:i/>
          <w:sz w:val="24"/>
        </w:rPr>
        <w:t>integrantes el acceso a las oportunidades de empleo digno y bien remunerado es tal vez uno de los criterios básicos para juzgarla. Saúl Trejo, 1988.</w:t>
      </w:r>
    </w:p>
    <w:p>
      <w:pPr>
        <w:pStyle w:val="BodyText"/>
        <w:rPr>
          <w:i/>
        </w:rPr>
      </w:pPr>
    </w:p>
    <w:p>
      <w:pPr>
        <w:pStyle w:val="BodyText"/>
        <w:spacing w:line="360" w:lineRule="auto" w:before="143"/>
        <w:ind w:left="102" w:right="120"/>
        <w:jc w:val="both"/>
      </w:pPr>
      <w:r>
        <w:rPr/>
        <w:t>En esta investigación se estudia el mercado de trabajo de los egresados universitarios respecto al proceso de transición que tienen que vivir los jóvenes una vez que concluyen  sus estudios de educación superior y las condiciones de acceso y permanencia que actualmente el mismo tiene para</w:t>
      </w:r>
      <w:r>
        <w:rPr>
          <w:spacing w:val="-5"/>
        </w:rPr>
        <w:t> </w:t>
      </w:r>
      <w:r>
        <w:rPr/>
        <w:t>ellos.</w:t>
      </w:r>
    </w:p>
    <w:p>
      <w:pPr>
        <w:pStyle w:val="BodyText"/>
      </w:pPr>
    </w:p>
    <w:p>
      <w:pPr>
        <w:pStyle w:val="BodyText"/>
        <w:spacing w:line="360" w:lineRule="auto" w:before="143"/>
        <w:ind w:left="102" w:right="118"/>
        <w:jc w:val="both"/>
      </w:pPr>
      <w:r>
        <w:rPr/>
        <w:t>El fenómeno será analizado a través de las condiciones de acceso y permanencia que presentan la oferta y la demanda del mercado de trabajo en el Estado de México haciendo énfasis en el proceso de transición de la universidad a la vida productiva. Para tal efecto es necesario plantear la situación actual de cada uno de los elementos que conforman el estudio: proceso de transición y mercado de trabajo.</w:t>
      </w:r>
    </w:p>
    <w:p>
      <w:pPr>
        <w:pStyle w:val="BodyText"/>
      </w:pPr>
    </w:p>
    <w:p>
      <w:pPr>
        <w:pStyle w:val="BodyText"/>
        <w:spacing w:line="360" w:lineRule="auto" w:before="143"/>
        <w:ind w:left="102" w:right="117"/>
        <w:jc w:val="both"/>
      </w:pPr>
      <w:r>
        <w:rPr/>
        <w:t>Por un lado, se deben analizar a los egresados de la Licenciatura de Economía de la UAEMéx y la serie de problemas a los que se enfrentan como estudiantes: cobertura, calidad (Cruz y Cruz, 2008 y Vega, 2001) eficiencia terminal, deserción y vinculación con el entorno (Camarena y Velarde, 2009), entre otros. Por el otro, como egresados donde el proceso de transición se presenta a través de una serie de elementos como son: programa de emprendedores, estancias y prácticas profesionales, incubadoras de empresas, parques científicos y tecnológicos, centros de negocios, asesorías, por destacar los más importantes (Ruiz, 2011).</w:t>
      </w:r>
    </w:p>
    <w:p>
      <w:pPr>
        <w:pStyle w:val="BodyText"/>
      </w:pPr>
    </w:p>
    <w:p>
      <w:pPr>
        <w:pStyle w:val="BodyText"/>
        <w:spacing w:line="360" w:lineRule="auto" w:before="143"/>
        <w:ind w:left="102" w:right="119"/>
        <w:jc w:val="both"/>
      </w:pPr>
      <w:r>
        <w:rPr/>
        <w:t>Es necesario estudiar los procesos de transición de la Licenciatura de Economía en aras de cumplir con el objetivo de saber qué se está formando y qué requiere el sector productivo y cuáles son las características a las que se enfrentan durante su transición al empleo.</w:t>
      </w:r>
    </w:p>
    <w:p>
      <w:pPr>
        <w:spacing w:after="0" w:line="360" w:lineRule="auto"/>
        <w:jc w:val="both"/>
        <w:sectPr>
          <w:footerReference w:type="default" r:id="rId12"/>
          <w:pgSz w:w="12240" w:h="15840"/>
          <w:pgMar w:footer="1243" w:header="0" w:top="1360" w:bottom="1440" w:left="1600" w:right="1580"/>
          <w:pgNumType w:start="1"/>
        </w:sectPr>
      </w:pPr>
    </w:p>
    <w:p>
      <w:pPr>
        <w:pStyle w:val="BodyText"/>
        <w:spacing w:line="360" w:lineRule="auto" w:before="50"/>
        <w:ind w:left="102" w:right="120"/>
        <w:jc w:val="both"/>
      </w:pPr>
      <w:r>
        <w:rPr/>
        <w:t>La importancia del empleo para cualquier nación se ha convertido en un tema de análisis y preocupación en las últimas décadas. La mayoría de los autores coinciden en que la formación y la educación juegan un papel importante para que el proceso de transición sea breve para los jóvenes. Algunos autores como: Reich, Gordon y Edwards (1973);   Toharia,</w:t>
      </w:r>
    </w:p>
    <w:p>
      <w:pPr>
        <w:pStyle w:val="BodyText"/>
        <w:spacing w:line="360" w:lineRule="auto" w:before="4"/>
        <w:ind w:left="102" w:right="114"/>
        <w:jc w:val="both"/>
      </w:pPr>
      <w:r>
        <w:rPr/>
        <w:t>L. (1983) y Doringer y Piore (1985); han presentado modelos en los que destaca la importancia de la formación de capital humano en el mercado de trabajo. Existen otras investigaciones más recientes como las de: Braverman, H. (1998); Prieto, C. (1998); Campos, G. (2001); Salgado, M. &amp; Miranda, S. (2007); López, M. (2009); Basurto, R. (2010) y Damiani, M., Hölscher, J., &amp; Pompei, F. (2011), en donde se examinan las perspectivas neoclásicas y segmentistas del mercado de trabajo, haciendo énfasis en las condiciones de inserción y permanencia de los grupos minoritarios, encontrándose entre ellos el de los jóvenes. En específico lo que corresponde al proceso de transición se encuentran trabajos como los de: Rodríguez, Prades, Bernáldez y Sánchez (2009) y Rocha, Krawulski, Tavares y Penna (2010).</w:t>
      </w:r>
    </w:p>
    <w:p>
      <w:pPr>
        <w:pStyle w:val="BodyText"/>
      </w:pPr>
    </w:p>
    <w:p>
      <w:pPr>
        <w:pStyle w:val="BodyText"/>
        <w:spacing w:line="360" w:lineRule="auto" w:before="143"/>
        <w:ind w:left="102" w:right="116"/>
        <w:jc w:val="both"/>
      </w:pPr>
      <w:r>
        <w:rPr/>
        <w:t>Existen estudios, además, sobre los efectos de la relación entre educación y empleo de los jóvenes en el mercado de trabajo: Camarena y Velarde (2009); López (2009);  López (2008); Salgado y Miranda (2007); y León (2004), la calidad de la educación superior:  Cruz y Cruz (2008) y Vega (2001), las políticas de equidad: Cruz y Cruz (2008), la modernización respecto a las políticas públicas de la educación superior: Kent (2005), las políticas de financiamiento público de la educación superior en México: el desarrollo educativo Muñoz (2005), incluso se ha estudiado este tema desde la etapa anterior al inicio de formación universitaria, es decir, desde que el joven está en el proceso de decisión de la carrera: Alonso (2010) y Jacinto</w:t>
      </w:r>
      <w:r>
        <w:rPr>
          <w:spacing w:val="-6"/>
        </w:rPr>
        <w:t> </w:t>
      </w:r>
      <w:r>
        <w:rPr/>
        <w:t>(2006).</w:t>
      </w:r>
    </w:p>
    <w:p>
      <w:pPr>
        <w:pStyle w:val="BodyText"/>
      </w:pPr>
    </w:p>
    <w:p>
      <w:pPr>
        <w:pStyle w:val="BodyText"/>
        <w:spacing w:line="360" w:lineRule="auto" w:before="143"/>
        <w:ind w:left="102" w:right="119"/>
        <w:jc w:val="both"/>
      </w:pPr>
      <w:r>
        <w:rPr/>
        <w:t>Algunos otros autores cuestionan si los programas con los que se cuentan en las universidades y las Instituciones de Educación Superior (IES) en general, son los  adecuados y necesarios para facilitar y ayudar al proceso de transición. Trabajos de investigación como los de Camarena y Velarde (2009); y López (2009); debaten si el  diseño y modelo que se emplea en la relación universidades–empleadores (en el mercado  de</w:t>
      </w:r>
      <w:r>
        <w:rPr>
          <w:spacing w:val="40"/>
        </w:rPr>
        <w:t> </w:t>
      </w:r>
      <w:r>
        <w:rPr/>
        <w:t>trabajo</w:t>
      </w:r>
      <w:r>
        <w:rPr>
          <w:spacing w:val="41"/>
        </w:rPr>
        <w:t> </w:t>
      </w:r>
      <w:r>
        <w:rPr/>
        <w:t>de</w:t>
      </w:r>
      <w:r>
        <w:rPr>
          <w:spacing w:val="40"/>
        </w:rPr>
        <w:t> </w:t>
      </w:r>
      <w:r>
        <w:rPr/>
        <w:t>los</w:t>
      </w:r>
      <w:r>
        <w:rPr>
          <w:spacing w:val="41"/>
        </w:rPr>
        <w:t> </w:t>
      </w:r>
      <w:r>
        <w:rPr/>
        <w:t>profesionistas</w:t>
      </w:r>
      <w:r>
        <w:rPr>
          <w:spacing w:val="41"/>
        </w:rPr>
        <w:t> </w:t>
      </w:r>
      <w:r>
        <w:rPr/>
        <w:t>en</w:t>
      </w:r>
      <w:r>
        <w:rPr>
          <w:spacing w:val="40"/>
        </w:rPr>
        <w:t> </w:t>
      </w:r>
      <w:r>
        <w:rPr/>
        <w:t>México)</w:t>
      </w:r>
      <w:r>
        <w:rPr>
          <w:spacing w:val="39"/>
        </w:rPr>
        <w:t> </w:t>
      </w:r>
      <w:r>
        <w:rPr/>
        <w:t>tiene</w:t>
      </w:r>
      <w:r>
        <w:rPr>
          <w:spacing w:val="40"/>
        </w:rPr>
        <w:t> </w:t>
      </w:r>
      <w:r>
        <w:rPr/>
        <w:t>la</w:t>
      </w:r>
      <w:r>
        <w:rPr>
          <w:spacing w:val="40"/>
        </w:rPr>
        <w:t> </w:t>
      </w:r>
      <w:r>
        <w:rPr/>
        <w:t>productividad</w:t>
      </w:r>
      <w:r>
        <w:rPr>
          <w:spacing w:val="45"/>
        </w:rPr>
        <w:t> </w:t>
      </w:r>
      <w:r>
        <w:rPr/>
        <w:t>y</w:t>
      </w:r>
      <w:r>
        <w:rPr>
          <w:spacing w:val="36"/>
        </w:rPr>
        <w:t> </w:t>
      </w:r>
      <w:r>
        <w:rPr/>
        <w:t>eficacia</w:t>
      </w:r>
      <w:r>
        <w:rPr>
          <w:spacing w:val="42"/>
        </w:rPr>
        <w:t> </w:t>
      </w:r>
      <w:r>
        <w:rPr/>
        <w:t>esperadas.</w:t>
      </w:r>
    </w:p>
    <w:p>
      <w:pPr>
        <w:spacing w:after="0" w:line="360" w:lineRule="auto"/>
        <w:jc w:val="both"/>
        <w:sectPr>
          <w:pgSz w:w="12240" w:h="15840"/>
          <w:pgMar w:header="0" w:footer="1243" w:top="1360" w:bottom="1440" w:left="1600" w:right="1580"/>
        </w:sectPr>
      </w:pPr>
    </w:p>
    <w:p>
      <w:pPr>
        <w:pStyle w:val="BodyText"/>
        <w:spacing w:line="360" w:lineRule="auto" w:before="50"/>
        <w:ind w:left="102" w:right="121"/>
        <w:jc w:val="both"/>
      </w:pPr>
      <w:r>
        <w:rPr/>
        <w:t>Campos (2001) afirma que los escasos avances en la vinculación dentro de las  universidades en México se deben a la carencia de significado claro y socialmente compartido sobre lo que es esta actividad (proceso de</w:t>
      </w:r>
      <w:r>
        <w:rPr>
          <w:spacing w:val="-11"/>
        </w:rPr>
        <w:t> </w:t>
      </w:r>
      <w:r>
        <w:rPr/>
        <w:t>transición).</w:t>
      </w:r>
    </w:p>
    <w:p>
      <w:pPr>
        <w:pStyle w:val="BodyText"/>
      </w:pPr>
    </w:p>
    <w:p>
      <w:pPr>
        <w:pStyle w:val="BodyText"/>
        <w:spacing w:line="360" w:lineRule="auto" w:before="143"/>
        <w:ind w:left="102" w:right="118"/>
        <w:jc w:val="both"/>
      </w:pPr>
      <w:r>
        <w:rPr/>
        <w:t>Es necesario mencionar, que no se encontraron trabajos que presenten una medición del impacto del proceso de transición entre universidades y empleadores en Toluca o en los egresados de la Facultad de Economía. De ahí la relevancia y el aporte científico de esta tesis.</w:t>
      </w:r>
    </w:p>
    <w:p>
      <w:pPr>
        <w:pStyle w:val="BodyText"/>
      </w:pPr>
    </w:p>
    <w:p>
      <w:pPr>
        <w:pStyle w:val="BodyText"/>
        <w:spacing w:line="360" w:lineRule="auto" w:before="143"/>
        <w:ind w:left="102" w:right="120"/>
        <w:jc w:val="both"/>
      </w:pPr>
      <w:r>
        <w:rPr/>
        <w:t>Por una parte, el empleo permite al hombre no sólo asegurar su supervivencia y la de los suyos; es también la vía hacia la realización personal y hacia el desarrollo pleno de su potencial. Por otra parte, en el empleo y la oportunidad de contribuir a los fines de la sociedad puede el individuo integrarse plenamente a la misma, así como buscar la posibilidad de igualarse a sus semejantes y compartir con ellos las tareas de la nación  (Trejo</w:t>
      </w:r>
      <w:r>
        <w:rPr>
          <w:spacing w:val="-3"/>
        </w:rPr>
        <w:t> </w:t>
      </w:r>
      <w:r>
        <w:rPr/>
        <w:t>1998).</w:t>
      </w:r>
    </w:p>
    <w:p>
      <w:pPr>
        <w:pStyle w:val="BodyText"/>
      </w:pPr>
    </w:p>
    <w:p>
      <w:pPr>
        <w:pStyle w:val="BodyText"/>
        <w:spacing w:line="360" w:lineRule="auto" w:before="143"/>
        <w:ind w:left="102" w:right="118"/>
        <w:jc w:val="both"/>
      </w:pPr>
      <w:r>
        <w:rPr/>
        <w:t>Con base en la problemática de la inserción laboral en esta investigación doctoral se planteó el problema: determinar si existen las condiciones adecuadas para que el proceso de transición de los egresados universitarios al mercado de trabajo sea fluido y de fácil acceso para los jóvenes, una vez que concluyen sus estudios de educación superior universitaria, así como evaluar la permanencia de los mismos en el mercado de trabajo una vez  insertados.</w:t>
      </w:r>
    </w:p>
    <w:p>
      <w:pPr>
        <w:pStyle w:val="BodyText"/>
      </w:pPr>
    </w:p>
    <w:p>
      <w:pPr>
        <w:pStyle w:val="BodyText"/>
        <w:spacing w:line="360" w:lineRule="auto" w:before="143"/>
        <w:ind w:left="102" w:right="117"/>
        <w:jc w:val="both"/>
      </w:pPr>
      <w:r>
        <w:rPr/>
        <w:t>Dicho problema fue analizado a través del caso de estudio de los egresados de la licenciatura de Economía de la Universidad Autónoma del Estado de México (UAEMéx), Facultad de Economía en el periodo de 2000 a 2010.</w:t>
      </w:r>
    </w:p>
    <w:p>
      <w:pPr>
        <w:pStyle w:val="BodyText"/>
      </w:pPr>
    </w:p>
    <w:p>
      <w:pPr>
        <w:pStyle w:val="BodyText"/>
        <w:spacing w:line="360" w:lineRule="auto" w:before="143"/>
        <w:ind w:left="102" w:right="118"/>
        <w:jc w:val="both"/>
      </w:pPr>
      <w:r>
        <w:rPr/>
        <w:t>El objetivo general planteado fue: analizar el proceso de transición al mercado de trabajo de los egresados universitarios de la Licenciatura de Economía de la UAEMéx durante el periodo 2000 – 2010, con la finalidad de determinar si existen las condiciones, oportunidades de acceso y permanencia en el mercado de trabajo para los egresados</w:t>
      </w:r>
    </w:p>
    <w:p>
      <w:pPr>
        <w:spacing w:after="0" w:line="360" w:lineRule="auto"/>
        <w:jc w:val="both"/>
        <w:sectPr>
          <w:pgSz w:w="12240" w:h="15840"/>
          <w:pgMar w:header="0" w:footer="1243" w:top="1360" w:bottom="1440" w:left="1600" w:right="1580"/>
        </w:sectPr>
      </w:pPr>
    </w:p>
    <w:p>
      <w:pPr>
        <w:pStyle w:val="BodyText"/>
        <w:spacing w:line="360" w:lineRule="auto" w:before="50"/>
        <w:ind w:left="102" w:right="115"/>
        <w:jc w:val="both"/>
      </w:pPr>
      <w:r>
        <w:rPr/>
        <w:t>El estudio se sustentó en las perspectivas teóricas del mercado de trabajo neoclásico y de la segmentación, y en los postulados del proceso de transición al mercado de trabajos planteados desde la perspectiva de las ciencias económico-administrativas.</w:t>
      </w:r>
    </w:p>
    <w:p>
      <w:pPr>
        <w:pStyle w:val="BodyText"/>
      </w:pPr>
    </w:p>
    <w:p>
      <w:pPr>
        <w:pStyle w:val="BodyText"/>
        <w:spacing w:line="360" w:lineRule="auto" w:before="143"/>
        <w:ind w:left="102" w:right="116"/>
        <w:jc w:val="both"/>
      </w:pPr>
      <w:r>
        <w:rPr/>
        <w:t>El proceso de transición de los egresados de la licenciatura de Economía de la UAEMéx es un tema que se encuentra inmerso dentro de las ciencias económico-administrativas. Se plantearon cinco argumentos para sustentarlo: encontrar el primer empleo es una actividad relevante para los individuos; el mercado de trabajo es una institución que puede ser analizada desde la perspectiva teórica de ambas ciencias –económica y administrativa-; el proceso de transición o inserción al empleo es un momento único, que afecta al entorno  pero que tiene su origen en las organizaciones; insertarse a la vida productiva es una actividad social que involucra tanto a individuos como a instituciones; y el bienestar del ente económico está en función del tipo de ofertas laborales que pueda</w:t>
      </w:r>
      <w:r>
        <w:rPr>
          <w:spacing w:val="-10"/>
        </w:rPr>
        <w:t> </w:t>
      </w:r>
      <w:r>
        <w:rPr/>
        <w:t>crear.</w:t>
      </w:r>
    </w:p>
    <w:p>
      <w:pPr>
        <w:pStyle w:val="BodyText"/>
      </w:pPr>
    </w:p>
    <w:p>
      <w:pPr>
        <w:pStyle w:val="BodyText"/>
        <w:spacing w:line="360" w:lineRule="auto" w:before="143"/>
        <w:ind w:left="102" w:right="121"/>
        <w:jc w:val="both"/>
      </w:pPr>
      <w:r>
        <w:rPr/>
        <w:t>La hipótesis de investigación fue definida como: los periodos de transición de la universidad al mercado de trabajo se han alargado y complejizado para los egresados universitarios de los Licenciatura de Economía de la</w:t>
      </w:r>
      <w:r>
        <w:rPr>
          <w:spacing w:val="-7"/>
        </w:rPr>
        <w:t> </w:t>
      </w:r>
      <w:r>
        <w:rPr/>
        <w:t>UAEMéx.</w:t>
      </w:r>
    </w:p>
    <w:p>
      <w:pPr>
        <w:pStyle w:val="BodyText"/>
      </w:pPr>
    </w:p>
    <w:p>
      <w:pPr>
        <w:pStyle w:val="BodyText"/>
        <w:spacing w:line="360" w:lineRule="auto" w:before="143"/>
        <w:ind w:left="102" w:right="117"/>
        <w:jc w:val="both"/>
      </w:pPr>
      <w:r>
        <w:rPr/>
        <w:t>La tesis está conformado por nueve capítulos en donde en el </w:t>
      </w:r>
      <w:r>
        <w:rPr>
          <w:i/>
        </w:rPr>
        <w:t>capítulo I </w:t>
      </w:r>
      <w:r>
        <w:rPr/>
        <w:t>- </w:t>
      </w:r>
      <w:r>
        <w:rPr>
          <w:i/>
        </w:rPr>
        <w:t>Mercado de </w:t>
      </w:r>
      <w:r>
        <w:rPr>
          <w:i/>
        </w:rPr>
        <w:t>trabajo</w:t>
      </w:r>
      <w:r>
        <w:rPr/>
        <w:t>, se analizan las principales teorías desde la perspectiva neoclásica y de la segmentación que explican el comportamiento de ingreso de los trabajadores al mercado de trabajo. Así como, las características que favorecen su permanencia y sus condiciones de contratación. Para finalizar el capítulo se incluye la flexibilización laboral como parte de las características que presenta la inserción laboral.</w:t>
      </w:r>
    </w:p>
    <w:p>
      <w:pPr>
        <w:pStyle w:val="BodyText"/>
      </w:pPr>
    </w:p>
    <w:p>
      <w:pPr>
        <w:pStyle w:val="BodyText"/>
        <w:spacing w:line="360" w:lineRule="auto" w:before="143"/>
        <w:ind w:left="102" w:right="120"/>
        <w:jc w:val="both"/>
      </w:pPr>
      <w:r>
        <w:rPr/>
        <w:t>En el </w:t>
      </w:r>
      <w:r>
        <w:rPr>
          <w:i/>
        </w:rPr>
        <w:t>capítulo II – Proceso de transición, </w:t>
      </w:r>
      <w:r>
        <w:rPr/>
        <w:t>se consideraron los postulados planteados por Casal (1997) y Cachón (1999) respecto a los tipos de transición profesional que existen en el mercado de trabajo. En este apartado se incluyen también las teorías: de la búsqueda, del filtro y de la fila, por encontrarse que son las que mejor explican y analizan el comportamiento de los egresados de nivel superior en su proceso de</w:t>
      </w:r>
      <w:r>
        <w:rPr>
          <w:spacing w:val="-9"/>
        </w:rPr>
        <w:t> </w:t>
      </w:r>
      <w:r>
        <w:rPr/>
        <w:t>transición.</w:t>
      </w:r>
    </w:p>
    <w:p>
      <w:pPr>
        <w:spacing w:after="0" w:line="360" w:lineRule="auto"/>
        <w:jc w:val="both"/>
        <w:sectPr>
          <w:pgSz w:w="12240" w:h="15840"/>
          <w:pgMar w:header="0" w:footer="1243" w:top="1360" w:bottom="1440" w:left="1600" w:right="1580"/>
        </w:sectPr>
      </w:pPr>
    </w:p>
    <w:p>
      <w:pPr>
        <w:pStyle w:val="BodyText"/>
        <w:spacing w:line="360" w:lineRule="auto" w:before="50"/>
        <w:ind w:left="102" w:right="115"/>
        <w:jc w:val="both"/>
      </w:pPr>
      <w:r>
        <w:rPr/>
        <w:t>En los dos siguientes capítulos se contextualizó el fenómeno de estudio. Para ello, en el </w:t>
      </w:r>
      <w:r>
        <w:rPr>
          <w:i/>
        </w:rPr>
        <w:t>capítulo III - La educación superior en México, periodo 2000-2010, </w:t>
      </w:r>
      <w:r>
        <w:rPr/>
        <w:t>se presenta un análisis de la educación superior a nivel nacional y Estado de México, con la finalidad de conocer las principales características y problemáticas que tiene la educación universitaria.</w:t>
      </w:r>
    </w:p>
    <w:p>
      <w:pPr>
        <w:pStyle w:val="BodyText"/>
      </w:pPr>
    </w:p>
    <w:p>
      <w:pPr>
        <w:spacing w:line="360" w:lineRule="auto" w:before="143"/>
        <w:ind w:left="102" w:right="116" w:firstLine="0"/>
        <w:jc w:val="both"/>
        <w:rPr>
          <w:sz w:val="24"/>
        </w:rPr>
      </w:pPr>
      <w:r>
        <w:rPr>
          <w:sz w:val="24"/>
        </w:rPr>
        <w:t>En el </w:t>
      </w:r>
      <w:r>
        <w:rPr>
          <w:i/>
          <w:sz w:val="24"/>
        </w:rPr>
        <w:t>capítulo IV - El mercado de trabajo en México y el Estado de México (2000-2012), </w:t>
      </w:r>
      <w:r>
        <w:rPr>
          <w:sz w:val="24"/>
        </w:rPr>
        <w:t>se presentaron algunos de los indicadores más representativos respecto a las condiciones de contratación, salario, empleo y desempleo, con especial énfasis en el mercado de trabajo de los jóvenes, por ser ellos el objeto de estudio de esta investigación doctoral.</w:t>
      </w:r>
    </w:p>
    <w:p>
      <w:pPr>
        <w:pStyle w:val="BodyText"/>
      </w:pPr>
    </w:p>
    <w:p>
      <w:pPr>
        <w:pStyle w:val="BodyText"/>
        <w:spacing w:line="360" w:lineRule="auto" w:before="143"/>
        <w:ind w:left="102" w:right="117"/>
        <w:jc w:val="both"/>
      </w:pPr>
      <w:r>
        <w:rPr/>
        <w:t>En el </w:t>
      </w:r>
      <w:r>
        <w:rPr>
          <w:i/>
        </w:rPr>
        <w:t>capítulo V- Metodología, </w:t>
      </w:r>
      <w:r>
        <w:rPr/>
        <w:t>se explica que por tratarse de una investigación de campo se aplicó un instrumento de elaboración propia, con 77 </w:t>
      </w:r>
      <w:r>
        <w:rPr>
          <w:i/>
        </w:rPr>
        <w:t>ítems</w:t>
      </w:r>
      <w:r>
        <w:rPr/>
        <w:t>, que buscó recolectar información relativa al proceso de transición de los egresados de la licenciatura de Economía de la UAEMéx, por ser ellos el objeto de estudio de esta</w:t>
      </w:r>
      <w:r>
        <w:rPr>
          <w:spacing w:val="-9"/>
        </w:rPr>
        <w:t> </w:t>
      </w:r>
      <w:r>
        <w:rPr/>
        <w:t>tesis.</w:t>
      </w:r>
    </w:p>
    <w:p>
      <w:pPr>
        <w:pStyle w:val="BodyText"/>
      </w:pPr>
    </w:p>
    <w:p>
      <w:pPr>
        <w:pStyle w:val="BodyText"/>
        <w:spacing w:line="360" w:lineRule="auto" w:before="143"/>
        <w:ind w:left="102" w:right="117"/>
        <w:jc w:val="both"/>
      </w:pPr>
      <w:r>
        <w:rPr/>
        <w:t>Se presentan dos capítulos con los resultados. En el </w:t>
      </w:r>
      <w:r>
        <w:rPr>
          <w:i/>
        </w:rPr>
        <w:t>capítulo VI- Análisis descriptivo de </w:t>
      </w:r>
      <w:r>
        <w:rPr>
          <w:i/>
        </w:rPr>
        <w:t>resultados, </w:t>
      </w:r>
      <w:r>
        <w:rPr/>
        <w:t>se analizaron el total de respuestas obtenidas de los 77 </w:t>
      </w:r>
      <w:r>
        <w:rPr>
          <w:i/>
        </w:rPr>
        <w:t>ítems </w:t>
      </w:r>
      <w:r>
        <w:rPr/>
        <w:t>del cuestionario aplicado, en donde de manara analítica y gráfica se muestran los resultados más significativos y el cómo se relacionan éstos con las teorías que sustentan la investigación.</w:t>
      </w:r>
    </w:p>
    <w:p>
      <w:pPr>
        <w:pStyle w:val="BodyText"/>
      </w:pPr>
    </w:p>
    <w:p>
      <w:pPr>
        <w:pStyle w:val="BodyText"/>
        <w:spacing w:line="360" w:lineRule="auto" w:before="143"/>
        <w:ind w:left="102" w:right="117"/>
        <w:jc w:val="both"/>
      </w:pPr>
      <w:r>
        <w:rPr/>
        <w:t>En el </w:t>
      </w:r>
      <w:r>
        <w:rPr>
          <w:i/>
        </w:rPr>
        <w:t>capítulo VII – Índice de la Calidad del Empleo, </w:t>
      </w:r>
      <w:r>
        <w:rPr/>
        <w:t>con base en el modelo propuesto por Vences y Flores (2010), se construye un índice para medir la calidad del empleo de los egresados de la Licenciatura en Economía encuestados, con lo cual se evalúan si las condiciones de contratación y permanencia en el mercado de trabajo de los egresados universitarios contribuyen a que su proceso de transición sea fluido y rápido hace la vida productiva.</w:t>
      </w:r>
    </w:p>
    <w:p>
      <w:pPr>
        <w:pStyle w:val="BodyText"/>
      </w:pPr>
    </w:p>
    <w:p>
      <w:pPr>
        <w:pStyle w:val="BodyText"/>
        <w:spacing w:line="360" w:lineRule="auto" w:before="143"/>
        <w:ind w:left="102" w:right="113"/>
        <w:jc w:val="both"/>
      </w:pPr>
      <w:r>
        <w:rPr/>
        <w:t>Finalmente, se presentan las </w:t>
      </w:r>
      <w:r>
        <w:rPr>
          <w:i/>
        </w:rPr>
        <w:t>conclusiones generales</w:t>
      </w:r>
      <w:r>
        <w:rPr/>
        <w:t>, se redactan tanto las generales y particulares que este trabajo doctoral arrojó.</w:t>
      </w:r>
    </w:p>
    <w:p>
      <w:pPr>
        <w:spacing w:after="0" w:line="360" w:lineRule="auto"/>
        <w:jc w:val="both"/>
        <w:sectPr>
          <w:pgSz w:w="12240" w:h="15840"/>
          <w:pgMar w:header="0" w:footer="1243" w:top="1360" w:bottom="1440" w:left="1600" w:right="1580"/>
        </w:sectPr>
      </w:pPr>
    </w:p>
    <w:p>
      <w:pPr>
        <w:pStyle w:val="Heading3"/>
        <w:spacing w:line="278" w:lineRule="auto"/>
        <w:ind w:left="3105" w:right="3088" w:firstLine="710"/>
        <w:jc w:val="left"/>
      </w:pPr>
      <w:bookmarkStart w:name="_bookmark4" w:id="5"/>
      <w:bookmarkEnd w:id="5"/>
      <w:r>
        <w:rPr>
          <w:b w:val="0"/>
        </w:rPr>
      </w:r>
      <w:r>
        <w:rPr/>
        <w:t>CAPÍTULO 1 MERCADO DE TRABAJO</w:t>
      </w:r>
    </w:p>
    <w:p>
      <w:pPr>
        <w:pStyle w:val="BodyText"/>
        <w:rPr>
          <w:b/>
          <w:sz w:val="20"/>
        </w:rPr>
      </w:pPr>
    </w:p>
    <w:p>
      <w:pPr>
        <w:pStyle w:val="BodyText"/>
        <w:spacing w:before="6"/>
        <w:rPr>
          <w:b/>
          <w:sz w:val="21"/>
        </w:rPr>
      </w:pPr>
    </w:p>
    <w:p>
      <w:pPr>
        <w:spacing w:before="1"/>
        <w:ind w:left="122" w:right="0" w:firstLine="0"/>
        <w:jc w:val="both"/>
        <w:rPr>
          <w:b/>
          <w:sz w:val="24"/>
        </w:rPr>
      </w:pPr>
      <w:r>
        <w:rPr>
          <w:b/>
          <w:sz w:val="24"/>
        </w:rPr>
        <w:t>Introducción</w:t>
      </w:r>
    </w:p>
    <w:p>
      <w:pPr>
        <w:pStyle w:val="BodyText"/>
        <w:spacing w:before="4"/>
        <w:rPr>
          <w:b/>
          <w:sz w:val="28"/>
        </w:rPr>
      </w:pPr>
    </w:p>
    <w:p>
      <w:pPr>
        <w:pStyle w:val="BodyText"/>
        <w:spacing w:line="360" w:lineRule="auto"/>
        <w:ind w:left="122" w:right="119"/>
        <w:jc w:val="both"/>
      </w:pPr>
      <w:r>
        <w:rPr/>
        <w:t>La esperanza de todo joven que cursa y termina una carrera universitaria es poder insertarse rápidamente al mercado de trabajo. Las expectativas de los jóvenes se clasifican en rubros como conseguir un contrato permanente, tener prestaciones, fondo de ahorro, seguro médico y demás privilegios que se obtienen al laborar en organizaciones con empleos seguros y la posibilidad de crear una trayectoria profesional a largo plazo. Sin embargo, no siempre el mercado de trabajo presenta un proceso de transición fluido y sencillo para todos los jóvenes. Los puestos de trabajo cada vez son más competidos y los requisitos necesarios para ser electo se han vuelto complicados, exigiendo mayor formación y capacitación para el empleo, aunado a la gran cantidad de jóvenes que </w:t>
      </w:r>
      <w:r>
        <w:rPr>
          <w:spacing w:val="-3"/>
        </w:rPr>
        <w:t>ya </w:t>
      </w:r>
      <w:r>
        <w:rPr/>
        <w:t>cuentan con una preparación profesional y que se hallan en la búsqueda de</w:t>
      </w:r>
      <w:r>
        <w:rPr>
          <w:spacing w:val="-5"/>
        </w:rPr>
        <w:t> </w:t>
      </w:r>
      <w:r>
        <w:rPr/>
        <w:t>empleo.</w:t>
      </w:r>
    </w:p>
    <w:p>
      <w:pPr>
        <w:pStyle w:val="BodyText"/>
      </w:pPr>
    </w:p>
    <w:p>
      <w:pPr>
        <w:pStyle w:val="BodyText"/>
        <w:spacing w:line="360" w:lineRule="auto" w:before="143"/>
        <w:ind w:left="122" w:right="115"/>
        <w:jc w:val="both"/>
      </w:pPr>
      <w:r>
        <w:rPr/>
        <w:t>Hasta hoy día, se sigue depositando la responsabilidad de formarlo para el empleo y de facilitar los medios para que su transición sea corta y de una manera fluida, en las Instituciones de Educación Superior (IES) ya sea una universidad, instituto tecnológico o cualquier otro tipo de organización de formación para el empleo, en la que el joven esté inscrito. Empero, el mercado de trabajo no genera tantos puestos de trabajo ni puede absorber rápidamente a todos los individuos que requieren uno, lo que se traduce en un desequilibrio entre la oferta de trabajo, constituida por las personas en edad de trabajar (entre ellos los recién egresados universitarios); y la demanda de trabajo, la cantidad de</w:t>
      </w:r>
    </w:p>
    <w:p>
      <w:pPr>
        <w:pStyle w:val="BodyText"/>
        <w:spacing w:line="350" w:lineRule="auto" w:before="6"/>
        <w:ind w:left="122" w:right="116"/>
        <w:jc w:val="both"/>
      </w:pPr>
      <w:r>
        <w:rPr/>
        <w:t>empleos que los empleadores requieren y están dispuestos a contratar. Esta situación está derivando entonces, en que el proceso de transición</w:t>
      </w:r>
      <w:r>
        <w:rPr>
          <w:position w:val="11"/>
          <w:sz w:val="16"/>
        </w:rPr>
        <w:t>1 </w:t>
      </w:r>
      <w:r>
        <w:rPr/>
        <w:t>de la escuela al mercado de trabajo se ha complicado, vuelto más lenta y es un tema político y social relevante para muchos países.</w:t>
      </w:r>
    </w:p>
    <w:p>
      <w:pPr>
        <w:pStyle w:val="BodyText"/>
        <w:rPr>
          <w:sz w:val="20"/>
        </w:rPr>
      </w:pPr>
    </w:p>
    <w:p>
      <w:pPr>
        <w:pStyle w:val="BodyText"/>
        <w:spacing w:before="11"/>
        <w:rPr>
          <w:sz w:val="12"/>
        </w:rPr>
      </w:pPr>
      <w:r>
        <w:rPr/>
        <w:pict>
          <v:line style="position:absolute;mso-position-horizontal-relative:page;mso-position-vertical-relative:paragraph;z-index:1096;mso-wrap-distance-left:0;mso-wrap-distance-right:0" from="85.103996pt,9.792285pt" to="229.123996pt,9.792285pt" stroked="true" strokeweight=".72003pt" strokecolor="#000000">
            <w10:wrap type="topAndBottom"/>
          </v:line>
        </w:pict>
      </w:r>
    </w:p>
    <w:p>
      <w:pPr>
        <w:spacing w:line="242" w:lineRule="auto" w:before="39"/>
        <w:ind w:left="122" w:right="118" w:firstLine="0"/>
        <w:jc w:val="both"/>
        <w:rPr>
          <w:sz w:val="20"/>
        </w:rPr>
      </w:pPr>
      <w:r>
        <w:rPr>
          <w:rFonts w:ascii="Calibri" w:hAnsi="Calibri"/>
          <w:position w:val="10"/>
          <w:sz w:val="13"/>
        </w:rPr>
        <w:t>1 </w:t>
      </w:r>
      <w:r>
        <w:rPr>
          <w:sz w:val="20"/>
        </w:rPr>
        <w:t>Entiéndase por </w:t>
      </w:r>
      <w:r>
        <w:rPr>
          <w:sz w:val="20"/>
          <w:u w:val="single"/>
        </w:rPr>
        <w:t>proceso de transición </w:t>
      </w:r>
      <w:r>
        <w:rPr>
          <w:sz w:val="20"/>
        </w:rPr>
        <w:t>como el paso de la escuela al trabajo o del sistema educativo al mercado de trabajo, es decir es la entrada en la vida activa, considerada como la idea de un tránsito, de un estado intermedio que tiene una cierta duración, que sufre la influencia de la situación precedente y prefigura la situación  futura (Cachón,</w:t>
      </w:r>
      <w:r>
        <w:rPr>
          <w:spacing w:val="-12"/>
          <w:sz w:val="20"/>
        </w:rPr>
        <w:t> </w:t>
      </w:r>
      <w:r>
        <w:rPr>
          <w:sz w:val="20"/>
        </w:rPr>
        <w:t>1999).</w:t>
      </w:r>
    </w:p>
    <w:p>
      <w:pPr>
        <w:spacing w:after="0" w:line="242" w:lineRule="auto"/>
        <w:jc w:val="both"/>
        <w:rPr>
          <w:sz w:val="20"/>
        </w:rPr>
        <w:sectPr>
          <w:pgSz w:w="12240" w:h="15840"/>
          <w:pgMar w:header="0" w:footer="1243" w:top="1360" w:bottom="1440" w:left="1580" w:right="1580"/>
        </w:sectPr>
      </w:pPr>
    </w:p>
    <w:p>
      <w:pPr>
        <w:pStyle w:val="BodyText"/>
        <w:spacing w:line="360" w:lineRule="auto" w:before="50"/>
        <w:ind w:left="102" w:right="120"/>
        <w:jc w:val="both"/>
      </w:pPr>
      <w:r>
        <w:rPr/>
        <w:t>Así, esta investigación identifica como el  objetivo de estudio al proceso de transición de  los egresados universitarios al mercado de trabajo, tomando como caso de estudio a los egresados de la licenciatura de Economía de la UAEMéx, de la generación 2000 a la</w:t>
      </w:r>
      <w:r>
        <w:rPr>
          <w:spacing w:val="-10"/>
        </w:rPr>
        <w:t> </w:t>
      </w:r>
      <w:r>
        <w:rPr/>
        <w:t>2010.</w:t>
      </w:r>
    </w:p>
    <w:p>
      <w:pPr>
        <w:pStyle w:val="BodyText"/>
      </w:pPr>
    </w:p>
    <w:p>
      <w:pPr>
        <w:pStyle w:val="BodyText"/>
        <w:spacing w:line="360" w:lineRule="auto" w:before="143"/>
        <w:ind w:left="102" w:right="116"/>
        <w:jc w:val="both"/>
      </w:pPr>
      <w:r>
        <w:rPr/>
        <w:t>Para tal efecto, en el presente capítulo se tiene como objetivo definir y analizar desde una perspectiva teórica de las ciencias económico-administrativas al proceso de transición de la universidad al mercado de trabajo. Se inicia el estudio con el análisis de dos de las principales teorías del mercado de trabajo: la teoría neoclásica y la teoría de la segmentación. Al tiempo que en esta última, se incluye el análisis de la teoría del capital humano, considerándolo como formador y capacitador para el empleo, con base en los modelos planteados por Mincer (1958), Becker (1962) y Schultz (1961). Así mismo, se hace una contrastación entre la teoría neoclásica y la teoría de la segmentación, resaltando sus puntos de convergencia y divergencia. Al final del capítulo se incluye la flexibilización laboral por considerarse un elemento crítico y determinante en el proceso de transición al mercado de trabajo. Se analizan los principales autores que han estudiado la flexibilidad laboral; se abordan tres tipos de flexibilidad laboral: interna, externa y salarial, los tres coinciden en la necesidad de que las relaciones laborales sean más flexibles frente a las nuevas condiciones de apertura y</w:t>
      </w:r>
      <w:r>
        <w:rPr>
          <w:spacing w:val="-9"/>
        </w:rPr>
        <w:t> </w:t>
      </w:r>
      <w:r>
        <w:rPr/>
        <w:t>globalización.</w:t>
      </w:r>
    </w:p>
    <w:p>
      <w:pPr>
        <w:pStyle w:val="BodyText"/>
      </w:pPr>
    </w:p>
    <w:p>
      <w:pPr>
        <w:pStyle w:val="Heading3"/>
        <w:numPr>
          <w:ilvl w:val="1"/>
          <w:numId w:val="27"/>
        </w:numPr>
        <w:tabs>
          <w:tab w:pos="822" w:val="left" w:leader="none"/>
        </w:tabs>
        <w:spacing w:line="240" w:lineRule="auto" w:before="212" w:after="0"/>
        <w:ind w:left="822" w:right="0" w:hanging="720"/>
        <w:jc w:val="both"/>
      </w:pPr>
      <w:bookmarkStart w:name="_bookmark5" w:id="6"/>
      <w:bookmarkEnd w:id="6"/>
      <w:r>
        <w:rPr>
          <w:b w:val="0"/>
        </w:rPr>
      </w:r>
      <w:bookmarkStart w:name="_bookmark5" w:id="7"/>
      <w:bookmarkEnd w:id="7"/>
      <w:r>
        <w:rPr/>
        <w:t>T</w:t>
      </w:r>
      <w:r>
        <w:rPr/>
        <w:t>eoría neoclásica del mercado de</w:t>
      </w:r>
      <w:r>
        <w:rPr>
          <w:spacing w:val="-10"/>
        </w:rPr>
        <w:t> </w:t>
      </w:r>
      <w:r>
        <w:rPr/>
        <w:t>trabajo</w:t>
      </w:r>
    </w:p>
    <w:p>
      <w:pPr>
        <w:pStyle w:val="BodyText"/>
        <w:rPr>
          <w:b/>
        </w:rPr>
      </w:pPr>
    </w:p>
    <w:p>
      <w:pPr>
        <w:pStyle w:val="BodyText"/>
        <w:spacing w:line="360" w:lineRule="auto" w:before="175"/>
        <w:ind w:left="102" w:right="117"/>
        <w:jc w:val="both"/>
      </w:pPr>
      <w:r>
        <w:rPr/>
        <w:t>Las teorías del mercado de trabajo nacen en el siglo XVIII, a medida que las transacciones de intercambios comerciales se transformaron y volvieron más complejas (mercantilismo), los procesos productivos también cambiaron, la producción deja de ser artesanal y se torna mecanizada o industrializada (uso de máquinas para fabricar) generando que se incorporara más producción al mercado con menor costo y en menor tiempo de producción, la oferta aumenta al tiempo que también las características del trabajo y los trabajadores cambian.</w:t>
      </w:r>
    </w:p>
    <w:p>
      <w:pPr>
        <w:pStyle w:val="BodyText"/>
      </w:pPr>
    </w:p>
    <w:p>
      <w:pPr>
        <w:pStyle w:val="BodyText"/>
        <w:spacing w:line="360" w:lineRule="auto" w:before="143"/>
        <w:ind w:left="102" w:right="115"/>
        <w:jc w:val="both"/>
      </w:pPr>
      <w:r>
        <w:rPr/>
        <w:t>Adicionalmente, los compradores se vuelven más exigentes y definen con mayor precisión las características que esperan obtener de los productos y servicios, y el precio que están dispuestos a pagar por cada uno de ello, además de que incrementan su poder adquisitivo,</w:t>
      </w:r>
    </w:p>
    <w:p>
      <w:pPr>
        <w:spacing w:after="0" w:line="360" w:lineRule="auto"/>
        <w:jc w:val="both"/>
        <w:sectPr>
          <w:pgSz w:w="12240" w:h="15840"/>
          <w:pgMar w:header="0" w:footer="1243" w:top="1360" w:bottom="1440" w:left="1600" w:right="1580"/>
        </w:sectPr>
      </w:pPr>
    </w:p>
    <w:p>
      <w:pPr>
        <w:pStyle w:val="BodyText"/>
        <w:spacing w:line="360" w:lineRule="auto" w:before="50"/>
        <w:ind w:left="102" w:right="115"/>
        <w:jc w:val="both"/>
      </w:pPr>
      <w:r>
        <w:rPr/>
        <w:t>la demanda aumenta, se crean nuevos y diferentes mercados, en consecuencia la necesidad de explicar lo que es un mercado de trabajo se volvió cada vez más importante, dando origen a que un gran número de investigadores plantearan diferentes supuestos para los nuevos modelos del mercado de trabajo, que posteriormente se convirtieron en las teorías que explican lo qué es y cómo funciona tanto en el interior como en el exterior un mercado de trabajo.</w:t>
      </w:r>
    </w:p>
    <w:p>
      <w:pPr>
        <w:pStyle w:val="BodyText"/>
      </w:pPr>
    </w:p>
    <w:p>
      <w:pPr>
        <w:pStyle w:val="BodyText"/>
        <w:spacing w:line="360" w:lineRule="auto" w:before="143"/>
        <w:ind w:left="102" w:right="116"/>
        <w:jc w:val="both"/>
      </w:pPr>
      <w:r>
        <w:rPr/>
        <w:t>La teoría neoclásica del mercado de trabajo, como muchas escuelas del pensamiento económico, surge tomando como base los supuestos de las teorías que la preceden y a partir de ahí desarrolla los propios en donde retoma conceptos importantes de la escuela clásica, pero rechaza uno fundamental: la ley del valor del trabajo, mediante la cual se señalaba que el valor dependía de la cantidad de trabajo incorporado a la producción (Ruiz, 2011) y se desarrolla la denominada teoría subjetiva del valor.</w:t>
      </w:r>
    </w:p>
    <w:p>
      <w:pPr>
        <w:pStyle w:val="BodyText"/>
      </w:pPr>
    </w:p>
    <w:p>
      <w:pPr>
        <w:pStyle w:val="BodyText"/>
        <w:spacing w:line="360" w:lineRule="auto" w:before="143"/>
        <w:ind w:left="102" w:right="117"/>
        <w:jc w:val="both"/>
      </w:pPr>
      <w:r>
        <w:rPr/>
        <w:t>A pesar de que algunos autores afirman que no existe una definición clara y coherente de lo que es el mercado, debido a las diferentes acepciones propuestas desde los diversos enfoques del estudio (Díaz, 1999), intuitivamente todos tenemos un concepto de lo que es, tradicionalmente se  piensa en el grupo de compradores  y vendedores con la capacidad  para comerciar entre</w:t>
      </w:r>
      <w:r>
        <w:rPr>
          <w:spacing w:val="-5"/>
        </w:rPr>
        <w:t> </w:t>
      </w:r>
      <w:r>
        <w:rPr/>
        <w:t>ellos.</w:t>
      </w:r>
    </w:p>
    <w:p>
      <w:pPr>
        <w:pStyle w:val="BodyText"/>
      </w:pPr>
    </w:p>
    <w:p>
      <w:pPr>
        <w:pStyle w:val="BodyText"/>
        <w:spacing w:line="360" w:lineRule="auto" w:before="143"/>
        <w:ind w:left="102" w:right="117"/>
        <w:jc w:val="both"/>
      </w:pPr>
      <w:r>
        <w:rPr/>
        <w:t>En un sentido más formal, “mercado” es cualquier institución, mecanismo o sistema que pone en contacto a compradores y vendedores, y facilita la formación de precios y la realización de intercambios (Díaz, 1999), o bien, “mercado” es un conjunto de mecanismos mediante los cuales los compradores y los vendedores de un bien o servicio entran en contacto para comerciarlo (Dornbusch y Fischer, 1985).</w:t>
      </w:r>
    </w:p>
    <w:p>
      <w:pPr>
        <w:pStyle w:val="BodyText"/>
      </w:pPr>
    </w:p>
    <w:p>
      <w:pPr>
        <w:pStyle w:val="BodyText"/>
        <w:spacing w:line="360" w:lineRule="auto" w:before="143"/>
        <w:ind w:left="102" w:right="115"/>
        <w:jc w:val="both"/>
      </w:pPr>
      <w:r>
        <w:rPr/>
        <w:t>Es necesario distinguir que existen diversos tipos de mercados: los de bienes, los de servicios, los de bonos y los financieros (Araneda, 1980). Esta división o clasificación está en función de rasgos diferenciales. Algunas de las principales características que se consideran para clasificar a los mercados son: tipos de demanda, nivel de competencia, ámbito    geográfico-espacial,    naturaleza    de    los    productos,    beneficios    </w:t>
      </w:r>
      <w:r>
        <w:rPr>
          <w:spacing w:val="51"/>
        </w:rPr>
        <w:t> </w:t>
      </w:r>
      <w:r>
        <w:rPr/>
        <w:t>buscados,</w:t>
      </w:r>
    </w:p>
    <w:p>
      <w:pPr>
        <w:spacing w:after="0" w:line="360" w:lineRule="auto"/>
        <w:jc w:val="both"/>
        <w:sectPr>
          <w:pgSz w:w="12240" w:h="15840"/>
          <w:pgMar w:header="0" w:footer="1243" w:top="1360" w:bottom="1440" w:left="1600" w:right="1580"/>
        </w:sectPr>
      </w:pPr>
    </w:p>
    <w:p>
      <w:pPr>
        <w:pStyle w:val="BodyText"/>
        <w:spacing w:line="360" w:lineRule="auto" w:before="50"/>
        <w:ind w:left="102" w:right="118"/>
        <w:jc w:val="both"/>
      </w:pPr>
      <w:r>
        <w:rPr/>
        <w:t>características del consumidor, intensidad de la demanda y la oferta, ámbito temporal, entre otros. En la tabla 1.1 se muestra un resumen de la propuesta de la clasificación de los mercados.</w:t>
      </w:r>
    </w:p>
    <w:p>
      <w:pPr>
        <w:pStyle w:val="BodyText"/>
      </w:pPr>
    </w:p>
    <w:p>
      <w:pPr>
        <w:pStyle w:val="Heading3"/>
        <w:spacing w:before="148"/>
        <w:ind w:left="1227"/>
        <w:jc w:val="left"/>
      </w:pPr>
      <w:r>
        <w:rPr/>
        <w:t>Tabla 1.1. Principales criterios para la clasificación de mercados</w:t>
      </w:r>
    </w:p>
    <w:p>
      <w:pPr>
        <w:pStyle w:val="BodyText"/>
        <w:spacing w:before="2"/>
        <w:rPr>
          <w:b/>
          <w:sz w:val="12"/>
        </w:rPr>
      </w:pPr>
    </w:p>
    <w:tbl>
      <w:tblPr>
        <w:tblW w:w="0" w:type="auto"/>
        <w:jc w:val="left"/>
        <w:tblInd w:w="9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77"/>
        <w:gridCol w:w="4219"/>
      </w:tblGrid>
      <w:tr>
        <w:trPr>
          <w:trHeight w:val="240" w:hRule="exact"/>
        </w:trPr>
        <w:tc>
          <w:tcPr>
            <w:tcW w:w="2877" w:type="dxa"/>
            <w:tcBorders>
              <w:left w:val="nil"/>
              <w:right w:val="nil"/>
            </w:tcBorders>
          </w:tcPr>
          <w:p>
            <w:pPr>
              <w:pStyle w:val="TableParagraph"/>
              <w:spacing w:line="223" w:lineRule="exact"/>
              <w:ind w:left="216" w:right="152"/>
              <w:jc w:val="center"/>
              <w:rPr>
                <w:sz w:val="20"/>
              </w:rPr>
            </w:pPr>
            <w:r>
              <w:rPr>
                <w:sz w:val="20"/>
              </w:rPr>
              <w:t>CRITERIO</w:t>
            </w:r>
          </w:p>
        </w:tc>
        <w:tc>
          <w:tcPr>
            <w:tcW w:w="4219" w:type="dxa"/>
            <w:tcBorders>
              <w:left w:val="nil"/>
              <w:right w:val="nil"/>
            </w:tcBorders>
          </w:tcPr>
          <w:p>
            <w:pPr>
              <w:pStyle w:val="TableParagraph"/>
              <w:spacing w:line="223" w:lineRule="exact"/>
              <w:ind w:left="1588" w:right="1523"/>
              <w:jc w:val="center"/>
              <w:rPr>
                <w:sz w:val="20"/>
              </w:rPr>
            </w:pPr>
            <w:r>
              <w:rPr>
                <w:sz w:val="20"/>
              </w:rPr>
              <w:t>TIPOLOGÍA</w:t>
            </w:r>
          </w:p>
        </w:tc>
      </w:tr>
      <w:tr>
        <w:trPr>
          <w:trHeight w:val="1419" w:hRule="exact"/>
        </w:trPr>
        <w:tc>
          <w:tcPr>
            <w:tcW w:w="2877" w:type="dxa"/>
            <w:tcBorders>
              <w:left w:val="nil"/>
              <w:right w:val="nil"/>
            </w:tcBorders>
          </w:tcPr>
          <w:p>
            <w:pPr>
              <w:pStyle w:val="TableParagraph"/>
              <w:spacing w:line="223" w:lineRule="exact"/>
              <w:ind w:left="212" w:right="153"/>
              <w:jc w:val="center"/>
              <w:rPr>
                <w:sz w:val="20"/>
              </w:rPr>
            </w:pPr>
            <w:r>
              <w:rPr>
                <w:sz w:val="20"/>
              </w:rPr>
              <w:t>Tipo de demanda</w:t>
            </w:r>
          </w:p>
        </w:tc>
        <w:tc>
          <w:tcPr>
            <w:tcW w:w="4219" w:type="dxa"/>
            <w:tcBorders>
              <w:left w:val="nil"/>
              <w:right w:val="nil"/>
            </w:tcBorders>
          </w:tcPr>
          <w:p>
            <w:pPr>
              <w:pStyle w:val="TableParagraph"/>
              <w:numPr>
                <w:ilvl w:val="0"/>
                <w:numId w:val="28"/>
              </w:numPr>
              <w:tabs>
                <w:tab w:pos="534" w:val="left" w:leader="none"/>
                <w:tab w:pos="535" w:val="left" w:leader="none"/>
              </w:tabs>
              <w:spacing w:line="238" w:lineRule="exact" w:before="0" w:after="0"/>
              <w:ind w:left="534" w:right="0" w:hanging="360"/>
              <w:jc w:val="left"/>
              <w:rPr>
                <w:sz w:val="20"/>
              </w:rPr>
            </w:pPr>
            <w:r>
              <w:rPr>
                <w:sz w:val="20"/>
              </w:rPr>
              <w:t>Mercados de</w:t>
            </w:r>
            <w:r>
              <w:rPr>
                <w:spacing w:val="-10"/>
                <w:sz w:val="20"/>
              </w:rPr>
              <w:t> </w:t>
            </w:r>
            <w:r>
              <w:rPr>
                <w:sz w:val="20"/>
              </w:rPr>
              <w:t>consumo:</w:t>
            </w:r>
          </w:p>
          <w:p>
            <w:pPr>
              <w:pStyle w:val="TableParagraph"/>
              <w:numPr>
                <w:ilvl w:val="1"/>
                <w:numId w:val="28"/>
              </w:numPr>
              <w:tabs>
                <w:tab w:pos="894" w:val="left" w:leader="none"/>
                <w:tab w:pos="895" w:val="left" w:leader="none"/>
              </w:tabs>
              <w:spacing w:line="240" w:lineRule="auto" w:before="0" w:after="0"/>
              <w:ind w:left="894" w:right="0" w:hanging="360"/>
              <w:jc w:val="left"/>
              <w:rPr>
                <w:sz w:val="20"/>
              </w:rPr>
            </w:pPr>
            <w:r>
              <w:rPr>
                <w:sz w:val="20"/>
              </w:rPr>
              <w:t>Mercados de consumo</w:t>
            </w:r>
            <w:r>
              <w:rPr>
                <w:spacing w:val="-10"/>
                <w:sz w:val="20"/>
              </w:rPr>
              <w:t> </w:t>
            </w:r>
            <w:r>
              <w:rPr>
                <w:sz w:val="20"/>
              </w:rPr>
              <w:t>inmediato.</w:t>
            </w:r>
          </w:p>
          <w:p>
            <w:pPr>
              <w:pStyle w:val="TableParagraph"/>
              <w:numPr>
                <w:ilvl w:val="1"/>
                <w:numId w:val="28"/>
              </w:numPr>
              <w:tabs>
                <w:tab w:pos="894" w:val="left" w:leader="none"/>
                <w:tab w:pos="895" w:val="left" w:leader="none"/>
              </w:tabs>
              <w:spacing w:line="229" w:lineRule="exact" w:before="0" w:after="0"/>
              <w:ind w:left="894" w:right="0" w:hanging="360"/>
              <w:jc w:val="left"/>
              <w:rPr>
                <w:sz w:val="20"/>
              </w:rPr>
            </w:pPr>
            <w:r>
              <w:rPr>
                <w:sz w:val="20"/>
              </w:rPr>
              <w:t>Mercados de consumo</w:t>
            </w:r>
            <w:r>
              <w:rPr>
                <w:spacing w:val="-7"/>
                <w:sz w:val="20"/>
              </w:rPr>
              <w:t> </w:t>
            </w:r>
            <w:r>
              <w:rPr>
                <w:sz w:val="20"/>
              </w:rPr>
              <w:t>duradero.</w:t>
            </w:r>
          </w:p>
          <w:p>
            <w:pPr>
              <w:pStyle w:val="TableParagraph"/>
              <w:numPr>
                <w:ilvl w:val="1"/>
                <w:numId w:val="28"/>
              </w:numPr>
              <w:tabs>
                <w:tab w:pos="894" w:val="left" w:leader="none"/>
                <w:tab w:pos="895" w:val="left" w:leader="none"/>
              </w:tabs>
              <w:spacing w:line="229" w:lineRule="exact" w:before="0" w:after="0"/>
              <w:ind w:left="894" w:right="0" w:hanging="360"/>
              <w:jc w:val="left"/>
              <w:rPr>
                <w:sz w:val="20"/>
              </w:rPr>
            </w:pPr>
            <w:r>
              <w:rPr>
                <w:sz w:val="20"/>
              </w:rPr>
              <w:t>Mercado de</w:t>
            </w:r>
            <w:r>
              <w:rPr>
                <w:spacing w:val="-8"/>
                <w:sz w:val="20"/>
              </w:rPr>
              <w:t> </w:t>
            </w:r>
            <w:r>
              <w:rPr>
                <w:sz w:val="20"/>
              </w:rPr>
              <w:t>servicios.</w:t>
            </w:r>
          </w:p>
          <w:p>
            <w:pPr>
              <w:pStyle w:val="TableParagraph"/>
              <w:numPr>
                <w:ilvl w:val="0"/>
                <w:numId w:val="28"/>
              </w:numPr>
              <w:tabs>
                <w:tab w:pos="534" w:val="left" w:leader="none"/>
                <w:tab w:pos="535" w:val="left" w:leader="none"/>
              </w:tabs>
              <w:spacing w:line="240" w:lineRule="auto" w:before="0" w:after="0"/>
              <w:ind w:left="534" w:right="0" w:hanging="360"/>
              <w:jc w:val="left"/>
              <w:rPr>
                <w:sz w:val="20"/>
              </w:rPr>
            </w:pPr>
            <w:r>
              <w:rPr>
                <w:sz w:val="20"/>
              </w:rPr>
              <w:t>Mercados organizacionales (o de</w:t>
            </w:r>
            <w:r>
              <w:rPr>
                <w:spacing w:val="-17"/>
                <w:sz w:val="20"/>
              </w:rPr>
              <w:t> </w:t>
            </w:r>
            <w:r>
              <w:rPr>
                <w:sz w:val="20"/>
              </w:rPr>
              <w:t>negocios):</w:t>
            </w:r>
          </w:p>
          <w:p>
            <w:pPr>
              <w:pStyle w:val="TableParagraph"/>
              <w:numPr>
                <w:ilvl w:val="1"/>
                <w:numId w:val="28"/>
              </w:numPr>
              <w:tabs>
                <w:tab w:pos="789" w:val="left" w:leader="none"/>
              </w:tabs>
              <w:spacing w:line="240" w:lineRule="auto" w:before="0" w:after="0"/>
              <w:ind w:left="788" w:right="0" w:hanging="283"/>
              <w:jc w:val="left"/>
              <w:rPr>
                <w:sz w:val="20"/>
              </w:rPr>
            </w:pPr>
            <w:r>
              <w:rPr>
                <w:sz w:val="20"/>
              </w:rPr>
              <w:t>Mercado de</w:t>
            </w:r>
            <w:r>
              <w:rPr>
                <w:spacing w:val="-2"/>
                <w:sz w:val="20"/>
              </w:rPr>
              <w:t> </w:t>
            </w:r>
            <w:r>
              <w:rPr>
                <w:sz w:val="20"/>
              </w:rPr>
              <w:t>trabajo.</w:t>
            </w:r>
          </w:p>
        </w:tc>
      </w:tr>
      <w:tr>
        <w:trPr>
          <w:trHeight w:val="986" w:hRule="exact"/>
        </w:trPr>
        <w:tc>
          <w:tcPr>
            <w:tcW w:w="2877" w:type="dxa"/>
            <w:tcBorders>
              <w:left w:val="nil"/>
              <w:right w:val="nil"/>
            </w:tcBorders>
          </w:tcPr>
          <w:p>
            <w:pPr>
              <w:pStyle w:val="TableParagraph"/>
              <w:spacing w:line="223" w:lineRule="exact"/>
              <w:ind w:left="213" w:right="153"/>
              <w:jc w:val="center"/>
              <w:rPr>
                <w:sz w:val="20"/>
              </w:rPr>
            </w:pPr>
            <w:r>
              <w:rPr>
                <w:sz w:val="20"/>
              </w:rPr>
              <w:t>Nivel de competencia</w:t>
            </w:r>
          </w:p>
        </w:tc>
        <w:tc>
          <w:tcPr>
            <w:tcW w:w="4219" w:type="dxa"/>
            <w:tcBorders>
              <w:left w:val="nil"/>
              <w:right w:val="nil"/>
            </w:tcBorders>
          </w:tcPr>
          <w:p>
            <w:pPr>
              <w:pStyle w:val="TableParagraph"/>
              <w:numPr>
                <w:ilvl w:val="0"/>
                <w:numId w:val="29"/>
              </w:numPr>
              <w:tabs>
                <w:tab w:pos="534" w:val="left" w:leader="none"/>
                <w:tab w:pos="535" w:val="left" w:leader="none"/>
              </w:tabs>
              <w:spacing w:line="238" w:lineRule="exact" w:before="0" w:after="0"/>
              <w:ind w:left="534" w:right="0" w:hanging="360"/>
              <w:jc w:val="left"/>
              <w:rPr>
                <w:sz w:val="20"/>
              </w:rPr>
            </w:pPr>
            <w:r>
              <w:rPr>
                <w:sz w:val="20"/>
              </w:rPr>
              <w:t>Monopolio.</w:t>
            </w:r>
          </w:p>
          <w:p>
            <w:pPr>
              <w:pStyle w:val="TableParagraph"/>
              <w:numPr>
                <w:ilvl w:val="0"/>
                <w:numId w:val="29"/>
              </w:numPr>
              <w:tabs>
                <w:tab w:pos="534" w:val="left" w:leader="none"/>
                <w:tab w:pos="535" w:val="left" w:leader="none"/>
              </w:tabs>
              <w:spacing w:line="245" w:lineRule="exact" w:before="0" w:after="0"/>
              <w:ind w:left="534" w:right="0" w:hanging="360"/>
              <w:jc w:val="left"/>
              <w:rPr>
                <w:sz w:val="20"/>
              </w:rPr>
            </w:pPr>
            <w:r>
              <w:rPr>
                <w:sz w:val="20"/>
              </w:rPr>
              <w:t>Oligopolio.</w:t>
            </w:r>
          </w:p>
          <w:p>
            <w:pPr>
              <w:pStyle w:val="TableParagraph"/>
              <w:numPr>
                <w:ilvl w:val="0"/>
                <w:numId w:val="29"/>
              </w:numPr>
              <w:tabs>
                <w:tab w:pos="534" w:val="left" w:leader="none"/>
                <w:tab w:pos="535" w:val="left" w:leader="none"/>
              </w:tabs>
              <w:spacing w:line="245" w:lineRule="exact" w:before="0" w:after="0"/>
              <w:ind w:left="534" w:right="0" w:hanging="360"/>
              <w:jc w:val="left"/>
              <w:rPr>
                <w:sz w:val="20"/>
              </w:rPr>
            </w:pPr>
            <w:r>
              <w:rPr>
                <w:sz w:val="20"/>
              </w:rPr>
              <w:t>Competencia</w:t>
            </w:r>
            <w:r>
              <w:rPr>
                <w:spacing w:val="-7"/>
                <w:sz w:val="20"/>
              </w:rPr>
              <w:t> </w:t>
            </w:r>
            <w:r>
              <w:rPr>
                <w:sz w:val="20"/>
              </w:rPr>
              <w:t>perfecta.</w:t>
            </w:r>
          </w:p>
          <w:p>
            <w:pPr>
              <w:pStyle w:val="TableParagraph"/>
              <w:numPr>
                <w:ilvl w:val="0"/>
                <w:numId w:val="29"/>
              </w:numPr>
              <w:tabs>
                <w:tab w:pos="534" w:val="left" w:leader="none"/>
                <w:tab w:pos="535" w:val="left" w:leader="none"/>
              </w:tabs>
              <w:spacing w:line="240" w:lineRule="auto" w:before="0" w:after="0"/>
              <w:ind w:left="534" w:right="0" w:hanging="360"/>
              <w:jc w:val="left"/>
              <w:rPr>
                <w:sz w:val="20"/>
              </w:rPr>
            </w:pPr>
            <w:r>
              <w:rPr>
                <w:sz w:val="20"/>
              </w:rPr>
              <w:t>Competencia</w:t>
            </w:r>
            <w:r>
              <w:rPr>
                <w:spacing w:val="-6"/>
                <w:sz w:val="20"/>
              </w:rPr>
              <w:t> </w:t>
            </w:r>
            <w:r>
              <w:rPr>
                <w:sz w:val="20"/>
              </w:rPr>
              <w:t>monopolística.</w:t>
            </w:r>
          </w:p>
        </w:tc>
      </w:tr>
      <w:tr>
        <w:trPr>
          <w:trHeight w:val="989" w:hRule="exact"/>
        </w:trPr>
        <w:tc>
          <w:tcPr>
            <w:tcW w:w="2877" w:type="dxa"/>
            <w:tcBorders>
              <w:left w:val="nil"/>
              <w:right w:val="nil"/>
            </w:tcBorders>
          </w:tcPr>
          <w:p>
            <w:pPr>
              <w:pStyle w:val="TableParagraph"/>
              <w:spacing w:line="223" w:lineRule="exact"/>
              <w:ind w:left="216" w:right="153"/>
              <w:jc w:val="center"/>
              <w:rPr>
                <w:sz w:val="20"/>
              </w:rPr>
            </w:pPr>
            <w:r>
              <w:rPr>
                <w:sz w:val="20"/>
              </w:rPr>
              <w:t>Ámbito geográfico-espacial</w:t>
            </w:r>
          </w:p>
        </w:tc>
        <w:tc>
          <w:tcPr>
            <w:tcW w:w="4219" w:type="dxa"/>
            <w:tcBorders>
              <w:left w:val="nil"/>
              <w:right w:val="nil"/>
            </w:tcBorders>
          </w:tcPr>
          <w:p>
            <w:pPr>
              <w:pStyle w:val="TableParagraph"/>
              <w:numPr>
                <w:ilvl w:val="0"/>
                <w:numId w:val="30"/>
              </w:numPr>
              <w:tabs>
                <w:tab w:pos="534" w:val="left" w:leader="none"/>
                <w:tab w:pos="535" w:val="left" w:leader="none"/>
              </w:tabs>
              <w:spacing w:line="238" w:lineRule="exact" w:before="0" w:after="0"/>
              <w:ind w:left="534" w:right="0" w:hanging="360"/>
              <w:jc w:val="left"/>
              <w:rPr>
                <w:sz w:val="20"/>
              </w:rPr>
            </w:pPr>
            <w:r>
              <w:rPr>
                <w:sz w:val="20"/>
              </w:rPr>
              <w:t>Local</w:t>
            </w:r>
          </w:p>
          <w:p>
            <w:pPr>
              <w:pStyle w:val="TableParagraph"/>
              <w:numPr>
                <w:ilvl w:val="0"/>
                <w:numId w:val="30"/>
              </w:numPr>
              <w:tabs>
                <w:tab w:pos="534" w:val="left" w:leader="none"/>
                <w:tab w:pos="535" w:val="left" w:leader="none"/>
              </w:tabs>
              <w:spacing w:line="245" w:lineRule="exact" w:before="0" w:after="0"/>
              <w:ind w:left="534" w:right="0" w:hanging="360"/>
              <w:jc w:val="left"/>
              <w:rPr>
                <w:sz w:val="20"/>
              </w:rPr>
            </w:pPr>
            <w:r>
              <w:rPr>
                <w:sz w:val="20"/>
              </w:rPr>
              <w:t>Regional</w:t>
            </w:r>
          </w:p>
          <w:p>
            <w:pPr>
              <w:pStyle w:val="TableParagraph"/>
              <w:numPr>
                <w:ilvl w:val="0"/>
                <w:numId w:val="30"/>
              </w:numPr>
              <w:tabs>
                <w:tab w:pos="534" w:val="left" w:leader="none"/>
                <w:tab w:pos="535" w:val="left" w:leader="none"/>
              </w:tabs>
              <w:spacing w:line="245" w:lineRule="exact" w:before="0" w:after="0"/>
              <w:ind w:left="534" w:right="0" w:hanging="360"/>
              <w:jc w:val="left"/>
              <w:rPr>
                <w:sz w:val="20"/>
              </w:rPr>
            </w:pPr>
            <w:r>
              <w:rPr>
                <w:sz w:val="20"/>
              </w:rPr>
              <w:t>Nacional</w:t>
            </w:r>
          </w:p>
          <w:p>
            <w:pPr>
              <w:pStyle w:val="TableParagraph"/>
              <w:numPr>
                <w:ilvl w:val="0"/>
                <w:numId w:val="30"/>
              </w:numPr>
              <w:tabs>
                <w:tab w:pos="534" w:val="left" w:leader="none"/>
                <w:tab w:pos="535" w:val="left" w:leader="none"/>
              </w:tabs>
              <w:spacing w:line="240" w:lineRule="auto" w:before="0" w:after="0"/>
              <w:ind w:left="534" w:right="0" w:hanging="360"/>
              <w:jc w:val="left"/>
              <w:rPr>
                <w:sz w:val="20"/>
              </w:rPr>
            </w:pPr>
            <w:r>
              <w:rPr>
                <w:sz w:val="20"/>
              </w:rPr>
              <w:t>Internacional</w:t>
            </w:r>
          </w:p>
        </w:tc>
      </w:tr>
      <w:tr>
        <w:trPr>
          <w:trHeight w:val="1707" w:hRule="exact"/>
        </w:trPr>
        <w:tc>
          <w:tcPr>
            <w:tcW w:w="2877" w:type="dxa"/>
            <w:tcBorders>
              <w:left w:val="nil"/>
              <w:right w:val="nil"/>
            </w:tcBorders>
          </w:tcPr>
          <w:p>
            <w:pPr>
              <w:pStyle w:val="TableParagraph"/>
              <w:spacing w:line="223" w:lineRule="exact"/>
              <w:ind w:left="216" w:right="152"/>
              <w:jc w:val="center"/>
              <w:rPr>
                <w:sz w:val="20"/>
              </w:rPr>
            </w:pPr>
            <w:r>
              <w:rPr>
                <w:sz w:val="20"/>
              </w:rPr>
              <w:t>Naturaleza de los productos</w:t>
            </w:r>
          </w:p>
        </w:tc>
        <w:tc>
          <w:tcPr>
            <w:tcW w:w="4219" w:type="dxa"/>
            <w:tcBorders>
              <w:left w:val="nil"/>
              <w:right w:val="nil"/>
            </w:tcBorders>
          </w:tcPr>
          <w:p>
            <w:pPr>
              <w:pStyle w:val="TableParagraph"/>
              <w:numPr>
                <w:ilvl w:val="0"/>
                <w:numId w:val="31"/>
              </w:numPr>
              <w:tabs>
                <w:tab w:pos="534" w:val="left" w:leader="none"/>
                <w:tab w:pos="535" w:val="left" w:leader="none"/>
              </w:tabs>
              <w:spacing w:line="238" w:lineRule="exact" w:before="0" w:after="0"/>
              <w:ind w:left="534" w:right="0" w:hanging="360"/>
              <w:jc w:val="left"/>
              <w:rPr>
                <w:sz w:val="20"/>
              </w:rPr>
            </w:pPr>
            <w:r>
              <w:rPr>
                <w:sz w:val="20"/>
              </w:rPr>
              <w:t>Materias</w:t>
            </w:r>
            <w:r>
              <w:rPr>
                <w:spacing w:val="-8"/>
                <w:sz w:val="20"/>
              </w:rPr>
              <w:t> </w:t>
            </w:r>
            <w:r>
              <w:rPr>
                <w:sz w:val="20"/>
              </w:rPr>
              <w:t>primas</w:t>
            </w:r>
          </w:p>
          <w:p>
            <w:pPr>
              <w:pStyle w:val="TableParagraph"/>
              <w:numPr>
                <w:ilvl w:val="0"/>
                <w:numId w:val="31"/>
              </w:numPr>
              <w:tabs>
                <w:tab w:pos="534" w:val="left" w:leader="none"/>
                <w:tab w:pos="535" w:val="left" w:leader="none"/>
              </w:tabs>
              <w:spacing w:line="244" w:lineRule="exact" w:before="0" w:after="0"/>
              <w:ind w:left="534" w:right="0" w:hanging="360"/>
              <w:jc w:val="left"/>
              <w:rPr>
                <w:sz w:val="20"/>
              </w:rPr>
            </w:pPr>
            <w:r>
              <w:rPr>
                <w:sz w:val="20"/>
              </w:rPr>
              <w:t>Manufacturados</w:t>
            </w:r>
          </w:p>
          <w:p>
            <w:pPr>
              <w:pStyle w:val="TableParagraph"/>
              <w:numPr>
                <w:ilvl w:val="0"/>
                <w:numId w:val="31"/>
              </w:numPr>
              <w:tabs>
                <w:tab w:pos="534" w:val="left" w:leader="none"/>
                <w:tab w:pos="535" w:val="left" w:leader="none"/>
              </w:tabs>
              <w:spacing w:line="244" w:lineRule="exact" w:before="0" w:after="0"/>
              <w:ind w:left="534" w:right="0" w:hanging="360"/>
              <w:jc w:val="left"/>
              <w:rPr>
                <w:sz w:val="20"/>
              </w:rPr>
            </w:pPr>
            <w:r>
              <w:rPr>
                <w:sz w:val="20"/>
              </w:rPr>
              <w:t>Servicios</w:t>
            </w:r>
          </w:p>
          <w:p>
            <w:pPr>
              <w:pStyle w:val="TableParagraph"/>
              <w:numPr>
                <w:ilvl w:val="0"/>
                <w:numId w:val="31"/>
              </w:numPr>
              <w:tabs>
                <w:tab w:pos="534" w:val="left" w:leader="none"/>
                <w:tab w:pos="535" w:val="left" w:leader="none"/>
              </w:tabs>
              <w:spacing w:line="240" w:lineRule="auto" w:before="0" w:after="0"/>
              <w:ind w:left="534" w:right="0" w:hanging="360"/>
              <w:jc w:val="left"/>
              <w:rPr>
                <w:sz w:val="20"/>
              </w:rPr>
            </w:pPr>
            <w:r>
              <w:rPr>
                <w:sz w:val="20"/>
              </w:rPr>
              <w:t>Activos</w:t>
            </w:r>
            <w:r>
              <w:rPr>
                <w:spacing w:val="-8"/>
                <w:sz w:val="20"/>
              </w:rPr>
              <w:t> </w:t>
            </w:r>
            <w:r>
              <w:rPr>
                <w:sz w:val="20"/>
              </w:rPr>
              <w:t>financieros</w:t>
            </w:r>
          </w:p>
          <w:p>
            <w:pPr>
              <w:pStyle w:val="TableParagraph"/>
              <w:numPr>
                <w:ilvl w:val="0"/>
                <w:numId w:val="31"/>
              </w:numPr>
              <w:tabs>
                <w:tab w:pos="534" w:val="left" w:leader="none"/>
                <w:tab w:pos="535" w:val="left" w:leader="none"/>
              </w:tabs>
              <w:spacing w:line="245" w:lineRule="exact" w:before="0" w:after="0"/>
              <w:ind w:left="534" w:right="0" w:hanging="360"/>
              <w:jc w:val="left"/>
              <w:rPr>
                <w:sz w:val="20"/>
              </w:rPr>
            </w:pPr>
            <w:r>
              <w:rPr>
                <w:sz w:val="20"/>
              </w:rPr>
              <w:t>Ideas</w:t>
            </w:r>
          </w:p>
          <w:p>
            <w:pPr>
              <w:pStyle w:val="TableParagraph"/>
              <w:numPr>
                <w:ilvl w:val="0"/>
                <w:numId w:val="31"/>
              </w:numPr>
              <w:tabs>
                <w:tab w:pos="534" w:val="left" w:leader="none"/>
                <w:tab w:pos="535" w:val="left" w:leader="none"/>
                <w:tab w:pos="1708" w:val="left" w:leader="none"/>
                <w:tab w:pos="2869" w:val="left" w:leader="none"/>
              </w:tabs>
              <w:spacing w:line="240" w:lineRule="auto" w:before="0" w:after="0"/>
              <w:ind w:left="534" w:right="111" w:hanging="360"/>
              <w:jc w:val="left"/>
              <w:rPr>
                <w:sz w:val="20"/>
              </w:rPr>
            </w:pPr>
            <w:r>
              <w:rPr>
                <w:sz w:val="20"/>
              </w:rPr>
              <w:t>Recursos</w:t>
              <w:tab/>
              <w:t>naturales</w:t>
              <w:tab/>
            </w:r>
            <w:r>
              <w:rPr>
                <w:w w:val="95"/>
                <w:sz w:val="20"/>
              </w:rPr>
              <w:t>(agropecuarios, </w:t>
            </w:r>
            <w:r>
              <w:rPr>
                <w:sz w:val="20"/>
              </w:rPr>
              <w:t>ganaderos)</w:t>
            </w:r>
          </w:p>
        </w:tc>
      </w:tr>
      <w:tr>
        <w:trPr>
          <w:trHeight w:val="1231" w:hRule="exact"/>
        </w:trPr>
        <w:tc>
          <w:tcPr>
            <w:tcW w:w="2877" w:type="dxa"/>
            <w:tcBorders>
              <w:left w:val="nil"/>
              <w:right w:val="nil"/>
            </w:tcBorders>
          </w:tcPr>
          <w:p>
            <w:pPr>
              <w:pStyle w:val="TableParagraph"/>
              <w:spacing w:line="223" w:lineRule="exact"/>
              <w:ind w:left="216" w:right="153"/>
              <w:jc w:val="center"/>
              <w:rPr>
                <w:sz w:val="20"/>
              </w:rPr>
            </w:pPr>
            <w:r>
              <w:rPr>
                <w:sz w:val="20"/>
              </w:rPr>
              <w:t>Características del consumidor</w:t>
            </w:r>
          </w:p>
        </w:tc>
        <w:tc>
          <w:tcPr>
            <w:tcW w:w="4219" w:type="dxa"/>
            <w:tcBorders>
              <w:left w:val="nil"/>
              <w:right w:val="nil"/>
            </w:tcBorders>
          </w:tcPr>
          <w:p>
            <w:pPr>
              <w:pStyle w:val="TableParagraph"/>
              <w:numPr>
                <w:ilvl w:val="0"/>
                <w:numId w:val="32"/>
              </w:numPr>
              <w:tabs>
                <w:tab w:pos="534" w:val="left" w:leader="none"/>
                <w:tab w:pos="535" w:val="left" w:leader="none"/>
              </w:tabs>
              <w:spacing w:line="238" w:lineRule="exact" w:before="0" w:after="0"/>
              <w:ind w:left="534" w:right="0" w:hanging="360"/>
              <w:jc w:val="left"/>
              <w:rPr>
                <w:sz w:val="20"/>
              </w:rPr>
            </w:pPr>
            <w:r>
              <w:rPr>
                <w:sz w:val="20"/>
              </w:rPr>
              <w:t>Socio</w:t>
            </w:r>
            <w:r>
              <w:rPr>
                <w:spacing w:val="-8"/>
                <w:sz w:val="20"/>
              </w:rPr>
              <w:t> </w:t>
            </w:r>
            <w:r>
              <w:rPr>
                <w:sz w:val="20"/>
              </w:rPr>
              <w:t>demográficas</w:t>
            </w:r>
          </w:p>
          <w:p>
            <w:pPr>
              <w:pStyle w:val="TableParagraph"/>
              <w:numPr>
                <w:ilvl w:val="0"/>
                <w:numId w:val="32"/>
              </w:numPr>
              <w:tabs>
                <w:tab w:pos="534" w:val="left" w:leader="none"/>
                <w:tab w:pos="535" w:val="left" w:leader="none"/>
              </w:tabs>
              <w:spacing w:line="244" w:lineRule="exact" w:before="0" w:after="0"/>
              <w:ind w:left="534" w:right="0" w:hanging="360"/>
              <w:jc w:val="left"/>
              <w:rPr>
                <w:sz w:val="20"/>
              </w:rPr>
            </w:pPr>
            <w:r>
              <w:rPr>
                <w:sz w:val="20"/>
              </w:rPr>
              <w:t>Económicas</w:t>
            </w:r>
          </w:p>
          <w:p>
            <w:pPr>
              <w:pStyle w:val="TableParagraph"/>
              <w:numPr>
                <w:ilvl w:val="0"/>
                <w:numId w:val="32"/>
              </w:numPr>
              <w:tabs>
                <w:tab w:pos="534" w:val="left" w:leader="none"/>
                <w:tab w:pos="535" w:val="left" w:leader="none"/>
              </w:tabs>
              <w:spacing w:line="244" w:lineRule="exact" w:before="0" w:after="0"/>
              <w:ind w:left="534" w:right="0" w:hanging="360"/>
              <w:jc w:val="left"/>
              <w:rPr>
                <w:sz w:val="20"/>
              </w:rPr>
            </w:pPr>
            <w:r>
              <w:rPr>
                <w:sz w:val="20"/>
              </w:rPr>
              <w:t>Culturales</w:t>
            </w:r>
          </w:p>
          <w:p>
            <w:pPr>
              <w:pStyle w:val="TableParagraph"/>
              <w:numPr>
                <w:ilvl w:val="0"/>
                <w:numId w:val="32"/>
              </w:numPr>
              <w:tabs>
                <w:tab w:pos="534" w:val="left" w:leader="none"/>
                <w:tab w:pos="535" w:val="left" w:leader="none"/>
              </w:tabs>
              <w:spacing w:line="245" w:lineRule="exact" w:before="0" w:after="0"/>
              <w:ind w:left="534" w:right="0" w:hanging="360"/>
              <w:jc w:val="left"/>
              <w:rPr>
                <w:sz w:val="20"/>
              </w:rPr>
            </w:pPr>
            <w:r>
              <w:rPr>
                <w:sz w:val="20"/>
              </w:rPr>
              <w:t>Estilos de</w:t>
            </w:r>
            <w:r>
              <w:rPr>
                <w:spacing w:val="-8"/>
                <w:sz w:val="20"/>
              </w:rPr>
              <w:t> </w:t>
            </w:r>
            <w:r>
              <w:rPr>
                <w:sz w:val="20"/>
              </w:rPr>
              <w:t>vida</w:t>
            </w:r>
          </w:p>
          <w:p>
            <w:pPr>
              <w:pStyle w:val="TableParagraph"/>
              <w:numPr>
                <w:ilvl w:val="0"/>
                <w:numId w:val="32"/>
              </w:numPr>
              <w:tabs>
                <w:tab w:pos="534" w:val="left" w:leader="none"/>
                <w:tab w:pos="535" w:val="left" w:leader="none"/>
              </w:tabs>
              <w:spacing w:line="240" w:lineRule="auto" w:before="0" w:after="0"/>
              <w:ind w:left="534" w:right="0" w:hanging="360"/>
              <w:jc w:val="left"/>
              <w:rPr>
                <w:sz w:val="20"/>
              </w:rPr>
            </w:pPr>
            <w:r>
              <w:rPr>
                <w:sz w:val="20"/>
              </w:rPr>
              <w:t>Consumo</w:t>
            </w:r>
          </w:p>
        </w:tc>
      </w:tr>
      <w:tr>
        <w:trPr>
          <w:trHeight w:val="499" w:hRule="exact"/>
        </w:trPr>
        <w:tc>
          <w:tcPr>
            <w:tcW w:w="2877" w:type="dxa"/>
            <w:tcBorders>
              <w:left w:val="nil"/>
              <w:right w:val="nil"/>
            </w:tcBorders>
          </w:tcPr>
          <w:p>
            <w:pPr>
              <w:pStyle w:val="TableParagraph"/>
              <w:ind w:left="1238" w:hanging="958"/>
              <w:rPr>
                <w:sz w:val="20"/>
              </w:rPr>
            </w:pPr>
            <w:r>
              <w:rPr>
                <w:sz w:val="20"/>
              </w:rPr>
              <w:t>Intensidad de la demanda y la oferta</w:t>
            </w:r>
          </w:p>
        </w:tc>
        <w:tc>
          <w:tcPr>
            <w:tcW w:w="4219" w:type="dxa"/>
            <w:tcBorders>
              <w:left w:val="nil"/>
              <w:right w:val="nil"/>
            </w:tcBorders>
          </w:tcPr>
          <w:p>
            <w:pPr>
              <w:pStyle w:val="TableParagraph"/>
              <w:numPr>
                <w:ilvl w:val="0"/>
                <w:numId w:val="33"/>
              </w:numPr>
              <w:tabs>
                <w:tab w:pos="534" w:val="left" w:leader="none"/>
                <w:tab w:pos="535" w:val="left" w:leader="none"/>
              </w:tabs>
              <w:spacing w:line="238" w:lineRule="exact" w:before="0" w:after="0"/>
              <w:ind w:left="534" w:right="0" w:hanging="360"/>
              <w:jc w:val="left"/>
              <w:rPr>
                <w:sz w:val="20"/>
              </w:rPr>
            </w:pPr>
            <w:r>
              <w:rPr>
                <w:sz w:val="20"/>
              </w:rPr>
              <w:t>Mercado de</w:t>
            </w:r>
            <w:r>
              <w:rPr>
                <w:spacing w:val="-7"/>
                <w:sz w:val="20"/>
              </w:rPr>
              <w:t> </w:t>
            </w:r>
            <w:r>
              <w:rPr>
                <w:sz w:val="20"/>
              </w:rPr>
              <w:t>compradores</w:t>
            </w:r>
          </w:p>
          <w:p>
            <w:pPr>
              <w:pStyle w:val="TableParagraph"/>
              <w:numPr>
                <w:ilvl w:val="0"/>
                <w:numId w:val="33"/>
              </w:numPr>
              <w:tabs>
                <w:tab w:pos="534" w:val="left" w:leader="none"/>
                <w:tab w:pos="535" w:val="left" w:leader="none"/>
              </w:tabs>
              <w:spacing w:line="240" w:lineRule="auto" w:before="0" w:after="0"/>
              <w:ind w:left="534" w:right="0" w:hanging="360"/>
              <w:jc w:val="left"/>
              <w:rPr>
                <w:sz w:val="20"/>
              </w:rPr>
            </w:pPr>
            <w:r>
              <w:rPr>
                <w:sz w:val="20"/>
              </w:rPr>
              <w:t>Mercado de</w:t>
            </w:r>
            <w:r>
              <w:rPr>
                <w:spacing w:val="-7"/>
                <w:sz w:val="20"/>
              </w:rPr>
              <w:t> </w:t>
            </w:r>
            <w:r>
              <w:rPr>
                <w:sz w:val="20"/>
              </w:rPr>
              <w:t>vendedores</w:t>
            </w:r>
          </w:p>
        </w:tc>
      </w:tr>
      <w:tr>
        <w:trPr>
          <w:trHeight w:val="742" w:hRule="exact"/>
        </w:trPr>
        <w:tc>
          <w:tcPr>
            <w:tcW w:w="2877" w:type="dxa"/>
            <w:tcBorders>
              <w:left w:val="nil"/>
              <w:right w:val="nil"/>
            </w:tcBorders>
          </w:tcPr>
          <w:p>
            <w:pPr>
              <w:pStyle w:val="TableParagraph"/>
              <w:spacing w:line="223" w:lineRule="exact"/>
              <w:ind w:left="214" w:right="153"/>
              <w:jc w:val="center"/>
              <w:rPr>
                <w:sz w:val="20"/>
              </w:rPr>
            </w:pPr>
            <w:r>
              <w:rPr>
                <w:sz w:val="20"/>
              </w:rPr>
              <w:t>Ámbito temporal</w:t>
            </w:r>
          </w:p>
        </w:tc>
        <w:tc>
          <w:tcPr>
            <w:tcW w:w="4219" w:type="dxa"/>
            <w:tcBorders>
              <w:left w:val="nil"/>
              <w:right w:val="nil"/>
            </w:tcBorders>
          </w:tcPr>
          <w:p>
            <w:pPr>
              <w:pStyle w:val="TableParagraph"/>
              <w:numPr>
                <w:ilvl w:val="0"/>
                <w:numId w:val="34"/>
              </w:numPr>
              <w:tabs>
                <w:tab w:pos="534" w:val="left" w:leader="none"/>
                <w:tab w:pos="535" w:val="left" w:leader="none"/>
              </w:tabs>
              <w:spacing w:line="237" w:lineRule="exact" w:before="0" w:after="0"/>
              <w:ind w:left="534" w:right="0" w:hanging="360"/>
              <w:jc w:val="left"/>
              <w:rPr>
                <w:sz w:val="20"/>
              </w:rPr>
            </w:pPr>
            <w:r>
              <w:rPr>
                <w:sz w:val="20"/>
              </w:rPr>
              <w:t>Corto</w:t>
            </w:r>
            <w:r>
              <w:rPr>
                <w:spacing w:val="-2"/>
                <w:sz w:val="20"/>
              </w:rPr>
              <w:t> </w:t>
            </w:r>
            <w:r>
              <w:rPr>
                <w:sz w:val="20"/>
              </w:rPr>
              <w:t>plazo</w:t>
            </w:r>
          </w:p>
          <w:p>
            <w:pPr>
              <w:pStyle w:val="TableParagraph"/>
              <w:numPr>
                <w:ilvl w:val="0"/>
                <w:numId w:val="34"/>
              </w:numPr>
              <w:tabs>
                <w:tab w:pos="534" w:val="left" w:leader="none"/>
                <w:tab w:pos="535" w:val="left" w:leader="none"/>
              </w:tabs>
              <w:spacing w:line="244" w:lineRule="exact" w:before="0" w:after="0"/>
              <w:ind w:left="534" w:right="0" w:hanging="360"/>
              <w:jc w:val="left"/>
              <w:rPr>
                <w:sz w:val="20"/>
              </w:rPr>
            </w:pPr>
            <w:r>
              <w:rPr>
                <w:sz w:val="20"/>
              </w:rPr>
              <w:t>Mediano</w:t>
            </w:r>
            <w:r>
              <w:rPr>
                <w:spacing w:val="-2"/>
                <w:sz w:val="20"/>
              </w:rPr>
              <w:t> </w:t>
            </w:r>
            <w:r>
              <w:rPr>
                <w:sz w:val="20"/>
              </w:rPr>
              <w:t>plazo</w:t>
            </w:r>
          </w:p>
          <w:p>
            <w:pPr>
              <w:pStyle w:val="TableParagraph"/>
              <w:numPr>
                <w:ilvl w:val="0"/>
                <w:numId w:val="34"/>
              </w:numPr>
              <w:tabs>
                <w:tab w:pos="534" w:val="left" w:leader="none"/>
                <w:tab w:pos="535" w:val="left" w:leader="none"/>
              </w:tabs>
              <w:spacing w:line="240" w:lineRule="auto" w:before="0" w:after="0"/>
              <w:ind w:left="534" w:right="0" w:hanging="360"/>
              <w:jc w:val="left"/>
              <w:rPr>
                <w:sz w:val="20"/>
              </w:rPr>
            </w:pPr>
            <w:r>
              <w:rPr>
                <w:sz w:val="20"/>
              </w:rPr>
              <w:t>Largo</w:t>
            </w:r>
            <w:r>
              <w:rPr>
                <w:spacing w:val="-5"/>
                <w:sz w:val="20"/>
              </w:rPr>
              <w:t> </w:t>
            </w:r>
            <w:r>
              <w:rPr>
                <w:sz w:val="20"/>
              </w:rPr>
              <w:t>plazo</w:t>
            </w:r>
          </w:p>
        </w:tc>
      </w:tr>
    </w:tbl>
    <w:p>
      <w:pPr>
        <w:spacing w:line="223" w:lineRule="exact" w:before="0"/>
        <w:ind w:left="102" w:right="0" w:firstLine="0"/>
        <w:jc w:val="both"/>
        <w:rPr>
          <w:sz w:val="20"/>
        </w:rPr>
      </w:pPr>
      <w:r>
        <w:rPr>
          <w:sz w:val="20"/>
        </w:rPr>
        <w:t>Fuente: adaptado de Díaz (1999).</w:t>
      </w:r>
    </w:p>
    <w:p>
      <w:pPr>
        <w:pStyle w:val="BodyText"/>
        <w:rPr>
          <w:sz w:val="20"/>
        </w:rPr>
      </w:pPr>
    </w:p>
    <w:p>
      <w:pPr>
        <w:pStyle w:val="BodyText"/>
        <w:spacing w:before="1"/>
        <w:rPr>
          <w:sz w:val="26"/>
        </w:rPr>
      </w:pPr>
    </w:p>
    <w:p>
      <w:pPr>
        <w:pStyle w:val="BodyText"/>
        <w:spacing w:line="360" w:lineRule="auto"/>
        <w:ind w:left="102" w:right="119"/>
        <w:jc w:val="both"/>
      </w:pPr>
      <w:r>
        <w:rPr/>
        <w:t>La presente investigación se centra en la clasificación por tipo de demanda, con el subgrupo de los mercados organizacionales y en particular el mercado de trabajo el que se considera como el objetivo de estudio de este apartado, por tanto un mercado de trabajo es el grupo de trabajadores y empleadores con la capacidad para negociar entre ellos. Sin embargo, el mercado de trabajo no es tan sencillo de explicar, y esta definición se queda corta, no es   la</w:t>
      </w:r>
    </w:p>
    <w:p>
      <w:pPr>
        <w:spacing w:after="0" w:line="360" w:lineRule="auto"/>
        <w:jc w:val="both"/>
        <w:sectPr>
          <w:pgSz w:w="12240" w:h="15840"/>
          <w:pgMar w:header="0" w:footer="1243" w:top="1360" w:bottom="1440" w:left="1600" w:right="1580"/>
        </w:sectPr>
      </w:pPr>
    </w:p>
    <w:p>
      <w:pPr>
        <w:pStyle w:val="BodyText"/>
        <w:spacing w:line="360" w:lineRule="auto" w:before="50"/>
        <w:ind w:left="102" w:right="118"/>
        <w:jc w:val="both"/>
      </w:pPr>
      <w:r>
        <w:rPr/>
        <w:t>más adecuada y tampoco es la más exacta para describir lo que realmente es un mercado de trabajo y las características que lo representan. Por ello, con sustento en la teoría neoclásica se analizará una definición más completa.</w:t>
      </w:r>
    </w:p>
    <w:p>
      <w:pPr>
        <w:pStyle w:val="BodyText"/>
      </w:pPr>
    </w:p>
    <w:p>
      <w:pPr>
        <w:pStyle w:val="BodyText"/>
        <w:spacing w:line="360" w:lineRule="auto" w:before="143"/>
        <w:ind w:left="102" w:right="114"/>
        <w:jc w:val="both"/>
      </w:pPr>
      <w:r>
        <w:rPr/>
        <w:t>La perspectiva económica neoclásica considera al mercado de trabajo como a cualquier otro mercado de bienes, donde el trabajador no resulta afectado por aspectos de tipo social, de espacio, de tiempo o de cualquier otro recurso (son inagotables) (Solow, 1992). La Ley de la oferta y demanda es tomada como base para ajustar el empleo y desempleo, así como la tasa salarial. Los neoclásicos basan su modelo en el análisis microeconómico y en la libre competencia o competencia perfecta. En el análisis del mercado de trabajo desde la perspectiva neoclásica convergen las teorías clásicas del mercado de trabajo, el modelo keynesiano, el equilibrio general de Walras, el equilibrio parcial de Marshall (Roca, 2009)  y lo que ha distinguido a los neoclásicos de los clásicos: el uso de las matemáticas aplicadas a la economía. Tal distinción da origen a los supuestos que dan soporte a la teoría neoclásica del mercado de trabajo, los cuales se describen a</w:t>
      </w:r>
      <w:r>
        <w:rPr>
          <w:spacing w:val="-14"/>
        </w:rPr>
        <w:t> </w:t>
      </w:r>
      <w:r>
        <w:rPr/>
        <w:t>continuación.</w:t>
      </w:r>
    </w:p>
    <w:p>
      <w:pPr>
        <w:pStyle w:val="BodyText"/>
      </w:pPr>
    </w:p>
    <w:p>
      <w:pPr>
        <w:pStyle w:val="Heading3"/>
        <w:numPr>
          <w:ilvl w:val="2"/>
          <w:numId w:val="27"/>
        </w:numPr>
        <w:tabs>
          <w:tab w:pos="822" w:val="left" w:leader="none"/>
        </w:tabs>
        <w:spacing w:line="240" w:lineRule="auto" w:before="215" w:after="0"/>
        <w:ind w:left="822" w:right="0" w:hanging="720"/>
        <w:jc w:val="both"/>
      </w:pPr>
      <w:bookmarkStart w:name="_bookmark6" w:id="8"/>
      <w:bookmarkEnd w:id="8"/>
      <w:r>
        <w:rPr>
          <w:b w:val="0"/>
        </w:rPr>
      </w:r>
      <w:bookmarkStart w:name="_bookmark6" w:id="9"/>
      <w:bookmarkEnd w:id="9"/>
      <w:r>
        <w:rPr/>
        <w:t>Su</w:t>
      </w:r>
      <w:r>
        <w:rPr/>
        <w:t>puestos de la teoría neoclásica del mercado de</w:t>
      </w:r>
      <w:r>
        <w:rPr>
          <w:spacing w:val="-16"/>
        </w:rPr>
        <w:t> </w:t>
      </w:r>
      <w:r>
        <w:rPr/>
        <w:t>trabajo</w:t>
      </w:r>
    </w:p>
    <w:p>
      <w:pPr>
        <w:pStyle w:val="BodyText"/>
        <w:rPr>
          <w:b/>
        </w:rPr>
      </w:pPr>
    </w:p>
    <w:p>
      <w:pPr>
        <w:pStyle w:val="BodyText"/>
        <w:spacing w:before="8"/>
        <w:rPr>
          <w:b/>
          <w:sz w:val="21"/>
        </w:rPr>
      </w:pPr>
    </w:p>
    <w:p>
      <w:pPr>
        <w:pStyle w:val="BodyText"/>
        <w:ind w:left="102"/>
        <w:jc w:val="both"/>
      </w:pPr>
      <w:r>
        <w:rPr/>
        <w:t>La teoría neoclásica del mercado de trabajo se basa en tres supuestos (Roca, 2009):</w:t>
      </w:r>
    </w:p>
    <w:p>
      <w:pPr>
        <w:pStyle w:val="ListParagraph"/>
        <w:numPr>
          <w:ilvl w:val="0"/>
          <w:numId w:val="35"/>
        </w:numPr>
        <w:tabs>
          <w:tab w:pos="821" w:val="left" w:leader="none"/>
          <w:tab w:pos="822" w:val="left" w:leader="none"/>
        </w:tabs>
        <w:spacing w:line="240" w:lineRule="auto" w:before="138" w:after="0"/>
        <w:ind w:left="822" w:right="0" w:hanging="360"/>
        <w:jc w:val="left"/>
        <w:rPr>
          <w:sz w:val="24"/>
        </w:rPr>
      </w:pPr>
      <w:r>
        <w:rPr>
          <w:b/>
          <w:sz w:val="24"/>
        </w:rPr>
        <w:t>Racionalidad </w:t>
      </w:r>
      <w:r>
        <w:rPr>
          <w:sz w:val="24"/>
        </w:rPr>
        <w:t>de los agentes</w:t>
      </w:r>
      <w:r>
        <w:rPr>
          <w:spacing w:val="-8"/>
          <w:sz w:val="24"/>
        </w:rPr>
        <w:t> </w:t>
      </w:r>
      <w:r>
        <w:rPr>
          <w:sz w:val="24"/>
        </w:rPr>
        <w:t>económicos:</w:t>
      </w:r>
    </w:p>
    <w:p>
      <w:pPr>
        <w:pStyle w:val="ListParagraph"/>
        <w:numPr>
          <w:ilvl w:val="1"/>
          <w:numId w:val="35"/>
        </w:numPr>
        <w:tabs>
          <w:tab w:pos="1542" w:val="left" w:leader="none"/>
        </w:tabs>
        <w:spacing w:line="240" w:lineRule="auto" w:before="138" w:after="0"/>
        <w:ind w:left="1542" w:right="0" w:hanging="360"/>
        <w:jc w:val="left"/>
        <w:rPr>
          <w:sz w:val="24"/>
        </w:rPr>
      </w:pPr>
      <w:r>
        <w:rPr>
          <w:sz w:val="24"/>
        </w:rPr>
        <w:t>Los consumidores maximizan su bienestar</w:t>
      </w:r>
      <w:r>
        <w:rPr>
          <w:spacing w:val="-9"/>
          <w:sz w:val="24"/>
        </w:rPr>
        <w:t> </w:t>
      </w:r>
      <w:r>
        <w:rPr>
          <w:sz w:val="24"/>
        </w:rPr>
        <w:t>(utilidad)</w:t>
      </w:r>
    </w:p>
    <w:p>
      <w:pPr>
        <w:pStyle w:val="ListParagraph"/>
        <w:numPr>
          <w:ilvl w:val="1"/>
          <w:numId w:val="35"/>
        </w:numPr>
        <w:tabs>
          <w:tab w:pos="1542" w:val="left" w:leader="none"/>
        </w:tabs>
        <w:spacing w:line="240" w:lineRule="auto" w:before="116" w:after="0"/>
        <w:ind w:left="1542" w:right="0" w:hanging="360"/>
        <w:jc w:val="left"/>
        <w:rPr>
          <w:sz w:val="24"/>
        </w:rPr>
      </w:pPr>
      <w:r>
        <w:rPr>
          <w:sz w:val="24"/>
        </w:rPr>
        <w:t>Los productores maximizan</w:t>
      </w:r>
      <w:r>
        <w:rPr>
          <w:spacing w:val="-9"/>
          <w:sz w:val="24"/>
        </w:rPr>
        <w:t> </w:t>
      </w:r>
      <w:r>
        <w:rPr>
          <w:sz w:val="24"/>
        </w:rPr>
        <w:t>beneficios</w:t>
      </w:r>
    </w:p>
    <w:p>
      <w:pPr>
        <w:pStyle w:val="ListParagraph"/>
        <w:numPr>
          <w:ilvl w:val="0"/>
          <w:numId w:val="35"/>
        </w:numPr>
        <w:tabs>
          <w:tab w:pos="821" w:val="left" w:leader="none"/>
          <w:tab w:pos="822" w:val="left" w:leader="none"/>
        </w:tabs>
        <w:spacing w:line="350" w:lineRule="auto" w:before="118" w:after="0"/>
        <w:ind w:left="822" w:right="404" w:hanging="360"/>
        <w:jc w:val="left"/>
        <w:rPr>
          <w:sz w:val="24"/>
        </w:rPr>
      </w:pPr>
      <w:r>
        <w:rPr>
          <w:b/>
          <w:sz w:val="24"/>
        </w:rPr>
        <w:t>Mercados competitivos</w:t>
      </w:r>
      <w:r>
        <w:rPr>
          <w:sz w:val="24"/>
        </w:rPr>
        <w:t>, ningún agente económico, por sí solo, puede manejar el precio del mercado</w:t>
      </w:r>
      <w:r>
        <w:rPr>
          <w:spacing w:val="-5"/>
          <w:sz w:val="24"/>
        </w:rPr>
        <w:t> </w:t>
      </w:r>
      <w:r>
        <w:rPr>
          <w:sz w:val="24"/>
        </w:rPr>
        <w:t>(salario).</w:t>
      </w:r>
    </w:p>
    <w:p>
      <w:pPr>
        <w:pStyle w:val="ListParagraph"/>
        <w:numPr>
          <w:ilvl w:val="0"/>
          <w:numId w:val="35"/>
        </w:numPr>
        <w:tabs>
          <w:tab w:pos="821" w:val="left" w:leader="none"/>
          <w:tab w:pos="822" w:val="left" w:leader="none"/>
        </w:tabs>
        <w:spacing w:line="240" w:lineRule="auto" w:before="17" w:after="0"/>
        <w:ind w:left="822" w:right="0" w:hanging="360"/>
        <w:jc w:val="left"/>
        <w:rPr>
          <w:sz w:val="24"/>
        </w:rPr>
      </w:pPr>
      <w:r>
        <w:rPr>
          <w:b/>
          <w:sz w:val="24"/>
        </w:rPr>
        <w:t>Precios  y salarios flexibles</w:t>
      </w:r>
      <w:r>
        <w:rPr>
          <w:sz w:val="24"/>
        </w:rPr>
        <w:t>, lo que implica competencia</w:t>
      </w:r>
      <w:r>
        <w:rPr>
          <w:spacing w:val="-12"/>
          <w:sz w:val="24"/>
        </w:rPr>
        <w:t> </w:t>
      </w:r>
      <w:r>
        <w:rPr>
          <w:sz w:val="24"/>
        </w:rPr>
        <w:t>perfecta.</w:t>
      </w:r>
    </w:p>
    <w:p>
      <w:pPr>
        <w:pStyle w:val="BodyText"/>
      </w:pPr>
    </w:p>
    <w:p>
      <w:pPr>
        <w:pStyle w:val="BodyText"/>
        <w:spacing w:before="10"/>
        <w:rPr>
          <w:sz w:val="23"/>
        </w:rPr>
      </w:pPr>
    </w:p>
    <w:p>
      <w:pPr>
        <w:pStyle w:val="BodyText"/>
        <w:spacing w:line="360" w:lineRule="auto"/>
        <w:ind w:left="102" w:right="115"/>
        <w:jc w:val="both"/>
      </w:pPr>
      <w:r>
        <w:rPr/>
        <w:t>En el marco de esta teoría, los individuos al momento de decidir si trabajarán o permanecerán en ocio, toman más en consideración las restricciones tecnológicas y presupuestarias por encima de las restricciones de las normas sociales. Se incluyen las restricciones relacionadas con la justicia (lo que la sociedad percibe como justo), aún cuando es un ingrediente muy importante para el funcionamiento real de los mercados de</w:t>
      </w:r>
    </w:p>
    <w:p>
      <w:pPr>
        <w:spacing w:after="0" w:line="360" w:lineRule="auto"/>
        <w:jc w:val="both"/>
        <w:sectPr>
          <w:footerReference w:type="default" r:id="rId13"/>
          <w:pgSz w:w="12240" w:h="15840"/>
          <w:pgMar w:footer="1243" w:header="0" w:top="1360" w:bottom="1440" w:left="1600" w:right="1580"/>
        </w:sectPr>
      </w:pPr>
    </w:p>
    <w:p>
      <w:pPr>
        <w:pStyle w:val="BodyText"/>
        <w:spacing w:line="360" w:lineRule="auto" w:before="50"/>
        <w:ind w:left="102" w:right="118"/>
        <w:jc w:val="both"/>
      </w:pPr>
      <w:r>
        <w:rPr/>
        <w:t>trabajo (Solow,1992). Para tener acceso a un salario (obtener un ingreso), el empleado debe renunciar a realizar otras actividades (costo de oportunidad), y querrá trabajar únicamente cuando por su trabajo obtenga un ingreso que por lo menos cubra el costo de oportunidad. Al respecto, existe la crítica a la teoría neoclásica en lo concerniente al salario, ya que éste no puede tener un doble papel de costo simple y al mismo tiempo ser considerado como un factor de producción (Solow, 1992).</w:t>
      </w:r>
    </w:p>
    <w:p>
      <w:pPr>
        <w:pStyle w:val="BodyText"/>
      </w:pPr>
    </w:p>
    <w:p>
      <w:pPr>
        <w:pStyle w:val="BodyText"/>
        <w:spacing w:line="360" w:lineRule="auto" w:before="143"/>
        <w:ind w:left="102" w:right="115"/>
        <w:jc w:val="both"/>
      </w:pPr>
      <w:r>
        <w:rPr/>
        <w:t>Bajo la perspectiva neoclásica, la economía debe lograr el pleno empleo por sí misma. Para alcanzar este equilibrio, es obligatorio que existan mecanismos que regulen las condiciones de empleo y salario. Según Peck (1996), el mercado de trabajo neoclásico es un espacio social en el cual las acciones de todos los actores son gobernadas por un conjunto particular de reglas: las de competitividad y las de optimización del comportamiento.</w:t>
      </w:r>
    </w:p>
    <w:p>
      <w:pPr>
        <w:pStyle w:val="BodyText"/>
      </w:pPr>
    </w:p>
    <w:p>
      <w:pPr>
        <w:pStyle w:val="BodyText"/>
        <w:spacing w:line="360" w:lineRule="auto" w:before="143"/>
        <w:ind w:left="102" w:right="112"/>
        <w:jc w:val="both"/>
      </w:pPr>
      <w:r>
        <w:rPr/>
        <w:t>Sin embargo, la perspectiva neoclásica no es la única que explica el comportamiento entre oferta y demanda de trabajo; investigaciones más recientes con este enfoque presentan el concepto mercado de trabajo como: un espacio de intercambio, de manera que las posibilidades de obtener un buen trabajo depende del ajuste entre oferta de desempleados y la demanda por parte de los empleadores (Rodríguez, González, Figuera y Rodríguez, 2009). En donde los elementos que contribuyen a conformar la oferta-demanda de trabajo en el contexto de los egresados de acuerdo con Rodríguez, et al. (2009)</w:t>
      </w:r>
      <w:r>
        <w:rPr>
          <w:spacing w:val="-7"/>
        </w:rPr>
        <w:t> </w:t>
      </w:r>
      <w:r>
        <w:rPr/>
        <w:t>son:</w:t>
      </w:r>
    </w:p>
    <w:p>
      <w:pPr>
        <w:pStyle w:val="BodyText"/>
      </w:pPr>
    </w:p>
    <w:p>
      <w:pPr>
        <w:pStyle w:val="ListParagraph"/>
        <w:numPr>
          <w:ilvl w:val="0"/>
          <w:numId w:val="36"/>
        </w:numPr>
        <w:tabs>
          <w:tab w:pos="822" w:val="left" w:leader="none"/>
        </w:tabs>
        <w:spacing w:line="360" w:lineRule="auto" w:before="143" w:after="0"/>
        <w:ind w:left="822" w:right="117" w:hanging="360"/>
        <w:jc w:val="left"/>
        <w:rPr>
          <w:sz w:val="24"/>
        </w:rPr>
      </w:pPr>
      <w:r>
        <w:rPr>
          <w:sz w:val="24"/>
        </w:rPr>
        <w:t>Las características y tendencias de la demanda de trabajo: </w:t>
      </w:r>
      <w:r>
        <w:rPr>
          <w:i/>
          <w:sz w:val="24"/>
        </w:rPr>
        <w:t>output educativo </w:t>
      </w:r>
      <w:r>
        <w:rPr>
          <w:sz w:val="24"/>
        </w:rPr>
        <w:t>– recién graduados o graduados noveles – y </w:t>
      </w:r>
      <w:r>
        <w:rPr>
          <w:i/>
          <w:sz w:val="24"/>
        </w:rPr>
        <w:t>output laboral </w:t>
      </w:r>
      <w:r>
        <w:rPr>
          <w:sz w:val="24"/>
        </w:rPr>
        <w:t>– profesionales con</w:t>
      </w:r>
      <w:r>
        <w:rPr>
          <w:spacing w:val="-11"/>
          <w:sz w:val="24"/>
        </w:rPr>
        <w:t> </w:t>
      </w:r>
      <w:r>
        <w:rPr>
          <w:sz w:val="24"/>
        </w:rPr>
        <w:t>experiencia.</w:t>
      </w:r>
    </w:p>
    <w:p>
      <w:pPr>
        <w:pStyle w:val="ListParagraph"/>
        <w:numPr>
          <w:ilvl w:val="0"/>
          <w:numId w:val="36"/>
        </w:numPr>
        <w:tabs>
          <w:tab w:pos="822" w:val="left" w:leader="none"/>
        </w:tabs>
        <w:spacing w:line="240" w:lineRule="auto" w:before="6" w:after="0"/>
        <w:ind w:left="822" w:right="0" w:hanging="360"/>
        <w:jc w:val="left"/>
        <w:rPr>
          <w:sz w:val="24"/>
        </w:rPr>
      </w:pPr>
      <w:r>
        <w:rPr>
          <w:sz w:val="24"/>
        </w:rPr>
        <w:t>La estructura y tendencias del contexto</w:t>
      </w:r>
      <w:r>
        <w:rPr>
          <w:spacing w:val="-9"/>
          <w:sz w:val="24"/>
        </w:rPr>
        <w:t> </w:t>
      </w:r>
      <w:r>
        <w:rPr>
          <w:sz w:val="24"/>
        </w:rPr>
        <w:t>laboral.</w:t>
      </w:r>
    </w:p>
    <w:p>
      <w:pPr>
        <w:pStyle w:val="BodyText"/>
      </w:pPr>
    </w:p>
    <w:p>
      <w:pPr>
        <w:pStyle w:val="BodyText"/>
      </w:pPr>
    </w:p>
    <w:p>
      <w:pPr>
        <w:pStyle w:val="BodyText"/>
        <w:spacing w:line="360" w:lineRule="auto"/>
        <w:ind w:left="102" w:right="117"/>
        <w:jc w:val="both"/>
      </w:pPr>
      <w:r>
        <w:rPr/>
        <w:t>Ahora bien, el mercado de trabajo es sinónimo de mercado perfecto, en donde el mercado se considera más flexible, más eficiente y es un modelo ideal, un mercado libre no regulado (Zeytinoglu,</w:t>
      </w:r>
      <w:r>
        <w:rPr>
          <w:spacing w:val="-7"/>
        </w:rPr>
        <w:t> </w:t>
      </w:r>
      <w:r>
        <w:rPr/>
        <w:t>1999).</w:t>
      </w:r>
    </w:p>
    <w:p>
      <w:pPr>
        <w:pStyle w:val="BodyText"/>
      </w:pPr>
    </w:p>
    <w:p>
      <w:pPr>
        <w:tabs>
          <w:tab w:pos="5239" w:val="left" w:leader="none"/>
        </w:tabs>
        <w:spacing w:line="362" w:lineRule="auto" w:before="140"/>
        <w:ind w:left="810" w:right="123" w:firstLine="0"/>
        <w:jc w:val="left"/>
        <w:rPr>
          <w:sz w:val="22"/>
        </w:rPr>
      </w:pPr>
      <w:r>
        <w:rPr>
          <w:sz w:val="22"/>
        </w:rPr>
        <w:t>Una tradición […] de la economía […], [es] que el mercado de trabajo es exactamente igual que  los  otros  mercados.  Debe […]</w:t>
      </w:r>
      <w:r>
        <w:rPr>
          <w:spacing w:val="45"/>
          <w:sz w:val="22"/>
        </w:rPr>
        <w:t> </w:t>
      </w:r>
      <w:r>
        <w:rPr>
          <w:sz w:val="22"/>
        </w:rPr>
        <w:t>analizarse</w:t>
        <w:tab/>
        <w:t>de la misma forma que se  analizaría    </w:t>
      </w:r>
      <w:r>
        <w:rPr>
          <w:spacing w:val="28"/>
          <w:sz w:val="22"/>
        </w:rPr>
        <w:t> </w:t>
      </w:r>
      <w:r>
        <w:rPr>
          <w:sz w:val="22"/>
        </w:rPr>
        <w:t>el</w:t>
      </w:r>
    </w:p>
    <w:p>
      <w:pPr>
        <w:spacing w:after="0" w:line="362" w:lineRule="auto"/>
        <w:jc w:val="left"/>
        <w:rPr>
          <w:sz w:val="22"/>
        </w:rPr>
        <w:sectPr>
          <w:footerReference w:type="default" r:id="rId14"/>
          <w:pgSz w:w="12240" w:h="15840"/>
          <w:pgMar w:footer="1235" w:header="0" w:top="1360" w:bottom="1420" w:left="1600" w:right="1580"/>
          <w:pgNumType w:start="11"/>
        </w:sectPr>
      </w:pPr>
    </w:p>
    <w:p>
      <w:pPr>
        <w:spacing w:line="360" w:lineRule="auto" w:before="50"/>
        <w:ind w:left="810" w:right="115" w:firstLine="0"/>
        <w:jc w:val="both"/>
        <w:rPr>
          <w:sz w:val="22"/>
        </w:rPr>
      </w:pPr>
      <w:r>
        <w:rPr>
          <w:sz w:val="22"/>
        </w:rPr>
        <w:t>mercado de un bien perecedero, utilizando un sistema tradicional de la oferta y la demanda. El sentido común […], parece que da por sabido que el trabajo como bien económico tiene algo especial y por tanto también lo tiene el mercado de trabajo (Solow, 1992, p. 23)</w:t>
      </w:r>
    </w:p>
    <w:p>
      <w:pPr>
        <w:pStyle w:val="BodyText"/>
        <w:rPr>
          <w:sz w:val="22"/>
        </w:rPr>
      </w:pPr>
    </w:p>
    <w:p>
      <w:pPr>
        <w:pStyle w:val="BodyText"/>
        <w:spacing w:line="360" w:lineRule="auto" w:before="164"/>
        <w:ind w:left="102" w:right="118"/>
        <w:jc w:val="both"/>
      </w:pPr>
      <w:r>
        <w:rPr/>
        <w:t>El salario representa el precio del trabajo, dicho de otra forma es el pago por poner horas de trabajo para generar un bien o servicio, y este es concebido por las decisiones tomadas en conjunto entre vendedores (empleados) y compradores (empleadores) (Roca, 2009) lo que nos lleva al equilibrio entre oferta y demanda, mismo que se describe a continuación.</w:t>
      </w:r>
    </w:p>
    <w:p>
      <w:pPr>
        <w:pStyle w:val="BodyText"/>
      </w:pPr>
    </w:p>
    <w:p>
      <w:pPr>
        <w:pStyle w:val="Heading3"/>
        <w:numPr>
          <w:ilvl w:val="2"/>
          <w:numId w:val="27"/>
        </w:numPr>
        <w:tabs>
          <w:tab w:pos="822" w:val="left" w:leader="none"/>
        </w:tabs>
        <w:spacing w:line="240" w:lineRule="auto" w:before="213" w:after="0"/>
        <w:ind w:left="822" w:right="0" w:hanging="720"/>
        <w:jc w:val="both"/>
      </w:pPr>
      <w:bookmarkStart w:name="_bookmark7" w:id="10"/>
      <w:bookmarkEnd w:id="10"/>
      <w:r>
        <w:rPr>
          <w:b w:val="0"/>
        </w:rPr>
      </w:r>
      <w:bookmarkStart w:name="_bookmark7" w:id="11"/>
      <w:bookmarkEnd w:id="11"/>
      <w:r>
        <w:rPr/>
        <w:t>E</w:t>
      </w:r>
      <w:r>
        <w:rPr/>
        <w:t>quilibrio del mercado de trabajo - ley de oferta y</w:t>
      </w:r>
      <w:r>
        <w:rPr>
          <w:spacing w:val="-14"/>
        </w:rPr>
        <w:t> </w:t>
      </w:r>
      <w:r>
        <w:rPr/>
        <w:t>demanda</w:t>
      </w:r>
    </w:p>
    <w:p>
      <w:pPr>
        <w:pStyle w:val="BodyText"/>
        <w:spacing w:before="6"/>
        <w:rPr>
          <w:b/>
          <w:sz w:val="28"/>
        </w:rPr>
      </w:pPr>
    </w:p>
    <w:p>
      <w:pPr>
        <w:pStyle w:val="BodyText"/>
        <w:spacing w:line="350" w:lineRule="auto" w:before="1"/>
        <w:ind w:left="102" w:right="115"/>
        <w:jc w:val="both"/>
      </w:pPr>
      <w:r>
        <w:rPr/>
        <w:t>El equilibrio en el mercado de trabajo determina el nivel de empleo en equilibrio, que es además el nivel de pleno empleo (Ruiz, 2010; Campos, 2003; Toharia, 1983). El mercado de trabajo neoclásico se equilibra cuando se igualan las cantidades ofrecidas y demandadas de trabajo (N</w:t>
      </w:r>
      <w:r>
        <w:rPr>
          <w:position w:val="11"/>
          <w:sz w:val="16"/>
        </w:rPr>
        <w:t>d </w:t>
      </w:r>
      <w:r>
        <w:rPr/>
        <w:t>= N</w:t>
      </w:r>
      <w:r>
        <w:rPr>
          <w:position w:val="11"/>
          <w:sz w:val="16"/>
        </w:rPr>
        <w:t>s</w:t>
      </w:r>
      <w:r>
        <w:rPr/>
        <w:t>), siendo los salarios nominales totalmente flexibles (Roca, 2009):</w:t>
      </w:r>
    </w:p>
    <w:p>
      <w:pPr>
        <w:pStyle w:val="BodyText"/>
        <w:rPr>
          <w:sz w:val="20"/>
        </w:rPr>
      </w:pPr>
    </w:p>
    <w:p>
      <w:pPr>
        <w:pStyle w:val="BodyText"/>
        <w:spacing w:before="10"/>
        <w:rPr>
          <w:sz w:val="14"/>
        </w:rPr>
      </w:pPr>
    </w:p>
    <w:tbl>
      <w:tblPr>
        <w:tblW w:w="0" w:type="auto"/>
        <w:jc w:val="left"/>
        <w:tblInd w:w="19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8"/>
        <w:gridCol w:w="622"/>
        <w:gridCol w:w="572"/>
        <w:gridCol w:w="786"/>
        <w:gridCol w:w="513"/>
        <w:gridCol w:w="537"/>
        <w:gridCol w:w="352"/>
        <w:gridCol w:w="493"/>
        <w:gridCol w:w="799"/>
      </w:tblGrid>
      <w:tr>
        <w:trPr>
          <w:trHeight w:val="482" w:hRule="exact"/>
        </w:trPr>
        <w:tc>
          <w:tcPr>
            <w:tcW w:w="628" w:type="dxa"/>
          </w:tcPr>
          <w:p>
            <w:pPr>
              <w:pStyle w:val="TableParagraph"/>
              <w:spacing w:line="291" w:lineRule="exact"/>
              <w:ind w:left="200"/>
              <w:rPr>
                <w:b/>
                <w:sz w:val="16"/>
              </w:rPr>
            </w:pPr>
            <w:r>
              <w:rPr>
                <w:b/>
                <w:position w:val="-10"/>
                <w:sz w:val="24"/>
              </w:rPr>
              <w:t>N</w:t>
            </w:r>
            <w:r>
              <w:rPr>
                <w:b/>
                <w:sz w:val="16"/>
              </w:rPr>
              <w:t>d</w:t>
            </w:r>
          </w:p>
        </w:tc>
        <w:tc>
          <w:tcPr>
            <w:tcW w:w="622" w:type="dxa"/>
          </w:tcPr>
          <w:p>
            <w:pPr>
              <w:pStyle w:val="TableParagraph"/>
              <w:spacing w:before="15"/>
              <w:ind w:left="145" w:right="123"/>
              <w:jc w:val="center"/>
              <w:rPr>
                <w:b/>
                <w:sz w:val="24"/>
              </w:rPr>
            </w:pPr>
            <w:r>
              <w:rPr>
                <w:b/>
                <w:sz w:val="24"/>
              </w:rPr>
              <w:t>(w,</w:t>
            </w:r>
          </w:p>
        </w:tc>
        <w:tc>
          <w:tcPr>
            <w:tcW w:w="572" w:type="dxa"/>
          </w:tcPr>
          <w:p>
            <w:pPr>
              <w:pStyle w:val="TableParagraph"/>
              <w:spacing w:before="15"/>
              <w:ind w:left="142"/>
              <w:rPr>
                <w:b/>
                <w:sz w:val="24"/>
              </w:rPr>
            </w:pPr>
            <w:r>
              <w:rPr>
                <w:b/>
                <w:sz w:val="24"/>
              </w:rPr>
              <w:t>K,</w:t>
            </w:r>
          </w:p>
        </w:tc>
        <w:tc>
          <w:tcPr>
            <w:tcW w:w="786" w:type="dxa"/>
          </w:tcPr>
          <w:p>
            <w:pPr>
              <w:pStyle w:val="TableParagraph"/>
              <w:spacing w:before="15"/>
              <w:ind w:left="185"/>
              <w:rPr>
                <w:b/>
                <w:sz w:val="24"/>
              </w:rPr>
            </w:pPr>
            <w:r>
              <w:rPr>
                <w:b/>
                <w:sz w:val="24"/>
              </w:rPr>
              <w:t>T) =</w:t>
            </w:r>
          </w:p>
        </w:tc>
        <w:tc>
          <w:tcPr>
            <w:tcW w:w="513" w:type="dxa"/>
          </w:tcPr>
          <w:p>
            <w:pPr>
              <w:pStyle w:val="TableParagraph"/>
              <w:spacing w:line="291" w:lineRule="exact"/>
              <w:ind w:left="162"/>
              <w:rPr>
                <w:b/>
                <w:sz w:val="16"/>
              </w:rPr>
            </w:pPr>
            <w:r>
              <w:rPr>
                <w:b/>
                <w:position w:val="-10"/>
                <w:sz w:val="24"/>
              </w:rPr>
              <w:t>N</w:t>
            </w:r>
            <w:r>
              <w:rPr>
                <w:b/>
                <w:sz w:val="16"/>
              </w:rPr>
              <w:t>s</w:t>
            </w:r>
          </w:p>
        </w:tc>
        <w:tc>
          <w:tcPr>
            <w:tcW w:w="537" w:type="dxa"/>
          </w:tcPr>
          <w:p>
            <w:pPr>
              <w:pStyle w:val="TableParagraph"/>
              <w:spacing w:before="15"/>
              <w:ind w:left="94" w:right="90"/>
              <w:jc w:val="center"/>
              <w:rPr>
                <w:b/>
                <w:sz w:val="24"/>
              </w:rPr>
            </w:pPr>
            <w:r>
              <w:rPr>
                <w:b/>
                <w:sz w:val="24"/>
              </w:rPr>
              <w:t>(w,</w:t>
            </w:r>
          </w:p>
        </w:tc>
        <w:tc>
          <w:tcPr>
            <w:tcW w:w="352" w:type="dxa"/>
          </w:tcPr>
          <w:p>
            <w:pPr>
              <w:pStyle w:val="TableParagraph"/>
              <w:spacing w:before="15"/>
              <w:ind w:left="109"/>
              <w:rPr>
                <w:b/>
                <w:sz w:val="24"/>
              </w:rPr>
            </w:pPr>
            <w:r>
              <w:rPr>
                <w:b/>
                <w:sz w:val="24"/>
              </w:rPr>
              <w:t>l,</w:t>
            </w:r>
          </w:p>
        </w:tc>
        <w:tc>
          <w:tcPr>
            <w:tcW w:w="493" w:type="dxa"/>
          </w:tcPr>
          <w:p>
            <w:pPr>
              <w:pStyle w:val="TableParagraph"/>
              <w:spacing w:before="15"/>
              <w:ind w:left="96" w:right="100"/>
              <w:jc w:val="center"/>
              <w:rPr>
                <w:b/>
                <w:sz w:val="24"/>
              </w:rPr>
            </w:pPr>
            <w:r>
              <w:rPr>
                <w:b/>
                <w:sz w:val="24"/>
              </w:rPr>
              <w:t>t</w:t>
            </w:r>
            <w:r>
              <w:rPr>
                <w:b/>
                <w:position w:val="-2"/>
                <w:sz w:val="16"/>
              </w:rPr>
              <w:t>w</w:t>
            </w:r>
            <w:r>
              <w:rPr>
                <w:b/>
                <w:sz w:val="24"/>
              </w:rPr>
              <w:t>,</w:t>
            </w:r>
          </w:p>
        </w:tc>
        <w:tc>
          <w:tcPr>
            <w:tcW w:w="799" w:type="dxa"/>
          </w:tcPr>
          <w:p>
            <w:pPr>
              <w:pStyle w:val="TableParagraph"/>
              <w:spacing w:before="15"/>
              <w:ind w:left="101" w:right="177"/>
              <w:jc w:val="center"/>
              <w:rPr>
                <w:b/>
                <w:sz w:val="24"/>
              </w:rPr>
            </w:pPr>
            <w:r>
              <w:rPr>
                <w:b/>
                <w:sz w:val="24"/>
              </w:rPr>
              <w:t>Pob)</w:t>
            </w:r>
          </w:p>
        </w:tc>
      </w:tr>
      <w:tr>
        <w:trPr>
          <w:trHeight w:val="420" w:hRule="exact"/>
        </w:trPr>
        <w:tc>
          <w:tcPr>
            <w:tcW w:w="628" w:type="dxa"/>
          </w:tcPr>
          <w:p>
            <w:pPr/>
          </w:p>
        </w:tc>
        <w:tc>
          <w:tcPr>
            <w:tcW w:w="622" w:type="dxa"/>
          </w:tcPr>
          <w:p>
            <w:pPr>
              <w:pStyle w:val="TableParagraph"/>
              <w:spacing w:before="148"/>
              <w:ind w:left="23"/>
              <w:jc w:val="center"/>
              <w:rPr>
                <w:b/>
                <w:sz w:val="24"/>
              </w:rPr>
            </w:pPr>
            <w:r>
              <w:rPr>
                <w:b/>
                <w:w w:val="99"/>
                <w:sz w:val="24"/>
              </w:rPr>
              <w:t>-</w:t>
            </w:r>
          </w:p>
        </w:tc>
        <w:tc>
          <w:tcPr>
            <w:tcW w:w="572" w:type="dxa"/>
          </w:tcPr>
          <w:p>
            <w:pPr>
              <w:pStyle w:val="TableParagraph"/>
              <w:spacing w:before="148"/>
              <w:ind w:left="198"/>
              <w:rPr>
                <w:b/>
                <w:sz w:val="24"/>
              </w:rPr>
            </w:pPr>
            <w:r>
              <w:rPr>
                <w:b/>
                <w:sz w:val="24"/>
              </w:rPr>
              <w:t>+</w:t>
            </w:r>
          </w:p>
        </w:tc>
        <w:tc>
          <w:tcPr>
            <w:tcW w:w="786" w:type="dxa"/>
          </w:tcPr>
          <w:p>
            <w:pPr>
              <w:pStyle w:val="TableParagraph"/>
              <w:spacing w:before="148"/>
              <w:ind w:left="207"/>
              <w:rPr>
                <w:b/>
                <w:sz w:val="24"/>
              </w:rPr>
            </w:pPr>
            <w:r>
              <w:rPr>
                <w:b/>
                <w:sz w:val="24"/>
              </w:rPr>
              <w:t>+</w:t>
            </w:r>
          </w:p>
        </w:tc>
        <w:tc>
          <w:tcPr>
            <w:tcW w:w="513" w:type="dxa"/>
          </w:tcPr>
          <w:p>
            <w:pPr/>
          </w:p>
        </w:tc>
        <w:tc>
          <w:tcPr>
            <w:tcW w:w="537" w:type="dxa"/>
          </w:tcPr>
          <w:p>
            <w:pPr>
              <w:pStyle w:val="TableParagraph"/>
              <w:spacing w:before="148"/>
              <w:ind w:left="4"/>
              <w:jc w:val="center"/>
              <w:rPr>
                <w:b/>
                <w:sz w:val="24"/>
              </w:rPr>
            </w:pPr>
            <w:r>
              <w:rPr>
                <w:b/>
                <w:sz w:val="24"/>
              </w:rPr>
              <w:t>+</w:t>
            </w:r>
          </w:p>
        </w:tc>
        <w:tc>
          <w:tcPr>
            <w:tcW w:w="352" w:type="dxa"/>
          </w:tcPr>
          <w:p>
            <w:pPr>
              <w:pStyle w:val="TableParagraph"/>
              <w:spacing w:before="148"/>
              <w:ind w:left="133"/>
              <w:rPr>
                <w:b/>
                <w:sz w:val="24"/>
              </w:rPr>
            </w:pPr>
            <w:r>
              <w:rPr>
                <w:b/>
                <w:w w:val="99"/>
                <w:sz w:val="24"/>
              </w:rPr>
              <w:t>-</w:t>
            </w:r>
          </w:p>
        </w:tc>
        <w:tc>
          <w:tcPr>
            <w:tcW w:w="493" w:type="dxa"/>
          </w:tcPr>
          <w:p>
            <w:pPr>
              <w:pStyle w:val="TableParagraph"/>
              <w:spacing w:before="148"/>
              <w:ind w:right="3"/>
              <w:jc w:val="center"/>
              <w:rPr>
                <w:b/>
                <w:sz w:val="24"/>
              </w:rPr>
            </w:pPr>
            <w:r>
              <w:rPr>
                <w:b/>
                <w:w w:val="99"/>
                <w:sz w:val="24"/>
              </w:rPr>
              <w:t>-</w:t>
            </w:r>
          </w:p>
        </w:tc>
        <w:tc>
          <w:tcPr>
            <w:tcW w:w="799" w:type="dxa"/>
          </w:tcPr>
          <w:p>
            <w:pPr>
              <w:pStyle w:val="TableParagraph"/>
              <w:spacing w:before="148"/>
              <w:ind w:right="72"/>
              <w:jc w:val="center"/>
              <w:rPr>
                <w:b/>
                <w:sz w:val="24"/>
              </w:rPr>
            </w:pPr>
            <w:r>
              <w:rPr>
                <w:b/>
                <w:sz w:val="24"/>
              </w:rPr>
              <w:t>+</w:t>
            </w:r>
          </w:p>
        </w:tc>
      </w:tr>
    </w:tbl>
    <w:p>
      <w:pPr>
        <w:pStyle w:val="BodyText"/>
        <w:spacing w:before="5"/>
        <w:rPr>
          <w:sz w:val="23"/>
        </w:rPr>
      </w:pPr>
    </w:p>
    <w:p>
      <w:pPr>
        <w:pStyle w:val="BodyText"/>
        <w:spacing w:before="69"/>
        <w:ind w:left="102"/>
      </w:pPr>
      <w:r>
        <w:rPr/>
        <w:t>Donde,</w:t>
      </w:r>
    </w:p>
    <w:p>
      <w:pPr>
        <w:pStyle w:val="BodyText"/>
        <w:spacing w:line="331" w:lineRule="auto" w:before="101"/>
        <w:ind w:left="102" w:right="6410"/>
      </w:pPr>
      <w:r>
        <w:rPr/>
        <w:t>N</w:t>
      </w:r>
      <w:r>
        <w:rPr>
          <w:position w:val="11"/>
          <w:sz w:val="16"/>
        </w:rPr>
        <w:t>d </w:t>
      </w:r>
      <w:r>
        <w:rPr/>
        <w:t>: Cantidad demandada N</w:t>
      </w:r>
      <w:r>
        <w:rPr>
          <w:position w:val="11"/>
          <w:sz w:val="16"/>
        </w:rPr>
        <w:t>s </w:t>
      </w:r>
      <w:r>
        <w:rPr/>
        <w:t>= Cantidad ofrecida</w:t>
      </w:r>
    </w:p>
    <w:p>
      <w:pPr>
        <w:pStyle w:val="BodyText"/>
        <w:spacing w:line="360" w:lineRule="auto" w:before="21"/>
        <w:ind w:left="102" w:right="7816"/>
      </w:pPr>
      <w:r>
        <w:rPr/>
        <w:t>w = Salario K = Capital</w:t>
      </w:r>
    </w:p>
    <w:p>
      <w:pPr>
        <w:pStyle w:val="BodyText"/>
        <w:spacing w:before="4"/>
        <w:ind w:left="102"/>
      </w:pPr>
      <w:r>
        <w:rPr/>
        <w:t>T  = Mejora tecnológica</w:t>
      </w:r>
    </w:p>
    <w:p>
      <w:pPr>
        <w:pStyle w:val="BodyText"/>
        <w:spacing w:before="140"/>
        <w:ind w:left="102"/>
      </w:pPr>
      <w:r>
        <w:rPr/>
        <w:t>l = Preferencia por el ocio (permanecer en descanso)</w:t>
      </w:r>
    </w:p>
    <w:p>
      <w:pPr>
        <w:pStyle w:val="BodyText"/>
        <w:spacing w:line="350" w:lineRule="auto" w:before="137"/>
        <w:ind w:left="102" w:right="3515"/>
      </w:pPr>
      <w:r>
        <w:rPr/>
        <w:t>t</w:t>
      </w:r>
      <w:r>
        <w:rPr>
          <w:position w:val="-2"/>
          <w:sz w:val="16"/>
        </w:rPr>
        <w:t>w </w:t>
      </w:r>
      <w:r>
        <w:rPr/>
        <w:t>= Impuestos a los salarios que perciben los empleados Pob = Población activa</w:t>
      </w:r>
    </w:p>
    <w:p>
      <w:pPr>
        <w:pStyle w:val="BodyText"/>
      </w:pPr>
    </w:p>
    <w:p>
      <w:pPr>
        <w:pStyle w:val="BodyText"/>
        <w:spacing w:line="360" w:lineRule="auto" w:before="153"/>
        <w:ind w:left="102" w:right="123"/>
      </w:pPr>
      <w:r>
        <w:rPr/>
        <w:t>Se supone que el equilibrio prevalecerá en el corto plazo. Roca (2009) propone los siguientes supuestos para determinar el equilibrio:</w:t>
      </w:r>
    </w:p>
    <w:p>
      <w:pPr>
        <w:spacing w:after="0" w:line="360" w:lineRule="auto"/>
        <w:sectPr>
          <w:pgSz w:w="12240" w:h="15840"/>
          <w:pgMar w:header="0" w:footer="1235" w:top="1360" w:bottom="1440" w:left="1600" w:right="1580"/>
        </w:sectPr>
      </w:pPr>
    </w:p>
    <w:p>
      <w:pPr>
        <w:pStyle w:val="ListParagraph"/>
        <w:numPr>
          <w:ilvl w:val="3"/>
          <w:numId w:val="27"/>
        </w:numPr>
        <w:tabs>
          <w:tab w:pos="1529" w:val="left" w:leader="none"/>
          <w:tab w:pos="1530" w:val="left" w:leader="none"/>
        </w:tabs>
        <w:spacing w:line="276" w:lineRule="exact" w:before="30" w:after="0"/>
        <w:ind w:left="1530" w:right="0" w:hanging="360"/>
        <w:jc w:val="left"/>
        <w:rPr>
          <w:sz w:val="24"/>
        </w:rPr>
      </w:pPr>
      <w:r>
        <w:rPr>
          <w:sz w:val="24"/>
        </w:rPr>
        <w:t>El nivel normal de producción de equilibrio es el pleno empleo o potencial</w:t>
      </w:r>
      <w:r>
        <w:rPr>
          <w:spacing w:val="-3"/>
          <w:sz w:val="24"/>
        </w:rPr>
        <w:t> </w:t>
      </w:r>
      <w:r>
        <w:rPr>
          <w:sz w:val="24"/>
        </w:rPr>
        <w:t>Y</w:t>
      </w:r>
    </w:p>
    <w:p>
      <w:pPr>
        <w:pStyle w:val="BodyText"/>
        <w:spacing w:line="276" w:lineRule="exact" w:before="20"/>
        <w:ind w:left="1530"/>
      </w:pPr>
      <w:r>
        <w:rPr/>
        <w:t>= Y</w:t>
      </w:r>
      <w:r>
        <w:rPr>
          <w:position w:val="11"/>
          <w:sz w:val="16"/>
        </w:rPr>
        <w:t>p </w:t>
      </w:r>
      <w:r>
        <w:rPr/>
        <w:t>, donde Y es el nivel de producción normal y Y</w:t>
      </w:r>
      <w:r>
        <w:rPr>
          <w:position w:val="11"/>
          <w:sz w:val="16"/>
        </w:rPr>
        <w:t>p </w:t>
      </w:r>
      <w:r>
        <w:rPr/>
        <w:t>corresponde a la producción en pleno empleo o potencial.</w:t>
      </w:r>
    </w:p>
    <w:p>
      <w:pPr>
        <w:pStyle w:val="BodyText"/>
        <w:spacing w:before="9"/>
        <w:rPr>
          <w:sz w:val="25"/>
        </w:rPr>
      </w:pPr>
    </w:p>
    <w:p>
      <w:pPr>
        <w:pStyle w:val="ListParagraph"/>
        <w:numPr>
          <w:ilvl w:val="3"/>
          <w:numId w:val="27"/>
        </w:numPr>
        <w:tabs>
          <w:tab w:pos="1529" w:val="left" w:leader="none"/>
          <w:tab w:pos="1530" w:val="left" w:leader="none"/>
        </w:tabs>
        <w:spacing w:line="274" w:lineRule="exact" w:before="0" w:after="0"/>
        <w:ind w:left="1530" w:right="123" w:hanging="360"/>
        <w:jc w:val="left"/>
        <w:rPr>
          <w:sz w:val="24"/>
        </w:rPr>
      </w:pPr>
      <w:r>
        <w:rPr>
          <w:sz w:val="24"/>
        </w:rPr>
        <w:t>Fuera del pleno empleo hay mecanismos de ajuste automático que llevarían otra vez al pleno</w:t>
      </w:r>
      <w:r>
        <w:rPr>
          <w:spacing w:val="-6"/>
          <w:sz w:val="24"/>
        </w:rPr>
        <w:t> </w:t>
      </w:r>
      <w:r>
        <w:rPr>
          <w:sz w:val="24"/>
        </w:rPr>
        <w:t>empleo.</w:t>
      </w:r>
    </w:p>
    <w:p>
      <w:pPr>
        <w:pStyle w:val="BodyText"/>
        <w:spacing w:before="9"/>
        <w:rPr>
          <w:sz w:val="25"/>
        </w:rPr>
      </w:pPr>
    </w:p>
    <w:p>
      <w:pPr>
        <w:pStyle w:val="ListParagraph"/>
        <w:numPr>
          <w:ilvl w:val="3"/>
          <w:numId w:val="27"/>
        </w:numPr>
        <w:tabs>
          <w:tab w:pos="1529" w:val="left" w:leader="none"/>
          <w:tab w:pos="1530" w:val="left" w:leader="none"/>
        </w:tabs>
        <w:spacing w:line="274" w:lineRule="exact" w:before="0" w:after="0"/>
        <w:ind w:left="1530" w:right="120" w:hanging="360"/>
        <w:jc w:val="left"/>
        <w:rPr>
          <w:sz w:val="24"/>
        </w:rPr>
      </w:pPr>
      <w:r>
        <w:rPr>
          <w:sz w:val="24"/>
        </w:rPr>
        <w:t>La flexibilidad de todos los precios, salarios y tasas de interés. Harían innecesaria la intervención del</w:t>
      </w:r>
      <w:r>
        <w:rPr>
          <w:spacing w:val="-7"/>
          <w:sz w:val="24"/>
        </w:rPr>
        <w:t> </w:t>
      </w:r>
      <w:r>
        <w:rPr>
          <w:sz w:val="24"/>
        </w:rPr>
        <w:t>Estado.</w:t>
      </w:r>
    </w:p>
    <w:p>
      <w:pPr>
        <w:pStyle w:val="BodyText"/>
        <w:spacing w:before="10"/>
        <w:rPr>
          <w:sz w:val="23"/>
        </w:rPr>
      </w:pPr>
    </w:p>
    <w:p>
      <w:pPr>
        <w:pStyle w:val="ListParagraph"/>
        <w:numPr>
          <w:ilvl w:val="3"/>
          <w:numId w:val="27"/>
        </w:numPr>
        <w:tabs>
          <w:tab w:pos="1529" w:val="left" w:leader="none"/>
          <w:tab w:pos="1530" w:val="left" w:leader="none"/>
        </w:tabs>
        <w:spacing w:line="240" w:lineRule="auto" w:before="0" w:after="0"/>
        <w:ind w:left="1530" w:right="0" w:hanging="360"/>
        <w:jc w:val="left"/>
        <w:rPr>
          <w:sz w:val="24"/>
        </w:rPr>
      </w:pPr>
      <w:r>
        <w:rPr>
          <w:sz w:val="24"/>
        </w:rPr>
        <w:t>El dinero solo sirve para facilitar las compras: medio de</w:t>
      </w:r>
      <w:r>
        <w:rPr>
          <w:spacing w:val="-11"/>
          <w:sz w:val="24"/>
        </w:rPr>
        <w:t> </w:t>
      </w:r>
      <w:r>
        <w:rPr>
          <w:sz w:val="24"/>
        </w:rPr>
        <w:t>pago.</w:t>
      </w:r>
    </w:p>
    <w:p>
      <w:pPr>
        <w:pStyle w:val="BodyText"/>
        <w:spacing w:before="10"/>
        <w:rPr>
          <w:sz w:val="25"/>
        </w:rPr>
      </w:pPr>
    </w:p>
    <w:p>
      <w:pPr>
        <w:pStyle w:val="ListParagraph"/>
        <w:numPr>
          <w:ilvl w:val="3"/>
          <w:numId w:val="27"/>
        </w:numPr>
        <w:tabs>
          <w:tab w:pos="1529" w:val="left" w:leader="none"/>
          <w:tab w:pos="1530" w:val="left" w:leader="none"/>
        </w:tabs>
        <w:spacing w:line="274" w:lineRule="exact" w:before="0" w:after="0"/>
        <w:ind w:left="1530" w:right="119" w:hanging="360"/>
        <w:jc w:val="left"/>
        <w:rPr>
          <w:sz w:val="24"/>
        </w:rPr>
      </w:pPr>
      <w:r>
        <w:rPr>
          <w:sz w:val="24"/>
        </w:rPr>
        <w:t>El dinero es neutral: solo influye en las variables nominales de equilibrio, no en las</w:t>
      </w:r>
      <w:r>
        <w:rPr>
          <w:spacing w:val="-3"/>
          <w:sz w:val="24"/>
        </w:rPr>
        <w:t> </w:t>
      </w:r>
      <w:r>
        <w:rPr>
          <w:sz w:val="24"/>
        </w:rPr>
        <w:t>reales.</w:t>
      </w:r>
    </w:p>
    <w:p>
      <w:pPr>
        <w:pStyle w:val="BodyText"/>
        <w:spacing w:before="10"/>
        <w:rPr>
          <w:sz w:val="23"/>
        </w:rPr>
      </w:pPr>
    </w:p>
    <w:p>
      <w:pPr>
        <w:pStyle w:val="ListParagraph"/>
        <w:numPr>
          <w:ilvl w:val="3"/>
          <w:numId w:val="27"/>
        </w:numPr>
        <w:tabs>
          <w:tab w:pos="1529" w:val="left" w:leader="none"/>
          <w:tab w:pos="1530" w:val="left" w:leader="none"/>
        </w:tabs>
        <w:spacing w:line="240" w:lineRule="auto" w:before="0" w:after="0"/>
        <w:ind w:left="1530" w:right="0" w:hanging="360"/>
        <w:jc w:val="left"/>
        <w:rPr>
          <w:sz w:val="24"/>
        </w:rPr>
      </w:pPr>
      <w:r>
        <w:rPr>
          <w:sz w:val="24"/>
        </w:rPr>
        <w:t>El nivel de precios es proporcional a la cantidad de</w:t>
      </w:r>
      <w:r>
        <w:rPr>
          <w:spacing w:val="-10"/>
          <w:sz w:val="24"/>
        </w:rPr>
        <w:t> </w:t>
      </w:r>
      <w:r>
        <w:rPr>
          <w:sz w:val="24"/>
        </w:rPr>
        <w:t>dinero.</w:t>
      </w:r>
    </w:p>
    <w:p>
      <w:pPr>
        <w:pStyle w:val="BodyText"/>
        <w:spacing w:before="9"/>
        <w:rPr>
          <w:sz w:val="25"/>
        </w:rPr>
      </w:pPr>
    </w:p>
    <w:p>
      <w:pPr>
        <w:pStyle w:val="ListParagraph"/>
        <w:numPr>
          <w:ilvl w:val="3"/>
          <w:numId w:val="27"/>
        </w:numPr>
        <w:tabs>
          <w:tab w:pos="1529" w:val="left" w:leader="none"/>
          <w:tab w:pos="1530" w:val="left" w:leader="none"/>
          <w:tab w:pos="2127" w:val="left" w:leader="none"/>
          <w:tab w:pos="3060" w:val="left" w:leader="none"/>
          <w:tab w:pos="3525" w:val="left" w:leader="none"/>
          <w:tab w:pos="4701" w:val="left" w:leader="none"/>
          <w:tab w:pos="5166" w:val="left" w:leader="none"/>
          <w:tab w:pos="5672" w:val="left" w:leader="none"/>
          <w:tab w:pos="6778" w:val="left" w:leader="none"/>
          <w:tab w:pos="7577" w:val="left" w:leader="none"/>
          <w:tab w:pos="8016" w:val="left" w:leader="none"/>
        </w:tabs>
        <w:spacing w:line="274" w:lineRule="exact" w:before="0" w:after="0"/>
        <w:ind w:left="1530" w:right="122" w:hanging="360"/>
        <w:jc w:val="left"/>
        <w:rPr>
          <w:sz w:val="24"/>
        </w:rPr>
      </w:pPr>
      <w:r>
        <w:rPr>
          <w:sz w:val="24"/>
        </w:rPr>
        <w:t>Los</w:t>
        <w:tab/>
        <w:t>valores</w:t>
        <w:tab/>
        <w:t>de</w:t>
        <w:tab/>
        <w:t>equilibrio</w:t>
        <w:tab/>
        <w:t>de</w:t>
        <w:tab/>
        <w:t>las</w:t>
        <w:tab/>
        <w:t>variables</w:t>
        <w:tab/>
        <w:t>reales</w:t>
        <w:tab/>
        <w:t>se</w:t>
        <w:tab/>
        <w:t>resuelven independientemente de las monetarias: Dicotomía</w:t>
      </w:r>
      <w:r>
        <w:rPr>
          <w:spacing w:val="-7"/>
          <w:sz w:val="24"/>
        </w:rPr>
        <w:t> </w:t>
      </w:r>
      <w:r>
        <w:rPr>
          <w:sz w:val="24"/>
        </w:rPr>
        <w:t>clásica.</w:t>
      </w:r>
    </w:p>
    <w:p>
      <w:pPr>
        <w:pStyle w:val="BodyText"/>
        <w:spacing w:before="10"/>
        <w:rPr>
          <w:sz w:val="23"/>
        </w:rPr>
      </w:pPr>
    </w:p>
    <w:p>
      <w:pPr>
        <w:pStyle w:val="ListParagraph"/>
        <w:numPr>
          <w:ilvl w:val="3"/>
          <w:numId w:val="27"/>
        </w:numPr>
        <w:tabs>
          <w:tab w:pos="1529" w:val="left" w:leader="none"/>
          <w:tab w:pos="1530" w:val="left" w:leader="none"/>
        </w:tabs>
        <w:spacing w:line="240" w:lineRule="auto" w:before="0" w:after="0"/>
        <w:ind w:left="1530" w:right="0" w:hanging="360"/>
        <w:jc w:val="left"/>
        <w:rPr>
          <w:sz w:val="24"/>
        </w:rPr>
      </w:pPr>
      <w:r>
        <w:rPr>
          <w:sz w:val="24"/>
        </w:rPr>
        <w:t>La oferta determina a la demanda: Ley de</w:t>
      </w:r>
      <w:r>
        <w:rPr>
          <w:spacing w:val="-12"/>
          <w:sz w:val="24"/>
        </w:rPr>
        <w:t> </w:t>
      </w:r>
      <w:r>
        <w:rPr>
          <w:sz w:val="24"/>
        </w:rPr>
        <w:t>Say.</w:t>
      </w:r>
    </w:p>
    <w:p>
      <w:pPr>
        <w:pStyle w:val="BodyText"/>
        <w:spacing w:before="1"/>
      </w:pPr>
    </w:p>
    <w:p>
      <w:pPr>
        <w:pStyle w:val="BodyText"/>
        <w:ind w:left="102"/>
        <w:jc w:val="both"/>
      </w:pPr>
      <w:r>
        <w:rPr/>
        <w:t>Para Cain (1975) la teoría neoclásica del mercado de trabajo significa, en general que:</w:t>
      </w:r>
    </w:p>
    <w:p>
      <w:pPr>
        <w:pStyle w:val="BodyText"/>
      </w:pPr>
    </w:p>
    <w:p>
      <w:pPr>
        <w:pStyle w:val="BodyText"/>
      </w:pPr>
    </w:p>
    <w:p>
      <w:pPr>
        <w:pStyle w:val="ListParagraph"/>
        <w:numPr>
          <w:ilvl w:val="0"/>
          <w:numId w:val="37"/>
        </w:numPr>
        <w:tabs>
          <w:tab w:pos="1274" w:val="left" w:leader="none"/>
        </w:tabs>
        <w:spacing w:line="360" w:lineRule="auto" w:before="0" w:after="0"/>
        <w:ind w:left="1273" w:right="120" w:hanging="360"/>
        <w:jc w:val="left"/>
        <w:rPr>
          <w:sz w:val="24"/>
        </w:rPr>
      </w:pPr>
      <w:r>
        <w:rPr>
          <w:sz w:val="24"/>
        </w:rPr>
        <w:t>La demanda de trabajo se define tal como se presenta en la teoría de la productividad marginal y con sus correspondientes funciones de producción;</w:t>
      </w:r>
      <w:r>
        <w:rPr>
          <w:spacing w:val="-10"/>
          <w:sz w:val="24"/>
        </w:rPr>
        <w:t> </w:t>
      </w:r>
      <w:r>
        <w:rPr>
          <w:sz w:val="24"/>
        </w:rPr>
        <w:t>y</w:t>
      </w:r>
    </w:p>
    <w:p>
      <w:pPr>
        <w:pStyle w:val="ListParagraph"/>
        <w:numPr>
          <w:ilvl w:val="0"/>
          <w:numId w:val="37"/>
        </w:numPr>
        <w:tabs>
          <w:tab w:pos="1335" w:val="left" w:leader="none"/>
          <w:tab w:pos="1336" w:val="left" w:leader="none"/>
        </w:tabs>
        <w:spacing w:line="360" w:lineRule="auto" w:before="6" w:after="0"/>
        <w:ind w:left="1273" w:right="117" w:hanging="360"/>
        <w:jc w:val="left"/>
        <w:rPr>
          <w:sz w:val="24"/>
        </w:rPr>
      </w:pPr>
      <w:r>
        <w:rPr>
          <w:spacing w:val="-3"/>
          <w:sz w:val="24"/>
        </w:rPr>
        <w:t>La </w:t>
      </w:r>
      <w:r>
        <w:rPr>
          <w:sz w:val="24"/>
        </w:rPr>
        <w:t>oferta de trabajo, está definida principalmente por los modelos que  implican la elección entre trabajo / ocio y la inversión en capital</w:t>
      </w:r>
      <w:r>
        <w:rPr>
          <w:spacing w:val="-9"/>
          <w:sz w:val="24"/>
        </w:rPr>
        <w:t> </w:t>
      </w:r>
      <w:r>
        <w:rPr>
          <w:sz w:val="24"/>
        </w:rPr>
        <w:t>humano.</w:t>
      </w:r>
    </w:p>
    <w:p>
      <w:pPr>
        <w:pStyle w:val="BodyText"/>
      </w:pPr>
    </w:p>
    <w:p>
      <w:pPr>
        <w:pStyle w:val="BodyText"/>
        <w:spacing w:line="360" w:lineRule="auto" w:before="143"/>
        <w:ind w:left="102" w:right="120"/>
        <w:jc w:val="both"/>
      </w:pPr>
      <w:r>
        <w:rPr/>
        <w:t>Si el empleo es superior al punto de equilibrio (curvas de oferta y demanda, ver gráfica 1.1), tanto trabajadores como empresas pueden ganar si deciden adoptar medidas que ayuden a que la intersección de oferta y demanda del mercado de trabajo regrese a su punto de equilibrio (ajustes salariales) (Campos,</w:t>
      </w:r>
      <w:r>
        <w:rPr>
          <w:spacing w:val="-8"/>
        </w:rPr>
        <w:t> </w:t>
      </w:r>
      <w:r>
        <w:rPr/>
        <w:t>2003).</w:t>
      </w:r>
    </w:p>
    <w:p>
      <w:pPr>
        <w:pStyle w:val="BodyText"/>
      </w:pPr>
    </w:p>
    <w:p>
      <w:pPr>
        <w:pStyle w:val="BodyText"/>
        <w:spacing w:line="360" w:lineRule="auto" w:before="143"/>
        <w:ind w:left="102" w:right="118"/>
        <w:jc w:val="both"/>
      </w:pPr>
      <w:r>
        <w:rPr/>
        <w:t>La propuesta de Solow (1992) para resolver el desequilibrio por el lado de la oferta (la ausencia de una competencia salarial activa incluso bajo el estímulo de la existencia de desempleo persistente) es: que surja una norma social en contra de la competencia salarial injusta   para  reforzar  una  determinada  elección  de  estrategias  de  equilibrio   de       los</w:t>
      </w:r>
    </w:p>
    <w:p>
      <w:pPr>
        <w:spacing w:after="0" w:line="360" w:lineRule="auto"/>
        <w:jc w:val="both"/>
        <w:sectPr>
          <w:pgSz w:w="12240" w:h="15840"/>
          <w:pgMar w:header="0" w:footer="1235" w:top="1380" w:bottom="1440" w:left="1600" w:right="1580"/>
        </w:sectPr>
      </w:pPr>
    </w:p>
    <w:p>
      <w:pPr>
        <w:pStyle w:val="BodyText"/>
        <w:spacing w:line="360" w:lineRule="auto" w:before="50"/>
        <w:ind w:left="102" w:right="116"/>
        <w:jc w:val="both"/>
      </w:pPr>
      <w:r>
        <w:rPr/>
        <w:t>trabajadores y las empresas (ver gráfica 1.1). Es aquí donde las IES deben involucrarse y poner más atención a las demandas del mercado, debido a que son las responsables de capacitar y formar al estudiante para enfrentar los desajustes del equilibrio del mercado de trabajo.</w:t>
      </w:r>
    </w:p>
    <w:p>
      <w:pPr>
        <w:pStyle w:val="BodyText"/>
      </w:pPr>
    </w:p>
    <w:p>
      <w:pPr>
        <w:pStyle w:val="Heading3"/>
        <w:spacing w:before="148"/>
        <w:ind w:right="19"/>
        <w:jc w:val="center"/>
      </w:pPr>
      <w:r>
        <w:rPr/>
        <w:drawing>
          <wp:anchor distT="0" distB="0" distL="0" distR="0" allowOverlap="1" layoutInCell="1" locked="0" behindDoc="0" simplePos="0" relativeHeight="1120">
            <wp:simplePos x="0" y="0"/>
            <wp:positionH relativeFrom="page">
              <wp:posOffset>2124075</wp:posOffset>
            </wp:positionH>
            <wp:positionV relativeFrom="paragraph">
              <wp:posOffset>356909</wp:posOffset>
            </wp:positionV>
            <wp:extent cx="3524506" cy="1738502"/>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5" cstate="print"/>
                    <a:stretch>
                      <a:fillRect/>
                    </a:stretch>
                  </pic:blipFill>
                  <pic:spPr>
                    <a:xfrm>
                      <a:off x="0" y="0"/>
                      <a:ext cx="3524506" cy="1738502"/>
                    </a:xfrm>
                    <a:prstGeom prst="rect">
                      <a:avLst/>
                    </a:prstGeom>
                  </pic:spPr>
                </pic:pic>
              </a:graphicData>
            </a:graphic>
          </wp:anchor>
        </w:drawing>
      </w:r>
      <w:r>
        <w:rPr/>
        <w:t>Gráfica 1.1  Equilibrio del mercado de trabajo</w:t>
      </w:r>
    </w:p>
    <w:p>
      <w:pPr>
        <w:spacing w:before="111"/>
        <w:ind w:left="0" w:right="16" w:firstLine="0"/>
        <w:jc w:val="center"/>
        <w:rPr>
          <w:sz w:val="20"/>
        </w:rPr>
      </w:pPr>
      <w:r>
        <w:rPr>
          <w:sz w:val="20"/>
        </w:rPr>
        <w:t>Fuente: elaboración propia con base en Roca, 2009.</w:t>
      </w:r>
    </w:p>
    <w:p>
      <w:pPr>
        <w:pStyle w:val="BodyText"/>
        <w:rPr>
          <w:sz w:val="20"/>
        </w:rPr>
      </w:pPr>
    </w:p>
    <w:p>
      <w:pPr>
        <w:pStyle w:val="BodyText"/>
        <w:rPr>
          <w:sz w:val="26"/>
        </w:rPr>
      </w:pPr>
    </w:p>
    <w:p>
      <w:pPr>
        <w:pStyle w:val="BodyText"/>
        <w:spacing w:line="360" w:lineRule="auto"/>
        <w:ind w:left="102" w:right="114"/>
        <w:jc w:val="both"/>
      </w:pPr>
      <w:r>
        <w:rPr/>
        <w:t>En la gráfica anterior, se puede suponer un punto de equilibrio (E), donde oferta y demanda se igualan, con un nivel de salario (So) y una cantidad de trabajadores (Qo). Siendo éste el modelo ideal, considerando que los supuestos tanto de la oferta como de la demanda se cumplen.</w:t>
      </w:r>
    </w:p>
    <w:p>
      <w:pPr>
        <w:pStyle w:val="BodyText"/>
      </w:pPr>
    </w:p>
    <w:p>
      <w:pPr>
        <w:pStyle w:val="Heading3"/>
        <w:numPr>
          <w:ilvl w:val="2"/>
          <w:numId w:val="27"/>
        </w:numPr>
        <w:tabs>
          <w:tab w:pos="822" w:val="left" w:leader="none"/>
        </w:tabs>
        <w:spacing w:line="240" w:lineRule="auto" w:before="215" w:after="0"/>
        <w:ind w:left="822" w:right="0" w:hanging="720"/>
        <w:jc w:val="both"/>
      </w:pPr>
      <w:bookmarkStart w:name="_bookmark8" w:id="12"/>
      <w:bookmarkEnd w:id="12"/>
      <w:r>
        <w:rPr>
          <w:b w:val="0"/>
        </w:rPr>
      </w:r>
      <w:bookmarkStart w:name="_bookmark8" w:id="13"/>
      <w:bookmarkEnd w:id="13"/>
      <w:r>
        <w:rPr/>
        <w:t>Su</w:t>
      </w:r>
      <w:r>
        <w:rPr/>
        <w:t>puestos de la ley de oferta y</w:t>
      </w:r>
      <w:r>
        <w:rPr>
          <w:spacing w:val="-9"/>
        </w:rPr>
        <w:t> </w:t>
      </w:r>
      <w:r>
        <w:rPr/>
        <w:t>demanda</w:t>
      </w:r>
    </w:p>
    <w:p>
      <w:pPr>
        <w:pStyle w:val="BodyText"/>
        <w:rPr>
          <w:b/>
        </w:rPr>
      </w:pPr>
    </w:p>
    <w:p>
      <w:pPr>
        <w:pStyle w:val="BodyText"/>
        <w:spacing w:before="165"/>
        <w:ind w:left="102"/>
        <w:jc w:val="both"/>
      </w:pPr>
      <w:r>
        <w:rPr/>
        <w:t>Los supuestos de la </w:t>
      </w:r>
      <w:r>
        <w:rPr>
          <w:b/>
        </w:rPr>
        <w:t>oferta </w:t>
      </w:r>
      <w:r>
        <w:rPr/>
        <w:t>en la teoría neoclásica del mercado de trabajo son (Roca, 2009):</w:t>
      </w:r>
    </w:p>
    <w:p>
      <w:pPr>
        <w:pStyle w:val="ListParagraph"/>
        <w:numPr>
          <w:ilvl w:val="0"/>
          <w:numId w:val="38"/>
        </w:numPr>
        <w:tabs>
          <w:tab w:pos="821" w:val="left" w:leader="none"/>
          <w:tab w:pos="822" w:val="left" w:leader="none"/>
        </w:tabs>
        <w:spacing w:line="352" w:lineRule="auto" w:before="136" w:after="0"/>
        <w:ind w:left="822" w:right="126" w:hanging="360"/>
        <w:jc w:val="left"/>
        <w:rPr>
          <w:sz w:val="24"/>
        </w:rPr>
      </w:pPr>
      <w:r>
        <w:rPr>
          <w:sz w:val="24"/>
        </w:rPr>
        <w:t>La decisión de ofrecer trabajo se encuentra dentro del contexto de la teoría de la elección del</w:t>
      </w:r>
      <w:r>
        <w:rPr>
          <w:spacing w:val="-4"/>
          <w:sz w:val="24"/>
        </w:rPr>
        <w:t> </w:t>
      </w:r>
      <w:r>
        <w:rPr>
          <w:sz w:val="24"/>
        </w:rPr>
        <w:t>consumidor.</w:t>
      </w:r>
    </w:p>
    <w:p>
      <w:pPr>
        <w:pStyle w:val="BodyText"/>
        <w:spacing w:line="348" w:lineRule="auto" w:before="15"/>
        <w:ind w:left="1542" w:right="116" w:hanging="360"/>
        <w:jc w:val="both"/>
      </w:pPr>
      <w:r>
        <w:rPr>
          <w:rFonts w:ascii="Courier New" w:hAnsi="Courier New"/>
        </w:rPr>
        <w:t>o </w:t>
      </w:r>
      <w:r>
        <w:rPr/>
        <w:t>La teoría de la elección del consumidor, a su vez, parte del supuesto de que  la elección entre trabajar o no, es una elección entre el ocio (no trabajar)  y  la renta que consigue al</w:t>
      </w:r>
      <w:r>
        <w:rPr>
          <w:spacing w:val="-6"/>
        </w:rPr>
        <w:t> </w:t>
      </w:r>
      <w:r>
        <w:rPr/>
        <w:t>trabajar.</w:t>
      </w:r>
    </w:p>
    <w:p>
      <w:pPr>
        <w:pStyle w:val="ListParagraph"/>
        <w:numPr>
          <w:ilvl w:val="0"/>
          <w:numId w:val="38"/>
        </w:numPr>
        <w:tabs>
          <w:tab w:pos="821" w:val="left" w:leader="none"/>
          <w:tab w:pos="822" w:val="left" w:leader="none"/>
        </w:tabs>
        <w:spacing w:line="240" w:lineRule="auto" w:before="16" w:after="0"/>
        <w:ind w:left="822" w:right="0" w:hanging="360"/>
        <w:jc w:val="left"/>
        <w:rPr>
          <w:sz w:val="24"/>
        </w:rPr>
      </w:pPr>
      <w:r>
        <w:rPr>
          <w:sz w:val="24"/>
        </w:rPr>
        <w:t>El trabajo es un medio para obtener un fin</w:t>
      </w:r>
      <w:r>
        <w:rPr>
          <w:spacing w:val="-7"/>
          <w:sz w:val="24"/>
        </w:rPr>
        <w:t> </w:t>
      </w:r>
      <w:r>
        <w:rPr>
          <w:sz w:val="24"/>
        </w:rPr>
        <w:t>(renta).</w:t>
      </w:r>
    </w:p>
    <w:p>
      <w:pPr>
        <w:spacing w:after="0" w:line="240" w:lineRule="auto"/>
        <w:jc w:val="left"/>
        <w:rPr>
          <w:sz w:val="24"/>
        </w:rPr>
        <w:sectPr>
          <w:pgSz w:w="12240" w:h="15840"/>
          <w:pgMar w:header="0" w:footer="1235" w:top="1360" w:bottom="1440" w:left="1600" w:right="1580"/>
        </w:sectPr>
      </w:pPr>
    </w:p>
    <w:p>
      <w:pPr>
        <w:pStyle w:val="BodyText"/>
        <w:spacing w:line="360" w:lineRule="auto" w:before="50"/>
        <w:ind w:left="102" w:right="121"/>
        <w:jc w:val="both"/>
      </w:pPr>
      <w:r>
        <w:rPr/>
        <w:t>Los supuestos de la </w:t>
      </w:r>
      <w:r>
        <w:rPr>
          <w:b/>
        </w:rPr>
        <w:t>demanda </w:t>
      </w:r>
      <w:r>
        <w:rPr/>
        <w:t>en la teoría neoclásica del mercado de trabajo son (Roca, 2009):</w:t>
      </w:r>
    </w:p>
    <w:p>
      <w:pPr>
        <w:pStyle w:val="ListParagraph"/>
        <w:numPr>
          <w:ilvl w:val="0"/>
          <w:numId w:val="38"/>
        </w:numPr>
        <w:tabs>
          <w:tab w:pos="821" w:val="left" w:leader="none"/>
          <w:tab w:pos="822" w:val="left" w:leader="none"/>
        </w:tabs>
        <w:spacing w:line="352" w:lineRule="auto" w:before="3" w:after="0"/>
        <w:ind w:left="822" w:right="120" w:hanging="360"/>
        <w:jc w:val="left"/>
        <w:rPr>
          <w:sz w:val="24"/>
        </w:rPr>
      </w:pPr>
      <w:r>
        <w:rPr>
          <w:sz w:val="24"/>
        </w:rPr>
        <w:t>La demanda es un factor de producción, es decir, una demanda derivada del producto.</w:t>
      </w:r>
    </w:p>
    <w:p>
      <w:pPr>
        <w:pStyle w:val="ListParagraph"/>
        <w:numPr>
          <w:ilvl w:val="0"/>
          <w:numId w:val="38"/>
        </w:numPr>
        <w:tabs>
          <w:tab w:pos="821" w:val="left" w:leader="none"/>
          <w:tab w:pos="822" w:val="left" w:leader="none"/>
        </w:tabs>
        <w:spacing w:line="240" w:lineRule="auto" w:before="14" w:after="0"/>
        <w:ind w:left="822" w:right="0" w:hanging="360"/>
        <w:jc w:val="left"/>
        <w:rPr>
          <w:sz w:val="24"/>
        </w:rPr>
      </w:pPr>
      <w:r>
        <w:rPr>
          <w:sz w:val="24"/>
        </w:rPr>
        <w:t>Principio de maximización de los beneficios por parte de los</w:t>
      </w:r>
      <w:r>
        <w:rPr>
          <w:spacing w:val="-19"/>
          <w:sz w:val="24"/>
        </w:rPr>
        <w:t> </w:t>
      </w:r>
      <w:r>
        <w:rPr>
          <w:sz w:val="24"/>
        </w:rPr>
        <w:t>empleadores.</w:t>
      </w:r>
    </w:p>
    <w:p>
      <w:pPr>
        <w:pStyle w:val="ListParagraph"/>
        <w:numPr>
          <w:ilvl w:val="0"/>
          <w:numId w:val="38"/>
        </w:numPr>
        <w:tabs>
          <w:tab w:pos="821" w:val="left" w:leader="none"/>
          <w:tab w:pos="822" w:val="left" w:leader="none"/>
        </w:tabs>
        <w:spacing w:line="240" w:lineRule="auto" w:before="135" w:after="0"/>
        <w:ind w:left="822" w:right="0" w:hanging="360"/>
        <w:jc w:val="left"/>
        <w:rPr>
          <w:sz w:val="24"/>
        </w:rPr>
      </w:pPr>
      <w:r>
        <w:rPr>
          <w:sz w:val="24"/>
        </w:rPr>
        <w:t>Competencia</w:t>
      </w:r>
      <w:r>
        <w:rPr>
          <w:spacing w:val="-5"/>
          <w:sz w:val="24"/>
        </w:rPr>
        <w:t> </w:t>
      </w:r>
      <w:r>
        <w:rPr>
          <w:sz w:val="24"/>
        </w:rPr>
        <w:t>perfecta.</w:t>
      </w:r>
    </w:p>
    <w:p>
      <w:pPr>
        <w:pStyle w:val="ListParagraph"/>
        <w:numPr>
          <w:ilvl w:val="0"/>
          <w:numId w:val="38"/>
        </w:numPr>
        <w:tabs>
          <w:tab w:pos="821" w:val="left" w:leader="none"/>
          <w:tab w:pos="822" w:val="left" w:leader="none"/>
        </w:tabs>
        <w:spacing w:line="352" w:lineRule="auto" w:before="138" w:after="0"/>
        <w:ind w:left="822" w:right="124" w:hanging="360"/>
        <w:jc w:val="left"/>
        <w:rPr>
          <w:sz w:val="24"/>
        </w:rPr>
      </w:pPr>
      <w:r>
        <w:rPr>
          <w:sz w:val="24"/>
        </w:rPr>
        <w:t>La productividad marginal del trabajo depende de la tecnología y de la técnica de producción.</w:t>
      </w:r>
    </w:p>
    <w:p>
      <w:pPr>
        <w:pStyle w:val="BodyText"/>
      </w:pPr>
    </w:p>
    <w:p>
      <w:pPr>
        <w:pStyle w:val="BodyText"/>
        <w:spacing w:line="360" w:lineRule="auto" w:before="149"/>
        <w:ind w:left="102" w:right="116"/>
        <w:jc w:val="both"/>
      </w:pPr>
      <w:r>
        <w:rPr/>
        <w:t>La demanda de mano de obra en el mercado de trabajo es una función de la demanda efectiva de bienes y de las calificaciones individuales disponibles en el individuo, lo cual determina el volumen de empleo y el precio del trabajo (salario) derivados de la demanda del producto (Campos, 2003), es decir de los puestos disponibles. Empero, no es el único determinante para que una persona acceda de manera fácil y rápida al mercado de trabajo,  la persona deberá generar capital humano para ser más competitivo y ser seleccionado primero por el empleador, y es donde la formación profesional y los años que haya invertido cada individuo en su preparación son determinantes para que su proceso de transición sea menor en tiempo que el del resto que se encuentra compitiendo en  el mercado de trabajo. A continuación se analiza la teoría del capital humano, como soporte también en este proceso de</w:t>
      </w:r>
      <w:r>
        <w:rPr>
          <w:spacing w:val="-7"/>
        </w:rPr>
        <w:t> </w:t>
      </w:r>
      <w:r>
        <w:rPr/>
        <w:t>transición.</w:t>
      </w:r>
    </w:p>
    <w:p>
      <w:pPr>
        <w:pStyle w:val="BodyText"/>
      </w:pPr>
    </w:p>
    <w:p>
      <w:pPr>
        <w:pStyle w:val="Heading3"/>
        <w:numPr>
          <w:ilvl w:val="2"/>
          <w:numId w:val="27"/>
        </w:numPr>
        <w:tabs>
          <w:tab w:pos="822" w:val="left" w:leader="none"/>
        </w:tabs>
        <w:spacing w:line="240" w:lineRule="auto" w:before="215" w:after="0"/>
        <w:ind w:left="822" w:right="0" w:hanging="720"/>
        <w:jc w:val="both"/>
      </w:pPr>
      <w:bookmarkStart w:name="_bookmark9" w:id="14"/>
      <w:bookmarkEnd w:id="14"/>
      <w:r>
        <w:rPr>
          <w:b w:val="0"/>
        </w:rPr>
      </w:r>
      <w:bookmarkStart w:name="_bookmark9" w:id="15"/>
      <w:bookmarkEnd w:id="15"/>
      <w:r>
        <w:rPr/>
        <w:t>T</w:t>
      </w:r>
      <w:r>
        <w:rPr/>
        <w:t>eoría del capital</w:t>
      </w:r>
      <w:r>
        <w:rPr>
          <w:spacing w:val="-4"/>
        </w:rPr>
        <w:t> </w:t>
      </w:r>
      <w:r>
        <w:rPr/>
        <w:t>humano</w:t>
      </w:r>
    </w:p>
    <w:p>
      <w:pPr>
        <w:pStyle w:val="BodyText"/>
        <w:spacing w:before="4"/>
        <w:rPr>
          <w:b/>
          <w:sz w:val="28"/>
        </w:rPr>
      </w:pPr>
    </w:p>
    <w:p>
      <w:pPr>
        <w:pStyle w:val="BodyText"/>
        <w:spacing w:line="360" w:lineRule="auto"/>
        <w:ind w:left="102" w:right="117"/>
        <w:jc w:val="both"/>
      </w:pPr>
      <w:r>
        <w:rPr/>
        <w:t>La teoría del capital humano, desde la perspectiva neoclásica del mercado de trabajo, propone que los trabajadores acuden al mercado de trabajo con diferentes niveles de calificaciones, las cuales están en función no sólo de las capacidades innatas de cada persona, sino también, de la cantidad de tiempo que dedique cada persona en educarse (adquirir dichas calificaciones), lo que se denomina inversión en capital humano (Toharia, 1983).</w:t>
      </w:r>
    </w:p>
    <w:p>
      <w:pPr>
        <w:spacing w:after="0" w:line="360" w:lineRule="auto"/>
        <w:jc w:val="both"/>
        <w:sectPr>
          <w:pgSz w:w="12240" w:h="15840"/>
          <w:pgMar w:header="0" w:footer="1235" w:top="1360" w:bottom="1440" w:left="1600" w:right="1580"/>
        </w:sectPr>
      </w:pPr>
    </w:p>
    <w:p>
      <w:pPr>
        <w:pStyle w:val="BodyText"/>
        <w:spacing w:line="360" w:lineRule="auto" w:before="50"/>
        <w:ind w:left="122" w:right="118"/>
        <w:jc w:val="both"/>
      </w:pPr>
      <w:r>
        <w:rPr/>
        <w:t>Entender la relevancia que representa la generación de capital humano para que el proceso de transición sea fluido y rápido para los egresados universitarios, es necesario entender y analizar dos de los principales problemas y críticas que se han planteado en torno a  la  teoría neoclásica del mercado de trabajo: la relativa rigidez de los salarios y la persistencia del</w:t>
      </w:r>
      <w:r>
        <w:rPr>
          <w:spacing w:val="-4"/>
        </w:rPr>
        <w:t> </w:t>
      </w:r>
      <w:r>
        <w:rPr/>
        <w:t>desempleo.</w:t>
      </w:r>
    </w:p>
    <w:p>
      <w:pPr>
        <w:pStyle w:val="BodyText"/>
      </w:pPr>
    </w:p>
    <w:p>
      <w:pPr>
        <w:pStyle w:val="BodyText"/>
        <w:spacing w:line="360" w:lineRule="auto" w:before="143"/>
        <w:ind w:left="122" w:right="118"/>
        <w:jc w:val="both"/>
      </w:pPr>
      <w:r>
        <w:rPr/>
        <w:t>La teoría tradicional establece que la ley general de equilibrio es la que determina el nivel de salarios que se deben pagar, es una función de la relación entre oferta y demanda de trabajo. Por lo que, al momento de escasear los puestos de trabajo, es decir la demanda decrece, el desempleo involuntario aparece, hay más personas buscando empleo y menos puestos vacantes para insertarse.</w:t>
      </w:r>
    </w:p>
    <w:p>
      <w:pPr>
        <w:pStyle w:val="BodyText"/>
      </w:pPr>
    </w:p>
    <w:p>
      <w:pPr>
        <w:pStyle w:val="BodyText"/>
        <w:spacing w:line="352" w:lineRule="auto" w:before="143"/>
        <w:ind w:left="122" w:right="116"/>
        <w:jc w:val="both"/>
      </w:pPr>
      <w:r>
        <w:rPr/>
        <w:t>En la gráfica 1.2 se observa qué cuando se presenta un desplazamiento de la curva de demanda (de Do a D1), con su respectivo movimiento sobre la curva de oferta (Oo), cantidad ofertada. Un nuevo equilibrio se establece (de Eo a E1), y lo que debería suceder  es que los salarios bajaran (de So a S1), sin embargo existe rigidez</w:t>
      </w:r>
      <w:r>
        <w:rPr>
          <w:position w:val="11"/>
          <w:sz w:val="16"/>
        </w:rPr>
        <w:t>2</w:t>
      </w:r>
      <w:r>
        <w:rPr/>
        <w:t>, y derivado de esta rigidez</w:t>
      </w:r>
      <w:r>
        <w:rPr>
          <w:spacing w:val="52"/>
        </w:rPr>
        <w:t> </w:t>
      </w:r>
      <w:r>
        <w:rPr/>
        <w:t>tanto</w:t>
      </w:r>
      <w:r>
        <w:rPr>
          <w:spacing w:val="51"/>
        </w:rPr>
        <w:t> </w:t>
      </w:r>
      <w:r>
        <w:rPr/>
        <w:t>empresarios</w:t>
      </w:r>
      <w:r>
        <w:rPr>
          <w:spacing w:val="51"/>
        </w:rPr>
        <w:t> </w:t>
      </w:r>
      <w:r>
        <w:rPr/>
        <w:t>como</w:t>
      </w:r>
      <w:r>
        <w:rPr>
          <w:spacing w:val="52"/>
        </w:rPr>
        <w:t> </w:t>
      </w:r>
      <w:r>
        <w:rPr/>
        <w:t>trabajadores</w:t>
      </w:r>
      <w:r>
        <w:rPr>
          <w:spacing w:val="51"/>
        </w:rPr>
        <w:t> </w:t>
      </w:r>
      <w:r>
        <w:rPr/>
        <w:t>internos</w:t>
      </w:r>
      <w:r>
        <w:rPr>
          <w:spacing w:val="52"/>
        </w:rPr>
        <w:t> </w:t>
      </w:r>
      <w:r>
        <w:rPr/>
        <w:t>no</w:t>
      </w:r>
      <w:r>
        <w:rPr>
          <w:spacing w:val="51"/>
        </w:rPr>
        <w:t> </w:t>
      </w:r>
      <w:r>
        <w:rPr/>
        <w:t>están</w:t>
      </w:r>
      <w:r>
        <w:rPr>
          <w:spacing w:val="51"/>
        </w:rPr>
        <w:t> </w:t>
      </w:r>
      <w:r>
        <w:rPr/>
        <w:t>de</w:t>
      </w:r>
      <w:r>
        <w:rPr>
          <w:spacing w:val="50"/>
        </w:rPr>
        <w:t> </w:t>
      </w:r>
      <w:r>
        <w:rPr/>
        <w:t>acuerdo</w:t>
      </w:r>
      <w:r>
        <w:rPr>
          <w:spacing w:val="51"/>
        </w:rPr>
        <w:t> </w:t>
      </w:r>
      <w:r>
        <w:rPr/>
        <w:t>en</w:t>
      </w:r>
      <w:r>
        <w:rPr>
          <w:spacing w:val="51"/>
        </w:rPr>
        <w:t> </w:t>
      </w:r>
      <w:r>
        <w:rPr/>
        <w:t>bajar</w:t>
      </w:r>
      <w:r>
        <w:rPr>
          <w:spacing w:val="50"/>
        </w:rPr>
        <w:t> </w:t>
      </w:r>
      <w:r>
        <w:rPr/>
        <w:t>los</w:t>
      </w:r>
    </w:p>
    <w:p>
      <w:pPr>
        <w:pStyle w:val="BodyText"/>
        <w:spacing w:line="360" w:lineRule="auto" w:before="14"/>
        <w:ind w:left="122" w:right="117"/>
        <w:jc w:val="both"/>
      </w:pPr>
      <w:r>
        <w:rPr/>
        <w:t>salarios, el sindicato interviene y cuando los trabajadores externos ejercen presión y no consiguen bajar los salarios el desempleo involuntario permanece (Solow, 1992).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1144;mso-wrap-distance-left:0;mso-wrap-distance-right:0" from="85.103996pt,11.843438pt" to="229.123996pt,11.843438pt" stroked="true" strokeweight=".71997pt" strokecolor="#000000">
            <w10:wrap type="topAndBottom"/>
          </v:line>
        </w:pict>
      </w:r>
    </w:p>
    <w:p>
      <w:pPr>
        <w:spacing w:line="280" w:lineRule="auto" w:before="49"/>
        <w:ind w:left="122" w:right="120" w:firstLine="0"/>
        <w:jc w:val="both"/>
        <w:rPr>
          <w:sz w:val="20"/>
        </w:rPr>
      </w:pPr>
      <w:r>
        <w:rPr>
          <w:rFonts w:ascii="Calibri" w:hAnsi="Calibri"/>
          <w:position w:val="10"/>
          <w:sz w:val="14"/>
        </w:rPr>
        <w:t>2 </w:t>
      </w:r>
      <w:r>
        <w:rPr>
          <w:sz w:val="20"/>
        </w:rPr>
        <w:t>La rigidez de los salarios reales se fundamenta en la idea básica de que los mecanismos por los que se rige el mercado de trabajo hacen que el salario real que pagan los empresarios permanezca en un elevado nivel incluso cuando el valor observado del tiempo de los trabajadores ha disminuido en una recesión (Hall y Taylor, 1992).</w:t>
      </w:r>
    </w:p>
    <w:p>
      <w:pPr>
        <w:spacing w:after="0" w:line="280" w:lineRule="auto"/>
        <w:jc w:val="both"/>
        <w:rPr>
          <w:sz w:val="20"/>
        </w:rPr>
        <w:sectPr>
          <w:pgSz w:w="12240" w:h="15840"/>
          <w:pgMar w:header="0" w:footer="1235" w:top="1360" w:bottom="1440" w:left="1580" w:right="1580"/>
        </w:sectPr>
      </w:pPr>
    </w:p>
    <w:p>
      <w:pPr>
        <w:pStyle w:val="Heading3"/>
        <w:ind w:left="116" w:right="115"/>
        <w:jc w:val="center"/>
      </w:pPr>
      <w:r>
        <w:rPr/>
        <w:t>Gráfica 1.2. Aumento de la demanda de trabajo (perspectiva neoclásica)</w:t>
      </w:r>
    </w:p>
    <w:p>
      <w:pPr>
        <w:pStyle w:val="BodyText"/>
        <w:spacing w:before="8"/>
        <w:rPr>
          <w:b/>
          <w:sz w:val="8"/>
        </w:rPr>
      </w:pPr>
      <w:r>
        <w:rPr/>
        <w:drawing>
          <wp:anchor distT="0" distB="0" distL="0" distR="0" allowOverlap="1" layoutInCell="1" locked="0" behindDoc="0" simplePos="0" relativeHeight="1168">
            <wp:simplePos x="0" y="0"/>
            <wp:positionH relativeFrom="page">
              <wp:posOffset>2057400</wp:posOffset>
            </wp:positionH>
            <wp:positionV relativeFrom="paragraph">
              <wp:posOffset>88700</wp:posOffset>
            </wp:positionV>
            <wp:extent cx="3649847" cy="2099310"/>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16" cstate="print"/>
                    <a:stretch>
                      <a:fillRect/>
                    </a:stretch>
                  </pic:blipFill>
                  <pic:spPr>
                    <a:xfrm>
                      <a:off x="0" y="0"/>
                      <a:ext cx="3649847" cy="2099310"/>
                    </a:xfrm>
                    <a:prstGeom prst="rect">
                      <a:avLst/>
                    </a:prstGeom>
                  </pic:spPr>
                </pic:pic>
              </a:graphicData>
            </a:graphic>
          </wp:anchor>
        </w:drawing>
      </w:r>
    </w:p>
    <w:p>
      <w:pPr>
        <w:spacing w:before="120"/>
        <w:ind w:left="115" w:right="115" w:firstLine="0"/>
        <w:jc w:val="center"/>
        <w:rPr>
          <w:sz w:val="20"/>
        </w:rPr>
      </w:pPr>
      <w:r>
        <w:rPr>
          <w:sz w:val="20"/>
        </w:rPr>
        <w:t>Fuente: elaboración propia con base en Roca, 2009.</w:t>
      </w:r>
    </w:p>
    <w:p>
      <w:pPr>
        <w:pStyle w:val="BodyText"/>
        <w:rPr>
          <w:sz w:val="20"/>
        </w:rPr>
      </w:pPr>
    </w:p>
    <w:p>
      <w:pPr>
        <w:pStyle w:val="BodyText"/>
        <w:rPr>
          <w:sz w:val="26"/>
        </w:rPr>
      </w:pPr>
    </w:p>
    <w:p>
      <w:pPr>
        <w:pStyle w:val="BodyText"/>
        <w:spacing w:line="345" w:lineRule="auto"/>
        <w:ind w:left="122" w:right="117"/>
        <w:jc w:val="both"/>
      </w:pPr>
      <w:r>
        <w:rPr/>
        <w:t>Como se puede apreciar en la gráfica anterior, en E1 (baja del salario) se encontraría un nuevo punto de equilibrio en el mercado de trabajo. Sin embargo, como lo explica la teoría de los trabajadores internos y externos</w:t>
      </w:r>
      <w:r>
        <w:rPr>
          <w:position w:val="11"/>
          <w:sz w:val="16"/>
        </w:rPr>
        <w:t>3 </w:t>
      </w:r>
      <w:r>
        <w:rPr/>
        <w:t>(Solow, 1992), los trabajadores internos harán  todo</w:t>
      </w:r>
    </w:p>
    <w:p>
      <w:pPr>
        <w:pStyle w:val="BodyText"/>
        <w:spacing w:line="360" w:lineRule="auto" w:before="5"/>
        <w:ind w:left="122" w:right="119"/>
        <w:jc w:val="both"/>
      </w:pPr>
      <w:r>
        <w:rPr/>
        <w:t>lo posible para que los externos no bajen el nivel de salario, por lo tanto, los externos no logran que esto suceda a pesar de así quererlo, y como consecuencia el desempleo involuntario no desaparece.</w:t>
      </w:r>
    </w:p>
    <w:p>
      <w:pPr>
        <w:pStyle w:val="BodyText"/>
      </w:pPr>
    </w:p>
    <w:p>
      <w:pPr>
        <w:pStyle w:val="BodyText"/>
        <w:spacing w:line="360" w:lineRule="auto" w:before="143"/>
        <w:ind w:left="122" w:right="116"/>
        <w:jc w:val="both"/>
      </w:pPr>
      <w:r>
        <w:rPr/>
        <w:t>Y como los salarios no se modifican a la baja, los trabajadores tanto internos como externos, en el ámbito neoclásico del mercado de trabajo, recurren entonces a la generación de capital humano, principalmente inversión en: educación, formación o capacitación de manera individual y de acuerdo al monto que cada individuo puede pagar y al nivel de educación que desea</w:t>
      </w:r>
      <w:r>
        <w:rPr>
          <w:spacing w:val="-5"/>
        </w:rPr>
        <w:t> </w:t>
      </w:r>
      <w:r>
        <w:rPr/>
        <w:t>adquirir.</w:t>
      </w:r>
    </w:p>
    <w:p>
      <w:pPr>
        <w:pStyle w:val="BodyText"/>
      </w:pPr>
    </w:p>
    <w:p>
      <w:pPr>
        <w:pStyle w:val="BodyText"/>
        <w:spacing w:line="360" w:lineRule="auto" w:before="143"/>
        <w:ind w:left="122" w:right="119"/>
        <w:jc w:val="both"/>
      </w:pPr>
      <w:r>
        <w:rPr/>
        <w:t>La inversión en capital humano debe afectar y contribuir a mejorar el bienestar presente como futuro. Cada inversión debe apoyar el crecimiento, conocimiento y desarrollo de habilidades.  Pero  no  todas  las  inversiones  son  iguales,    Becker  (1962)  consideró  que</w:t>
      </w:r>
    </w:p>
    <w:p>
      <w:pPr>
        <w:pStyle w:val="BodyText"/>
        <w:rPr>
          <w:sz w:val="20"/>
        </w:rPr>
      </w:pPr>
    </w:p>
    <w:p>
      <w:pPr>
        <w:pStyle w:val="BodyText"/>
        <w:spacing w:before="3"/>
        <w:rPr>
          <w:sz w:val="12"/>
        </w:rPr>
      </w:pPr>
      <w:r>
        <w:rPr/>
        <w:pict>
          <v:line style="position:absolute;mso-position-horizontal-relative:page;mso-position-vertical-relative:paragraph;z-index:1192;mso-wrap-distance-left:0;mso-wrap-distance-right:0" from="85.103996pt,9.380761pt" to="229.123996pt,9.380761pt" stroked="true" strokeweight=".71997pt" strokecolor="#000000">
            <w10:wrap type="topAndBottom"/>
          </v:line>
        </w:pict>
      </w:r>
    </w:p>
    <w:p>
      <w:pPr>
        <w:spacing w:line="240" w:lineRule="auto" w:before="39"/>
        <w:ind w:left="122" w:right="114" w:firstLine="0"/>
        <w:jc w:val="both"/>
        <w:rPr>
          <w:sz w:val="20"/>
        </w:rPr>
      </w:pPr>
      <w:r>
        <w:rPr>
          <w:rFonts w:ascii="Calibri" w:hAnsi="Calibri"/>
          <w:position w:val="10"/>
          <w:sz w:val="13"/>
        </w:rPr>
        <w:t>3 </w:t>
      </w:r>
      <w:r>
        <w:rPr>
          <w:sz w:val="20"/>
        </w:rPr>
        <w:t>La teoría de los trabajadores internos y externos supone que los empleados que pertenecen a la empresa – los internos – son trabajadores con experiencia capaces de generar rentas sustanciales junto con el resto del aparato de la empresa. Si estos empleados además capaces de conseguir que los trabajadores en paro – los externos – no sean contratados, podrán negociar con los empresarios las rentas resultantes de esta actuación (Solow, 1992, p. 9)</w:t>
      </w:r>
    </w:p>
    <w:p>
      <w:pPr>
        <w:spacing w:after="0" w:line="240" w:lineRule="auto"/>
        <w:jc w:val="both"/>
        <w:rPr>
          <w:sz w:val="20"/>
        </w:rPr>
        <w:sectPr>
          <w:pgSz w:w="12240" w:h="15840"/>
          <w:pgMar w:header="0" w:footer="1235" w:top="1360" w:bottom="1420" w:left="1580" w:right="1580"/>
        </w:sectPr>
      </w:pPr>
    </w:p>
    <w:p>
      <w:pPr>
        <w:pStyle w:val="BodyText"/>
        <w:spacing w:line="360" w:lineRule="auto" w:before="50"/>
        <w:ind w:left="102" w:right="115"/>
        <w:jc w:val="both"/>
      </w:pPr>
      <w:r>
        <w:rPr/>
        <w:t>algunas actividades repercuten en el bienestar actual: cuidado de la salud, consumo de vitaminas, ejercitarse, etc., mientras que otras impactan el bienestar futuro de la generación de capital humano: entrenamiento en el trabajo, formación, capacitación, adquisición de información, etc. Y el hecho de que se clasifiquen en un grupo u otro está directamente relacionado con los efectos que se tienen sobre los ingresos y el consumo, típicamente en función de los recursos invertidos y la dimensión del retorno.</w:t>
      </w:r>
    </w:p>
    <w:p>
      <w:pPr>
        <w:pStyle w:val="BodyText"/>
      </w:pPr>
    </w:p>
    <w:p>
      <w:pPr>
        <w:pStyle w:val="BodyText"/>
        <w:spacing w:line="360" w:lineRule="auto" w:before="143"/>
        <w:ind w:left="102" w:right="121"/>
        <w:jc w:val="both"/>
      </w:pPr>
      <w:r>
        <w:rPr/>
        <w:t>Jacob Mincer en 1958 propuso un modelo para evaluar si el incremento en la formación o capacitación (incremento de capital humano) de una persona en el largo plazo representaría mayores ingresos.</w:t>
      </w:r>
    </w:p>
    <w:p>
      <w:pPr>
        <w:pStyle w:val="BodyText"/>
      </w:pPr>
    </w:p>
    <w:p>
      <w:pPr>
        <w:pStyle w:val="BodyText"/>
        <w:spacing w:line="360" w:lineRule="auto" w:before="143"/>
        <w:ind w:left="102" w:right="120"/>
        <w:jc w:val="both"/>
      </w:pPr>
      <w:r>
        <w:rPr/>
        <w:t>El modelo asume que los gastos de formación son cero para un proceso de descuento discreto, por tanto se tiene que:</w:t>
      </w:r>
    </w:p>
    <w:p>
      <w:pPr>
        <w:pStyle w:val="BodyText"/>
        <w:spacing w:before="8"/>
        <w:rPr>
          <w:sz w:val="28"/>
        </w:rPr>
      </w:pPr>
    </w:p>
    <w:p>
      <w:pPr>
        <w:spacing w:before="77"/>
        <w:ind w:left="99" w:right="0" w:firstLine="0"/>
        <w:jc w:val="center"/>
        <w:rPr>
          <w:rFonts w:ascii="Cambria Math"/>
          <w:sz w:val="17"/>
        </w:rPr>
      </w:pPr>
      <w:r>
        <w:rPr>
          <w:rFonts w:ascii="Cambria Math"/>
          <w:w w:val="160"/>
          <w:sz w:val="17"/>
        </w:rPr>
        <w:t> </w:t>
      </w:r>
    </w:p>
    <w:p>
      <w:pPr>
        <w:pStyle w:val="BodyText"/>
        <w:tabs>
          <w:tab w:pos="1099" w:val="left" w:leader="none"/>
        </w:tabs>
        <w:spacing w:before="91"/>
        <w:ind w:right="782"/>
        <w:jc w:val="center"/>
        <w:rPr>
          <w:rFonts w:ascii="Cambria Math" w:hAnsi="Cambria Math"/>
        </w:rPr>
      </w:pPr>
      <w:r>
        <w:rPr/>
        <w:pict>
          <v:line style="position:absolute;mso-position-horizontal-relative:page;mso-position-vertical-relative:paragraph;z-index:1216" from="329.589996pt,12.532332pt" to="356.469996pt,12.532332pt" stroked="true" strokeweight=".84pt" strokecolor="#000000">
            <w10:wrap type="none"/>
          </v:line>
        </w:pict>
      </w:r>
      <w:r>
        <w:rPr>
          <w:rFonts w:ascii="Cambria Math" w:hAnsi="Cambria Math"/>
          <w:spacing w:val="1"/>
          <w:w w:val="272"/>
        </w:rPr>
        <w:t> </w:t>
      </w:r>
      <w:r>
        <w:rPr>
          <w:rFonts w:ascii="Cambria Math" w:hAnsi="Cambria Math"/>
          <w:w w:val="272"/>
        </w:rPr>
        <w:t> </w:t>
      </w:r>
      <w:r>
        <w:rPr>
          <w:rFonts w:ascii="Cambria Math" w:hAnsi="Cambria Math"/>
          <w:spacing w:val="15"/>
        </w:rPr>
        <w:t> </w:t>
      </w:r>
      <w:r>
        <w:rPr>
          <w:rFonts w:ascii="Cambria Math" w:hAnsi="Cambria Math"/>
          <w:w w:val="339"/>
        </w:rPr>
        <w:t> </w:t>
      </w:r>
      <w:r>
        <w:rPr>
          <w:rFonts w:ascii="Cambria Math" w:hAnsi="Cambria Math"/>
          <w:spacing w:val="15"/>
        </w:rPr>
        <w:t> </w:t>
      </w:r>
      <w:r>
        <w:rPr>
          <w:rFonts w:ascii="Cambria Math" w:hAnsi="Cambria Math"/>
          <w:spacing w:val="-1"/>
          <w:w w:val="274"/>
        </w:rPr>
        <w:t> </w:t>
      </w:r>
      <w:r>
        <w:rPr>
          <w:rFonts w:ascii="Cambria Math" w:hAnsi="Cambria Math"/>
          <w:w w:val="274"/>
        </w:rPr>
        <w:t> </w:t>
      </w:r>
      <w:r>
        <w:rPr>
          <w:rFonts w:ascii="Cambria Math" w:hAnsi="Cambria Math"/>
        </w:rPr>
        <w:tab/>
      </w:r>
      <w:r>
        <w:rPr>
          <w:rFonts w:ascii="Cambria Math" w:hAnsi="Cambria Math"/>
          <w:w w:val="185"/>
        </w:rPr>
        <w:t>∑</w:t>
      </w:r>
      <w:r>
        <w:rPr>
          <w:rFonts w:ascii="Cambria Math" w:hAnsi="Cambria Math"/>
        </w:rPr>
        <w:t> </w:t>
      </w:r>
      <w:r>
        <w:rPr>
          <w:rFonts w:ascii="Cambria Math" w:hAnsi="Cambria Math"/>
          <w:spacing w:val="6"/>
        </w:rPr>
        <w:t> </w:t>
      </w:r>
      <w:r>
        <w:rPr>
          <w:rFonts w:ascii="Cambria Math" w:hAnsi="Cambria Math"/>
          <w:w w:val="188"/>
        </w:rPr>
        <w:t> </w:t>
      </w:r>
    </w:p>
    <w:p>
      <w:pPr>
        <w:spacing w:before="92"/>
        <w:ind w:left="109" w:right="0" w:firstLine="0"/>
        <w:jc w:val="center"/>
        <w:rPr>
          <w:rFonts w:ascii="Cambria Math"/>
          <w:sz w:val="17"/>
        </w:rPr>
      </w:pPr>
      <w:r>
        <w:rPr>
          <w:rFonts w:ascii="Cambria Math"/>
          <w:spacing w:val="4"/>
          <w:w w:val="200"/>
          <w:sz w:val="17"/>
        </w:rPr>
        <w:t> </w:t>
      </w:r>
      <w:r>
        <w:rPr>
          <w:rFonts w:ascii="Cambria Math"/>
          <w:w w:val="331"/>
          <w:sz w:val="17"/>
        </w:rPr>
        <w:t> </w:t>
      </w:r>
      <w:r>
        <w:rPr>
          <w:rFonts w:ascii="Cambria Math"/>
          <w:spacing w:val="2"/>
          <w:w w:val="295"/>
          <w:sz w:val="17"/>
        </w:rPr>
        <w:t> </w:t>
      </w:r>
      <w:r>
        <w:rPr>
          <w:rFonts w:ascii="Cambria Math"/>
          <w:w w:val="331"/>
          <w:sz w:val="17"/>
        </w:rPr>
        <w:t> </w:t>
      </w:r>
      <w:r>
        <w:rPr>
          <w:rFonts w:ascii="Cambria Math"/>
          <w:w w:val="263"/>
          <w:sz w:val="17"/>
        </w:rPr>
        <w:t> </w:t>
      </w:r>
    </w:p>
    <w:p>
      <w:pPr>
        <w:pStyle w:val="BodyText"/>
        <w:rPr>
          <w:rFonts w:ascii="Cambria Math"/>
          <w:sz w:val="20"/>
        </w:rPr>
      </w:pPr>
    </w:p>
    <w:p>
      <w:pPr>
        <w:pStyle w:val="BodyText"/>
        <w:spacing w:before="1"/>
        <w:rPr>
          <w:rFonts w:ascii="Cambria Math"/>
          <w:sz w:val="18"/>
        </w:rPr>
      </w:pPr>
    </w:p>
    <w:p>
      <w:pPr>
        <w:pStyle w:val="BodyText"/>
        <w:spacing w:before="69"/>
        <w:ind w:left="102"/>
      </w:pPr>
      <w:r>
        <w:rPr/>
        <w:t>Donde:</w:t>
      </w:r>
    </w:p>
    <w:p>
      <w:pPr>
        <w:pStyle w:val="BodyText"/>
      </w:pPr>
    </w:p>
    <w:p>
      <w:pPr>
        <w:pStyle w:val="BodyText"/>
      </w:pPr>
    </w:p>
    <w:p>
      <w:pPr>
        <w:pStyle w:val="BodyText"/>
        <w:spacing w:line="360" w:lineRule="auto"/>
        <w:ind w:left="102" w:right="339"/>
      </w:pPr>
      <w:r>
        <w:rPr/>
        <w:t>Vn = Valor presente de los ingresos del individuo al momento de iniciar la capacitación. An = Ingresos anuales del individuo con </w:t>
      </w:r>
      <w:r>
        <w:rPr>
          <w:i/>
        </w:rPr>
        <w:t>n </w:t>
      </w:r>
      <w:r>
        <w:rPr/>
        <w:t>años de formación o capacitación.</w:t>
      </w:r>
    </w:p>
    <w:p>
      <w:pPr>
        <w:pStyle w:val="BodyText"/>
        <w:spacing w:before="4"/>
        <w:ind w:left="102"/>
      </w:pPr>
      <w:r>
        <w:rPr/>
        <w:t>r = La tasa a la cual se descuentan los ingresos futuros.</w:t>
      </w:r>
    </w:p>
    <w:p>
      <w:pPr>
        <w:pStyle w:val="BodyText"/>
        <w:spacing w:line="364" w:lineRule="auto" w:before="141"/>
        <w:ind w:left="102"/>
      </w:pPr>
      <w:r>
        <w:rPr>
          <w:rFonts w:ascii="Cambria Math" w:hAnsi="Cambria Math"/>
          <w:w w:val="143"/>
        </w:rPr>
        <w:t> </w:t>
      </w:r>
      <w:r>
        <w:rPr>
          <w:rFonts w:ascii="Cambria Math" w:hAnsi="Cambria Math"/>
        </w:rPr>
        <w:t>   </w:t>
      </w:r>
      <w:r>
        <w:rPr/>
        <w:t>= Periodo de la vida productiva más tiempo de entrenamiento, para todas las personas = periodo de la vida productiva sin entrenamiento</w:t>
      </w:r>
    </w:p>
    <w:p>
      <w:pPr>
        <w:pStyle w:val="BodyText"/>
        <w:spacing w:before="2"/>
        <w:rPr>
          <w:sz w:val="25"/>
        </w:rPr>
      </w:pPr>
    </w:p>
    <w:p>
      <w:pPr>
        <w:pStyle w:val="BodyText"/>
        <w:ind w:left="102"/>
      </w:pPr>
      <w:r>
        <w:rPr/>
        <w:t>Las conclusiones a las que llegó el autor con este modelo son  (Mincer, 1958):</w:t>
      </w:r>
    </w:p>
    <w:p>
      <w:pPr>
        <w:pStyle w:val="BodyText"/>
        <w:spacing w:before="3"/>
        <w:rPr>
          <w:sz w:val="31"/>
        </w:rPr>
      </w:pPr>
    </w:p>
    <w:p>
      <w:pPr>
        <w:pStyle w:val="ListParagraph"/>
        <w:numPr>
          <w:ilvl w:val="0"/>
          <w:numId w:val="39"/>
        </w:numPr>
        <w:tabs>
          <w:tab w:pos="822" w:val="left" w:leader="none"/>
        </w:tabs>
        <w:spacing w:line="240" w:lineRule="auto" w:before="0" w:after="0"/>
        <w:ind w:left="822" w:right="0" w:hanging="360"/>
        <w:jc w:val="left"/>
        <w:rPr>
          <w:sz w:val="24"/>
        </w:rPr>
      </w:pPr>
      <w:r>
        <w:rPr>
          <w:sz w:val="24"/>
        </w:rPr>
        <w:t>Las personas con más capacitación,  acceden a ingresos anuales</w:t>
      </w:r>
      <w:r>
        <w:rPr>
          <w:spacing w:val="-15"/>
          <w:sz w:val="24"/>
        </w:rPr>
        <w:t> </w:t>
      </w:r>
      <w:r>
        <w:rPr>
          <w:sz w:val="24"/>
        </w:rPr>
        <w:t>mayores.</w:t>
      </w:r>
    </w:p>
    <w:p>
      <w:pPr>
        <w:pStyle w:val="ListParagraph"/>
        <w:numPr>
          <w:ilvl w:val="0"/>
          <w:numId w:val="39"/>
        </w:numPr>
        <w:tabs>
          <w:tab w:pos="822" w:val="left" w:leader="none"/>
        </w:tabs>
        <w:spacing w:line="360" w:lineRule="auto" w:before="137" w:after="0"/>
        <w:ind w:left="822" w:right="118" w:hanging="360"/>
        <w:jc w:val="both"/>
        <w:rPr>
          <w:sz w:val="24"/>
        </w:rPr>
      </w:pPr>
      <w:r>
        <w:rPr>
          <w:sz w:val="24"/>
        </w:rPr>
        <w:t>La diferencia de ingresos entre personas radica en el número de años de entrenamiento que cada una esté dispuesta a invertir, sacrificando otras actividades  o el ocio,        un mayor número de años representa mayores sacrificios por parte del</w:t>
      </w:r>
    </w:p>
    <w:p>
      <w:pPr>
        <w:pStyle w:val="BodyText"/>
        <w:spacing w:before="6"/>
        <w:ind w:left="821"/>
      </w:pPr>
      <w:r>
        <w:rPr/>
        <w:t>individuo.  Y entre más grande sea el sacrificio mayor su recompensa futura.</w:t>
      </w:r>
    </w:p>
    <w:p>
      <w:pPr>
        <w:spacing w:after="0"/>
        <w:sectPr>
          <w:pgSz w:w="12240" w:h="15840"/>
          <w:pgMar w:header="0" w:footer="1235" w:top="1360" w:bottom="1440" w:left="1600" w:right="1580"/>
        </w:sectPr>
      </w:pPr>
    </w:p>
    <w:p>
      <w:pPr>
        <w:pStyle w:val="ListParagraph"/>
        <w:numPr>
          <w:ilvl w:val="0"/>
          <w:numId w:val="39"/>
        </w:numPr>
        <w:tabs>
          <w:tab w:pos="822" w:val="left" w:leader="none"/>
        </w:tabs>
        <w:spacing w:line="360" w:lineRule="auto" w:before="50" w:after="0"/>
        <w:ind w:left="822" w:right="119" w:hanging="360"/>
        <w:jc w:val="both"/>
        <w:rPr>
          <w:sz w:val="24"/>
        </w:rPr>
      </w:pPr>
      <w:r>
        <w:rPr>
          <w:sz w:val="24"/>
        </w:rPr>
        <w:t>Existe un periodo de descuento para los gastos en los que incurre la persona (pago por el entrenamiento) en los cuales la diferencia de ingresos puede no ser mayor, una vez transcurrido este periodo los ingresos se vuelven mayores conforme el tiempo</w:t>
      </w:r>
      <w:r>
        <w:rPr>
          <w:spacing w:val="-4"/>
          <w:sz w:val="24"/>
        </w:rPr>
        <w:t> </w:t>
      </w:r>
      <w:r>
        <w:rPr>
          <w:sz w:val="24"/>
        </w:rPr>
        <w:t>pasa.</w:t>
      </w:r>
    </w:p>
    <w:p>
      <w:pPr>
        <w:pStyle w:val="BodyText"/>
      </w:pPr>
    </w:p>
    <w:p>
      <w:pPr>
        <w:pStyle w:val="BodyText"/>
        <w:spacing w:line="360" w:lineRule="auto" w:before="143"/>
        <w:ind w:left="102" w:right="116"/>
        <w:jc w:val="both"/>
      </w:pPr>
      <w:r>
        <w:rPr/>
        <w:t>Confirmando entonces que la inversión y por tanto la generación de capital humano que cada individuo pueda pagar se deberá ver reflejada y deberá contribuir a mejorar el bienestar, considerando así que para los recién egresados de una carrera universitaria, representaría mayores y mejores oportunidades de insertarse con más rapidez al mercado de trabajo.</w:t>
      </w:r>
    </w:p>
    <w:p>
      <w:pPr>
        <w:pStyle w:val="BodyText"/>
      </w:pPr>
    </w:p>
    <w:p>
      <w:pPr>
        <w:pStyle w:val="BodyText"/>
        <w:spacing w:line="360" w:lineRule="auto" w:before="143"/>
        <w:ind w:left="102" w:right="116"/>
        <w:jc w:val="both"/>
      </w:pPr>
      <w:r>
        <w:rPr/>
        <w:t>Otro de los autores clásicos, Theodore Schultz (1961) coincide con Mincer y Becker en el sentido de que la generación de capital humano está en función directa con la inversión que se haga en educación, salud y migración (tanto interna como externa de un país).</w:t>
      </w:r>
    </w:p>
    <w:p>
      <w:pPr>
        <w:pStyle w:val="BodyText"/>
      </w:pPr>
    </w:p>
    <w:p>
      <w:pPr>
        <w:pStyle w:val="BodyText"/>
        <w:spacing w:line="360" w:lineRule="auto" w:before="143"/>
        <w:ind w:left="102" w:right="115"/>
        <w:jc w:val="both"/>
      </w:pPr>
      <w:r>
        <w:rPr/>
        <w:t>Uno de los postulados, propuesto por Schultz (1961), es que el crecimiento económico de cualquier nación se verá incrementado en función de la inversión que se haga en capital humano. Y por el contrario, cuando el capital humano decrece, es decir es precarizado por efectos del desempleo, las habilidades que adquirió el trabajador en un empleo específico  </w:t>
      </w:r>
      <w:r>
        <w:rPr>
          <w:spacing w:val="-3"/>
        </w:rPr>
        <w:t>ya </w:t>
      </w:r>
      <w:r>
        <w:rPr/>
        <w:t>no son requeridas por el mercado de trabajo, o bien el conocimiento o habilidades del trabajador se vuelven obsoletos, por tanto el crecimiento económico de un país se ve disminuido.</w:t>
      </w:r>
    </w:p>
    <w:p>
      <w:pPr>
        <w:pStyle w:val="BodyText"/>
      </w:pPr>
    </w:p>
    <w:p>
      <w:pPr>
        <w:pStyle w:val="BodyText"/>
        <w:spacing w:line="360" w:lineRule="auto" w:before="143"/>
        <w:ind w:left="102" w:right="117"/>
        <w:jc w:val="both"/>
      </w:pPr>
      <w:r>
        <w:rPr/>
        <w:t>En suma, la generación de capital humano inicia desde la inversión en formación que implica la adquisición de conocimientos y habilidades para el empleo, hasta el cuidado de  la salud que pueda tener cada persona. El incremento de capital humano debe contribuir a mejorar el bienestar y traducirse en mayores ingresos en el largo plazo. En el caso de los recién egresados deberá representar mejores oportunidades para insertarse al mercado trabajo. Así, el nivel de capital humano que se puede generar varía de un individuo a otro  en función de la inversión que cada quien decida y pueda asignar, los sacrificios que esté dispuesto a hacer y el tiempo que quiera</w:t>
      </w:r>
      <w:r>
        <w:rPr>
          <w:spacing w:val="-9"/>
        </w:rPr>
        <w:t> </w:t>
      </w:r>
      <w:r>
        <w:rPr/>
        <w:t>invertir.</w:t>
      </w:r>
    </w:p>
    <w:p>
      <w:pPr>
        <w:spacing w:after="0" w:line="360" w:lineRule="auto"/>
        <w:jc w:val="both"/>
        <w:sectPr>
          <w:pgSz w:w="12240" w:h="15840"/>
          <w:pgMar w:header="0" w:footer="1235" w:top="1360" w:bottom="1440" w:left="1600" w:right="1580"/>
        </w:sectPr>
      </w:pPr>
    </w:p>
    <w:p>
      <w:pPr>
        <w:pStyle w:val="BodyText"/>
        <w:spacing w:line="360" w:lineRule="auto" w:before="50"/>
        <w:ind w:left="122" w:right="119"/>
        <w:jc w:val="both"/>
      </w:pPr>
      <w:r>
        <w:rPr/>
        <w:t>En lo que respecta a la teoría neoclásica que ha sido fuertemente atacada y criticada, principalmente por tratar de explicar al mercado de trabajo como cualquier otro mercado de bienes, se destaca que el mercado de trabajo, desde el enfoque neoclásico, no considera que los participantes (internos y externos) tienen ideas claras de lo que es justo e injusto (restricciones de la normas Sociales) (Solow, 1992) convirtiendo a los participantes en instituciones sociales, que se rigen, regulan y presentan de formas diferenciadas, las cuales no deben ser analizadas como si fueran bienes o servicios.</w:t>
      </w:r>
    </w:p>
    <w:p>
      <w:pPr>
        <w:pStyle w:val="BodyText"/>
      </w:pPr>
    </w:p>
    <w:p>
      <w:pPr>
        <w:pStyle w:val="BodyText"/>
        <w:spacing w:line="360" w:lineRule="auto" w:before="143"/>
        <w:ind w:left="122" w:right="116"/>
        <w:jc w:val="both"/>
      </w:pPr>
      <w:r>
        <w:rPr/>
        <w:t>Dando origen así a una nueva teoría: la segmentación del mercado de trabajo, la cual nace para dar respuesta a las interrogantes que se plantearon en torno a la teoría neoclásica, principalmente a aquellas que se relacionan con las reglas que gobiernan el mercado y  como éste es ajustado. A continuación se centrará la atención en analizar la teoría de la segmentación y destacaremos sus principales</w:t>
      </w:r>
      <w:r>
        <w:rPr>
          <w:spacing w:val="-11"/>
        </w:rPr>
        <w:t> </w:t>
      </w:r>
      <w:r>
        <w:rPr/>
        <w:t>características.</w:t>
      </w:r>
    </w:p>
    <w:p>
      <w:pPr>
        <w:pStyle w:val="BodyText"/>
      </w:pPr>
    </w:p>
    <w:p>
      <w:pPr>
        <w:pStyle w:val="Heading3"/>
        <w:numPr>
          <w:ilvl w:val="1"/>
          <w:numId w:val="27"/>
        </w:numPr>
        <w:tabs>
          <w:tab w:pos="842" w:val="left" w:leader="none"/>
        </w:tabs>
        <w:spacing w:line="240" w:lineRule="auto" w:before="149" w:after="0"/>
        <w:ind w:left="842" w:right="0" w:hanging="720"/>
        <w:jc w:val="both"/>
        <w:rPr>
          <w:sz w:val="28"/>
        </w:rPr>
      </w:pPr>
      <w:bookmarkStart w:name="_bookmark10" w:id="16"/>
      <w:bookmarkEnd w:id="16"/>
      <w:r>
        <w:rPr>
          <w:b w:val="0"/>
        </w:rPr>
      </w:r>
      <w:bookmarkStart w:name="_bookmark10" w:id="17"/>
      <w:bookmarkEnd w:id="17"/>
      <w:r>
        <w:rPr/>
        <w:t>T</w:t>
      </w:r>
      <w:r>
        <w:rPr/>
        <w:t>eoría de la segmentación del mercado de</w:t>
      </w:r>
      <w:r>
        <w:rPr>
          <w:spacing w:val="-11"/>
        </w:rPr>
        <w:t> </w:t>
      </w:r>
      <w:r>
        <w:rPr/>
        <w:t>trabajo</w:t>
      </w:r>
    </w:p>
    <w:p>
      <w:pPr>
        <w:pStyle w:val="BodyText"/>
        <w:rPr>
          <w:b/>
          <w:sz w:val="28"/>
        </w:rPr>
      </w:pPr>
    </w:p>
    <w:p>
      <w:pPr>
        <w:pStyle w:val="BodyText"/>
        <w:spacing w:line="360" w:lineRule="auto" w:before="216"/>
        <w:ind w:left="122" w:right="117"/>
        <w:jc w:val="both"/>
      </w:pPr>
      <w:r>
        <w:rPr/>
        <w:t>Cuando se habla de la teoría de la segmentación, algunos autores están haciendo referencia a la primera generación: la teoría Institucionalista, la cual hasta hace un par de décadas era la única teoría que explicaba la segmentación. No es una teoría contraria y opuesta, sino más bien es complementaria a la teoría neoclásica, está basada en el mercado dual propuesto por Doringer y Piore (1985) y los conceptos del mercado interno de Solow (1992). Es importante mencionar que la primera generación de la teoría de la segmentación nace en los años 1940s en Estados Unidos, en un momento histórico en el que los  sindicatos estaban creciendo y cobrando fuerza, además de ser una etapa de postguerra de  la Segunda Guerra Mundial y como </w:t>
      </w:r>
      <w:r>
        <w:rPr>
          <w:spacing w:val="-3"/>
        </w:rPr>
        <w:t>ya </w:t>
      </w:r>
      <w:r>
        <w:rPr/>
        <w:t>se mencionó    </w:t>
      </w:r>
      <w:r>
        <w:rPr>
          <w:spacing w:val="20"/>
        </w:rPr>
        <w:t> </w:t>
      </w:r>
      <w:r>
        <w:rPr/>
        <w:t>también coincide con la aparición de</w:t>
      </w:r>
    </w:p>
    <w:p>
      <w:pPr>
        <w:pStyle w:val="BodyText"/>
        <w:spacing w:line="281" w:lineRule="exact"/>
        <w:ind w:left="122"/>
        <w:jc w:val="both"/>
      </w:pPr>
      <w:r>
        <w:rPr/>
        <w:t>la teoría de los mercados internos</w:t>
      </w:r>
      <w:r>
        <w:rPr>
          <w:position w:val="11"/>
          <w:sz w:val="16"/>
        </w:rPr>
        <w:t>4 </w:t>
      </w:r>
      <w:r>
        <w:rPr/>
        <w:t>y externos</w:t>
      </w:r>
      <w:r>
        <w:rPr>
          <w:position w:val="11"/>
          <w:sz w:val="16"/>
        </w:rPr>
        <w:t>5</w:t>
      </w:r>
      <w:r>
        <w:rPr/>
        <w:t>, marcando así la diferenciación entre los</w:t>
      </w:r>
    </w:p>
    <w:p>
      <w:pPr>
        <w:pStyle w:val="BodyText"/>
        <w:rPr>
          <w:sz w:val="20"/>
        </w:rPr>
      </w:pPr>
    </w:p>
    <w:p>
      <w:pPr>
        <w:pStyle w:val="BodyText"/>
        <w:spacing w:before="6"/>
        <w:rPr>
          <w:sz w:val="12"/>
        </w:rPr>
      </w:pPr>
      <w:r>
        <w:rPr/>
        <w:pict>
          <v:line style="position:absolute;mso-position-horizontal-relative:page;mso-position-vertical-relative:paragraph;z-index:1240;mso-wrap-distance-left:0;mso-wrap-distance-right:0" from="85.103996pt,9.545266pt" to="229.123996pt,9.545266pt" stroked="true" strokeweight=".72003pt" strokecolor="#000000">
            <w10:wrap type="topAndBottom"/>
          </v:line>
        </w:pict>
      </w:r>
    </w:p>
    <w:p>
      <w:pPr>
        <w:spacing w:line="280" w:lineRule="auto" w:before="49"/>
        <w:ind w:left="122" w:right="126" w:firstLine="0"/>
        <w:jc w:val="both"/>
        <w:rPr>
          <w:sz w:val="20"/>
        </w:rPr>
      </w:pPr>
      <w:r>
        <w:rPr>
          <w:rFonts w:ascii="Calibri" w:hAnsi="Calibri"/>
          <w:position w:val="10"/>
          <w:sz w:val="14"/>
        </w:rPr>
        <w:t>4 </w:t>
      </w:r>
      <w:r>
        <w:rPr>
          <w:sz w:val="20"/>
        </w:rPr>
        <w:t>Un mercado interno de trabajo es una unidad administrativa en que la asignación y el precio del trabajo se rigen por normas y procedimientos administrativos internos (Solow, 1992; Selva, 2004). Se caracterizan por ser organizaciones que se protegen de la competencia de los trabajadores del exterior (Brunet y Morell, 1998).</w:t>
      </w:r>
    </w:p>
    <w:p>
      <w:pPr>
        <w:pStyle w:val="BodyText"/>
        <w:rPr>
          <w:sz w:val="20"/>
        </w:rPr>
      </w:pPr>
    </w:p>
    <w:p>
      <w:pPr>
        <w:pStyle w:val="BodyText"/>
        <w:spacing w:before="10"/>
        <w:rPr>
          <w:sz w:val="15"/>
        </w:rPr>
      </w:pPr>
    </w:p>
    <w:p>
      <w:pPr>
        <w:spacing w:line="242" w:lineRule="auto" w:before="0"/>
        <w:ind w:left="122" w:right="262" w:firstLine="0"/>
        <w:jc w:val="left"/>
        <w:rPr>
          <w:sz w:val="20"/>
        </w:rPr>
      </w:pPr>
      <w:r>
        <w:rPr>
          <w:rFonts w:ascii="Calibri" w:hAnsi="Calibri"/>
          <w:position w:val="10"/>
          <w:sz w:val="13"/>
        </w:rPr>
        <w:t>5 </w:t>
      </w:r>
      <w:r>
        <w:rPr>
          <w:sz w:val="20"/>
        </w:rPr>
        <w:t>El mercado de trabajo externo está compuesto por los trabajadores externos (Solow,1992) y funciona como un modelo competitivo (Selva, 2004)</w:t>
      </w:r>
    </w:p>
    <w:p>
      <w:pPr>
        <w:spacing w:after="0" w:line="242" w:lineRule="auto"/>
        <w:jc w:val="left"/>
        <w:rPr>
          <w:sz w:val="20"/>
        </w:rPr>
        <w:sectPr>
          <w:footerReference w:type="default" r:id="rId17"/>
          <w:pgSz w:w="12240" w:h="15840"/>
          <w:pgMar w:footer="1235" w:header="0" w:top="1360" w:bottom="1420" w:left="1580" w:right="1580"/>
        </w:sectPr>
      </w:pPr>
    </w:p>
    <w:p>
      <w:pPr>
        <w:pStyle w:val="BodyText"/>
        <w:spacing w:line="360" w:lineRule="auto" w:before="50"/>
        <w:ind w:left="102" w:right="122"/>
        <w:jc w:val="both"/>
      </w:pPr>
      <w:r>
        <w:rPr/>
        <w:t>trabajadores que se encuentran en el mercado de trabajo y los que se encuentran fuera de éste.</w:t>
      </w:r>
    </w:p>
    <w:p>
      <w:pPr>
        <w:pStyle w:val="BodyText"/>
      </w:pPr>
    </w:p>
    <w:p>
      <w:pPr>
        <w:pStyle w:val="BodyText"/>
        <w:spacing w:line="360" w:lineRule="auto" w:before="143"/>
        <w:ind w:left="102" w:right="114"/>
        <w:jc w:val="both"/>
      </w:pPr>
      <w:r>
        <w:rPr/>
        <w:t>Esta teoría (mercados internos y externos) habla de que existen trabajadores internos y externos, con respecto al mercado de trabajo se tiene el supuesto de que los trabajadores internos (los que </w:t>
      </w:r>
      <w:r>
        <w:rPr>
          <w:spacing w:val="-3"/>
        </w:rPr>
        <w:t>ya </w:t>
      </w:r>
      <w:r>
        <w:rPr/>
        <w:t>se encuentran laborando en la empresa y que cuentan con la  experiencia para el trabajo) son los encargados de generar las rentas (ganancias) para la empresa, además de que son capaces de lograr que a los trabajadores externos no se les contrate (Solow,</w:t>
      </w:r>
      <w:r>
        <w:rPr>
          <w:spacing w:val="-7"/>
        </w:rPr>
        <w:t> </w:t>
      </w:r>
      <w:r>
        <w:rPr/>
        <w:t>1992).</w:t>
      </w:r>
    </w:p>
    <w:p>
      <w:pPr>
        <w:pStyle w:val="BodyText"/>
      </w:pPr>
    </w:p>
    <w:p>
      <w:pPr>
        <w:pStyle w:val="BodyText"/>
        <w:spacing w:line="360" w:lineRule="auto" w:before="143"/>
        <w:ind w:left="102" w:right="115"/>
        <w:jc w:val="both"/>
      </w:pPr>
      <w:r>
        <w:rPr/>
        <w:t>Las siguientes tres generaciones de la teoría de la segmentación formulan sus supuestos en los enfoques de las teorías: institucionalista, Marxista y post-Keynesiana, y parte de la  teoría neo-Marxista del mercado de trabajo. En general, las cuatro generaciones sostienen que el mercado de trabajo es un espacio social, que no solamente está dividido en sub- mercados, sino que además no se puede tratar al mercado de trabajo como a cualquier otro mercado de bienes (siendo la crítica principal a la teoría neoclásica), las reglas que lo gobiernan en cuanto a comportamiento y actores difieren de un segmento a otro. Así, la existencia de la segmentación del mercado persiste porque es funcional y facilita la operación de las instituciones capitalistas (Reich, Gordon y Edwards,</w:t>
      </w:r>
      <w:r>
        <w:rPr>
          <w:spacing w:val="-17"/>
        </w:rPr>
        <w:t> </w:t>
      </w:r>
      <w:r>
        <w:rPr/>
        <w:t>1973).</w:t>
      </w:r>
    </w:p>
    <w:p>
      <w:pPr>
        <w:pStyle w:val="BodyText"/>
      </w:pPr>
    </w:p>
    <w:p>
      <w:pPr>
        <w:pStyle w:val="BodyText"/>
        <w:spacing w:line="360" w:lineRule="auto" w:before="143"/>
        <w:ind w:left="102" w:right="117"/>
        <w:jc w:val="both"/>
      </w:pPr>
      <w:r>
        <w:rPr/>
        <w:t>A continuación se analizan con más detalle las cuatro generaciones de la teoría de la segmentación del mercado de trabajo, las tres primeras corresponden a las teorías que le dieron origen y que explican la teoría de la segmentación desde la perspectiva que marca la diferencia entre la simple división (sub-mercados) y la segmentación (sectores bien definidos y diferenciados). La cuarta generación es una aproximación generada y propuesta para fines de este trabajo, con fundamento en la investigación documental realizada.</w:t>
      </w:r>
    </w:p>
    <w:p>
      <w:pPr>
        <w:spacing w:after="0" w:line="360" w:lineRule="auto"/>
        <w:jc w:val="both"/>
        <w:sectPr>
          <w:footerReference w:type="default" r:id="rId18"/>
          <w:pgSz w:w="12240" w:h="15840"/>
          <w:pgMar w:footer="1243" w:header="0" w:top="1360" w:bottom="1440" w:left="1600" w:right="1580"/>
          <w:pgNumType w:start="21"/>
        </w:sectPr>
      </w:pPr>
    </w:p>
    <w:p>
      <w:pPr>
        <w:pStyle w:val="Heading3"/>
        <w:numPr>
          <w:ilvl w:val="2"/>
          <w:numId w:val="27"/>
        </w:numPr>
        <w:tabs>
          <w:tab w:pos="822" w:val="left" w:leader="none"/>
        </w:tabs>
        <w:spacing w:line="278" w:lineRule="auto" w:before="55" w:after="0"/>
        <w:ind w:left="822" w:right="115" w:hanging="720"/>
        <w:jc w:val="left"/>
      </w:pPr>
      <w:bookmarkStart w:name="_bookmark11" w:id="18"/>
      <w:bookmarkEnd w:id="18"/>
      <w:r>
        <w:rPr>
          <w:b w:val="0"/>
        </w:rPr>
      </w:r>
      <w:bookmarkStart w:name="_bookmark11" w:id="19"/>
      <w:bookmarkEnd w:id="19"/>
      <w:r>
        <w:rPr/>
        <w:t>P</w:t>
      </w:r>
      <w:r>
        <w:rPr/>
        <w:t>rimera generación de la segmentación del mercado de trabajo – Teoría Institucionalista</w:t>
      </w:r>
    </w:p>
    <w:p>
      <w:pPr>
        <w:pStyle w:val="BodyText"/>
        <w:spacing w:before="3"/>
        <w:rPr>
          <w:b/>
          <w:sz w:val="35"/>
        </w:rPr>
      </w:pPr>
    </w:p>
    <w:p>
      <w:pPr>
        <w:pStyle w:val="BodyText"/>
        <w:spacing w:line="360" w:lineRule="auto" w:before="1"/>
        <w:ind w:left="102" w:right="115"/>
        <w:jc w:val="both"/>
      </w:pPr>
      <w:r>
        <w:rPr/>
        <w:t>El origen de la primera generación de la teoría de la segmentación se remonta a los principios económicos del trabajo del análisis </w:t>
      </w:r>
      <w:r>
        <w:rPr>
          <w:i/>
        </w:rPr>
        <w:t>path-breaking </w:t>
      </w:r>
      <w:r>
        <w:rPr/>
        <w:t>propuesto por Kerr (1954), la definición de los mercados internos de Dunlop (1966), y en años posteriores por la noción del mercado dual, desarrollado por Doeringer y Piore (1971). En donde estos dos últimos autores tomaron la definición de los mercados de trabajo internos como entidad administrativa, en el que la fijación de precios y la prestación de trabajo obedecen a un conjunto de reglas y procedimientos administrativos (Marsden, 1994). Dando así origen a la primera generación de la segmentación, aún cuando ellos no la nombraron así.</w:t>
      </w:r>
    </w:p>
    <w:p>
      <w:pPr>
        <w:pStyle w:val="BodyText"/>
      </w:pPr>
    </w:p>
    <w:p>
      <w:pPr>
        <w:pStyle w:val="BodyText"/>
        <w:spacing w:line="360" w:lineRule="auto" w:before="143"/>
        <w:ind w:left="102" w:right="120"/>
        <w:jc w:val="both"/>
      </w:pPr>
      <w:r>
        <w:rPr/>
        <w:t>Para Kerr (1954) el mercado de trabajo se clasifica en tres tipos: los mercados competitivos sin organización sindical, los mercados de oficios y los mercados de empresa. El primero  no requiere de una formación profesional para que el trabajador ingrese al mercado de trabajo. Por el contrario, los dos últimos se rigen por reglas administrativas, por ejemplo: el trabajador requiere la obtención de un título universitario o de una carrera técnica profesional para poder insertarse a la vida laboral (Marsden,</w:t>
      </w:r>
      <w:r>
        <w:rPr>
          <w:spacing w:val="-10"/>
        </w:rPr>
        <w:t> </w:t>
      </w:r>
      <w:r>
        <w:rPr/>
        <w:t>1994).</w:t>
      </w:r>
    </w:p>
    <w:p>
      <w:pPr>
        <w:pStyle w:val="BodyText"/>
      </w:pPr>
    </w:p>
    <w:p>
      <w:pPr>
        <w:pStyle w:val="BodyText"/>
        <w:spacing w:line="360" w:lineRule="auto" w:before="143"/>
        <w:ind w:left="102" w:right="115"/>
        <w:jc w:val="both"/>
      </w:pPr>
      <w:r>
        <w:rPr/>
        <w:t>En el modelo del mercado dual las causas del dualismo tienen su origen en imperativos técnicos y en la estructura industrial. El mercado se encuentra segmentado en dos sectores: primario y secundario, de ahí que se le denomine mercado dual (Doeringer y Piore, 1971). La división o segmentación se determina principalmente por características de estabilidad (Reich, Gordon y Edwards, 1973). El sector primario tiene mejores empleos, con mejores salarios y ofrece seguridad de empleo para los trabajadores los cuales pueden esperar crecimiento profesional. Las calificaciones y habilidades de los trabajadores son altas y los procesos son tecnológicamente avanzados.</w:t>
      </w:r>
    </w:p>
    <w:p>
      <w:pPr>
        <w:pStyle w:val="BodyText"/>
      </w:pPr>
    </w:p>
    <w:p>
      <w:pPr>
        <w:pStyle w:val="BodyText"/>
        <w:spacing w:line="360" w:lineRule="auto" w:before="143"/>
        <w:ind w:left="102" w:right="113"/>
        <w:jc w:val="both"/>
      </w:pPr>
      <w:r>
        <w:rPr/>
        <w:t>El sector secundario, en contraste, tiene trabajos menos deseados, con salarios bajos y condiciones laborales en las que el desempleo está presente y es constante. El desempleo es involuntario y       es una condición que no se encuentra en equilibrio, de acuerdo a la teoría</w:t>
      </w:r>
    </w:p>
    <w:p>
      <w:pPr>
        <w:pStyle w:val="BodyText"/>
        <w:spacing w:before="6"/>
        <w:ind w:left="102"/>
        <w:jc w:val="both"/>
      </w:pPr>
      <w:r>
        <w:rPr/>
        <w:t>neoclásica; para generar mayor número de empleos los salarios tenderían a bajar. Con   ello</w:t>
      </w:r>
    </w:p>
    <w:p>
      <w:pPr>
        <w:spacing w:after="0"/>
        <w:jc w:val="both"/>
        <w:sectPr>
          <w:pgSz w:w="12240" w:h="15840"/>
          <w:pgMar w:header="0" w:footer="1243" w:top="1360" w:bottom="1440" w:left="1600" w:right="1580"/>
        </w:sectPr>
      </w:pPr>
    </w:p>
    <w:p>
      <w:pPr>
        <w:pStyle w:val="BodyText"/>
        <w:spacing w:line="360" w:lineRule="auto" w:before="50"/>
        <w:ind w:left="102" w:right="117"/>
        <w:jc w:val="both"/>
      </w:pPr>
      <w:r>
        <w:rPr/>
        <w:t>se encontraría un nuevo punto de equilibrio en el mercado de trabajo. Sin embargo, como lo explica la teoría de los trabajadores internos y externos, los internos harán todo lo posible para que los externos no bajen el nivel de salario, por lo tanto, los externos no logran que esto suceda a pesar de así quererlo, y como consecuencia el desempleo involuntario no desaparece (Solow, 1992). Dicho de otra forma, para lograr el nuevo equilibrio debería suceder que la cantidad demandada aumentara (más empleos) y que los salarios bajaran, pero como lo trabajadores internos no aceptan que el salario baje, los trabajadores externos siguen sin poder insertarse, aún cuando están dispuestos a percibir menos renta por su trabajo.</w:t>
      </w:r>
    </w:p>
    <w:p>
      <w:pPr>
        <w:pStyle w:val="BodyText"/>
      </w:pPr>
    </w:p>
    <w:p>
      <w:pPr>
        <w:pStyle w:val="BodyText"/>
        <w:spacing w:line="360" w:lineRule="auto" w:before="143"/>
        <w:ind w:left="102" w:right="114"/>
        <w:jc w:val="both"/>
      </w:pPr>
      <w:r>
        <w:rPr/>
        <w:t>El sector secundario también es considerado como el residuo del sector primario. Existe debido a que los trabajos son racionados, no todos los que quieren un empleo en el sector primario califican para obtenerlo (Dickens y Lang, 1985), y aún contando con las calificaciones necesarias no todos obtienen el empleo deseado en el sector primario, especialmente las minorías o grupos minoritarios como: gente de color, mujeres, jóvenes, viejos, personas sin formación padecen la discriminación del sector primario (Doeringer y Piore, 1971).</w:t>
      </w:r>
    </w:p>
    <w:p>
      <w:pPr>
        <w:pStyle w:val="BodyText"/>
      </w:pPr>
    </w:p>
    <w:p>
      <w:pPr>
        <w:pStyle w:val="BodyText"/>
        <w:spacing w:line="360" w:lineRule="auto" w:before="143"/>
        <w:ind w:left="102" w:right="116"/>
        <w:jc w:val="both"/>
      </w:pPr>
      <w:r>
        <w:rPr/>
        <w:t>En la teoría del mercado dual se presentan y definen los mercados internos de trabajo. En el caso del primer sector se define un alto grado de organización, derivando en que los trabajadores en éste obtengan puestos de trabajo de mayor nivel y mejor remunerados. Lo que genera que la rotación sea baja, por ende, la permanencia es un factor que se busca estimular y conservar dentro de este tipo de organizaciones. Esta característica es  importante </w:t>
      </w:r>
      <w:r>
        <w:rPr>
          <w:spacing w:val="-3"/>
        </w:rPr>
        <w:t>ya </w:t>
      </w:r>
      <w:r>
        <w:rPr/>
        <w:t>que permite la identificación de un mecanismo institucional además de la presencia de sindicatos, los cuales velan por los intereses de los empleados. El dualismo  está visto esencialmente como producto de los requerimientos de habilidades y estabilidad en los diferentes procesos de producción (Peck,</w:t>
      </w:r>
      <w:r>
        <w:rPr>
          <w:spacing w:val="-10"/>
        </w:rPr>
        <w:t> </w:t>
      </w:r>
      <w:r>
        <w:rPr/>
        <w:t>1996).</w:t>
      </w:r>
    </w:p>
    <w:p>
      <w:pPr>
        <w:pStyle w:val="BodyText"/>
      </w:pPr>
    </w:p>
    <w:p>
      <w:pPr>
        <w:pStyle w:val="BodyText"/>
        <w:spacing w:line="360" w:lineRule="auto" w:before="143"/>
        <w:ind w:left="102" w:right="118"/>
        <w:jc w:val="both"/>
      </w:pPr>
      <w:r>
        <w:rPr/>
        <w:t>En la tabla 1.2 se muestra un comparativo de las principales características de empleo y rasgos sociales de los dos sectores del mercado dual: primario y secundario propuesto por Doeringer y Piore (1971).</w:t>
      </w:r>
    </w:p>
    <w:p>
      <w:pPr>
        <w:spacing w:after="0" w:line="360" w:lineRule="auto"/>
        <w:jc w:val="both"/>
        <w:sectPr>
          <w:pgSz w:w="12240" w:h="15840"/>
          <w:pgMar w:header="0" w:footer="1243" w:top="1360" w:bottom="1440" w:left="1600" w:right="1580"/>
        </w:sectPr>
      </w:pPr>
    </w:p>
    <w:p>
      <w:pPr>
        <w:pStyle w:val="Heading3"/>
        <w:ind w:left="654"/>
        <w:jc w:val="left"/>
      </w:pPr>
      <w:r>
        <w:rPr/>
        <w:t>Tabla 1.2.-  Características del sector primario y secundario, mercado dual.</w:t>
      </w:r>
    </w:p>
    <w:p>
      <w:pPr>
        <w:pStyle w:val="BodyText"/>
        <w:spacing w:before="2"/>
        <w:rPr>
          <w:b/>
          <w:sz w:val="12"/>
        </w:rPr>
      </w:pPr>
    </w:p>
    <w:tbl>
      <w:tblPr>
        <w:tblW w:w="0" w:type="auto"/>
        <w:jc w:val="left"/>
        <w:tblInd w:w="5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33"/>
        <w:gridCol w:w="2693"/>
        <w:gridCol w:w="2696"/>
      </w:tblGrid>
      <w:tr>
        <w:trPr>
          <w:trHeight w:val="240" w:hRule="exact"/>
        </w:trPr>
        <w:tc>
          <w:tcPr>
            <w:tcW w:w="2533" w:type="dxa"/>
            <w:tcBorders>
              <w:left w:val="nil"/>
            </w:tcBorders>
          </w:tcPr>
          <w:p>
            <w:pPr/>
          </w:p>
        </w:tc>
        <w:tc>
          <w:tcPr>
            <w:tcW w:w="2693" w:type="dxa"/>
          </w:tcPr>
          <w:p>
            <w:pPr>
              <w:pStyle w:val="TableParagraph"/>
              <w:spacing w:line="228" w:lineRule="exact"/>
              <w:ind w:left="103"/>
              <w:rPr>
                <w:b/>
                <w:sz w:val="20"/>
              </w:rPr>
            </w:pPr>
            <w:r>
              <w:rPr>
                <w:b/>
                <w:sz w:val="20"/>
              </w:rPr>
              <w:t>Sector primario</w:t>
            </w:r>
          </w:p>
        </w:tc>
        <w:tc>
          <w:tcPr>
            <w:tcW w:w="2696" w:type="dxa"/>
            <w:tcBorders>
              <w:right w:val="nil"/>
            </w:tcBorders>
          </w:tcPr>
          <w:p>
            <w:pPr>
              <w:pStyle w:val="TableParagraph"/>
              <w:spacing w:line="228" w:lineRule="exact"/>
              <w:ind w:left="103"/>
              <w:rPr>
                <w:b/>
                <w:sz w:val="20"/>
              </w:rPr>
            </w:pPr>
            <w:r>
              <w:rPr>
                <w:b/>
                <w:sz w:val="20"/>
              </w:rPr>
              <w:t>Sector secundario</w:t>
            </w:r>
          </w:p>
        </w:tc>
      </w:tr>
      <w:tr>
        <w:trPr>
          <w:trHeight w:val="240" w:hRule="exact"/>
        </w:trPr>
        <w:tc>
          <w:tcPr>
            <w:tcW w:w="2533" w:type="dxa"/>
            <w:tcBorders>
              <w:left w:val="nil"/>
            </w:tcBorders>
          </w:tcPr>
          <w:p>
            <w:pPr>
              <w:pStyle w:val="TableParagraph"/>
              <w:spacing w:line="223" w:lineRule="exact"/>
              <w:ind w:left="122"/>
              <w:rPr>
                <w:sz w:val="20"/>
              </w:rPr>
            </w:pPr>
            <w:r>
              <w:rPr>
                <w:sz w:val="20"/>
              </w:rPr>
              <w:t>Seguridad de empleo</w:t>
            </w:r>
          </w:p>
        </w:tc>
        <w:tc>
          <w:tcPr>
            <w:tcW w:w="2693" w:type="dxa"/>
          </w:tcPr>
          <w:p>
            <w:pPr>
              <w:pStyle w:val="TableParagraph"/>
              <w:spacing w:line="223" w:lineRule="exact"/>
              <w:ind w:left="103"/>
              <w:rPr>
                <w:sz w:val="20"/>
              </w:rPr>
            </w:pPr>
            <w:r>
              <w:rPr>
                <w:sz w:val="20"/>
              </w:rPr>
              <w:t>Estable</w:t>
            </w:r>
          </w:p>
        </w:tc>
        <w:tc>
          <w:tcPr>
            <w:tcW w:w="2696" w:type="dxa"/>
            <w:tcBorders>
              <w:right w:val="nil"/>
            </w:tcBorders>
          </w:tcPr>
          <w:p>
            <w:pPr>
              <w:pStyle w:val="TableParagraph"/>
              <w:spacing w:line="223" w:lineRule="exact"/>
              <w:ind w:left="103"/>
              <w:rPr>
                <w:sz w:val="20"/>
              </w:rPr>
            </w:pPr>
            <w:r>
              <w:rPr>
                <w:sz w:val="20"/>
              </w:rPr>
              <w:t>Inestable</w:t>
            </w:r>
          </w:p>
        </w:tc>
      </w:tr>
      <w:tr>
        <w:trPr>
          <w:trHeight w:val="240" w:hRule="exact"/>
        </w:trPr>
        <w:tc>
          <w:tcPr>
            <w:tcW w:w="2533" w:type="dxa"/>
            <w:tcBorders>
              <w:left w:val="nil"/>
            </w:tcBorders>
          </w:tcPr>
          <w:p>
            <w:pPr>
              <w:pStyle w:val="TableParagraph"/>
              <w:spacing w:line="223" w:lineRule="exact"/>
              <w:ind w:left="172"/>
              <w:rPr>
                <w:sz w:val="20"/>
              </w:rPr>
            </w:pPr>
            <w:r>
              <w:rPr>
                <w:sz w:val="20"/>
              </w:rPr>
              <w:t>Nivel de salario</w:t>
            </w:r>
          </w:p>
        </w:tc>
        <w:tc>
          <w:tcPr>
            <w:tcW w:w="2693" w:type="dxa"/>
          </w:tcPr>
          <w:p>
            <w:pPr>
              <w:pStyle w:val="TableParagraph"/>
              <w:spacing w:line="223" w:lineRule="exact"/>
              <w:ind w:left="103"/>
              <w:rPr>
                <w:sz w:val="20"/>
              </w:rPr>
            </w:pPr>
            <w:r>
              <w:rPr>
                <w:sz w:val="20"/>
              </w:rPr>
              <w:t>Alto</w:t>
            </w:r>
          </w:p>
        </w:tc>
        <w:tc>
          <w:tcPr>
            <w:tcW w:w="2696" w:type="dxa"/>
            <w:tcBorders>
              <w:right w:val="nil"/>
            </w:tcBorders>
          </w:tcPr>
          <w:p>
            <w:pPr>
              <w:pStyle w:val="TableParagraph"/>
              <w:spacing w:line="223" w:lineRule="exact"/>
              <w:ind w:left="103"/>
              <w:rPr>
                <w:sz w:val="20"/>
              </w:rPr>
            </w:pPr>
            <w:r>
              <w:rPr>
                <w:sz w:val="20"/>
              </w:rPr>
              <w:t>Bajo</w:t>
            </w:r>
          </w:p>
        </w:tc>
      </w:tr>
      <w:tr>
        <w:trPr>
          <w:trHeight w:val="701" w:hRule="exact"/>
        </w:trPr>
        <w:tc>
          <w:tcPr>
            <w:tcW w:w="2533" w:type="dxa"/>
            <w:tcBorders>
              <w:left w:val="nil"/>
            </w:tcBorders>
          </w:tcPr>
          <w:p>
            <w:pPr>
              <w:pStyle w:val="TableParagraph"/>
              <w:spacing w:line="223" w:lineRule="exact"/>
              <w:ind w:left="122"/>
              <w:rPr>
                <w:sz w:val="20"/>
              </w:rPr>
            </w:pPr>
            <w:r>
              <w:rPr>
                <w:sz w:val="20"/>
              </w:rPr>
              <w:t>Condiciones laborales</w:t>
            </w:r>
          </w:p>
        </w:tc>
        <w:tc>
          <w:tcPr>
            <w:tcW w:w="2693" w:type="dxa"/>
          </w:tcPr>
          <w:p>
            <w:pPr>
              <w:pStyle w:val="TableParagraph"/>
              <w:ind w:left="103"/>
              <w:rPr>
                <w:sz w:val="20"/>
              </w:rPr>
            </w:pPr>
            <w:r>
              <w:rPr>
                <w:sz w:val="20"/>
              </w:rPr>
              <w:t>Buenas, con prestaciones y beneficios altos</w:t>
            </w:r>
          </w:p>
        </w:tc>
        <w:tc>
          <w:tcPr>
            <w:tcW w:w="2696" w:type="dxa"/>
            <w:tcBorders>
              <w:right w:val="nil"/>
            </w:tcBorders>
          </w:tcPr>
          <w:p>
            <w:pPr>
              <w:pStyle w:val="TableParagraph"/>
              <w:ind w:left="103" w:right="108"/>
              <w:jc w:val="both"/>
              <w:rPr>
                <w:sz w:val="20"/>
              </w:rPr>
            </w:pPr>
            <w:r>
              <w:rPr>
                <w:sz w:val="20"/>
              </w:rPr>
              <w:t>Bajas, se presentan problemas de salud y seguridad para el trabajador</w:t>
            </w:r>
          </w:p>
        </w:tc>
      </w:tr>
      <w:tr>
        <w:trPr>
          <w:trHeight w:val="698" w:hRule="exact"/>
        </w:trPr>
        <w:tc>
          <w:tcPr>
            <w:tcW w:w="2533" w:type="dxa"/>
            <w:tcBorders>
              <w:left w:val="nil"/>
            </w:tcBorders>
          </w:tcPr>
          <w:p>
            <w:pPr>
              <w:pStyle w:val="TableParagraph"/>
              <w:spacing w:line="223" w:lineRule="exact"/>
              <w:ind w:left="122"/>
              <w:rPr>
                <w:sz w:val="20"/>
              </w:rPr>
            </w:pPr>
            <w:r>
              <w:rPr>
                <w:sz w:val="20"/>
              </w:rPr>
              <w:t>Habilidades y entrenamiento</w:t>
            </w:r>
          </w:p>
        </w:tc>
        <w:tc>
          <w:tcPr>
            <w:tcW w:w="2693" w:type="dxa"/>
          </w:tcPr>
          <w:p>
            <w:pPr>
              <w:pStyle w:val="TableParagraph"/>
              <w:ind w:left="103" w:right="102"/>
              <w:jc w:val="both"/>
              <w:rPr>
                <w:sz w:val="20"/>
              </w:rPr>
            </w:pPr>
            <w:r>
              <w:rPr>
                <w:sz w:val="20"/>
              </w:rPr>
              <w:t>Entrenamiento en el trabajo y de otras habilidades especificas para el</w:t>
            </w:r>
            <w:r>
              <w:rPr>
                <w:spacing w:val="-8"/>
                <w:sz w:val="20"/>
              </w:rPr>
              <w:t> </w:t>
            </w:r>
            <w:r>
              <w:rPr>
                <w:sz w:val="20"/>
              </w:rPr>
              <w:t>puesto</w:t>
            </w:r>
          </w:p>
        </w:tc>
        <w:tc>
          <w:tcPr>
            <w:tcW w:w="2696" w:type="dxa"/>
            <w:tcBorders>
              <w:right w:val="nil"/>
            </w:tcBorders>
          </w:tcPr>
          <w:p>
            <w:pPr>
              <w:pStyle w:val="TableParagraph"/>
              <w:spacing w:line="223" w:lineRule="exact"/>
              <w:ind w:left="103"/>
              <w:rPr>
                <w:sz w:val="20"/>
              </w:rPr>
            </w:pPr>
            <w:r>
              <w:rPr>
                <w:sz w:val="20"/>
              </w:rPr>
              <w:t>No hay entrenamiento</w:t>
            </w:r>
          </w:p>
        </w:tc>
      </w:tr>
      <w:tr>
        <w:trPr>
          <w:trHeight w:val="240" w:hRule="exact"/>
        </w:trPr>
        <w:tc>
          <w:tcPr>
            <w:tcW w:w="2533" w:type="dxa"/>
            <w:tcBorders>
              <w:left w:val="nil"/>
            </w:tcBorders>
          </w:tcPr>
          <w:p>
            <w:pPr>
              <w:pStyle w:val="TableParagraph"/>
              <w:spacing w:line="223" w:lineRule="exact"/>
              <w:ind w:left="122"/>
              <w:rPr>
                <w:sz w:val="20"/>
              </w:rPr>
            </w:pPr>
            <w:r>
              <w:rPr>
                <w:sz w:val="20"/>
              </w:rPr>
              <w:t>Tecnología</w:t>
            </w:r>
          </w:p>
        </w:tc>
        <w:tc>
          <w:tcPr>
            <w:tcW w:w="2693" w:type="dxa"/>
          </w:tcPr>
          <w:p>
            <w:pPr>
              <w:pStyle w:val="TableParagraph"/>
              <w:spacing w:line="223" w:lineRule="exact"/>
              <w:ind w:left="103"/>
              <w:rPr>
                <w:sz w:val="20"/>
              </w:rPr>
            </w:pPr>
            <w:r>
              <w:rPr>
                <w:sz w:val="20"/>
              </w:rPr>
              <w:t>De punta</w:t>
            </w:r>
          </w:p>
        </w:tc>
        <w:tc>
          <w:tcPr>
            <w:tcW w:w="2696" w:type="dxa"/>
            <w:tcBorders>
              <w:right w:val="nil"/>
            </w:tcBorders>
          </w:tcPr>
          <w:p>
            <w:pPr>
              <w:pStyle w:val="TableParagraph"/>
              <w:spacing w:line="223" w:lineRule="exact"/>
              <w:ind w:left="103"/>
              <w:rPr>
                <w:sz w:val="20"/>
              </w:rPr>
            </w:pPr>
            <w:r>
              <w:rPr>
                <w:sz w:val="20"/>
              </w:rPr>
              <w:t>Rudimentaria</w:t>
            </w:r>
          </w:p>
        </w:tc>
      </w:tr>
      <w:tr>
        <w:trPr>
          <w:trHeight w:val="701" w:hRule="exact"/>
        </w:trPr>
        <w:tc>
          <w:tcPr>
            <w:tcW w:w="2533" w:type="dxa"/>
            <w:tcBorders>
              <w:left w:val="nil"/>
            </w:tcBorders>
          </w:tcPr>
          <w:p>
            <w:pPr>
              <w:pStyle w:val="TableParagraph"/>
              <w:spacing w:line="223" w:lineRule="exact"/>
              <w:ind w:left="122"/>
              <w:rPr>
                <w:sz w:val="20"/>
              </w:rPr>
            </w:pPr>
            <w:r>
              <w:rPr>
                <w:sz w:val="20"/>
              </w:rPr>
              <w:t>Control del proceso</w:t>
            </w:r>
          </w:p>
        </w:tc>
        <w:tc>
          <w:tcPr>
            <w:tcW w:w="2693" w:type="dxa"/>
          </w:tcPr>
          <w:p>
            <w:pPr>
              <w:pStyle w:val="TableParagraph"/>
              <w:ind w:left="103" w:right="102"/>
              <w:jc w:val="both"/>
              <w:rPr>
                <w:sz w:val="20"/>
              </w:rPr>
            </w:pPr>
            <w:r>
              <w:rPr>
                <w:sz w:val="20"/>
              </w:rPr>
              <w:t>Alto, existe autonomía y responsabilidad de los empleados</w:t>
            </w:r>
          </w:p>
        </w:tc>
        <w:tc>
          <w:tcPr>
            <w:tcW w:w="2696" w:type="dxa"/>
            <w:tcBorders>
              <w:right w:val="nil"/>
            </w:tcBorders>
          </w:tcPr>
          <w:p>
            <w:pPr>
              <w:pStyle w:val="TableParagraph"/>
              <w:spacing w:line="223" w:lineRule="exact"/>
              <w:ind w:left="103"/>
              <w:rPr>
                <w:sz w:val="20"/>
              </w:rPr>
            </w:pPr>
            <w:r>
              <w:rPr>
                <w:sz w:val="20"/>
              </w:rPr>
              <w:t>Reglas de trabajo rígidas</w:t>
            </w:r>
          </w:p>
        </w:tc>
      </w:tr>
      <w:tr>
        <w:trPr>
          <w:trHeight w:val="471" w:hRule="exact"/>
        </w:trPr>
        <w:tc>
          <w:tcPr>
            <w:tcW w:w="2533" w:type="dxa"/>
            <w:tcBorders>
              <w:left w:val="nil"/>
            </w:tcBorders>
          </w:tcPr>
          <w:p>
            <w:pPr>
              <w:pStyle w:val="TableParagraph"/>
              <w:ind w:left="122" w:right="985"/>
              <w:rPr>
                <w:sz w:val="20"/>
              </w:rPr>
            </w:pPr>
            <w:r>
              <w:rPr>
                <w:sz w:val="20"/>
              </w:rPr>
              <w:t>Promoción de los empleados</w:t>
            </w:r>
          </w:p>
        </w:tc>
        <w:tc>
          <w:tcPr>
            <w:tcW w:w="2693" w:type="dxa"/>
          </w:tcPr>
          <w:p>
            <w:pPr>
              <w:pStyle w:val="TableParagraph"/>
              <w:spacing w:line="224" w:lineRule="exact"/>
              <w:ind w:left="103"/>
              <w:rPr>
                <w:sz w:val="20"/>
              </w:rPr>
            </w:pPr>
            <w:r>
              <w:rPr>
                <w:sz w:val="20"/>
              </w:rPr>
              <w:t>Muchas</w:t>
            </w:r>
          </w:p>
        </w:tc>
        <w:tc>
          <w:tcPr>
            <w:tcW w:w="2696" w:type="dxa"/>
            <w:tcBorders>
              <w:right w:val="nil"/>
            </w:tcBorders>
          </w:tcPr>
          <w:p>
            <w:pPr>
              <w:pStyle w:val="TableParagraph"/>
              <w:spacing w:line="224" w:lineRule="exact"/>
              <w:ind w:left="103"/>
              <w:rPr>
                <w:sz w:val="20"/>
              </w:rPr>
            </w:pPr>
            <w:r>
              <w:rPr>
                <w:sz w:val="20"/>
              </w:rPr>
              <w:t>Pocas</w:t>
            </w:r>
          </w:p>
        </w:tc>
      </w:tr>
      <w:tr>
        <w:trPr>
          <w:trHeight w:val="468" w:hRule="exact"/>
        </w:trPr>
        <w:tc>
          <w:tcPr>
            <w:tcW w:w="2533" w:type="dxa"/>
            <w:tcBorders>
              <w:left w:val="nil"/>
            </w:tcBorders>
          </w:tcPr>
          <w:p>
            <w:pPr>
              <w:pStyle w:val="TableParagraph"/>
              <w:spacing w:line="223" w:lineRule="exact"/>
              <w:ind w:left="122"/>
              <w:rPr>
                <w:sz w:val="20"/>
              </w:rPr>
            </w:pPr>
            <w:r>
              <w:rPr>
                <w:sz w:val="20"/>
              </w:rPr>
              <w:t>Reclutamiento externo</w:t>
            </w:r>
          </w:p>
        </w:tc>
        <w:tc>
          <w:tcPr>
            <w:tcW w:w="2693" w:type="dxa"/>
          </w:tcPr>
          <w:p>
            <w:pPr>
              <w:pStyle w:val="TableParagraph"/>
              <w:spacing w:line="223" w:lineRule="exact"/>
              <w:ind w:left="103"/>
              <w:rPr>
                <w:sz w:val="20"/>
              </w:rPr>
            </w:pPr>
            <w:r>
              <w:rPr>
                <w:sz w:val="20"/>
              </w:rPr>
              <w:t>Mínimo</w:t>
            </w:r>
          </w:p>
        </w:tc>
        <w:tc>
          <w:tcPr>
            <w:tcW w:w="2696" w:type="dxa"/>
            <w:tcBorders>
              <w:right w:val="nil"/>
            </w:tcBorders>
          </w:tcPr>
          <w:p>
            <w:pPr>
              <w:pStyle w:val="TableParagraph"/>
              <w:ind w:left="103"/>
              <w:rPr>
                <w:sz w:val="20"/>
              </w:rPr>
            </w:pPr>
            <w:r>
              <w:rPr>
                <w:sz w:val="20"/>
              </w:rPr>
              <w:t>Es el principal método de reclutamiento</w:t>
            </w:r>
          </w:p>
        </w:tc>
      </w:tr>
      <w:tr>
        <w:trPr>
          <w:trHeight w:val="701" w:hRule="exact"/>
        </w:trPr>
        <w:tc>
          <w:tcPr>
            <w:tcW w:w="2533" w:type="dxa"/>
            <w:tcBorders>
              <w:left w:val="nil"/>
            </w:tcBorders>
          </w:tcPr>
          <w:p>
            <w:pPr>
              <w:pStyle w:val="TableParagraph"/>
              <w:spacing w:line="226" w:lineRule="exact"/>
              <w:ind w:left="122"/>
              <w:rPr>
                <w:sz w:val="20"/>
              </w:rPr>
            </w:pPr>
            <w:r>
              <w:rPr>
                <w:sz w:val="20"/>
              </w:rPr>
              <w:t>Grupos representativos</w:t>
            </w:r>
          </w:p>
        </w:tc>
        <w:tc>
          <w:tcPr>
            <w:tcW w:w="2693" w:type="dxa"/>
          </w:tcPr>
          <w:p>
            <w:pPr>
              <w:pStyle w:val="TableParagraph"/>
              <w:spacing w:line="226" w:lineRule="exact"/>
              <w:ind w:left="103"/>
              <w:rPr>
                <w:sz w:val="20"/>
              </w:rPr>
            </w:pPr>
            <w:r>
              <w:rPr>
                <w:sz w:val="20"/>
              </w:rPr>
              <w:t>Hombres en edad productiva</w:t>
            </w:r>
          </w:p>
        </w:tc>
        <w:tc>
          <w:tcPr>
            <w:tcW w:w="2696" w:type="dxa"/>
            <w:tcBorders>
              <w:right w:val="nil"/>
            </w:tcBorders>
          </w:tcPr>
          <w:p>
            <w:pPr>
              <w:pStyle w:val="TableParagraph"/>
              <w:ind w:left="103" w:right="108"/>
              <w:jc w:val="both"/>
              <w:rPr>
                <w:sz w:val="20"/>
              </w:rPr>
            </w:pPr>
            <w:r>
              <w:rPr>
                <w:sz w:val="20"/>
              </w:rPr>
              <w:t>Minorías: jóvenes, viejos, mujeres y personas con discapacidades</w:t>
            </w:r>
          </w:p>
        </w:tc>
      </w:tr>
    </w:tbl>
    <w:p>
      <w:pPr>
        <w:spacing w:line="223" w:lineRule="exact" w:before="0"/>
        <w:ind w:left="0" w:right="17" w:firstLine="0"/>
        <w:jc w:val="center"/>
        <w:rPr>
          <w:sz w:val="20"/>
        </w:rPr>
      </w:pPr>
      <w:r>
        <w:rPr>
          <w:sz w:val="20"/>
        </w:rPr>
        <w:t>Fuente: elaboración con base en Peck (1996).</w:t>
      </w:r>
    </w:p>
    <w:p>
      <w:pPr>
        <w:pStyle w:val="BodyText"/>
        <w:rPr>
          <w:sz w:val="20"/>
        </w:rPr>
      </w:pPr>
    </w:p>
    <w:p>
      <w:pPr>
        <w:pStyle w:val="BodyText"/>
        <w:rPr>
          <w:sz w:val="20"/>
        </w:rPr>
      </w:pPr>
    </w:p>
    <w:p>
      <w:pPr>
        <w:pStyle w:val="BodyText"/>
        <w:rPr>
          <w:sz w:val="20"/>
        </w:rPr>
      </w:pPr>
    </w:p>
    <w:p>
      <w:pPr>
        <w:pStyle w:val="BodyText"/>
        <w:spacing w:before="1"/>
        <w:rPr>
          <w:sz w:val="22"/>
        </w:rPr>
      </w:pPr>
    </w:p>
    <w:p>
      <w:pPr>
        <w:pStyle w:val="BodyText"/>
        <w:spacing w:line="360" w:lineRule="auto"/>
        <w:ind w:left="102" w:right="117"/>
        <w:jc w:val="both"/>
      </w:pPr>
      <w:r>
        <w:rPr/>
        <w:t>La teoría institucional examina las reglas, normas y creencias que limitan y suportan a las estructuras y procesos sociales, incluidas las organizaciones (Scott y Davis, 2007). Los institucionalistas retan el supuesto subyacente, de la teoría de contingencia y de la teoría económica de los costos de transacción, de que las organizaciones pueden ser estructuras  de inercia, difíciles de cambiar. Dejan de poner atención en una sola empresa y su entorno inmediato, para examinar sistemas más amplios. Se enfocan </w:t>
      </w:r>
      <w:r>
        <w:rPr>
          <w:spacing w:val="-3"/>
        </w:rPr>
        <w:t>ya </w:t>
      </w:r>
      <w:r>
        <w:rPr/>
        <w:t>sea en organizaciones de tipo similares (poblaciones) o en organizaciones que operan en el mismo dominio  (campos).</w:t>
      </w:r>
    </w:p>
    <w:p>
      <w:pPr>
        <w:pStyle w:val="BodyText"/>
      </w:pPr>
    </w:p>
    <w:p>
      <w:pPr>
        <w:pStyle w:val="BodyText"/>
        <w:spacing w:before="5"/>
        <w:rPr>
          <w:sz w:val="21"/>
        </w:rPr>
      </w:pPr>
    </w:p>
    <w:p>
      <w:pPr>
        <w:pStyle w:val="BodyText"/>
        <w:spacing w:line="360" w:lineRule="auto"/>
        <w:ind w:left="102" w:right="114"/>
        <w:jc w:val="both"/>
      </w:pPr>
      <w:r>
        <w:rPr/>
        <w:t>Después de haber tenido un muy rápido crecimiento y una alta creatividad, aparentemente  la teoría institucional ha entrado en una fase de desarrollo más pausado, acompañado de esfuerzos destinados a la autoevaluación y la consolidación. Scott (1987) analiza tanto los planteamientos teóricos como el trabajo empírico. El autor sugiere que los argumentos de la teoría institucional no deben ser opuestos a  los argumentos racionales o de eficiencia  (como muchos autores  así lo han manifestado),  sino que    </w:t>
      </w:r>
      <w:r>
        <w:rPr>
          <w:spacing w:val="29"/>
        </w:rPr>
        <w:t> </w:t>
      </w:r>
      <w:r>
        <w:rPr/>
        <w:t>deben  ser  complementarios  y</w:t>
      </w:r>
    </w:p>
    <w:p>
      <w:pPr>
        <w:pStyle w:val="BodyText"/>
        <w:spacing w:before="4"/>
        <w:ind w:left="102"/>
        <w:jc w:val="both"/>
      </w:pPr>
      <w:r>
        <w:rPr/>
        <w:t>ayudar   a   contextualizarse   mutuamente.     Compara   a   la   teoría   institucional   con la</w:t>
      </w:r>
    </w:p>
    <w:p>
      <w:pPr>
        <w:spacing w:after="0"/>
        <w:jc w:val="both"/>
        <w:sectPr>
          <w:pgSz w:w="12240" w:h="15840"/>
          <w:pgMar w:header="0" w:footer="1243" w:top="1360" w:bottom="1440" w:left="1600" w:right="1580"/>
        </w:sectPr>
      </w:pPr>
    </w:p>
    <w:p>
      <w:pPr>
        <w:pStyle w:val="BodyText"/>
        <w:spacing w:line="360" w:lineRule="auto" w:before="50"/>
        <w:ind w:left="102" w:right="124"/>
        <w:jc w:val="both"/>
      </w:pPr>
      <w:r>
        <w:rPr/>
        <w:t>adolescencia del ser humano, dice que si bien la adolescencia está llena de torpeza y acné, también encarna energía y promesa. Y que se necesitan estímulos, así como críticas, para canalizar sus energías en direcciones productivas y lograr su promesa.</w:t>
      </w:r>
    </w:p>
    <w:p>
      <w:pPr>
        <w:pStyle w:val="BodyText"/>
      </w:pPr>
    </w:p>
    <w:p>
      <w:pPr>
        <w:pStyle w:val="BodyText"/>
        <w:spacing w:before="11"/>
        <w:rPr>
          <w:sz w:val="29"/>
        </w:rPr>
      </w:pPr>
    </w:p>
    <w:p>
      <w:pPr>
        <w:pStyle w:val="BodyText"/>
        <w:spacing w:line="360" w:lineRule="auto"/>
        <w:ind w:left="102" w:right="116"/>
        <w:jc w:val="both"/>
      </w:pPr>
      <w:r>
        <w:rPr/>
        <w:t>Las principales aportaciones del modelo del mercado dual son: primero, se enfoca en las características del empleo en lugar de los trabajadores; y segundo, presenta un entendimiento de los procesos institucionalistas del mercado de trabajo (Peck, 1996), de ahí que se les conozca también como institucionalistas. La crítica más fuerte que hacen los dualistas o institucionalistas a la teoría anterior (neoclásica) se centra en que el mercado de trabajo no debe ser considerado ni analizado como cualquier otro mercado de bienes. Esta característica es recuperada en la siguiente generación.</w:t>
      </w:r>
    </w:p>
    <w:p>
      <w:pPr>
        <w:pStyle w:val="BodyText"/>
      </w:pPr>
    </w:p>
    <w:p>
      <w:pPr>
        <w:pStyle w:val="BodyText"/>
        <w:spacing w:line="360" w:lineRule="auto" w:before="143"/>
        <w:ind w:left="102" w:right="119"/>
        <w:jc w:val="both"/>
      </w:pPr>
      <w:r>
        <w:rPr/>
        <w:t>La segunda generación es más crítica con respecto a los supuestos del mercado de trabajo propuesto por los neoclásicos, a pesar de no destruir la teoría precedente (primera generación), formula una nueva explicación para la forma en cómo se debe segmentar el mercado de trabajo en su interior. A continuación se aborda la perspectiva teórica planteada por los radicales o segunda generación de la segmentación.</w:t>
      </w:r>
    </w:p>
    <w:p>
      <w:pPr>
        <w:pStyle w:val="BodyText"/>
      </w:pPr>
    </w:p>
    <w:p>
      <w:pPr>
        <w:pStyle w:val="BodyText"/>
      </w:pPr>
    </w:p>
    <w:p>
      <w:pPr>
        <w:pStyle w:val="BodyText"/>
        <w:spacing w:before="8"/>
      </w:pPr>
    </w:p>
    <w:p>
      <w:pPr>
        <w:pStyle w:val="Heading3"/>
        <w:numPr>
          <w:ilvl w:val="2"/>
          <w:numId w:val="27"/>
        </w:numPr>
        <w:tabs>
          <w:tab w:pos="822" w:val="left" w:leader="none"/>
          <w:tab w:pos="1938" w:val="left" w:leader="none"/>
        </w:tabs>
        <w:spacing w:line="276" w:lineRule="auto" w:before="1" w:after="0"/>
        <w:ind w:left="822" w:right="118" w:hanging="720"/>
        <w:jc w:val="left"/>
      </w:pPr>
      <w:bookmarkStart w:name="_bookmark12" w:id="20"/>
      <w:bookmarkEnd w:id="20"/>
      <w:r>
        <w:rPr>
          <w:b w:val="0"/>
        </w:rPr>
      </w:r>
      <w:bookmarkStart w:name="_bookmark12" w:id="21"/>
      <w:bookmarkEnd w:id="21"/>
      <w:r>
        <w:rPr/>
        <w:t>S</w:t>
      </w:r>
      <w:r>
        <w:rPr/>
        <w:t>egunda</w:t>
        <w:tab/>
        <w:t>generación  de  la  segmentación  del  mercado  de  trabajo</w:t>
      </w:r>
      <w:r>
        <w:rPr>
          <w:spacing w:val="38"/>
        </w:rPr>
        <w:t> </w:t>
      </w:r>
      <w:r>
        <w:rPr/>
        <w:t>–</w:t>
      </w:r>
      <w:r>
        <w:rPr>
          <w:spacing w:val="55"/>
        </w:rPr>
        <w:t> </w:t>
      </w:r>
      <w:r>
        <w:rPr/>
        <w:t>Teoría</w:t>
      </w:r>
      <w:r>
        <w:rPr>
          <w:w w:val="99"/>
        </w:rPr>
        <w:t> </w:t>
      </w:r>
      <w:r>
        <w:rPr/>
        <w:t>radical</w:t>
      </w:r>
    </w:p>
    <w:p>
      <w:pPr>
        <w:pStyle w:val="BodyText"/>
        <w:spacing w:before="4"/>
        <w:rPr>
          <w:b/>
          <w:sz w:val="27"/>
        </w:rPr>
      </w:pPr>
    </w:p>
    <w:p>
      <w:pPr>
        <w:pStyle w:val="BodyText"/>
        <w:spacing w:line="360" w:lineRule="auto" w:before="1"/>
        <w:ind w:left="102" w:right="115"/>
        <w:jc w:val="both"/>
      </w:pPr>
      <w:r>
        <w:rPr/>
        <w:t>La segunda generación es conocida como la teoría radical, en la cual las estrategias de segmentación del mercado de trabajo son aspectos que responden a las necesidades </w:t>
      </w:r>
      <w:r>
        <w:rPr>
          <w:spacing w:val="3"/>
        </w:rPr>
        <w:t>de </w:t>
      </w:r>
      <w:r>
        <w:rPr/>
        <w:t>control por parte del capital (empleador), en donde la división y reglamentación son establecidos y difundidos por la administración con la finalidad de mantener el control sobre los procesos que requieren poca</w:t>
      </w:r>
      <w:r>
        <w:rPr>
          <w:spacing w:val="-8"/>
        </w:rPr>
        <w:t> </w:t>
      </w:r>
      <w:r>
        <w:rPr/>
        <w:t>calificación.</w:t>
      </w:r>
    </w:p>
    <w:p>
      <w:pPr>
        <w:pStyle w:val="BodyText"/>
      </w:pPr>
    </w:p>
    <w:p>
      <w:pPr>
        <w:pStyle w:val="BodyText"/>
        <w:spacing w:line="360" w:lineRule="auto" w:before="143"/>
        <w:ind w:left="102" w:right="117"/>
        <w:jc w:val="both"/>
      </w:pPr>
      <w:r>
        <w:rPr/>
        <w:t>El dualismo propuesto por Doeringer y Piore (1971) es considerado ahora como un  producto del proceso laboral y el control de estrategias (Peck, 1996). Son críticos con respecto  a  la  teoría  neoclásica  del  mercado  de  trabajo  y manifiestan  explícitamente</w:t>
      </w:r>
      <w:r>
        <w:rPr>
          <w:spacing w:val="-3"/>
        </w:rPr>
        <w:t> </w:t>
      </w:r>
      <w:r>
        <w:rPr/>
        <w:t>su</w:t>
      </w:r>
    </w:p>
    <w:p>
      <w:pPr>
        <w:spacing w:after="0" w:line="360" w:lineRule="auto"/>
        <w:jc w:val="both"/>
        <w:sectPr>
          <w:pgSz w:w="12240" w:h="15840"/>
          <w:pgMar w:header="0" w:footer="1243" w:top="1360" w:bottom="1440" w:left="1600" w:right="1580"/>
        </w:sectPr>
      </w:pPr>
    </w:p>
    <w:p>
      <w:pPr>
        <w:pStyle w:val="BodyText"/>
        <w:spacing w:line="360" w:lineRule="auto" w:before="50"/>
        <w:ind w:left="102" w:right="116"/>
        <w:jc w:val="both"/>
      </w:pPr>
      <w:r>
        <w:rPr/>
        <w:t>descontento hacia el capitalismo (Cain, 1975). La segmentación del mercado de trabajo, en esta generación, es un indicio claro sobre el surgimiento de técnicas de producción rutinarias (empleo de máquinas y herramientas), donde el trabajo requiere cada vez menos habilidades y calificaciones por parte de los empleados y es más homogéneo (Peck, 1996).</w:t>
      </w:r>
    </w:p>
    <w:p>
      <w:pPr>
        <w:pStyle w:val="BodyText"/>
      </w:pPr>
    </w:p>
    <w:p>
      <w:pPr>
        <w:pStyle w:val="BodyText"/>
        <w:spacing w:line="360" w:lineRule="auto" w:before="143"/>
        <w:ind w:left="102" w:right="116"/>
        <w:jc w:val="both"/>
      </w:pPr>
      <w:r>
        <w:rPr/>
        <w:t>La segmentación del trabajo proporciona un medio para que el capital (empleador) pueda enfrentar sin muchas dificultades las contradicciones inherentes de la falta de calificación de la fuerza laboral. Bajo estas condiciones prácticamente se requieren habilidades mínimas para que el trabajo sea incorporado a los procesos de</w:t>
      </w:r>
      <w:r>
        <w:rPr>
          <w:spacing w:val="-14"/>
        </w:rPr>
        <w:t> </w:t>
      </w:r>
      <w:r>
        <w:rPr/>
        <w:t>producción.</w:t>
      </w:r>
    </w:p>
    <w:p>
      <w:pPr>
        <w:pStyle w:val="BodyText"/>
      </w:pPr>
    </w:p>
    <w:p>
      <w:pPr>
        <w:pStyle w:val="BodyText"/>
        <w:spacing w:line="360" w:lineRule="auto" w:before="143"/>
        <w:ind w:left="102" w:right="115"/>
        <w:jc w:val="both"/>
      </w:pPr>
      <w:r>
        <w:rPr/>
        <w:t>La teoría radical mantiene el concepto de trabajo segmentado y de mercados internos de trabajo (desarrollados en la primera generación); sin embargo, distinguen que no sólo debería clasificarse en dos segmentos. Para ellos la división comprende sector primario  (que a su vez se estratifica en empleos: subordinados e independientes), y el sector secundario como se conoce en la primera generación se convierte en: sector por raza y sector por</w:t>
      </w:r>
      <w:r>
        <w:rPr>
          <w:spacing w:val="-5"/>
        </w:rPr>
        <w:t> </w:t>
      </w:r>
      <w:r>
        <w:rPr/>
        <w:t>género.</w:t>
      </w:r>
    </w:p>
    <w:p>
      <w:pPr>
        <w:pStyle w:val="BodyText"/>
      </w:pPr>
    </w:p>
    <w:p>
      <w:pPr>
        <w:pStyle w:val="Heading4"/>
        <w:numPr>
          <w:ilvl w:val="0"/>
          <w:numId w:val="40"/>
        </w:numPr>
        <w:tabs>
          <w:tab w:pos="362" w:val="left" w:leader="none"/>
        </w:tabs>
        <w:spacing w:line="240" w:lineRule="auto" w:before="148" w:after="0"/>
        <w:ind w:left="361" w:right="0" w:hanging="259"/>
        <w:jc w:val="both"/>
        <w:rPr>
          <w:i/>
        </w:rPr>
      </w:pPr>
      <w:r>
        <w:rPr>
          <w:i/>
        </w:rPr>
        <w:t>Segmentación al interior del sector</w:t>
      </w:r>
      <w:r>
        <w:rPr>
          <w:i/>
          <w:spacing w:val="-8"/>
        </w:rPr>
        <w:t> </w:t>
      </w:r>
      <w:r>
        <w:rPr>
          <w:i/>
        </w:rPr>
        <w:t>primario</w:t>
      </w:r>
    </w:p>
    <w:p>
      <w:pPr>
        <w:pStyle w:val="BodyText"/>
        <w:spacing w:line="360" w:lineRule="auto" w:before="132"/>
        <w:ind w:left="102" w:right="115"/>
        <w:jc w:val="both"/>
      </w:pPr>
      <w:r>
        <w:rPr/>
        <w:t>En el sector primario se encuentran los empleos subordinados y los empleos  independientes. En donde los primeros son rutinarios y promueven características de dependencia, disciplina, respeto a las reglas y obediencia a la autoridad (Reich, Gordon y Edwards, 1973) y sólo existen en los mercados internos de trabajo (Peck, 1996). De este modo, el modelo dual de Doeringer y Piore (1971) cambia a otro nivel de análisis: es considerado al nivel de las relaciones institucionales que operan al interior de la producción (Peck, 1996). Tanto trabajos operativos como de oficina se clasifican en este segmento (Reich, Gordon y Edwards,</w:t>
      </w:r>
      <w:r>
        <w:rPr>
          <w:spacing w:val="-5"/>
        </w:rPr>
        <w:t> </w:t>
      </w:r>
      <w:r>
        <w:rPr/>
        <w:t>1973).</w:t>
      </w:r>
    </w:p>
    <w:p>
      <w:pPr>
        <w:pStyle w:val="BodyText"/>
      </w:pPr>
    </w:p>
    <w:p>
      <w:pPr>
        <w:pStyle w:val="BodyText"/>
        <w:spacing w:line="360" w:lineRule="auto" w:before="143"/>
        <w:ind w:left="102" w:right="117"/>
        <w:jc w:val="both"/>
      </w:pPr>
      <w:r>
        <w:rPr/>
        <w:t>En contraste, los empleos independientes, fomentan y requieren creatividad, resolución de problemas, iniciativa y un estándar elevado de profesionalismo para desempeñar el trabajo (Reich, Gordon y Edwards, 1973). La rotación voluntaria es alta, es decir las personas buscan y quieren cambiar el empleo con el fin de mejorar sus ingresos. En este tipo de</w:t>
      </w:r>
    </w:p>
    <w:p>
      <w:pPr>
        <w:spacing w:after="0" w:line="360" w:lineRule="auto"/>
        <w:jc w:val="both"/>
        <w:sectPr>
          <w:pgSz w:w="12240" w:h="15840"/>
          <w:pgMar w:header="0" w:footer="1243" w:top="1360" w:bottom="1440" w:left="1600" w:right="1580"/>
        </w:sectPr>
      </w:pPr>
    </w:p>
    <w:p>
      <w:pPr>
        <w:pStyle w:val="BodyText"/>
        <w:spacing w:line="360" w:lineRule="auto" w:before="50"/>
        <w:ind w:left="102" w:right="122"/>
        <w:jc w:val="both"/>
      </w:pPr>
      <w:r>
        <w:rPr/>
        <w:t>empleo la motivación es individual y el cumplimiento de las metas es altamente recompensado (Reich, Gordon y Edwards, 1973).</w:t>
      </w:r>
    </w:p>
    <w:p>
      <w:pPr>
        <w:pStyle w:val="BodyText"/>
      </w:pPr>
    </w:p>
    <w:p>
      <w:pPr>
        <w:pStyle w:val="Heading4"/>
        <w:numPr>
          <w:ilvl w:val="0"/>
          <w:numId w:val="40"/>
        </w:numPr>
        <w:tabs>
          <w:tab w:pos="362" w:val="left" w:leader="none"/>
        </w:tabs>
        <w:spacing w:line="240" w:lineRule="auto" w:before="148" w:after="0"/>
        <w:ind w:left="361" w:right="0" w:hanging="259"/>
        <w:jc w:val="both"/>
        <w:rPr>
          <w:i/>
        </w:rPr>
      </w:pPr>
      <w:r>
        <w:rPr>
          <w:i/>
        </w:rPr>
        <w:t>Segmentación por</w:t>
      </w:r>
      <w:r>
        <w:rPr>
          <w:i/>
          <w:spacing w:val="-6"/>
        </w:rPr>
        <w:t> </w:t>
      </w:r>
      <w:r>
        <w:rPr>
          <w:i/>
        </w:rPr>
        <w:t>raza</w:t>
      </w:r>
    </w:p>
    <w:p>
      <w:pPr>
        <w:pStyle w:val="BodyText"/>
        <w:spacing w:line="360" w:lineRule="auto" w:before="132"/>
        <w:ind w:left="102" w:right="118"/>
        <w:jc w:val="both"/>
      </w:pPr>
      <w:r>
        <w:rPr/>
        <w:t>La segmentación por raza se presenta como una característica de algunos empleos, que son estratificados ya sea por un prejuicio, por considerar que cierta raza no debería realizarlo o por ciertas instituciones del mercado de trabajo que prefieren contratar a un grupo racial en específico. La división geografía juega un papel importante en la segmentación por raza (Reich, Gordon y Edwards, 1973).</w:t>
      </w:r>
    </w:p>
    <w:p>
      <w:pPr>
        <w:pStyle w:val="BodyText"/>
      </w:pPr>
    </w:p>
    <w:p>
      <w:pPr>
        <w:pStyle w:val="Heading4"/>
        <w:numPr>
          <w:ilvl w:val="0"/>
          <w:numId w:val="40"/>
        </w:numPr>
        <w:tabs>
          <w:tab w:pos="347" w:val="left" w:leader="none"/>
        </w:tabs>
        <w:spacing w:line="240" w:lineRule="auto" w:before="148" w:after="0"/>
        <w:ind w:left="346" w:right="0" w:hanging="244"/>
        <w:jc w:val="both"/>
        <w:rPr>
          <w:i/>
        </w:rPr>
      </w:pPr>
      <w:r>
        <w:rPr>
          <w:i/>
        </w:rPr>
        <w:t>Segmentación por</w:t>
      </w:r>
      <w:r>
        <w:rPr>
          <w:i/>
          <w:spacing w:val="-6"/>
        </w:rPr>
        <w:t> </w:t>
      </w:r>
      <w:r>
        <w:rPr>
          <w:i/>
        </w:rPr>
        <w:t>género</w:t>
      </w:r>
    </w:p>
    <w:p>
      <w:pPr>
        <w:pStyle w:val="BodyText"/>
        <w:spacing w:line="360" w:lineRule="auto" w:before="134"/>
        <w:ind w:left="102" w:right="117"/>
        <w:jc w:val="both"/>
      </w:pPr>
      <w:r>
        <w:rPr/>
        <w:t>La segmentación por género se base en la discriminación que generalmente se hace para ciertos trabajos, que por creencia se han designado exclusivos para un género en particular (Reich, Gordon y Edwards, 1973), ya sea que se crea que solamente hombres deberían realizarlos o por el contrario que únicamente las mujeres deben emplearse.</w:t>
      </w:r>
    </w:p>
    <w:p>
      <w:pPr>
        <w:pStyle w:val="BodyText"/>
      </w:pPr>
    </w:p>
    <w:p>
      <w:pPr>
        <w:pStyle w:val="BodyText"/>
        <w:spacing w:line="360" w:lineRule="auto" w:before="143"/>
        <w:ind w:left="102" w:right="114"/>
        <w:jc w:val="both"/>
      </w:pPr>
      <w:r>
        <w:rPr/>
        <w:t>En lo que respecta a los salarios, existen grandes diferencias por género. El segmento femenino usualmente tiene salarios más bajos con respecto al masculino (Reich, Gordon y Edwards, 1973). Los trabajos femeninos requieren y fomentan una mentalidad de servicio, con una fuerte orientación a proveer a otros, especialmente a los hombres, y esta característica es fomentada desde las instituciones: familia y escuela (Reich, Gordon y Edwards, 1973). En la siguiente tabla se presentan las principales particularidades de la segunda generación.</w:t>
      </w:r>
    </w:p>
    <w:p>
      <w:pPr>
        <w:spacing w:after="0" w:line="360" w:lineRule="auto"/>
        <w:jc w:val="both"/>
        <w:sectPr>
          <w:pgSz w:w="12240" w:h="15840"/>
          <w:pgMar w:header="0" w:footer="1243" w:top="1360" w:bottom="1440" w:left="1600" w:right="1580"/>
        </w:sectPr>
      </w:pPr>
    </w:p>
    <w:p>
      <w:pPr>
        <w:pStyle w:val="Heading3"/>
        <w:spacing w:before="53"/>
        <w:ind w:left="915"/>
        <w:jc w:val="left"/>
      </w:pPr>
      <w:r>
        <w:rPr/>
        <w:t>Tabla 1.3.-  Características de los segmentos en la segunda generación.</w:t>
      </w:r>
    </w:p>
    <w:p>
      <w:pPr>
        <w:pStyle w:val="BodyText"/>
        <w:spacing w:before="3"/>
        <w:rPr>
          <w:b/>
        </w:rPr>
      </w:pPr>
    </w:p>
    <w:tbl>
      <w:tblPr>
        <w:tblW w:w="0" w:type="auto"/>
        <w:jc w:val="left"/>
        <w:tblInd w:w="3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49"/>
        <w:gridCol w:w="1721"/>
        <w:gridCol w:w="1769"/>
        <w:gridCol w:w="1416"/>
        <w:gridCol w:w="1558"/>
      </w:tblGrid>
      <w:tr>
        <w:trPr>
          <w:trHeight w:val="701" w:hRule="exact"/>
        </w:trPr>
        <w:tc>
          <w:tcPr>
            <w:tcW w:w="1949" w:type="dxa"/>
            <w:tcBorders>
              <w:left w:val="nil"/>
              <w:right w:val="nil"/>
            </w:tcBorders>
          </w:tcPr>
          <w:p>
            <w:pPr/>
          </w:p>
        </w:tc>
        <w:tc>
          <w:tcPr>
            <w:tcW w:w="1721" w:type="dxa"/>
            <w:tcBorders>
              <w:left w:val="nil"/>
              <w:right w:val="nil"/>
            </w:tcBorders>
          </w:tcPr>
          <w:p>
            <w:pPr>
              <w:pStyle w:val="TableParagraph"/>
              <w:ind w:left="107"/>
              <w:rPr>
                <w:b/>
                <w:sz w:val="20"/>
              </w:rPr>
            </w:pPr>
            <w:r>
              <w:rPr>
                <w:b/>
                <w:sz w:val="20"/>
              </w:rPr>
              <w:t>Sector primario Empleos subordinados</w:t>
            </w:r>
          </w:p>
        </w:tc>
        <w:tc>
          <w:tcPr>
            <w:tcW w:w="1769" w:type="dxa"/>
            <w:tcBorders>
              <w:left w:val="nil"/>
              <w:right w:val="nil"/>
            </w:tcBorders>
          </w:tcPr>
          <w:p>
            <w:pPr>
              <w:pStyle w:val="TableParagraph"/>
              <w:spacing w:before="10"/>
              <w:rPr>
                <w:b/>
                <w:sz w:val="19"/>
              </w:rPr>
            </w:pPr>
          </w:p>
          <w:p>
            <w:pPr>
              <w:pStyle w:val="TableParagraph"/>
              <w:ind w:left="107"/>
              <w:rPr>
                <w:b/>
                <w:sz w:val="20"/>
              </w:rPr>
            </w:pPr>
            <w:r>
              <w:rPr>
                <w:b/>
                <w:sz w:val="20"/>
              </w:rPr>
              <w:t>Empleos </w:t>
            </w:r>
            <w:r>
              <w:rPr>
                <w:b/>
                <w:w w:val="95"/>
                <w:sz w:val="20"/>
              </w:rPr>
              <w:t>Independientes</w:t>
            </w:r>
          </w:p>
        </w:tc>
        <w:tc>
          <w:tcPr>
            <w:tcW w:w="1416" w:type="dxa"/>
            <w:tcBorders>
              <w:left w:val="nil"/>
              <w:right w:val="nil"/>
            </w:tcBorders>
          </w:tcPr>
          <w:p>
            <w:pPr>
              <w:pStyle w:val="TableParagraph"/>
              <w:spacing w:before="10"/>
              <w:rPr>
                <w:b/>
                <w:sz w:val="19"/>
              </w:rPr>
            </w:pPr>
          </w:p>
          <w:p>
            <w:pPr>
              <w:pStyle w:val="TableParagraph"/>
              <w:ind w:left="105" w:right="102"/>
              <w:rPr>
                <w:b/>
                <w:sz w:val="20"/>
              </w:rPr>
            </w:pPr>
            <w:r>
              <w:rPr>
                <w:b/>
                <w:sz w:val="20"/>
              </w:rPr>
              <w:t>Segmentación por raza</w:t>
            </w:r>
          </w:p>
        </w:tc>
        <w:tc>
          <w:tcPr>
            <w:tcW w:w="1558" w:type="dxa"/>
            <w:tcBorders>
              <w:left w:val="nil"/>
              <w:right w:val="nil"/>
            </w:tcBorders>
          </w:tcPr>
          <w:p>
            <w:pPr>
              <w:pStyle w:val="TableParagraph"/>
              <w:spacing w:before="10"/>
              <w:rPr>
                <w:b/>
                <w:sz w:val="19"/>
              </w:rPr>
            </w:pPr>
          </w:p>
          <w:p>
            <w:pPr>
              <w:pStyle w:val="TableParagraph"/>
              <w:ind w:left="105" w:right="244"/>
              <w:rPr>
                <w:b/>
                <w:sz w:val="20"/>
              </w:rPr>
            </w:pPr>
            <w:r>
              <w:rPr>
                <w:b/>
                <w:sz w:val="20"/>
              </w:rPr>
              <w:t>Segmentación por género</w:t>
            </w:r>
          </w:p>
        </w:tc>
      </w:tr>
      <w:tr>
        <w:trPr>
          <w:trHeight w:val="1390" w:hRule="exact"/>
        </w:trPr>
        <w:tc>
          <w:tcPr>
            <w:tcW w:w="1949" w:type="dxa"/>
            <w:tcBorders>
              <w:left w:val="nil"/>
            </w:tcBorders>
          </w:tcPr>
          <w:p>
            <w:pPr>
              <w:pStyle w:val="TableParagraph"/>
              <w:spacing w:line="223" w:lineRule="exact"/>
              <w:ind w:left="119"/>
              <w:rPr>
                <w:sz w:val="20"/>
              </w:rPr>
            </w:pPr>
            <w:r>
              <w:rPr>
                <w:sz w:val="20"/>
              </w:rPr>
              <w:t>Seguridad de empleo</w:t>
            </w:r>
          </w:p>
        </w:tc>
        <w:tc>
          <w:tcPr>
            <w:tcW w:w="1721" w:type="dxa"/>
          </w:tcPr>
          <w:p>
            <w:pPr>
              <w:pStyle w:val="TableParagraph"/>
              <w:spacing w:line="223" w:lineRule="exact"/>
              <w:ind w:left="103" w:right="102"/>
              <w:rPr>
                <w:sz w:val="20"/>
              </w:rPr>
            </w:pPr>
            <w:r>
              <w:rPr>
                <w:sz w:val="20"/>
              </w:rPr>
              <w:t>Alto</w:t>
            </w:r>
          </w:p>
        </w:tc>
        <w:tc>
          <w:tcPr>
            <w:tcW w:w="1769" w:type="dxa"/>
          </w:tcPr>
          <w:p>
            <w:pPr>
              <w:pStyle w:val="TableParagraph"/>
              <w:spacing w:line="223" w:lineRule="exact"/>
              <w:ind w:left="103"/>
              <w:rPr>
                <w:sz w:val="20"/>
              </w:rPr>
            </w:pPr>
            <w:r>
              <w:rPr>
                <w:sz w:val="20"/>
              </w:rPr>
              <w:t>Medio</w:t>
            </w:r>
          </w:p>
        </w:tc>
        <w:tc>
          <w:tcPr>
            <w:tcW w:w="1416" w:type="dxa"/>
          </w:tcPr>
          <w:p>
            <w:pPr>
              <w:pStyle w:val="TableParagraph"/>
              <w:spacing w:line="223" w:lineRule="exact"/>
              <w:ind w:left="100" w:right="105"/>
              <w:rPr>
                <w:sz w:val="20"/>
              </w:rPr>
            </w:pPr>
            <w:r>
              <w:rPr>
                <w:sz w:val="20"/>
              </w:rPr>
              <w:t>Medio</w:t>
            </w:r>
          </w:p>
        </w:tc>
        <w:tc>
          <w:tcPr>
            <w:tcW w:w="1558" w:type="dxa"/>
            <w:tcBorders>
              <w:right w:val="nil"/>
            </w:tcBorders>
          </w:tcPr>
          <w:p>
            <w:pPr>
              <w:pStyle w:val="TableParagraph"/>
              <w:tabs>
                <w:tab w:pos="1197" w:val="left" w:leader="none"/>
              </w:tabs>
              <w:ind w:left="100" w:right="109"/>
              <w:rPr>
                <w:sz w:val="20"/>
              </w:rPr>
            </w:pPr>
            <w:r>
              <w:rPr>
                <w:sz w:val="20"/>
              </w:rPr>
              <w:t>Depende</w:t>
              <w:tab/>
              <w:t>del género, usualmente los hombres tienen mayor seguridad de</w:t>
            </w:r>
            <w:r>
              <w:rPr>
                <w:spacing w:val="-6"/>
                <w:sz w:val="20"/>
              </w:rPr>
              <w:t> </w:t>
            </w:r>
            <w:r>
              <w:rPr>
                <w:sz w:val="20"/>
              </w:rPr>
              <w:t>empleo</w:t>
            </w:r>
          </w:p>
        </w:tc>
      </w:tr>
      <w:tr>
        <w:trPr>
          <w:trHeight w:val="1621" w:hRule="exact"/>
        </w:trPr>
        <w:tc>
          <w:tcPr>
            <w:tcW w:w="1949" w:type="dxa"/>
            <w:tcBorders>
              <w:left w:val="nil"/>
            </w:tcBorders>
          </w:tcPr>
          <w:p>
            <w:pPr>
              <w:pStyle w:val="TableParagraph"/>
              <w:spacing w:line="223" w:lineRule="exact"/>
              <w:ind w:left="170"/>
              <w:rPr>
                <w:sz w:val="20"/>
              </w:rPr>
            </w:pPr>
            <w:r>
              <w:rPr>
                <w:sz w:val="20"/>
              </w:rPr>
              <w:t>Nivel de salario</w:t>
            </w:r>
          </w:p>
        </w:tc>
        <w:tc>
          <w:tcPr>
            <w:tcW w:w="1721" w:type="dxa"/>
          </w:tcPr>
          <w:p>
            <w:pPr>
              <w:pStyle w:val="TableParagraph"/>
              <w:spacing w:line="223" w:lineRule="exact"/>
              <w:ind w:left="103" w:right="102"/>
              <w:rPr>
                <w:sz w:val="20"/>
              </w:rPr>
            </w:pPr>
            <w:r>
              <w:rPr>
                <w:sz w:val="20"/>
              </w:rPr>
              <w:t>Alto</w:t>
            </w:r>
          </w:p>
        </w:tc>
        <w:tc>
          <w:tcPr>
            <w:tcW w:w="1769" w:type="dxa"/>
          </w:tcPr>
          <w:p>
            <w:pPr>
              <w:pStyle w:val="TableParagraph"/>
              <w:ind w:left="103" w:right="106"/>
              <w:jc w:val="both"/>
              <w:rPr>
                <w:sz w:val="20"/>
              </w:rPr>
            </w:pPr>
            <w:r>
              <w:rPr>
                <w:sz w:val="20"/>
              </w:rPr>
              <w:t>Está en función de la actividad a la que se</w:t>
            </w:r>
            <w:r>
              <w:rPr>
                <w:spacing w:val="-7"/>
                <w:sz w:val="20"/>
              </w:rPr>
              <w:t> </w:t>
            </w:r>
            <w:r>
              <w:rPr>
                <w:sz w:val="20"/>
              </w:rPr>
              <w:t>dediquen</w:t>
            </w:r>
          </w:p>
        </w:tc>
        <w:tc>
          <w:tcPr>
            <w:tcW w:w="1416" w:type="dxa"/>
          </w:tcPr>
          <w:p>
            <w:pPr>
              <w:pStyle w:val="TableParagraph"/>
              <w:tabs>
                <w:tab w:pos="1009" w:val="left" w:leader="none"/>
                <w:tab w:pos="1197" w:val="left" w:leader="none"/>
              </w:tabs>
              <w:ind w:left="100" w:right="105"/>
              <w:rPr>
                <w:sz w:val="20"/>
              </w:rPr>
            </w:pPr>
            <w:r>
              <w:rPr>
                <w:sz w:val="20"/>
              </w:rPr>
              <w:t>La raza blanca obtiene ingresos mayores</w:t>
              <w:tab/>
              <w:t>que la raza latina, negra</w:t>
              <w:tab/>
              <w:tab/>
              <w:t>o</w:t>
            </w:r>
          </w:p>
          <w:p>
            <w:pPr>
              <w:pStyle w:val="TableParagraph"/>
              <w:ind w:left="100" w:right="105"/>
              <w:rPr>
                <w:sz w:val="20"/>
              </w:rPr>
            </w:pPr>
            <w:r>
              <w:rPr>
                <w:sz w:val="20"/>
              </w:rPr>
              <w:t>asiática</w:t>
            </w:r>
          </w:p>
        </w:tc>
        <w:tc>
          <w:tcPr>
            <w:tcW w:w="1558" w:type="dxa"/>
            <w:tcBorders>
              <w:right w:val="nil"/>
            </w:tcBorders>
          </w:tcPr>
          <w:p>
            <w:pPr>
              <w:pStyle w:val="TableParagraph"/>
              <w:tabs>
                <w:tab w:pos="676" w:val="left" w:leader="none"/>
                <w:tab w:pos="767" w:val="left" w:leader="none"/>
                <w:tab w:pos="1122" w:val="left" w:leader="none"/>
                <w:tab w:pos="1299" w:val="left" w:leader="none"/>
              </w:tabs>
              <w:ind w:left="100" w:right="107"/>
              <w:rPr>
                <w:sz w:val="20"/>
              </w:rPr>
            </w:pPr>
            <w:r>
              <w:rPr>
                <w:sz w:val="20"/>
              </w:rPr>
              <w:t>El</w:t>
              <w:tab/>
              <w:t>segmento femenino tiene salarios</w:t>
              <w:tab/>
              <w:tab/>
            </w:r>
            <w:r>
              <w:rPr>
                <w:w w:val="95"/>
                <w:sz w:val="20"/>
              </w:rPr>
              <w:t>más </w:t>
            </w:r>
            <w:r>
              <w:rPr>
                <w:sz w:val="20"/>
              </w:rPr>
              <w:t>bajos</w:t>
              <w:tab/>
              <w:tab/>
              <w:t>que</w:t>
              <w:tab/>
              <w:tab/>
              <w:t>el segmento masculino</w:t>
            </w:r>
          </w:p>
        </w:tc>
      </w:tr>
      <w:tr>
        <w:trPr>
          <w:trHeight w:val="1390" w:hRule="exact"/>
        </w:trPr>
        <w:tc>
          <w:tcPr>
            <w:tcW w:w="1949" w:type="dxa"/>
            <w:tcBorders>
              <w:left w:val="nil"/>
            </w:tcBorders>
          </w:tcPr>
          <w:p>
            <w:pPr>
              <w:pStyle w:val="TableParagraph"/>
              <w:tabs>
                <w:tab w:pos="1741" w:val="left" w:leader="none"/>
              </w:tabs>
              <w:ind w:left="119" w:right="101"/>
              <w:rPr>
                <w:sz w:val="20"/>
              </w:rPr>
            </w:pPr>
            <w:r>
              <w:rPr>
                <w:sz w:val="20"/>
              </w:rPr>
              <w:t>Habilidades</w:t>
              <w:tab/>
              <w:t>y entrenamiento</w:t>
            </w:r>
          </w:p>
        </w:tc>
        <w:tc>
          <w:tcPr>
            <w:tcW w:w="1721" w:type="dxa"/>
          </w:tcPr>
          <w:p>
            <w:pPr>
              <w:pStyle w:val="TableParagraph"/>
              <w:spacing w:line="223" w:lineRule="exact"/>
              <w:ind w:left="103" w:right="102"/>
              <w:rPr>
                <w:sz w:val="20"/>
              </w:rPr>
            </w:pPr>
            <w:r>
              <w:rPr>
                <w:sz w:val="20"/>
              </w:rPr>
              <w:t>Mínimo</w:t>
            </w:r>
          </w:p>
        </w:tc>
        <w:tc>
          <w:tcPr>
            <w:tcW w:w="1769" w:type="dxa"/>
          </w:tcPr>
          <w:p>
            <w:pPr>
              <w:pStyle w:val="TableParagraph"/>
              <w:spacing w:line="223" w:lineRule="exact"/>
              <w:ind w:left="103"/>
              <w:rPr>
                <w:sz w:val="20"/>
              </w:rPr>
            </w:pPr>
            <w:r>
              <w:rPr>
                <w:sz w:val="20"/>
              </w:rPr>
              <w:t>Alto</w:t>
            </w:r>
          </w:p>
        </w:tc>
        <w:tc>
          <w:tcPr>
            <w:tcW w:w="1416" w:type="dxa"/>
          </w:tcPr>
          <w:p>
            <w:pPr>
              <w:pStyle w:val="TableParagraph"/>
              <w:ind w:left="100" w:right="104"/>
              <w:rPr>
                <w:sz w:val="20"/>
              </w:rPr>
            </w:pPr>
            <w:r>
              <w:rPr>
                <w:sz w:val="20"/>
              </w:rPr>
              <w:t>Los segmentos raciales desfavorecidos tienen menores calificaciones</w:t>
            </w:r>
          </w:p>
        </w:tc>
        <w:tc>
          <w:tcPr>
            <w:tcW w:w="1558" w:type="dxa"/>
            <w:tcBorders>
              <w:right w:val="nil"/>
            </w:tcBorders>
          </w:tcPr>
          <w:p>
            <w:pPr>
              <w:pStyle w:val="TableParagraph"/>
              <w:tabs>
                <w:tab w:pos="676" w:val="left" w:leader="none"/>
              </w:tabs>
              <w:ind w:left="100" w:right="109"/>
              <w:rPr>
                <w:sz w:val="20"/>
              </w:rPr>
            </w:pPr>
            <w:r>
              <w:rPr>
                <w:sz w:val="20"/>
              </w:rPr>
              <w:t>El</w:t>
              <w:tab/>
            </w:r>
            <w:r>
              <w:rPr>
                <w:w w:val="95"/>
                <w:sz w:val="20"/>
              </w:rPr>
              <w:t>segmento </w:t>
            </w:r>
            <w:r>
              <w:rPr>
                <w:sz w:val="20"/>
              </w:rPr>
              <w:t>femenino tiene menor entrenamiento para realizar su trabajo</w:t>
            </w:r>
          </w:p>
        </w:tc>
      </w:tr>
      <w:tr>
        <w:trPr>
          <w:trHeight w:val="240" w:hRule="exact"/>
        </w:trPr>
        <w:tc>
          <w:tcPr>
            <w:tcW w:w="1949" w:type="dxa"/>
            <w:tcBorders>
              <w:left w:val="nil"/>
            </w:tcBorders>
          </w:tcPr>
          <w:p>
            <w:pPr>
              <w:pStyle w:val="TableParagraph"/>
              <w:spacing w:line="223" w:lineRule="exact"/>
              <w:ind w:left="119"/>
              <w:rPr>
                <w:sz w:val="20"/>
              </w:rPr>
            </w:pPr>
            <w:r>
              <w:rPr>
                <w:sz w:val="20"/>
              </w:rPr>
              <w:t>Tecnología</w:t>
            </w:r>
          </w:p>
        </w:tc>
        <w:tc>
          <w:tcPr>
            <w:tcW w:w="1721" w:type="dxa"/>
          </w:tcPr>
          <w:p>
            <w:pPr>
              <w:pStyle w:val="TableParagraph"/>
              <w:spacing w:line="223" w:lineRule="exact"/>
              <w:ind w:left="103" w:right="102"/>
              <w:rPr>
                <w:sz w:val="20"/>
              </w:rPr>
            </w:pPr>
            <w:r>
              <w:rPr>
                <w:sz w:val="20"/>
              </w:rPr>
              <w:t>Alta</w:t>
            </w:r>
          </w:p>
        </w:tc>
        <w:tc>
          <w:tcPr>
            <w:tcW w:w="1769" w:type="dxa"/>
          </w:tcPr>
          <w:p>
            <w:pPr>
              <w:pStyle w:val="TableParagraph"/>
              <w:spacing w:line="223" w:lineRule="exact"/>
              <w:ind w:left="103"/>
              <w:rPr>
                <w:sz w:val="20"/>
              </w:rPr>
            </w:pPr>
            <w:r>
              <w:rPr>
                <w:sz w:val="20"/>
              </w:rPr>
              <w:t>Alta</w:t>
            </w:r>
          </w:p>
        </w:tc>
        <w:tc>
          <w:tcPr>
            <w:tcW w:w="1416" w:type="dxa"/>
          </w:tcPr>
          <w:p>
            <w:pPr>
              <w:pStyle w:val="TableParagraph"/>
              <w:spacing w:line="223" w:lineRule="exact"/>
              <w:ind w:left="100" w:right="105"/>
              <w:rPr>
                <w:sz w:val="20"/>
              </w:rPr>
            </w:pPr>
            <w:r>
              <w:rPr>
                <w:sz w:val="20"/>
              </w:rPr>
              <w:t>Mínima</w:t>
            </w:r>
          </w:p>
        </w:tc>
        <w:tc>
          <w:tcPr>
            <w:tcW w:w="1558" w:type="dxa"/>
            <w:tcBorders>
              <w:right w:val="nil"/>
            </w:tcBorders>
          </w:tcPr>
          <w:p>
            <w:pPr>
              <w:pStyle w:val="TableParagraph"/>
              <w:spacing w:line="223" w:lineRule="exact"/>
              <w:ind w:left="100" w:right="107"/>
              <w:rPr>
                <w:sz w:val="20"/>
              </w:rPr>
            </w:pPr>
            <w:r>
              <w:rPr>
                <w:sz w:val="20"/>
              </w:rPr>
              <w:t>Alta</w:t>
            </w:r>
          </w:p>
        </w:tc>
      </w:tr>
      <w:tr>
        <w:trPr>
          <w:trHeight w:val="1390" w:hRule="exact"/>
        </w:trPr>
        <w:tc>
          <w:tcPr>
            <w:tcW w:w="1949" w:type="dxa"/>
            <w:tcBorders>
              <w:left w:val="nil"/>
            </w:tcBorders>
          </w:tcPr>
          <w:p>
            <w:pPr>
              <w:pStyle w:val="TableParagraph"/>
              <w:ind w:left="119" w:right="405"/>
              <w:rPr>
                <w:sz w:val="20"/>
              </w:rPr>
            </w:pPr>
            <w:r>
              <w:rPr>
                <w:w w:val="95"/>
                <w:sz w:val="20"/>
              </w:rPr>
              <w:t>Condiciones </w:t>
            </w:r>
            <w:r>
              <w:rPr>
                <w:sz w:val="20"/>
              </w:rPr>
              <w:t>laborales</w:t>
            </w:r>
          </w:p>
        </w:tc>
        <w:tc>
          <w:tcPr>
            <w:tcW w:w="1721" w:type="dxa"/>
          </w:tcPr>
          <w:p>
            <w:pPr>
              <w:pStyle w:val="TableParagraph"/>
              <w:tabs>
                <w:tab w:pos="1417" w:val="left" w:leader="none"/>
              </w:tabs>
              <w:ind w:left="103" w:right="102"/>
              <w:rPr>
                <w:sz w:val="20"/>
              </w:rPr>
            </w:pPr>
            <w:r>
              <w:rPr>
                <w:sz w:val="20"/>
              </w:rPr>
              <w:t>Dependencia, disciplina, seguimiento</w:t>
              <w:tab/>
              <w:t>de</w:t>
            </w:r>
          </w:p>
          <w:p>
            <w:pPr>
              <w:pStyle w:val="TableParagraph"/>
              <w:tabs>
                <w:tab w:pos="1509" w:val="left" w:leader="none"/>
              </w:tabs>
              <w:ind w:left="103"/>
              <w:rPr>
                <w:sz w:val="20"/>
              </w:rPr>
            </w:pPr>
            <w:r>
              <w:rPr>
                <w:sz w:val="20"/>
              </w:rPr>
              <w:t>reglas</w:t>
              <w:tab/>
              <w:t>y</w:t>
            </w:r>
          </w:p>
          <w:p>
            <w:pPr>
              <w:pStyle w:val="TableParagraph"/>
              <w:tabs>
                <w:tab w:pos="1172" w:val="left" w:leader="none"/>
                <w:tab w:pos="1465" w:val="left" w:leader="none"/>
              </w:tabs>
              <w:spacing w:before="1"/>
              <w:ind w:left="103" w:right="99"/>
              <w:rPr>
                <w:sz w:val="20"/>
              </w:rPr>
            </w:pPr>
            <w:r>
              <w:rPr>
                <w:sz w:val="20"/>
              </w:rPr>
              <w:t>obediencia</w:t>
              <w:tab/>
              <w:t>a</w:t>
              <w:tab/>
              <w:t>la autoridad</w:t>
            </w:r>
          </w:p>
        </w:tc>
        <w:tc>
          <w:tcPr>
            <w:tcW w:w="1769" w:type="dxa"/>
          </w:tcPr>
          <w:p>
            <w:pPr>
              <w:pStyle w:val="TableParagraph"/>
              <w:tabs>
                <w:tab w:pos="1554" w:val="left" w:leader="none"/>
              </w:tabs>
              <w:ind w:left="103" w:right="103"/>
              <w:rPr>
                <w:sz w:val="20"/>
              </w:rPr>
            </w:pPr>
            <w:r>
              <w:rPr>
                <w:sz w:val="20"/>
              </w:rPr>
              <w:t>Creatividad, iniciativa</w:t>
              <w:tab/>
              <w:t>y</w:t>
            </w:r>
          </w:p>
          <w:p>
            <w:pPr>
              <w:pStyle w:val="TableParagraph"/>
              <w:tabs>
                <w:tab w:pos="1465" w:val="left" w:leader="none"/>
              </w:tabs>
              <w:ind w:left="103"/>
              <w:rPr>
                <w:sz w:val="20"/>
              </w:rPr>
            </w:pPr>
            <w:r>
              <w:rPr>
                <w:sz w:val="20"/>
              </w:rPr>
              <w:t>capacidad</w:t>
              <w:tab/>
              <w:t>de</w:t>
            </w:r>
          </w:p>
          <w:p>
            <w:pPr>
              <w:pStyle w:val="TableParagraph"/>
              <w:tabs>
                <w:tab w:pos="1463" w:val="left" w:leader="none"/>
              </w:tabs>
              <w:ind w:left="103" w:right="105"/>
              <w:rPr>
                <w:sz w:val="20"/>
              </w:rPr>
            </w:pPr>
            <w:r>
              <w:rPr>
                <w:sz w:val="20"/>
              </w:rPr>
              <w:t>solución</w:t>
              <w:tab/>
              <w:t>de problemas</w:t>
            </w:r>
          </w:p>
        </w:tc>
        <w:tc>
          <w:tcPr>
            <w:tcW w:w="1416" w:type="dxa"/>
          </w:tcPr>
          <w:p>
            <w:pPr>
              <w:pStyle w:val="TableParagraph"/>
              <w:tabs>
                <w:tab w:pos="522" w:val="left" w:leader="none"/>
                <w:tab w:pos="1134" w:val="left" w:leader="none"/>
              </w:tabs>
              <w:ind w:left="100" w:right="104"/>
              <w:rPr>
                <w:sz w:val="20"/>
              </w:rPr>
            </w:pPr>
            <w:r>
              <w:rPr>
                <w:sz w:val="20"/>
              </w:rPr>
              <w:t>Dependiendo la</w:t>
              <w:tab/>
              <w:t>raza</w:t>
              <w:tab/>
              <w:t>se</w:t>
            </w:r>
            <w:r>
              <w:rPr>
                <w:w w:val="99"/>
                <w:sz w:val="20"/>
              </w:rPr>
              <w:t> </w:t>
            </w:r>
            <w:r>
              <w:rPr>
                <w:sz w:val="20"/>
              </w:rPr>
              <w:t>establecen sus condiciones laborales</w:t>
            </w:r>
          </w:p>
        </w:tc>
        <w:tc>
          <w:tcPr>
            <w:tcW w:w="1558" w:type="dxa"/>
            <w:tcBorders>
              <w:right w:val="nil"/>
            </w:tcBorders>
          </w:tcPr>
          <w:p>
            <w:pPr>
              <w:pStyle w:val="TableParagraph"/>
              <w:tabs>
                <w:tab w:pos="676" w:val="left" w:leader="none"/>
                <w:tab w:pos="1273" w:val="left" w:leader="none"/>
              </w:tabs>
              <w:ind w:left="100" w:right="110"/>
              <w:rPr>
                <w:sz w:val="20"/>
              </w:rPr>
            </w:pPr>
            <w:r>
              <w:rPr>
                <w:sz w:val="20"/>
              </w:rPr>
              <w:t>El</w:t>
              <w:tab/>
            </w:r>
            <w:r>
              <w:rPr>
                <w:w w:val="95"/>
                <w:sz w:val="20"/>
              </w:rPr>
              <w:t>segmento </w:t>
            </w:r>
            <w:r>
              <w:rPr>
                <w:sz w:val="20"/>
              </w:rPr>
              <w:t>femenino</w:t>
              <w:tab/>
              <w:t>es</w:t>
            </w:r>
          </w:p>
          <w:p>
            <w:pPr>
              <w:pStyle w:val="TableParagraph"/>
              <w:tabs>
                <w:tab w:pos="1299" w:val="left" w:leader="none"/>
              </w:tabs>
              <w:ind w:left="100" w:right="107"/>
              <w:rPr>
                <w:sz w:val="20"/>
              </w:rPr>
            </w:pPr>
            <w:r>
              <w:rPr>
                <w:sz w:val="20"/>
              </w:rPr>
              <w:t>orientado</w:t>
              <w:tab/>
              <w:t>al servicio</w:t>
            </w:r>
          </w:p>
        </w:tc>
      </w:tr>
      <w:tr>
        <w:trPr>
          <w:trHeight w:val="470" w:hRule="exact"/>
        </w:trPr>
        <w:tc>
          <w:tcPr>
            <w:tcW w:w="1949" w:type="dxa"/>
            <w:tcBorders>
              <w:left w:val="nil"/>
            </w:tcBorders>
          </w:tcPr>
          <w:p>
            <w:pPr>
              <w:pStyle w:val="TableParagraph"/>
              <w:spacing w:line="223" w:lineRule="exact"/>
              <w:ind w:left="119"/>
              <w:rPr>
                <w:sz w:val="20"/>
              </w:rPr>
            </w:pPr>
            <w:r>
              <w:rPr>
                <w:sz w:val="20"/>
              </w:rPr>
              <w:t>Control del proceso</w:t>
            </w:r>
          </w:p>
        </w:tc>
        <w:tc>
          <w:tcPr>
            <w:tcW w:w="1721" w:type="dxa"/>
          </w:tcPr>
          <w:p>
            <w:pPr>
              <w:pStyle w:val="TableParagraph"/>
              <w:ind w:left="103" w:right="102"/>
              <w:rPr>
                <w:sz w:val="20"/>
              </w:rPr>
            </w:pPr>
            <w:r>
              <w:rPr>
                <w:sz w:val="20"/>
              </w:rPr>
              <w:t>Alto y recae en la administración</w:t>
            </w:r>
          </w:p>
        </w:tc>
        <w:tc>
          <w:tcPr>
            <w:tcW w:w="1769" w:type="dxa"/>
          </w:tcPr>
          <w:p>
            <w:pPr>
              <w:pStyle w:val="TableParagraph"/>
              <w:spacing w:line="223" w:lineRule="exact"/>
              <w:ind w:left="103"/>
              <w:rPr>
                <w:sz w:val="20"/>
              </w:rPr>
            </w:pPr>
            <w:r>
              <w:rPr>
                <w:sz w:val="20"/>
              </w:rPr>
              <w:t>Alto</w:t>
            </w:r>
          </w:p>
        </w:tc>
        <w:tc>
          <w:tcPr>
            <w:tcW w:w="1416" w:type="dxa"/>
          </w:tcPr>
          <w:p>
            <w:pPr>
              <w:pStyle w:val="TableParagraph"/>
              <w:spacing w:line="223" w:lineRule="exact"/>
              <w:ind w:left="100" w:right="105"/>
              <w:rPr>
                <w:sz w:val="20"/>
              </w:rPr>
            </w:pPr>
            <w:r>
              <w:rPr>
                <w:sz w:val="20"/>
              </w:rPr>
              <w:t>Bajo</w:t>
            </w:r>
          </w:p>
        </w:tc>
        <w:tc>
          <w:tcPr>
            <w:tcW w:w="1558" w:type="dxa"/>
            <w:tcBorders>
              <w:right w:val="nil"/>
            </w:tcBorders>
          </w:tcPr>
          <w:p>
            <w:pPr>
              <w:pStyle w:val="TableParagraph"/>
              <w:spacing w:line="223" w:lineRule="exact"/>
              <w:ind w:left="100" w:right="107"/>
              <w:rPr>
                <w:sz w:val="20"/>
              </w:rPr>
            </w:pPr>
            <w:r>
              <w:rPr>
                <w:sz w:val="20"/>
              </w:rPr>
              <w:t>Bajo</w:t>
            </w:r>
          </w:p>
        </w:tc>
      </w:tr>
      <w:tr>
        <w:trPr>
          <w:trHeight w:val="1620" w:hRule="exact"/>
        </w:trPr>
        <w:tc>
          <w:tcPr>
            <w:tcW w:w="1949" w:type="dxa"/>
            <w:tcBorders>
              <w:left w:val="nil"/>
            </w:tcBorders>
          </w:tcPr>
          <w:p>
            <w:pPr>
              <w:pStyle w:val="TableParagraph"/>
              <w:ind w:left="119" w:right="405"/>
              <w:rPr>
                <w:sz w:val="20"/>
              </w:rPr>
            </w:pPr>
            <w:r>
              <w:rPr>
                <w:sz w:val="20"/>
              </w:rPr>
              <w:t>Promoción de los empleados</w:t>
            </w:r>
          </w:p>
        </w:tc>
        <w:tc>
          <w:tcPr>
            <w:tcW w:w="1721" w:type="dxa"/>
          </w:tcPr>
          <w:p>
            <w:pPr>
              <w:pStyle w:val="TableParagraph"/>
              <w:tabs>
                <w:tab w:pos="1420" w:val="left" w:leader="none"/>
              </w:tabs>
              <w:spacing w:line="223" w:lineRule="exact"/>
              <w:ind w:left="103"/>
              <w:rPr>
                <w:sz w:val="20"/>
              </w:rPr>
            </w:pPr>
            <w:r>
              <w:rPr>
                <w:sz w:val="20"/>
              </w:rPr>
              <w:t>Basado</w:t>
              <w:tab/>
              <w:t>en</w:t>
            </w:r>
          </w:p>
          <w:p>
            <w:pPr>
              <w:pStyle w:val="TableParagraph"/>
              <w:tabs>
                <w:tab w:pos="1508" w:val="left" w:leader="none"/>
              </w:tabs>
              <w:ind w:left="103" w:right="100"/>
              <w:rPr>
                <w:sz w:val="20"/>
              </w:rPr>
            </w:pPr>
            <w:r>
              <w:rPr>
                <w:sz w:val="20"/>
              </w:rPr>
              <w:t>habilidades</w:t>
              <w:tab/>
              <w:t>y experiencia</w:t>
            </w:r>
          </w:p>
        </w:tc>
        <w:tc>
          <w:tcPr>
            <w:tcW w:w="1769" w:type="dxa"/>
          </w:tcPr>
          <w:p>
            <w:pPr>
              <w:pStyle w:val="TableParagraph"/>
              <w:tabs>
                <w:tab w:pos="1463" w:val="left" w:leader="none"/>
              </w:tabs>
              <w:ind w:left="103" w:right="105"/>
              <w:rPr>
                <w:sz w:val="20"/>
              </w:rPr>
            </w:pPr>
            <w:r>
              <w:rPr>
                <w:sz w:val="20"/>
              </w:rPr>
              <w:t>Inexistente Cambian</w:t>
              <w:tab/>
              <w:t>de ingresos conforme cambian</w:t>
              <w:tab/>
              <w:t>de actividad</w:t>
            </w:r>
          </w:p>
        </w:tc>
        <w:tc>
          <w:tcPr>
            <w:tcW w:w="1416" w:type="dxa"/>
          </w:tcPr>
          <w:p>
            <w:pPr>
              <w:pStyle w:val="TableParagraph"/>
              <w:tabs>
                <w:tab w:pos="832" w:val="left" w:leader="none"/>
                <w:tab w:pos="901" w:val="left" w:leader="none"/>
              </w:tabs>
              <w:ind w:left="100" w:right="102"/>
              <w:rPr>
                <w:sz w:val="20"/>
              </w:rPr>
            </w:pPr>
            <w:r>
              <w:rPr>
                <w:sz w:val="20"/>
              </w:rPr>
              <w:t>Cierto</w:t>
              <w:tab/>
              <w:t>grupo racial</w:t>
              <w:tab/>
              <w:tab/>
              <w:t>tiene privilegios sobre</w:t>
              <w:tab/>
              <w:tab/>
              <w:t>otros</w:t>
            </w:r>
          </w:p>
          <w:p>
            <w:pPr>
              <w:pStyle w:val="TableParagraph"/>
              <w:tabs>
                <w:tab w:pos="1069" w:val="left" w:leader="none"/>
              </w:tabs>
              <w:spacing w:line="229" w:lineRule="exact"/>
              <w:ind w:left="100"/>
              <w:rPr>
                <w:sz w:val="20"/>
              </w:rPr>
            </w:pPr>
            <w:r>
              <w:rPr>
                <w:sz w:val="20"/>
              </w:rPr>
              <w:t>para</w:t>
              <w:tab/>
              <w:t>ser</w:t>
            </w:r>
          </w:p>
          <w:p>
            <w:pPr>
              <w:pStyle w:val="TableParagraph"/>
              <w:spacing w:line="229" w:lineRule="exact"/>
              <w:ind w:left="100" w:right="105"/>
              <w:rPr>
                <w:sz w:val="20"/>
              </w:rPr>
            </w:pPr>
            <w:r>
              <w:rPr>
                <w:sz w:val="20"/>
              </w:rPr>
              <w:t>promovido</w:t>
            </w:r>
          </w:p>
        </w:tc>
        <w:tc>
          <w:tcPr>
            <w:tcW w:w="1558" w:type="dxa"/>
            <w:tcBorders>
              <w:right w:val="nil"/>
            </w:tcBorders>
          </w:tcPr>
          <w:p>
            <w:pPr>
              <w:pStyle w:val="TableParagraph"/>
              <w:tabs>
                <w:tab w:pos="676" w:val="left" w:leader="none"/>
                <w:tab w:pos="1299" w:val="left" w:leader="none"/>
              </w:tabs>
              <w:ind w:left="100" w:right="107"/>
              <w:rPr>
                <w:sz w:val="20"/>
              </w:rPr>
            </w:pPr>
            <w:r>
              <w:rPr>
                <w:sz w:val="20"/>
              </w:rPr>
              <w:t>El</w:t>
              <w:tab/>
              <w:t>segmento masculino tiene ventaja de ser promovido sobre</w:t>
              <w:tab/>
              <w:tab/>
              <w:t>el</w:t>
            </w:r>
          </w:p>
          <w:p>
            <w:pPr>
              <w:pStyle w:val="TableParagraph"/>
              <w:ind w:left="100" w:right="678"/>
              <w:rPr>
                <w:sz w:val="20"/>
              </w:rPr>
            </w:pPr>
            <w:r>
              <w:rPr>
                <w:w w:val="95"/>
                <w:sz w:val="20"/>
              </w:rPr>
              <w:t>segmento </w:t>
            </w:r>
            <w:r>
              <w:rPr>
                <w:sz w:val="20"/>
              </w:rPr>
              <w:t>femenino</w:t>
            </w:r>
          </w:p>
        </w:tc>
      </w:tr>
      <w:tr>
        <w:trPr>
          <w:trHeight w:val="473" w:hRule="exact"/>
        </w:trPr>
        <w:tc>
          <w:tcPr>
            <w:tcW w:w="1949" w:type="dxa"/>
            <w:tcBorders>
              <w:left w:val="nil"/>
            </w:tcBorders>
          </w:tcPr>
          <w:p>
            <w:pPr>
              <w:pStyle w:val="TableParagraph"/>
              <w:ind w:left="119" w:right="405"/>
              <w:rPr>
                <w:sz w:val="20"/>
              </w:rPr>
            </w:pPr>
            <w:r>
              <w:rPr>
                <w:w w:val="95"/>
                <w:sz w:val="20"/>
              </w:rPr>
              <w:t>Reclutamiento </w:t>
            </w:r>
            <w:r>
              <w:rPr>
                <w:sz w:val="20"/>
              </w:rPr>
              <w:t>externo</w:t>
            </w:r>
          </w:p>
        </w:tc>
        <w:tc>
          <w:tcPr>
            <w:tcW w:w="1721" w:type="dxa"/>
          </w:tcPr>
          <w:p>
            <w:pPr>
              <w:pStyle w:val="TableParagraph"/>
              <w:spacing w:line="223" w:lineRule="exact"/>
              <w:ind w:left="103" w:right="102"/>
              <w:rPr>
                <w:sz w:val="20"/>
              </w:rPr>
            </w:pPr>
            <w:r>
              <w:rPr>
                <w:sz w:val="20"/>
              </w:rPr>
              <w:t>Mínimo</w:t>
            </w:r>
          </w:p>
        </w:tc>
        <w:tc>
          <w:tcPr>
            <w:tcW w:w="1769" w:type="dxa"/>
          </w:tcPr>
          <w:p>
            <w:pPr>
              <w:pStyle w:val="TableParagraph"/>
              <w:spacing w:line="223" w:lineRule="exact"/>
              <w:ind w:left="103"/>
              <w:rPr>
                <w:sz w:val="20"/>
              </w:rPr>
            </w:pPr>
            <w:r>
              <w:rPr>
                <w:sz w:val="20"/>
              </w:rPr>
              <w:t>Alto</w:t>
            </w:r>
          </w:p>
        </w:tc>
        <w:tc>
          <w:tcPr>
            <w:tcW w:w="1416" w:type="dxa"/>
          </w:tcPr>
          <w:p>
            <w:pPr>
              <w:pStyle w:val="TableParagraph"/>
              <w:spacing w:line="223" w:lineRule="exact"/>
              <w:ind w:left="100" w:right="105"/>
              <w:rPr>
                <w:sz w:val="20"/>
              </w:rPr>
            </w:pPr>
            <w:r>
              <w:rPr>
                <w:sz w:val="20"/>
              </w:rPr>
              <w:t>Alto</w:t>
            </w:r>
          </w:p>
        </w:tc>
        <w:tc>
          <w:tcPr>
            <w:tcW w:w="1558" w:type="dxa"/>
            <w:tcBorders>
              <w:right w:val="nil"/>
            </w:tcBorders>
          </w:tcPr>
          <w:p>
            <w:pPr>
              <w:pStyle w:val="TableParagraph"/>
              <w:spacing w:line="223" w:lineRule="exact"/>
              <w:ind w:left="100" w:right="107"/>
              <w:rPr>
                <w:sz w:val="20"/>
              </w:rPr>
            </w:pPr>
            <w:r>
              <w:rPr>
                <w:sz w:val="20"/>
              </w:rPr>
              <w:t>Mínimo</w:t>
            </w:r>
          </w:p>
        </w:tc>
      </w:tr>
    </w:tbl>
    <w:p>
      <w:pPr>
        <w:spacing w:line="221" w:lineRule="exact" w:before="0"/>
        <w:ind w:left="0" w:right="18" w:firstLine="0"/>
        <w:jc w:val="center"/>
        <w:rPr>
          <w:sz w:val="20"/>
        </w:rPr>
      </w:pPr>
      <w:r>
        <w:rPr>
          <w:sz w:val="20"/>
        </w:rPr>
        <w:t>Fuente: elaboración propia con base en Peck, 1996.</w:t>
      </w:r>
    </w:p>
    <w:p>
      <w:pPr>
        <w:pStyle w:val="BodyText"/>
        <w:rPr>
          <w:sz w:val="20"/>
        </w:rPr>
      </w:pPr>
    </w:p>
    <w:p>
      <w:pPr>
        <w:pStyle w:val="BodyText"/>
        <w:spacing w:before="2"/>
        <w:rPr>
          <w:sz w:val="20"/>
        </w:rPr>
      </w:pPr>
    </w:p>
    <w:p>
      <w:pPr>
        <w:pStyle w:val="BodyText"/>
        <w:spacing w:line="360" w:lineRule="auto" w:before="1"/>
        <w:ind w:left="102" w:right="117"/>
        <w:jc w:val="both"/>
      </w:pPr>
      <w:r>
        <w:rPr/>
        <w:t>En resumen, una de las características principales que hace que los supuestos de la segunda generación de la segmentación (conocida también como radical) tengan similitudes con los planteamientos de la primera generación es el análisis social que hacen de las instituciones. Empero, se distinguen fundamentalmente por ser más críticos respecto a la teoría  neoclásica del mercado de trabajo (Cain, 1975) así como su explícita crítica al  </w:t>
      </w:r>
      <w:r>
        <w:rPr>
          <w:spacing w:val="36"/>
        </w:rPr>
        <w:t> </w:t>
      </w:r>
      <w:r>
        <w:rPr/>
        <w:t>capitalismo</w:t>
      </w:r>
    </w:p>
    <w:p>
      <w:pPr>
        <w:pStyle w:val="BodyText"/>
        <w:spacing w:before="6"/>
        <w:ind w:left="102"/>
        <w:jc w:val="both"/>
      </w:pPr>
      <w:r>
        <w:rPr/>
        <w:t>haciendo  énfasis  en  los  conflictos  de  clase,  raza, las  relaciones  de  poder  y el  análisis</w:t>
      </w:r>
    </w:p>
    <w:p>
      <w:pPr>
        <w:spacing w:after="0"/>
        <w:jc w:val="both"/>
        <w:sectPr>
          <w:pgSz w:w="12240" w:h="15840"/>
          <w:pgMar w:header="0" w:footer="1243" w:top="1360" w:bottom="1440" w:left="1600" w:right="1580"/>
        </w:sectPr>
      </w:pPr>
    </w:p>
    <w:p>
      <w:pPr>
        <w:pStyle w:val="BodyText"/>
        <w:spacing w:line="360" w:lineRule="auto" w:before="50"/>
        <w:ind w:left="102" w:right="117"/>
        <w:jc w:val="both"/>
      </w:pPr>
      <w:r>
        <w:rPr/>
        <w:t>psicológico de los determinantes de las actitudes, preferencias y motivaciones de  la relación de trabajo que existe entre empleados y empleadores (Cain,</w:t>
      </w:r>
      <w:r>
        <w:rPr>
          <w:spacing w:val="-15"/>
        </w:rPr>
        <w:t> </w:t>
      </w:r>
      <w:r>
        <w:rPr/>
        <w:t>1975).</w:t>
      </w:r>
    </w:p>
    <w:p>
      <w:pPr>
        <w:pStyle w:val="BodyText"/>
      </w:pPr>
    </w:p>
    <w:p>
      <w:pPr>
        <w:pStyle w:val="BodyText"/>
        <w:spacing w:line="360" w:lineRule="auto" w:before="143"/>
        <w:ind w:left="102" w:right="122"/>
        <w:jc w:val="both"/>
      </w:pPr>
      <w:r>
        <w:rPr/>
        <w:t>La siguiente generación, al igual que las dos anteriores no destruye la teoría sino que la modifica y transforma, siendo así que la tercera generación propone que no es una sola causa la que explica cómo se divide o segmenta el mercado de trabajo, sino que son un conjunto de causas las que determinan estos sectores.</w:t>
      </w:r>
    </w:p>
    <w:p>
      <w:pPr>
        <w:pStyle w:val="BodyText"/>
      </w:pPr>
    </w:p>
    <w:p>
      <w:pPr>
        <w:pStyle w:val="Heading3"/>
        <w:numPr>
          <w:ilvl w:val="2"/>
          <w:numId w:val="27"/>
        </w:numPr>
        <w:tabs>
          <w:tab w:pos="822" w:val="left" w:leader="none"/>
        </w:tabs>
        <w:spacing w:line="276" w:lineRule="auto" w:before="215" w:after="0"/>
        <w:ind w:left="822" w:right="115" w:hanging="720"/>
        <w:jc w:val="left"/>
      </w:pPr>
      <w:bookmarkStart w:name="_bookmark13" w:id="22"/>
      <w:bookmarkEnd w:id="22"/>
      <w:r>
        <w:rPr>
          <w:b w:val="0"/>
        </w:rPr>
      </w:r>
      <w:bookmarkStart w:name="_bookmark13" w:id="23"/>
      <w:bookmarkEnd w:id="23"/>
      <w:r>
        <w:rPr/>
        <w:t>T</w:t>
      </w:r>
      <w:r>
        <w:rPr/>
        <w:t>ercera generación de la segmentación del mercado de trabajo – Teoría multicausal</w:t>
      </w:r>
    </w:p>
    <w:p>
      <w:pPr>
        <w:pStyle w:val="BodyText"/>
        <w:spacing w:before="1"/>
        <w:rPr>
          <w:b/>
          <w:sz w:val="25"/>
        </w:rPr>
      </w:pPr>
    </w:p>
    <w:p>
      <w:pPr>
        <w:pStyle w:val="BodyText"/>
        <w:spacing w:line="360" w:lineRule="auto"/>
        <w:ind w:left="102" w:right="115"/>
        <w:jc w:val="both"/>
      </w:pPr>
      <w:r>
        <w:rPr/>
        <w:t>La tercera generación de la segmentación es conocida como la teoría multicausal. Sus contribuciones más importantes se han centrado en identificar los factores que causan la segmentación y los mecanismos bajo los cuales se manifiesta, ubicados en los contextos institucionales, económicos y sociales (Peck, 1996).</w:t>
      </w:r>
    </w:p>
    <w:p>
      <w:pPr>
        <w:pStyle w:val="BodyText"/>
      </w:pPr>
    </w:p>
    <w:p>
      <w:pPr>
        <w:pStyle w:val="BodyText"/>
        <w:spacing w:line="360" w:lineRule="auto" w:before="143"/>
        <w:ind w:left="102" w:right="117"/>
        <w:jc w:val="both"/>
      </w:pPr>
      <w:r>
        <w:rPr/>
        <w:t>Los planteamientos de esta teoría son fuertes en sus críticas a la teoría neoclásica del mercado de trabajo. Sin embargo, esto no debe interpretarse como si existiera una ruptura conceptual con sus dos antecesoras, pues la tercera generación continúa estando definida por factores tales como la incertidumbre del mercado de trabajo, las condiciones de los mercados de productos, requerimientos tecnológicos y estrategias de control del proceso de trabajo, tal como se presentan en la primera y segunda generación (Peck,</w:t>
      </w:r>
      <w:r>
        <w:rPr>
          <w:spacing w:val="-11"/>
        </w:rPr>
        <w:t> </w:t>
      </w:r>
      <w:r>
        <w:rPr/>
        <w:t>1996).</w:t>
      </w:r>
    </w:p>
    <w:p>
      <w:pPr>
        <w:pStyle w:val="BodyText"/>
      </w:pPr>
    </w:p>
    <w:p>
      <w:pPr>
        <w:pStyle w:val="BodyText"/>
        <w:spacing w:before="143"/>
        <w:ind w:left="102"/>
        <w:jc w:val="both"/>
      </w:pPr>
      <w:r>
        <w:rPr/>
        <w:t>La estratificación en esta generación se presenta por diversas causas (Peck, 1996):</w:t>
      </w:r>
    </w:p>
    <w:p>
      <w:pPr>
        <w:pStyle w:val="ListParagraph"/>
        <w:numPr>
          <w:ilvl w:val="1"/>
          <w:numId w:val="40"/>
        </w:numPr>
        <w:tabs>
          <w:tab w:pos="821" w:val="left" w:leader="none"/>
          <w:tab w:pos="822" w:val="left" w:leader="none"/>
        </w:tabs>
        <w:spacing w:line="240" w:lineRule="auto" w:before="139" w:after="0"/>
        <w:ind w:left="822" w:right="0" w:hanging="360"/>
        <w:jc w:val="left"/>
        <w:rPr>
          <w:rFonts w:ascii="Symbol"/>
          <w:sz w:val="28"/>
        </w:rPr>
      </w:pPr>
      <w:r>
        <w:rPr>
          <w:sz w:val="24"/>
        </w:rPr>
        <w:t>una industria</w:t>
      </w:r>
      <w:r>
        <w:rPr>
          <w:spacing w:val="-3"/>
          <w:sz w:val="24"/>
        </w:rPr>
        <w:t> </w:t>
      </w:r>
      <w:r>
        <w:rPr>
          <w:sz w:val="24"/>
        </w:rPr>
        <w:t>fraccionada,</w:t>
      </w:r>
    </w:p>
    <w:p>
      <w:pPr>
        <w:pStyle w:val="ListParagraph"/>
        <w:numPr>
          <w:ilvl w:val="1"/>
          <w:numId w:val="40"/>
        </w:numPr>
        <w:tabs>
          <w:tab w:pos="821" w:val="left" w:leader="none"/>
          <w:tab w:pos="822" w:val="left" w:leader="none"/>
        </w:tabs>
        <w:spacing w:line="240" w:lineRule="auto" w:before="128" w:after="0"/>
        <w:ind w:left="822" w:right="0" w:hanging="360"/>
        <w:jc w:val="left"/>
        <w:rPr>
          <w:rFonts w:ascii="Symbol"/>
          <w:sz w:val="28"/>
        </w:rPr>
      </w:pPr>
      <w:r>
        <w:rPr>
          <w:sz w:val="24"/>
        </w:rPr>
        <w:t>por los imperativos de control del trabajo (desde el mercado</w:t>
      </w:r>
      <w:r>
        <w:rPr>
          <w:spacing w:val="-14"/>
          <w:sz w:val="24"/>
        </w:rPr>
        <w:t> </w:t>
      </w:r>
      <w:r>
        <w:rPr>
          <w:sz w:val="24"/>
        </w:rPr>
        <w:t>interno),</w:t>
      </w:r>
    </w:p>
    <w:p>
      <w:pPr>
        <w:pStyle w:val="ListParagraph"/>
        <w:numPr>
          <w:ilvl w:val="1"/>
          <w:numId w:val="40"/>
        </w:numPr>
        <w:tabs>
          <w:tab w:pos="881" w:val="left" w:leader="none"/>
          <w:tab w:pos="882" w:val="left" w:leader="none"/>
        </w:tabs>
        <w:spacing w:line="240" w:lineRule="auto" w:before="129" w:after="0"/>
        <w:ind w:left="882" w:right="0" w:hanging="420"/>
        <w:jc w:val="left"/>
        <w:rPr>
          <w:rFonts w:ascii="Symbol"/>
          <w:sz w:val="28"/>
        </w:rPr>
      </w:pPr>
      <w:r>
        <w:rPr>
          <w:sz w:val="24"/>
        </w:rPr>
        <w:t>las luchas laborales</w:t>
      </w:r>
      <w:r>
        <w:rPr>
          <w:spacing w:val="-3"/>
          <w:sz w:val="24"/>
        </w:rPr>
        <w:t> </w:t>
      </w:r>
      <w:r>
        <w:rPr>
          <w:sz w:val="24"/>
        </w:rPr>
        <w:t>(sindicalismo),</w:t>
      </w:r>
    </w:p>
    <w:p>
      <w:pPr>
        <w:pStyle w:val="ListParagraph"/>
        <w:numPr>
          <w:ilvl w:val="1"/>
          <w:numId w:val="40"/>
        </w:numPr>
        <w:tabs>
          <w:tab w:pos="821" w:val="left" w:leader="none"/>
          <w:tab w:pos="822" w:val="left" w:leader="none"/>
        </w:tabs>
        <w:spacing w:line="240" w:lineRule="auto" w:before="127" w:after="0"/>
        <w:ind w:left="822" w:right="0" w:hanging="360"/>
        <w:jc w:val="left"/>
        <w:rPr>
          <w:rFonts w:ascii="Symbol"/>
          <w:sz w:val="28"/>
        </w:rPr>
      </w:pPr>
      <w:r>
        <w:rPr>
          <w:sz w:val="24"/>
        </w:rPr>
        <w:t>las condiciones variables del mercado de</w:t>
      </w:r>
      <w:r>
        <w:rPr>
          <w:spacing w:val="-7"/>
          <w:sz w:val="24"/>
        </w:rPr>
        <w:t> </w:t>
      </w:r>
      <w:r>
        <w:rPr>
          <w:sz w:val="24"/>
        </w:rPr>
        <w:t>productos,</w:t>
      </w:r>
    </w:p>
    <w:p>
      <w:pPr>
        <w:pStyle w:val="ListParagraph"/>
        <w:numPr>
          <w:ilvl w:val="1"/>
          <w:numId w:val="40"/>
        </w:numPr>
        <w:tabs>
          <w:tab w:pos="821" w:val="left" w:leader="none"/>
          <w:tab w:pos="822" w:val="left" w:leader="none"/>
        </w:tabs>
        <w:spacing w:line="240" w:lineRule="auto" w:before="126" w:after="0"/>
        <w:ind w:left="822" w:right="0" w:hanging="360"/>
        <w:jc w:val="left"/>
        <w:rPr>
          <w:rFonts w:ascii="Symbol" w:hAnsi="Symbol"/>
          <w:sz w:val="24"/>
        </w:rPr>
      </w:pPr>
      <w:r>
        <w:rPr>
          <w:sz w:val="24"/>
        </w:rPr>
        <w:t>el desarrollo tecnológico</w:t>
      </w:r>
      <w:r>
        <w:rPr>
          <w:spacing w:val="-8"/>
          <w:sz w:val="24"/>
        </w:rPr>
        <w:t> </w:t>
      </w:r>
      <w:r>
        <w:rPr>
          <w:sz w:val="24"/>
        </w:rPr>
        <w:t>divergente</w:t>
      </w:r>
    </w:p>
    <w:p>
      <w:pPr>
        <w:pStyle w:val="BodyText"/>
        <w:spacing w:line="360" w:lineRule="auto" w:before="138"/>
        <w:ind w:left="102" w:right="121"/>
        <w:jc w:val="both"/>
      </w:pPr>
      <w:r>
        <w:rPr/>
        <w:t>Adicionalmente a estas causas, la sociedad ejerce una influencia relativamente autónoma sobre las formas de la segmentación, en lo relativo a la estructura y dinamismo que presenta</w:t>
      </w:r>
    </w:p>
    <w:p>
      <w:pPr>
        <w:spacing w:after="0" w:line="360" w:lineRule="auto"/>
        <w:jc w:val="both"/>
        <w:sectPr>
          <w:pgSz w:w="12240" w:h="15840"/>
          <w:pgMar w:header="0" w:footer="1243" w:top="1360" w:bottom="1440" w:left="1600" w:right="1580"/>
        </w:sectPr>
      </w:pPr>
    </w:p>
    <w:p>
      <w:pPr>
        <w:pStyle w:val="BodyText"/>
        <w:spacing w:line="360" w:lineRule="auto" w:before="50"/>
        <w:ind w:left="102" w:right="116"/>
        <w:jc w:val="both"/>
      </w:pPr>
      <w:r>
        <w:rPr/>
        <w:t>ésta (Peck, 1996), y la regulación social es vista como un proceso necesario pero contradictorio. Los orígenes de la segmentación se remontan hasta la  estructura educacional, el sistema de formación, las relaciones industriales, regímenes laborales de contratación y los sistemas de bienestar (Peck, 1996).</w:t>
      </w:r>
    </w:p>
    <w:p>
      <w:pPr>
        <w:pStyle w:val="BodyText"/>
      </w:pPr>
    </w:p>
    <w:p>
      <w:pPr>
        <w:pStyle w:val="BodyText"/>
        <w:spacing w:before="143"/>
        <w:ind w:left="102"/>
        <w:jc w:val="both"/>
      </w:pPr>
      <w:r>
        <w:rPr/>
        <w:t>Las principales características de la tercera generación son presentadas en la tabla siguiente:</w:t>
      </w:r>
    </w:p>
    <w:p>
      <w:pPr>
        <w:pStyle w:val="BodyText"/>
      </w:pPr>
    </w:p>
    <w:p>
      <w:pPr>
        <w:pStyle w:val="BodyText"/>
        <w:spacing w:before="2"/>
      </w:pPr>
    </w:p>
    <w:p>
      <w:pPr>
        <w:pStyle w:val="Heading3"/>
        <w:spacing w:before="0" w:after="3"/>
        <w:ind w:right="23"/>
        <w:jc w:val="center"/>
      </w:pPr>
      <w:r>
        <w:rPr/>
        <w:t>Tabla 1.4.-  Características de la segmentación multicausal</w:t>
      </w:r>
    </w:p>
    <w:tbl>
      <w:tblPr>
        <w:tblW w:w="0" w:type="auto"/>
        <w:jc w:val="left"/>
        <w:tblInd w:w="15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8"/>
        <w:gridCol w:w="2994"/>
      </w:tblGrid>
      <w:tr>
        <w:trPr>
          <w:trHeight w:val="240" w:hRule="exact"/>
        </w:trPr>
        <w:tc>
          <w:tcPr>
            <w:tcW w:w="3008" w:type="dxa"/>
            <w:tcBorders>
              <w:left w:val="nil"/>
            </w:tcBorders>
          </w:tcPr>
          <w:p>
            <w:pPr/>
          </w:p>
        </w:tc>
        <w:tc>
          <w:tcPr>
            <w:tcW w:w="2994" w:type="dxa"/>
            <w:tcBorders>
              <w:right w:val="nil"/>
            </w:tcBorders>
          </w:tcPr>
          <w:p>
            <w:pPr>
              <w:pStyle w:val="TableParagraph"/>
              <w:spacing w:line="228" w:lineRule="exact"/>
              <w:ind w:left="103" w:right="104"/>
              <w:rPr>
                <w:b/>
                <w:sz w:val="20"/>
              </w:rPr>
            </w:pPr>
            <w:r>
              <w:rPr>
                <w:b/>
                <w:sz w:val="20"/>
              </w:rPr>
              <w:t>Segmentación</w:t>
            </w:r>
          </w:p>
        </w:tc>
      </w:tr>
      <w:tr>
        <w:trPr>
          <w:trHeight w:val="241" w:hRule="exact"/>
        </w:trPr>
        <w:tc>
          <w:tcPr>
            <w:tcW w:w="3008" w:type="dxa"/>
            <w:tcBorders>
              <w:left w:val="nil"/>
            </w:tcBorders>
          </w:tcPr>
          <w:p>
            <w:pPr>
              <w:pStyle w:val="TableParagraph"/>
              <w:spacing w:line="224" w:lineRule="exact"/>
              <w:ind w:left="122"/>
              <w:rPr>
                <w:sz w:val="20"/>
              </w:rPr>
            </w:pPr>
            <w:r>
              <w:rPr>
                <w:sz w:val="20"/>
              </w:rPr>
              <w:t>Seguridad de empleo</w:t>
            </w:r>
          </w:p>
        </w:tc>
        <w:tc>
          <w:tcPr>
            <w:tcW w:w="2994" w:type="dxa"/>
            <w:tcBorders>
              <w:right w:val="nil"/>
            </w:tcBorders>
          </w:tcPr>
          <w:p>
            <w:pPr>
              <w:pStyle w:val="TableParagraph"/>
              <w:spacing w:line="224" w:lineRule="exact"/>
              <w:ind w:left="103" w:right="104"/>
              <w:rPr>
                <w:sz w:val="20"/>
              </w:rPr>
            </w:pPr>
            <w:r>
              <w:rPr>
                <w:sz w:val="20"/>
              </w:rPr>
              <w:t>Estable</w:t>
            </w:r>
          </w:p>
        </w:tc>
      </w:tr>
      <w:tr>
        <w:trPr>
          <w:trHeight w:val="240" w:hRule="exact"/>
        </w:trPr>
        <w:tc>
          <w:tcPr>
            <w:tcW w:w="3008" w:type="dxa"/>
            <w:tcBorders>
              <w:left w:val="nil"/>
            </w:tcBorders>
          </w:tcPr>
          <w:p>
            <w:pPr>
              <w:pStyle w:val="TableParagraph"/>
              <w:spacing w:line="223" w:lineRule="exact"/>
              <w:ind w:left="172"/>
              <w:rPr>
                <w:sz w:val="20"/>
              </w:rPr>
            </w:pPr>
            <w:r>
              <w:rPr>
                <w:sz w:val="20"/>
              </w:rPr>
              <w:t>Nivel de salario</w:t>
            </w:r>
          </w:p>
        </w:tc>
        <w:tc>
          <w:tcPr>
            <w:tcW w:w="2994" w:type="dxa"/>
            <w:tcBorders>
              <w:right w:val="nil"/>
            </w:tcBorders>
          </w:tcPr>
          <w:p>
            <w:pPr>
              <w:pStyle w:val="TableParagraph"/>
              <w:spacing w:line="223" w:lineRule="exact"/>
              <w:ind w:left="103" w:right="104"/>
              <w:rPr>
                <w:sz w:val="20"/>
              </w:rPr>
            </w:pPr>
            <w:r>
              <w:rPr>
                <w:sz w:val="20"/>
              </w:rPr>
              <w:t>Alto</w:t>
            </w:r>
          </w:p>
        </w:tc>
      </w:tr>
      <w:tr>
        <w:trPr>
          <w:trHeight w:val="698" w:hRule="exact"/>
        </w:trPr>
        <w:tc>
          <w:tcPr>
            <w:tcW w:w="3008" w:type="dxa"/>
            <w:tcBorders>
              <w:left w:val="nil"/>
            </w:tcBorders>
          </w:tcPr>
          <w:p>
            <w:pPr>
              <w:pStyle w:val="TableParagraph"/>
              <w:spacing w:line="223" w:lineRule="exact"/>
              <w:ind w:left="122"/>
              <w:rPr>
                <w:sz w:val="20"/>
              </w:rPr>
            </w:pPr>
            <w:r>
              <w:rPr>
                <w:sz w:val="20"/>
              </w:rPr>
              <w:t>Condiciones laborales</w:t>
            </w:r>
          </w:p>
        </w:tc>
        <w:tc>
          <w:tcPr>
            <w:tcW w:w="2994" w:type="dxa"/>
            <w:tcBorders>
              <w:right w:val="nil"/>
            </w:tcBorders>
          </w:tcPr>
          <w:p>
            <w:pPr>
              <w:pStyle w:val="TableParagraph"/>
              <w:ind w:left="103" w:right="106"/>
              <w:jc w:val="both"/>
              <w:rPr>
                <w:sz w:val="20"/>
              </w:rPr>
            </w:pPr>
            <w:r>
              <w:rPr>
                <w:sz w:val="20"/>
              </w:rPr>
              <w:t>De acuerdo a calificaciones, a mayor calificación mejores condiciones laborales</w:t>
            </w:r>
          </w:p>
        </w:tc>
      </w:tr>
      <w:tr>
        <w:trPr>
          <w:trHeight w:val="240" w:hRule="exact"/>
        </w:trPr>
        <w:tc>
          <w:tcPr>
            <w:tcW w:w="3008" w:type="dxa"/>
            <w:tcBorders>
              <w:left w:val="nil"/>
            </w:tcBorders>
          </w:tcPr>
          <w:p>
            <w:pPr>
              <w:pStyle w:val="TableParagraph"/>
              <w:spacing w:line="226" w:lineRule="exact"/>
              <w:ind w:left="122"/>
              <w:rPr>
                <w:sz w:val="20"/>
              </w:rPr>
            </w:pPr>
            <w:r>
              <w:rPr>
                <w:sz w:val="20"/>
              </w:rPr>
              <w:t>Habilidades y entrenamiento</w:t>
            </w:r>
          </w:p>
        </w:tc>
        <w:tc>
          <w:tcPr>
            <w:tcW w:w="2994" w:type="dxa"/>
            <w:tcBorders>
              <w:right w:val="nil"/>
            </w:tcBorders>
          </w:tcPr>
          <w:p>
            <w:pPr>
              <w:pStyle w:val="TableParagraph"/>
              <w:spacing w:line="226" w:lineRule="exact"/>
              <w:ind w:left="103" w:right="104"/>
              <w:rPr>
                <w:sz w:val="20"/>
              </w:rPr>
            </w:pPr>
            <w:r>
              <w:rPr>
                <w:sz w:val="20"/>
              </w:rPr>
              <w:t>Entrenamiento continuo</w:t>
            </w:r>
          </w:p>
        </w:tc>
      </w:tr>
      <w:tr>
        <w:trPr>
          <w:trHeight w:val="240" w:hRule="exact"/>
        </w:trPr>
        <w:tc>
          <w:tcPr>
            <w:tcW w:w="3008" w:type="dxa"/>
            <w:tcBorders>
              <w:left w:val="nil"/>
            </w:tcBorders>
          </w:tcPr>
          <w:p>
            <w:pPr>
              <w:pStyle w:val="TableParagraph"/>
              <w:spacing w:line="226" w:lineRule="exact"/>
              <w:ind w:left="122"/>
              <w:rPr>
                <w:sz w:val="20"/>
              </w:rPr>
            </w:pPr>
            <w:r>
              <w:rPr>
                <w:sz w:val="20"/>
              </w:rPr>
              <w:t>Tecnología</w:t>
            </w:r>
          </w:p>
        </w:tc>
        <w:tc>
          <w:tcPr>
            <w:tcW w:w="2994" w:type="dxa"/>
            <w:tcBorders>
              <w:right w:val="nil"/>
            </w:tcBorders>
          </w:tcPr>
          <w:p>
            <w:pPr>
              <w:pStyle w:val="TableParagraph"/>
              <w:spacing w:line="226" w:lineRule="exact"/>
              <w:ind w:left="103" w:right="104"/>
              <w:rPr>
                <w:sz w:val="20"/>
              </w:rPr>
            </w:pPr>
            <w:r>
              <w:rPr>
                <w:sz w:val="20"/>
              </w:rPr>
              <w:t>Alta</w:t>
            </w:r>
          </w:p>
        </w:tc>
      </w:tr>
      <w:tr>
        <w:trPr>
          <w:trHeight w:val="240" w:hRule="exact"/>
        </w:trPr>
        <w:tc>
          <w:tcPr>
            <w:tcW w:w="3008" w:type="dxa"/>
            <w:tcBorders>
              <w:left w:val="nil"/>
            </w:tcBorders>
          </w:tcPr>
          <w:p>
            <w:pPr>
              <w:pStyle w:val="TableParagraph"/>
              <w:spacing w:line="226" w:lineRule="exact"/>
              <w:ind w:left="122"/>
              <w:rPr>
                <w:sz w:val="20"/>
              </w:rPr>
            </w:pPr>
            <w:r>
              <w:rPr>
                <w:sz w:val="20"/>
              </w:rPr>
              <w:t>Control del proceso</w:t>
            </w:r>
          </w:p>
        </w:tc>
        <w:tc>
          <w:tcPr>
            <w:tcW w:w="2994" w:type="dxa"/>
            <w:tcBorders>
              <w:right w:val="nil"/>
            </w:tcBorders>
          </w:tcPr>
          <w:p>
            <w:pPr>
              <w:pStyle w:val="TableParagraph"/>
              <w:spacing w:line="226" w:lineRule="exact"/>
              <w:ind w:left="103" w:right="104"/>
              <w:rPr>
                <w:sz w:val="20"/>
              </w:rPr>
            </w:pPr>
            <w:r>
              <w:rPr>
                <w:sz w:val="20"/>
              </w:rPr>
              <w:t>Alto</w:t>
            </w:r>
          </w:p>
        </w:tc>
      </w:tr>
      <w:tr>
        <w:trPr>
          <w:trHeight w:val="470" w:hRule="exact"/>
        </w:trPr>
        <w:tc>
          <w:tcPr>
            <w:tcW w:w="3008" w:type="dxa"/>
            <w:tcBorders>
              <w:left w:val="nil"/>
            </w:tcBorders>
          </w:tcPr>
          <w:p>
            <w:pPr>
              <w:pStyle w:val="TableParagraph"/>
              <w:spacing w:line="226" w:lineRule="exact"/>
              <w:ind w:left="122"/>
              <w:rPr>
                <w:sz w:val="20"/>
              </w:rPr>
            </w:pPr>
            <w:r>
              <w:rPr>
                <w:sz w:val="20"/>
              </w:rPr>
              <w:t>Promoción de los empleados</w:t>
            </w:r>
          </w:p>
        </w:tc>
        <w:tc>
          <w:tcPr>
            <w:tcW w:w="2994" w:type="dxa"/>
            <w:tcBorders>
              <w:right w:val="nil"/>
            </w:tcBorders>
          </w:tcPr>
          <w:p>
            <w:pPr>
              <w:pStyle w:val="TableParagraph"/>
              <w:tabs>
                <w:tab w:pos="939" w:val="left" w:leader="none"/>
                <w:tab w:pos="1622" w:val="left" w:leader="none"/>
                <w:tab w:pos="2783" w:val="left" w:leader="none"/>
              </w:tabs>
              <w:spacing w:line="228" w:lineRule="exact"/>
              <w:ind w:left="103" w:right="104"/>
              <w:rPr>
                <w:sz w:val="20"/>
              </w:rPr>
            </w:pPr>
            <w:r>
              <w:rPr>
                <w:sz w:val="20"/>
              </w:rPr>
              <w:t>Basado</w:t>
              <w:tab/>
              <w:t>en</w:t>
              <w:tab/>
              <w:t>habilidades</w:t>
              <w:tab/>
              <w:t>y experiencia</w:t>
            </w:r>
          </w:p>
        </w:tc>
      </w:tr>
      <w:tr>
        <w:trPr>
          <w:trHeight w:val="240" w:hRule="exact"/>
        </w:trPr>
        <w:tc>
          <w:tcPr>
            <w:tcW w:w="3008" w:type="dxa"/>
            <w:tcBorders>
              <w:left w:val="nil"/>
            </w:tcBorders>
          </w:tcPr>
          <w:p>
            <w:pPr>
              <w:pStyle w:val="TableParagraph"/>
              <w:spacing w:line="223" w:lineRule="exact"/>
              <w:ind w:left="122"/>
              <w:rPr>
                <w:sz w:val="20"/>
              </w:rPr>
            </w:pPr>
            <w:r>
              <w:rPr>
                <w:sz w:val="20"/>
              </w:rPr>
              <w:t>Reclutamiento externo</w:t>
            </w:r>
          </w:p>
        </w:tc>
        <w:tc>
          <w:tcPr>
            <w:tcW w:w="2994" w:type="dxa"/>
            <w:tcBorders>
              <w:right w:val="nil"/>
            </w:tcBorders>
          </w:tcPr>
          <w:p>
            <w:pPr>
              <w:pStyle w:val="TableParagraph"/>
              <w:spacing w:line="223" w:lineRule="exact"/>
              <w:ind w:left="103" w:right="104"/>
              <w:rPr>
                <w:sz w:val="20"/>
              </w:rPr>
            </w:pPr>
            <w:r>
              <w:rPr>
                <w:sz w:val="20"/>
              </w:rPr>
              <w:t>Mínimo</w:t>
            </w:r>
          </w:p>
        </w:tc>
      </w:tr>
    </w:tbl>
    <w:p>
      <w:pPr>
        <w:spacing w:line="223" w:lineRule="exact" w:before="0"/>
        <w:ind w:left="0" w:right="21" w:firstLine="0"/>
        <w:jc w:val="center"/>
        <w:rPr>
          <w:sz w:val="20"/>
        </w:rPr>
      </w:pPr>
      <w:r>
        <w:rPr>
          <w:sz w:val="20"/>
        </w:rPr>
        <w:t>Fuente: elaboración propia con base en Peck, 1996.</w:t>
      </w:r>
    </w:p>
    <w:p>
      <w:pPr>
        <w:pStyle w:val="BodyText"/>
        <w:rPr>
          <w:sz w:val="20"/>
        </w:rPr>
      </w:pPr>
    </w:p>
    <w:p>
      <w:pPr>
        <w:pStyle w:val="BodyText"/>
        <w:spacing w:before="3"/>
        <w:rPr>
          <w:sz w:val="26"/>
        </w:rPr>
      </w:pPr>
    </w:p>
    <w:p>
      <w:pPr>
        <w:pStyle w:val="BodyText"/>
        <w:spacing w:line="360" w:lineRule="auto"/>
        <w:ind w:left="102" w:right="119"/>
        <w:jc w:val="both"/>
      </w:pPr>
      <w:r>
        <w:rPr/>
        <w:t>Recapitulando, esta generación define la estratificación o segmentación por una serie de causas y no por un solo factor. Entre las principales causas destacan que los segmentos se forman debido a: una industria fraccionada, los imperativos de control del trabajo (desde el mercado interno), las luchas laborales (sindicalismo), las condiciones variables del mercado de productos o por el desarrollo tecnológico divergente.</w:t>
      </w:r>
    </w:p>
    <w:p>
      <w:pPr>
        <w:pStyle w:val="BodyText"/>
      </w:pPr>
    </w:p>
    <w:p>
      <w:pPr>
        <w:pStyle w:val="BodyText"/>
        <w:spacing w:line="360" w:lineRule="auto" w:before="143"/>
        <w:ind w:left="102" w:right="118"/>
        <w:jc w:val="both"/>
      </w:pPr>
      <w:r>
        <w:rPr/>
        <w:t>Como se mencionó al inicio de esta sección, la cuarta generación es una aproximación teórica que se expone para fines de este trabajo, con fundamento en la investigación básica realizada.</w:t>
      </w:r>
    </w:p>
    <w:p>
      <w:pPr>
        <w:pStyle w:val="BodyText"/>
      </w:pPr>
    </w:p>
    <w:p>
      <w:pPr>
        <w:pStyle w:val="BodyText"/>
      </w:pPr>
    </w:p>
    <w:p>
      <w:pPr>
        <w:pStyle w:val="BodyText"/>
        <w:spacing w:before="7"/>
        <w:rPr>
          <w:sz w:val="30"/>
        </w:rPr>
      </w:pPr>
    </w:p>
    <w:p>
      <w:pPr>
        <w:pStyle w:val="Heading3"/>
        <w:numPr>
          <w:ilvl w:val="2"/>
          <w:numId w:val="27"/>
        </w:numPr>
        <w:tabs>
          <w:tab w:pos="822" w:val="left" w:leader="none"/>
        </w:tabs>
        <w:spacing w:line="240" w:lineRule="auto" w:before="0" w:after="0"/>
        <w:ind w:left="822" w:right="0" w:hanging="720"/>
        <w:jc w:val="both"/>
      </w:pPr>
      <w:bookmarkStart w:name="_bookmark14" w:id="24"/>
      <w:bookmarkEnd w:id="24"/>
      <w:r>
        <w:rPr>
          <w:b w:val="0"/>
        </w:rPr>
      </w:r>
      <w:bookmarkStart w:name="_bookmark14" w:id="25"/>
      <w:bookmarkEnd w:id="25"/>
      <w:r>
        <w:rPr/>
        <w:t>Cuar</w:t>
      </w:r>
      <w:r>
        <w:rPr/>
        <w:t>ta  generación de la segmentación del mercado de trabajo –</w:t>
      </w:r>
      <w:r>
        <w:rPr>
          <w:spacing w:val="-14"/>
        </w:rPr>
        <w:t> </w:t>
      </w:r>
      <w:r>
        <w:rPr/>
        <w:t>Toyotismo</w:t>
      </w:r>
    </w:p>
    <w:p>
      <w:pPr>
        <w:pStyle w:val="BodyText"/>
        <w:spacing w:before="10"/>
        <w:rPr>
          <w:b/>
          <w:sz w:val="35"/>
        </w:rPr>
      </w:pPr>
    </w:p>
    <w:p>
      <w:pPr>
        <w:pStyle w:val="BodyText"/>
        <w:spacing w:line="410" w:lineRule="atLeast"/>
        <w:ind w:left="102" w:right="117"/>
        <w:jc w:val="both"/>
      </w:pPr>
      <w:r>
        <w:rPr/>
        <w:t>La cuarta generación de la segmentación nace del hecho de que las teorías actuales de la segmentación no únicamente se centran en los patrones y los procesos del mercado de</w:t>
      </w:r>
    </w:p>
    <w:p>
      <w:pPr>
        <w:spacing w:after="0" w:line="410" w:lineRule="atLeast"/>
        <w:jc w:val="both"/>
        <w:sectPr>
          <w:footerReference w:type="default" r:id="rId19"/>
          <w:pgSz w:w="12240" w:h="15840"/>
          <w:pgMar w:footer="1243" w:header="0" w:top="1360" w:bottom="1440" w:left="1600" w:right="1580"/>
        </w:sectPr>
      </w:pPr>
    </w:p>
    <w:p>
      <w:pPr>
        <w:pStyle w:val="BodyText"/>
        <w:spacing w:line="360" w:lineRule="auto" w:before="50"/>
        <w:ind w:left="102" w:right="120"/>
        <w:jc w:val="both"/>
      </w:pPr>
      <w:r>
        <w:rPr/>
        <w:t>trabajo, sino que ahora se han ocupado de explorar las dinámicas y los fundamentos que rigen en el mercado de trabajo (Peck, 1996).</w:t>
      </w:r>
    </w:p>
    <w:p>
      <w:pPr>
        <w:pStyle w:val="BodyText"/>
      </w:pPr>
    </w:p>
    <w:p>
      <w:pPr>
        <w:pStyle w:val="BodyText"/>
        <w:spacing w:line="360" w:lineRule="auto" w:before="143"/>
        <w:ind w:left="102" w:right="116"/>
        <w:jc w:val="both"/>
      </w:pPr>
      <w:r>
        <w:rPr/>
        <w:t>Esta teoría no pone tanto énfasis en la variable geográfica de interacción al momento de delimitar los segmentos de cada mercado, sino que atiende a las características que se presentan entre las estructuras y los dinamismos de la demanda de trabajo y por tanto en el proceso de trabajo (Peck, 1996). La segmentación del trabajo es analizada como un proceso a nivel local constituido de la derivada de las intersecciones de las estructuras de la demanda de trabajo y de las estructuras de la oferta de</w:t>
      </w:r>
      <w:r>
        <w:rPr>
          <w:spacing w:val="-10"/>
        </w:rPr>
        <w:t> </w:t>
      </w:r>
      <w:r>
        <w:rPr/>
        <w:t>trabajo.</w:t>
      </w:r>
    </w:p>
    <w:p>
      <w:pPr>
        <w:pStyle w:val="BodyText"/>
      </w:pPr>
    </w:p>
    <w:p>
      <w:pPr>
        <w:pStyle w:val="BodyText"/>
        <w:spacing w:line="360" w:lineRule="auto" w:before="143"/>
        <w:ind w:left="102" w:right="119"/>
        <w:jc w:val="both"/>
      </w:pPr>
      <w:r>
        <w:rPr/>
        <w:t>A esta generación se le conoce también como </w:t>
      </w:r>
      <w:r>
        <w:rPr>
          <w:i/>
        </w:rPr>
        <w:t>Toyotismo</w:t>
      </w:r>
      <w:r>
        <w:rPr/>
        <w:t>, dado que tiene su nacimiento al interior de la planta ensambladora automotriz “</w:t>
      </w:r>
      <w:r>
        <w:rPr>
          <w:i/>
        </w:rPr>
        <w:t>Toyota</w:t>
      </w:r>
      <w:r>
        <w:rPr/>
        <w:t>”.  En donde la filosofía de trabajo  (en esta generación) es ahora a largo plazo y la principal segmentación que se plantea es analizar el proceso entre aquellas actividades que agregan valor y las que no agrega valor (Liker,</w:t>
      </w:r>
      <w:r>
        <w:rPr>
          <w:spacing w:val="-5"/>
        </w:rPr>
        <w:t> </w:t>
      </w:r>
      <w:r>
        <w:rPr/>
        <w:t>2010).</w:t>
      </w:r>
    </w:p>
    <w:p>
      <w:pPr>
        <w:pStyle w:val="BodyText"/>
      </w:pPr>
    </w:p>
    <w:p>
      <w:pPr>
        <w:pStyle w:val="BodyText"/>
        <w:spacing w:line="360" w:lineRule="auto" w:before="143"/>
        <w:ind w:left="102" w:right="114"/>
        <w:jc w:val="both"/>
      </w:pPr>
      <w:r>
        <w:rPr/>
        <w:t>La división del trabajo se base en las células de producción y los grupos de solución de problemas que diseñan proyectos de mejora continua a través de la eliminación de los siete desperdicios del proceso: sobreproducción, esperas (tiempo de inactividad), transporte o movimientos innecesarios de producto (tanto materias primas, proceso o terminado), sobreproceso, exceso de inventario, movimiento innecesarios (del operador al realizar su trabajo) y defectos (producción de piezas defectuosas) (Womack y Jones, 2003).</w:t>
      </w:r>
    </w:p>
    <w:p>
      <w:pPr>
        <w:pStyle w:val="BodyText"/>
      </w:pPr>
    </w:p>
    <w:p>
      <w:pPr>
        <w:pStyle w:val="BodyText"/>
        <w:spacing w:before="143"/>
        <w:ind w:left="102"/>
        <w:jc w:val="both"/>
      </w:pPr>
      <w:r>
        <w:rPr/>
        <w:t>En la tabla 1.5 se resumen las principales características de esta generación.</w:t>
      </w:r>
    </w:p>
    <w:p>
      <w:pPr>
        <w:spacing w:after="0"/>
        <w:jc w:val="both"/>
        <w:sectPr>
          <w:footerReference w:type="default" r:id="rId20"/>
          <w:pgSz w:w="12240" w:h="15840"/>
          <w:pgMar w:footer="1243" w:header="0" w:top="1360" w:bottom="1440" w:left="1600" w:right="1580"/>
          <w:pgNumType w:start="31"/>
        </w:sectPr>
      </w:pPr>
    </w:p>
    <w:p>
      <w:pPr>
        <w:pStyle w:val="Heading3"/>
        <w:ind w:left="1880"/>
        <w:jc w:val="left"/>
      </w:pPr>
      <w:r>
        <w:rPr/>
        <w:t>Tabla 1.5.-  Características de la cuarta generación.</w:t>
      </w:r>
    </w:p>
    <w:p>
      <w:pPr>
        <w:pStyle w:val="BodyText"/>
        <w:spacing w:before="2"/>
        <w:rPr>
          <w:b/>
          <w:sz w:val="12"/>
        </w:rPr>
      </w:pPr>
    </w:p>
    <w:tbl>
      <w:tblPr>
        <w:tblW w:w="0" w:type="auto"/>
        <w:jc w:val="left"/>
        <w:tblInd w:w="15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8"/>
        <w:gridCol w:w="2994"/>
      </w:tblGrid>
      <w:tr>
        <w:trPr>
          <w:trHeight w:val="240" w:hRule="exact"/>
        </w:trPr>
        <w:tc>
          <w:tcPr>
            <w:tcW w:w="3008" w:type="dxa"/>
            <w:tcBorders>
              <w:left w:val="nil"/>
            </w:tcBorders>
          </w:tcPr>
          <w:p>
            <w:pPr/>
          </w:p>
        </w:tc>
        <w:tc>
          <w:tcPr>
            <w:tcW w:w="2994" w:type="dxa"/>
            <w:tcBorders>
              <w:right w:val="nil"/>
            </w:tcBorders>
          </w:tcPr>
          <w:p>
            <w:pPr>
              <w:pStyle w:val="TableParagraph"/>
              <w:spacing w:line="228" w:lineRule="exact"/>
              <w:ind w:left="103" w:right="104"/>
              <w:rPr>
                <w:b/>
                <w:sz w:val="20"/>
              </w:rPr>
            </w:pPr>
            <w:r>
              <w:rPr>
                <w:b/>
                <w:sz w:val="20"/>
              </w:rPr>
              <w:t>Segmentación</w:t>
            </w:r>
          </w:p>
        </w:tc>
      </w:tr>
      <w:tr>
        <w:trPr>
          <w:trHeight w:val="240" w:hRule="exact"/>
        </w:trPr>
        <w:tc>
          <w:tcPr>
            <w:tcW w:w="3008" w:type="dxa"/>
            <w:tcBorders>
              <w:left w:val="nil"/>
            </w:tcBorders>
          </w:tcPr>
          <w:p>
            <w:pPr>
              <w:pStyle w:val="TableParagraph"/>
              <w:spacing w:line="223" w:lineRule="exact"/>
              <w:ind w:left="122"/>
              <w:rPr>
                <w:sz w:val="20"/>
              </w:rPr>
            </w:pPr>
            <w:r>
              <w:rPr>
                <w:sz w:val="20"/>
              </w:rPr>
              <w:t>Seguridad de empleo</w:t>
            </w:r>
          </w:p>
        </w:tc>
        <w:tc>
          <w:tcPr>
            <w:tcW w:w="2994" w:type="dxa"/>
            <w:tcBorders>
              <w:right w:val="nil"/>
            </w:tcBorders>
          </w:tcPr>
          <w:p>
            <w:pPr>
              <w:pStyle w:val="TableParagraph"/>
              <w:spacing w:line="223" w:lineRule="exact"/>
              <w:ind w:left="103" w:right="104"/>
              <w:rPr>
                <w:sz w:val="20"/>
              </w:rPr>
            </w:pPr>
            <w:r>
              <w:rPr>
                <w:sz w:val="20"/>
              </w:rPr>
              <w:t>Estable</w:t>
            </w:r>
          </w:p>
        </w:tc>
      </w:tr>
      <w:tr>
        <w:trPr>
          <w:trHeight w:val="240" w:hRule="exact"/>
        </w:trPr>
        <w:tc>
          <w:tcPr>
            <w:tcW w:w="3008" w:type="dxa"/>
            <w:tcBorders>
              <w:left w:val="nil"/>
            </w:tcBorders>
          </w:tcPr>
          <w:p>
            <w:pPr>
              <w:pStyle w:val="TableParagraph"/>
              <w:spacing w:line="223" w:lineRule="exact"/>
              <w:ind w:left="172"/>
              <w:rPr>
                <w:sz w:val="20"/>
              </w:rPr>
            </w:pPr>
            <w:r>
              <w:rPr>
                <w:sz w:val="20"/>
              </w:rPr>
              <w:t>Nivel de salario</w:t>
            </w:r>
          </w:p>
        </w:tc>
        <w:tc>
          <w:tcPr>
            <w:tcW w:w="2994" w:type="dxa"/>
            <w:tcBorders>
              <w:right w:val="nil"/>
            </w:tcBorders>
          </w:tcPr>
          <w:p>
            <w:pPr>
              <w:pStyle w:val="TableParagraph"/>
              <w:spacing w:line="223" w:lineRule="exact"/>
              <w:ind w:left="103" w:right="104"/>
              <w:rPr>
                <w:sz w:val="20"/>
              </w:rPr>
            </w:pPr>
            <w:r>
              <w:rPr>
                <w:sz w:val="20"/>
              </w:rPr>
              <w:t>Alto</w:t>
            </w:r>
          </w:p>
        </w:tc>
      </w:tr>
      <w:tr>
        <w:trPr>
          <w:trHeight w:val="470" w:hRule="exact"/>
        </w:trPr>
        <w:tc>
          <w:tcPr>
            <w:tcW w:w="3008" w:type="dxa"/>
            <w:tcBorders>
              <w:left w:val="nil"/>
            </w:tcBorders>
          </w:tcPr>
          <w:p>
            <w:pPr>
              <w:pStyle w:val="TableParagraph"/>
              <w:spacing w:line="223" w:lineRule="exact"/>
              <w:ind w:left="122"/>
              <w:rPr>
                <w:sz w:val="20"/>
              </w:rPr>
            </w:pPr>
            <w:r>
              <w:rPr>
                <w:sz w:val="20"/>
              </w:rPr>
              <w:t>Condiciones laborales</w:t>
            </w:r>
          </w:p>
        </w:tc>
        <w:tc>
          <w:tcPr>
            <w:tcW w:w="2994" w:type="dxa"/>
            <w:tcBorders>
              <w:right w:val="nil"/>
            </w:tcBorders>
          </w:tcPr>
          <w:p>
            <w:pPr>
              <w:pStyle w:val="TableParagraph"/>
              <w:ind w:left="103" w:right="104"/>
              <w:rPr>
                <w:sz w:val="20"/>
              </w:rPr>
            </w:pPr>
            <w:r>
              <w:rPr>
                <w:sz w:val="20"/>
              </w:rPr>
              <w:t>Respeto, retos y continua evaluación</w:t>
            </w:r>
          </w:p>
        </w:tc>
      </w:tr>
      <w:tr>
        <w:trPr>
          <w:trHeight w:val="698" w:hRule="exact"/>
        </w:trPr>
        <w:tc>
          <w:tcPr>
            <w:tcW w:w="3008" w:type="dxa"/>
            <w:tcBorders>
              <w:left w:val="nil"/>
            </w:tcBorders>
          </w:tcPr>
          <w:p>
            <w:pPr>
              <w:pStyle w:val="TableParagraph"/>
              <w:spacing w:line="223" w:lineRule="exact"/>
              <w:ind w:left="122"/>
              <w:rPr>
                <w:sz w:val="20"/>
              </w:rPr>
            </w:pPr>
            <w:r>
              <w:rPr>
                <w:sz w:val="20"/>
              </w:rPr>
              <w:t>Habilidades y entrenamiento</w:t>
            </w:r>
          </w:p>
        </w:tc>
        <w:tc>
          <w:tcPr>
            <w:tcW w:w="2994" w:type="dxa"/>
            <w:tcBorders>
              <w:right w:val="nil"/>
            </w:tcBorders>
          </w:tcPr>
          <w:p>
            <w:pPr>
              <w:pStyle w:val="TableParagraph"/>
              <w:ind w:left="103" w:right="105"/>
              <w:jc w:val="both"/>
              <w:rPr>
                <w:sz w:val="20"/>
              </w:rPr>
            </w:pPr>
            <w:r>
              <w:rPr>
                <w:sz w:val="20"/>
              </w:rPr>
              <w:t>Entrenamiento en el trabajo  con su respectiva  evaluación periódica.</w:t>
            </w:r>
          </w:p>
        </w:tc>
      </w:tr>
      <w:tr>
        <w:trPr>
          <w:trHeight w:val="240" w:hRule="exact"/>
        </w:trPr>
        <w:tc>
          <w:tcPr>
            <w:tcW w:w="3008" w:type="dxa"/>
            <w:tcBorders>
              <w:left w:val="nil"/>
            </w:tcBorders>
          </w:tcPr>
          <w:p>
            <w:pPr>
              <w:pStyle w:val="TableParagraph"/>
              <w:spacing w:line="226" w:lineRule="exact"/>
              <w:ind w:left="122"/>
              <w:rPr>
                <w:sz w:val="20"/>
              </w:rPr>
            </w:pPr>
            <w:r>
              <w:rPr>
                <w:sz w:val="20"/>
              </w:rPr>
              <w:t>Tecnología</w:t>
            </w:r>
          </w:p>
        </w:tc>
        <w:tc>
          <w:tcPr>
            <w:tcW w:w="2994" w:type="dxa"/>
            <w:tcBorders>
              <w:right w:val="nil"/>
            </w:tcBorders>
          </w:tcPr>
          <w:p>
            <w:pPr>
              <w:pStyle w:val="TableParagraph"/>
              <w:spacing w:line="226" w:lineRule="exact"/>
              <w:ind w:left="103" w:right="104"/>
              <w:rPr>
                <w:sz w:val="20"/>
              </w:rPr>
            </w:pPr>
            <w:r>
              <w:rPr>
                <w:sz w:val="20"/>
              </w:rPr>
              <w:t>De punta</w:t>
            </w:r>
          </w:p>
        </w:tc>
      </w:tr>
      <w:tr>
        <w:trPr>
          <w:trHeight w:val="1390" w:hRule="exact"/>
        </w:trPr>
        <w:tc>
          <w:tcPr>
            <w:tcW w:w="3008" w:type="dxa"/>
            <w:tcBorders>
              <w:left w:val="nil"/>
            </w:tcBorders>
          </w:tcPr>
          <w:p>
            <w:pPr>
              <w:pStyle w:val="TableParagraph"/>
              <w:spacing w:line="223" w:lineRule="exact"/>
              <w:ind w:left="122"/>
              <w:rPr>
                <w:sz w:val="20"/>
              </w:rPr>
            </w:pPr>
            <w:r>
              <w:rPr>
                <w:sz w:val="20"/>
              </w:rPr>
              <w:t>Control del proceso</w:t>
            </w:r>
          </w:p>
        </w:tc>
        <w:tc>
          <w:tcPr>
            <w:tcW w:w="2994" w:type="dxa"/>
            <w:tcBorders>
              <w:right w:val="nil"/>
            </w:tcBorders>
          </w:tcPr>
          <w:p>
            <w:pPr>
              <w:pStyle w:val="TableParagraph"/>
              <w:ind w:left="103" w:right="107"/>
              <w:jc w:val="both"/>
              <w:rPr>
                <w:sz w:val="20"/>
              </w:rPr>
            </w:pPr>
            <w:r>
              <w:rPr>
                <w:sz w:val="20"/>
              </w:rPr>
              <w:t>Alto, se promueve el autocontrol. Se organizan grupos para solución de problemas (Mejora continua y aprendizaje continuo, a través de la eliminación de los siete desperdicios)</w:t>
            </w:r>
          </w:p>
        </w:tc>
      </w:tr>
      <w:tr>
        <w:trPr>
          <w:trHeight w:val="470" w:hRule="exact"/>
        </w:trPr>
        <w:tc>
          <w:tcPr>
            <w:tcW w:w="3008" w:type="dxa"/>
            <w:tcBorders>
              <w:left w:val="nil"/>
            </w:tcBorders>
          </w:tcPr>
          <w:p>
            <w:pPr>
              <w:pStyle w:val="TableParagraph"/>
              <w:spacing w:line="226" w:lineRule="exact"/>
              <w:ind w:left="122"/>
              <w:rPr>
                <w:sz w:val="20"/>
              </w:rPr>
            </w:pPr>
            <w:r>
              <w:rPr>
                <w:sz w:val="20"/>
              </w:rPr>
              <w:t>Promoción de los empleados</w:t>
            </w:r>
          </w:p>
        </w:tc>
        <w:tc>
          <w:tcPr>
            <w:tcW w:w="2994" w:type="dxa"/>
            <w:tcBorders>
              <w:right w:val="nil"/>
            </w:tcBorders>
          </w:tcPr>
          <w:p>
            <w:pPr>
              <w:pStyle w:val="TableParagraph"/>
              <w:spacing w:line="228" w:lineRule="exact"/>
              <w:ind w:left="103" w:right="104"/>
              <w:rPr>
                <w:sz w:val="20"/>
              </w:rPr>
            </w:pPr>
            <w:r>
              <w:rPr>
                <w:sz w:val="20"/>
              </w:rPr>
              <w:t>Basado en sus habilidades y experiencia</w:t>
            </w:r>
          </w:p>
        </w:tc>
      </w:tr>
      <w:tr>
        <w:trPr>
          <w:trHeight w:val="240" w:hRule="exact"/>
        </w:trPr>
        <w:tc>
          <w:tcPr>
            <w:tcW w:w="3008" w:type="dxa"/>
            <w:tcBorders>
              <w:left w:val="nil"/>
            </w:tcBorders>
          </w:tcPr>
          <w:p>
            <w:pPr>
              <w:pStyle w:val="TableParagraph"/>
              <w:spacing w:line="223" w:lineRule="exact"/>
              <w:ind w:left="122"/>
              <w:rPr>
                <w:sz w:val="20"/>
              </w:rPr>
            </w:pPr>
            <w:r>
              <w:rPr>
                <w:sz w:val="20"/>
              </w:rPr>
              <w:t>Reclutamiento externo</w:t>
            </w:r>
          </w:p>
        </w:tc>
        <w:tc>
          <w:tcPr>
            <w:tcW w:w="2994" w:type="dxa"/>
            <w:tcBorders>
              <w:right w:val="nil"/>
            </w:tcBorders>
          </w:tcPr>
          <w:p>
            <w:pPr>
              <w:pStyle w:val="TableParagraph"/>
              <w:spacing w:line="223" w:lineRule="exact"/>
              <w:ind w:left="103" w:right="104"/>
              <w:rPr>
                <w:sz w:val="20"/>
              </w:rPr>
            </w:pPr>
            <w:r>
              <w:rPr>
                <w:sz w:val="20"/>
              </w:rPr>
              <w:t>Mínimo</w:t>
            </w:r>
          </w:p>
        </w:tc>
      </w:tr>
    </w:tbl>
    <w:p>
      <w:pPr>
        <w:spacing w:line="223" w:lineRule="exact" w:before="0"/>
        <w:ind w:left="2461" w:right="0" w:firstLine="0"/>
        <w:jc w:val="left"/>
        <w:rPr>
          <w:sz w:val="20"/>
        </w:rPr>
      </w:pPr>
      <w:r>
        <w:rPr>
          <w:sz w:val="20"/>
        </w:rPr>
        <w:t>Fuente: elaboración propia con base en Peck, 1996.</w:t>
      </w:r>
    </w:p>
    <w:p>
      <w:pPr>
        <w:pStyle w:val="BodyText"/>
        <w:rPr>
          <w:sz w:val="20"/>
        </w:rPr>
      </w:pPr>
    </w:p>
    <w:p>
      <w:pPr>
        <w:pStyle w:val="BodyText"/>
        <w:spacing w:before="2"/>
        <w:rPr>
          <w:sz w:val="26"/>
        </w:rPr>
      </w:pPr>
    </w:p>
    <w:p>
      <w:pPr>
        <w:pStyle w:val="BodyText"/>
        <w:spacing w:line="360" w:lineRule="auto" w:before="1"/>
        <w:ind w:left="102" w:right="117"/>
        <w:jc w:val="both"/>
      </w:pPr>
      <w:r>
        <w:rPr/>
        <w:t>Define sus segmentos de acuerdo a las multihabilidades que los empleados desarrollan con base en el capital humano que poseen o han generado al interior del mercado de trabajo. La característica más relevante es la orientación al autocontrol del proceso y la identificación de todo aquello que no genera valor para el producto y la producción.</w:t>
      </w:r>
    </w:p>
    <w:p>
      <w:pPr>
        <w:pStyle w:val="BodyText"/>
      </w:pPr>
    </w:p>
    <w:p>
      <w:pPr>
        <w:pStyle w:val="BodyText"/>
        <w:spacing w:line="360" w:lineRule="auto" w:before="143"/>
        <w:ind w:left="102" w:right="118"/>
        <w:jc w:val="both"/>
      </w:pPr>
      <w:r>
        <w:rPr/>
        <w:t>Las teorías del mercado tanto la de la segmentación como la neoclásica parten de los mismos principios y supuestos, sin embargo cada una aporta distintos enfoques, con ello se tiene que no son excluyentes pero sí diferentes.</w:t>
      </w:r>
    </w:p>
    <w:p>
      <w:pPr>
        <w:pStyle w:val="BodyText"/>
      </w:pPr>
    </w:p>
    <w:p>
      <w:pPr>
        <w:pStyle w:val="BodyText"/>
        <w:spacing w:line="360" w:lineRule="auto" w:before="143"/>
        <w:ind w:left="102" w:right="118"/>
        <w:jc w:val="both"/>
      </w:pPr>
      <w:r>
        <w:rPr/>
        <w:t>A continuación se presentan las principales diferencias que existen entre la teoría  neoclásica y la teoría de la segmentación, que a pesar de tener el mismo origen conceptual, las cuatro generaciones de la segmentación fueron rompiendo los conceptos previos y añadiendo nuevos supuestos que modificaban la manera de estructurar el mercado de trabajo.</w:t>
      </w:r>
    </w:p>
    <w:p>
      <w:pPr>
        <w:spacing w:after="0" w:line="360" w:lineRule="auto"/>
        <w:jc w:val="both"/>
        <w:sectPr>
          <w:pgSz w:w="12240" w:h="15840"/>
          <w:pgMar w:header="0" w:footer="1243" w:top="1360" w:bottom="1440" w:left="1600" w:right="1580"/>
        </w:sectPr>
      </w:pPr>
    </w:p>
    <w:p>
      <w:pPr>
        <w:pStyle w:val="Heading3"/>
        <w:numPr>
          <w:ilvl w:val="2"/>
          <w:numId w:val="27"/>
        </w:numPr>
        <w:tabs>
          <w:tab w:pos="822" w:val="left" w:leader="none"/>
        </w:tabs>
        <w:spacing w:line="240" w:lineRule="auto" w:before="55" w:after="0"/>
        <w:ind w:left="822" w:right="0" w:hanging="720"/>
        <w:jc w:val="both"/>
      </w:pPr>
      <w:bookmarkStart w:name="_bookmark15" w:id="26"/>
      <w:bookmarkEnd w:id="26"/>
      <w:r>
        <w:rPr>
          <w:b w:val="0"/>
        </w:rPr>
      </w:r>
      <w:bookmarkStart w:name="_bookmark15" w:id="27"/>
      <w:bookmarkEnd w:id="27"/>
      <w:r>
        <w:rPr/>
        <w:t>T</w:t>
      </w:r>
      <w:r>
        <w:rPr/>
        <w:t>eoría neoclásica vs teoría de la</w:t>
      </w:r>
      <w:r>
        <w:rPr>
          <w:spacing w:val="-10"/>
        </w:rPr>
        <w:t> </w:t>
      </w:r>
      <w:r>
        <w:rPr/>
        <w:t>segmentación</w:t>
      </w:r>
    </w:p>
    <w:p>
      <w:pPr>
        <w:pStyle w:val="BodyText"/>
        <w:spacing w:before="6"/>
        <w:rPr>
          <w:b/>
          <w:sz w:val="28"/>
        </w:rPr>
      </w:pPr>
    </w:p>
    <w:p>
      <w:pPr>
        <w:pStyle w:val="BodyText"/>
        <w:spacing w:line="360" w:lineRule="auto" w:before="1"/>
        <w:ind w:left="102" w:right="123"/>
        <w:jc w:val="both"/>
      </w:pPr>
      <w:r>
        <w:rPr/>
        <w:t>Las principales críticas a las que se ha enfrentado la teoría neoclásica del mercado de trabajo desde la perspectiva de la teoría de la segmentación son:</w:t>
      </w:r>
    </w:p>
    <w:p>
      <w:pPr>
        <w:pStyle w:val="ListParagraph"/>
        <w:numPr>
          <w:ilvl w:val="3"/>
          <w:numId w:val="27"/>
        </w:numPr>
        <w:tabs>
          <w:tab w:pos="1529" w:val="left" w:leader="none"/>
          <w:tab w:pos="1530" w:val="left" w:leader="none"/>
        </w:tabs>
        <w:spacing w:line="240" w:lineRule="auto" w:before="6" w:after="0"/>
        <w:ind w:left="1530" w:right="0" w:hanging="360"/>
        <w:jc w:val="left"/>
        <w:rPr>
          <w:i/>
          <w:sz w:val="24"/>
        </w:rPr>
      </w:pPr>
      <w:r>
        <w:rPr>
          <w:i/>
          <w:sz w:val="24"/>
        </w:rPr>
        <w:t>Rigidez de</w:t>
      </w:r>
      <w:r>
        <w:rPr>
          <w:i/>
          <w:spacing w:val="-3"/>
          <w:sz w:val="24"/>
        </w:rPr>
        <w:t> </w:t>
      </w:r>
      <w:r>
        <w:rPr>
          <w:i/>
          <w:sz w:val="24"/>
        </w:rPr>
        <w:t>salarios.</w:t>
      </w:r>
    </w:p>
    <w:p>
      <w:pPr>
        <w:pStyle w:val="BodyText"/>
        <w:rPr>
          <w:i/>
        </w:rPr>
      </w:pPr>
    </w:p>
    <w:p>
      <w:pPr>
        <w:pStyle w:val="BodyText"/>
        <w:spacing w:before="10"/>
        <w:rPr>
          <w:i/>
          <w:sz w:val="23"/>
        </w:rPr>
      </w:pPr>
    </w:p>
    <w:p>
      <w:pPr>
        <w:pStyle w:val="BodyText"/>
        <w:spacing w:line="360" w:lineRule="auto"/>
        <w:ind w:left="102" w:right="120"/>
        <w:jc w:val="both"/>
      </w:pPr>
      <w:r>
        <w:rPr/>
        <w:t>La teoría neoclásica se fundamenta en la teoría del equilibrio entre oferta y demanda, por lo tanto el nivel de salario debería afectar al mercado externo, lo cual no sucede así (Peck, 1996).</w:t>
      </w:r>
    </w:p>
    <w:p>
      <w:pPr>
        <w:pStyle w:val="ListParagraph"/>
        <w:numPr>
          <w:ilvl w:val="3"/>
          <w:numId w:val="27"/>
        </w:numPr>
        <w:tabs>
          <w:tab w:pos="1529" w:val="left" w:leader="none"/>
          <w:tab w:pos="1530" w:val="left" w:leader="none"/>
        </w:tabs>
        <w:spacing w:line="240" w:lineRule="auto" w:before="4" w:after="0"/>
        <w:ind w:left="1530" w:right="0" w:hanging="360"/>
        <w:jc w:val="left"/>
        <w:rPr>
          <w:i/>
          <w:sz w:val="24"/>
        </w:rPr>
      </w:pPr>
      <w:r>
        <w:rPr>
          <w:i/>
          <w:sz w:val="24"/>
        </w:rPr>
        <w:t>Eficiencia</w:t>
      </w:r>
      <w:r>
        <w:rPr>
          <w:i/>
          <w:spacing w:val="-3"/>
          <w:sz w:val="24"/>
        </w:rPr>
        <w:t> </w:t>
      </w:r>
      <w:r>
        <w:rPr>
          <w:i/>
          <w:sz w:val="24"/>
        </w:rPr>
        <w:t>económica.</w:t>
      </w:r>
    </w:p>
    <w:p>
      <w:pPr>
        <w:pStyle w:val="BodyText"/>
        <w:rPr>
          <w:i/>
        </w:rPr>
      </w:pPr>
    </w:p>
    <w:p>
      <w:pPr>
        <w:pStyle w:val="BodyText"/>
        <w:spacing w:before="1"/>
        <w:rPr>
          <w:i/>
        </w:rPr>
      </w:pPr>
    </w:p>
    <w:p>
      <w:pPr>
        <w:pStyle w:val="BodyText"/>
        <w:spacing w:line="360" w:lineRule="auto"/>
        <w:ind w:left="102" w:right="116"/>
        <w:jc w:val="both"/>
      </w:pPr>
      <w:r>
        <w:rPr/>
        <w:t>Si bien en la teoría neoclásica no está ausente la consideración de la eficiencia económica, únicamente factores económicos son los que la determinan. En contraste, para los segmentistas además existen factores burocráticos, procedimientos sociológicos y políticos, y no puramente económicos (Peck, 1996).</w:t>
      </w:r>
    </w:p>
    <w:p>
      <w:pPr>
        <w:pStyle w:val="BodyText"/>
      </w:pPr>
    </w:p>
    <w:p>
      <w:pPr>
        <w:pStyle w:val="ListParagraph"/>
        <w:numPr>
          <w:ilvl w:val="3"/>
          <w:numId w:val="27"/>
        </w:numPr>
        <w:tabs>
          <w:tab w:pos="1529" w:val="left" w:leader="none"/>
          <w:tab w:pos="1530" w:val="left" w:leader="none"/>
        </w:tabs>
        <w:spacing w:line="240" w:lineRule="auto" w:before="142" w:after="0"/>
        <w:ind w:left="1530" w:right="0" w:hanging="360"/>
        <w:jc w:val="left"/>
        <w:rPr>
          <w:i/>
          <w:sz w:val="24"/>
        </w:rPr>
      </w:pPr>
      <w:r>
        <w:rPr>
          <w:i/>
          <w:sz w:val="24"/>
        </w:rPr>
        <w:t>El mercado de trabajo no es un mercado de</w:t>
      </w:r>
      <w:r>
        <w:rPr>
          <w:i/>
          <w:spacing w:val="-6"/>
          <w:sz w:val="24"/>
        </w:rPr>
        <w:t> </w:t>
      </w:r>
      <w:r>
        <w:rPr>
          <w:i/>
          <w:sz w:val="24"/>
        </w:rPr>
        <w:t>bienes.</w:t>
      </w:r>
    </w:p>
    <w:p>
      <w:pPr>
        <w:pStyle w:val="BodyText"/>
        <w:rPr>
          <w:i/>
        </w:rPr>
      </w:pPr>
    </w:p>
    <w:p>
      <w:pPr>
        <w:pStyle w:val="BodyText"/>
        <w:spacing w:before="11"/>
        <w:rPr>
          <w:i/>
          <w:sz w:val="23"/>
        </w:rPr>
      </w:pPr>
    </w:p>
    <w:p>
      <w:pPr>
        <w:pStyle w:val="BodyText"/>
        <w:spacing w:line="360" w:lineRule="auto"/>
        <w:ind w:left="102" w:right="117"/>
        <w:jc w:val="both"/>
      </w:pPr>
      <w:r>
        <w:rPr/>
        <w:t>En la teoría neoclásica el mercado de trabajo se comporta como cualquier otro mercado de bienes, en donde se vende trabajo y éste es considerado como una mercancía. El trabajador no resulta afectado por aspectos de tipo social, de espacio, de tiempo o de cualquier otro recurso (son inagotables) (Solow, 1992).</w:t>
      </w:r>
    </w:p>
    <w:p>
      <w:pPr>
        <w:pStyle w:val="BodyText"/>
      </w:pPr>
    </w:p>
    <w:p>
      <w:pPr>
        <w:pStyle w:val="BodyText"/>
        <w:spacing w:line="360" w:lineRule="auto" w:before="143"/>
        <w:ind w:left="102" w:right="116" w:firstLine="60"/>
        <w:jc w:val="both"/>
      </w:pPr>
      <w:r>
        <w:rPr/>
        <w:t>Para la teoría de la segmentación, esto no sucede así. La sociedad sí tiene influencia sobre la determinación de las condiciones laborales en el mercado interno. Existen instituciones sociales como los sindicatos que sí tienen influencia sobre la determinación de salarios, nivel de contratación y acuerdos contractuales para los trabajadores (Solow, 1992).</w:t>
      </w:r>
    </w:p>
    <w:p>
      <w:pPr>
        <w:pStyle w:val="BodyText"/>
      </w:pPr>
    </w:p>
    <w:p>
      <w:pPr>
        <w:pStyle w:val="BodyText"/>
        <w:spacing w:line="360" w:lineRule="auto" w:before="143"/>
        <w:ind w:left="102" w:right="119"/>
        <w:jc w:val="both"/>
      </w:pPr>
      <w:r>
        <w:rPr/>
        <w:t>De lo expuesto, se infiere que las cuatro generaciones han aportado y añadido a su predecesora respectivamente, no son teorías distantes una de otra, sino por el contario comparten características en común entre ellas, la principal similitud que comparten las</w:t>
      </w:r>
    </w:p>
    <w:p>
      <w:pPr>
        <w:spacing w:after="0" w:line="360" w:lineRule="auto"/>
        <w:jc w:val="both"/>
        <w:sectPr>
          <w:pgSz w:w="12240" w:h="15840"/>
          <w:pgMar w:header="0" w:footer="1243" w:top="1360" w:bottom="1440" w:left="1600" w:right="1580"/>
        </w:sectPr>
      </w:pPr>
    </w:p>
    <w:p>
      <w:pPr>
        <w:pStyle w:val="BodyText"/>
        <w:spacing w:line="360" w:lineRule="auto" w:before="50"/>
        <w:ind w:left="102" w:right="117"/>
        <w:jc w:val="both"/>
      </w:pPr>
      <w:r>
        <w:rPr/>
        <w:t>cuatro generaciones es que el mercado se encuentra dividido o segmentado  en submercados. Los cuales tienen rasgos distintivos que hacen que cada uno sea diferente. A continuación se incluye un análisis de la flexibilidad del mercado de trabajo, como complemento a las teorías revisadas hasta este punto.</w:t>
      </w:r>
    </w:p>
    <w:p>
      <w:pPr>
        <w:pStyle w:val="BodyText"/>
      </w:pPr>
    </w:p>
    <w:p>
      <w:pPr>
        <w:pStyle w:val="Heading3"/>
        <w:numPr>
          <w:ilvl w:val="1"/>
          <w:numId w:val="41"/>
        </w:numPr>
        <w:tabs>
          <w:tab w:pos="582" w:val="left" w:leader="none"/>
        </w:tabs>
        <w:spacing w:line="240" w:lineRule="auto" w:before="212" w:after="0"/>
        <w:ind w:left="582" w:right="0" w:hanging="480"/>
        <w:jc w:val="both"/>
      </w:pPr>
      <w:bookmarkStart w:name="_bookmark16" w:id="28"/>
      <w:bookmarkEnd w:id="28"/>
      <w:r>
        <w:rPr>
          <w:b w:val="0"/>
        </w:rPr>
      </w:r>
      <w:bookmarkStart w:name="_bookmark16" w:id="29"/>
      <w:bookmarkEnd w:id="29"/>
      <w:r>
        <w:rPr/>
        <w:t>F</w:t>
      </w:r>
      <w:r>
        <w:rPr/>
        <w:t>lexibilidad del mercado de</w:t>
      </w:r>
      <w:r>
        <w:rPr>
          <w:spacing w:val="-10"/>
        </w:rPr>
        <w:t> </w:t>
      </w:r>
      <w:r>
        <w:rPr/>
        <w:t>trabajo</w:t>
      </w:r>
    </w:p>
    <w:p>
      <w:pPr>
        <w:pStyle w:val="BodyText"/>
        <w:rPr>
          <w:b/>
        </w:rPr>
      </w:pPr>
    </w:p>
    <w:p>
      <w:pPr>
        <w:pStyle w:val="BodyText"/>
        <w:spacing w:line="360" w:lineRule="auto" w:before="175"/>
        <w:ind w:left="102" w:right="117"/>
        <w:jc w:val="both"/>
      </w:pPr>
      <w:r>
        <w:rPr/>
        <w:t>De acuerdo con la Comisión Económica para América Latina y el Caribe (CEPAL, 2005) el concepto de "flexibilidad del mercado de trabajo" surgió en el decenio de 1980 en los  países industrializados y en algunos países en desarrollo, en donde la revolución tecnológica con la introducción de tecnologías de la información y la aparición de nuevos materiales, equipos y herramentales para los procesos de producción planteó la necesidad  de implantar procesos de producción especializados y</w:t>
      </w:r>
      <w:r>
        <w:rPr>
          <w:spacing w:val="-11"/>
        </w:rPr>
        <w:t> </w:t>
      </w:r>
      <w:r>
        <w:rPr/>
        <w:t>flexibles.</w:t>
      </w:r>
    </w:p>
    <w:p>
      <w:pPr>
        <w:pStyle w:val="BodyText"/>
      </w:pPr>
    </w:p>
    <w:p>
      <w:pPr>
        <w:pStyle w:val="BodyText"/>
        <w:spacing w:line="360" w:lineRule="auto" w:before="140"/>
        <w:ind w:left="102" w:right="119"/>
        <w:jc w:val="both"/>
      </w:pPr>
      <w:r>
        <w:rPr/>
        <w:t>Por un lado la globalización y la aparición de mercados cada vez más competitivos, y por el otro, las doctrinas gerenciales concebidas en Japón y transformadas en la búsqueda de la productividad y la mejora de calidad en Estados Unidos, han dado origen a la necesidad de flexibilizar el mercado de trabajo.</w:t>
      </w:r>
    </w:p>
    <w:p>
      <w:pPr>
        <w:pStyle w:val="BodyText"/>
      </w:pPr>
    </w:p>
    <w:p>
      <w:pPr>
        <w:pStyle w:val="BodyText"/>
        <w:spacing w:line="360" w:lineRule="auto" w:before="143"/>
        <w:ind w:left="102" w:right="116"/>
        <w:jc w:val="both"/>
      </w:pPr>
      <w:r>
        <w:rPr/>
        <w:t>La flexibilidad se impulsa en la reducción de costos unitarios de trabajo (moderando salarios), reducción de otros costos de trabajo no salariales y aumentando la productividad (Sánchez e Intxaurburu, 1995). Puede ser estudiada desde dos perspectivas principalmente: desde el enfoque del proceso de producción y desde la estrategia de producción (Etlie y Penner-Hahn, 1994).</w:t>
      </w:r>
    </w:p>
    <w:p>
      <w:pPr>
        <w:pStyle w:val="BodyText"/>
      </w:pPr>
    </w:p>
    <w:p>
      <w:pPr>
        <w:pStyle w:val="BodyText"/>
        <w:spacing w:line="360" w:lineRule="auto" w:before="143"/>
        <w:ind w:left="102" w:right="117"/>
        <w:jc w:val="both"/>
      </w:pPr>
      <w:r>
        <w:rPr/>
        <w:t>La flexibilidad del mercado de trabajo no es fácil de definir, existen diversas nociones y fundamentos teóricos para explicarla. Algunas aproximaciones son:</w:t>
      </w:r>
    </w:p>
    <w:p>
      <w:pPr>
        <w:pStyle w:val="BodyText"/>
      </w:pPr>
    </w:p>
    <w:p>
      <w:pPr>
        <w:pStyle w:val="ListParagraph"/>
        <w:numPr>
          <w:ilvl w:val="2"/>
          <w:numId w:val="41"/>
        </w:numPr>
        <w:tabs>
          <w:tab w:pos="1529" w:val="left" w:leader="none"/>
          <w:tab w:pos="1530" w:val="left" w:leader="none"/>
        </w:tabs>
        <w:spacing w:line="352" w:lineRule="auto" w:before="142" w:after="0"/>
        <w:ind w:left="1530" w:right="121" w:hanging="360"/>
        <w:jc w:val="left"/>
        <w:rPr>
          <w:sz w:val="24"/>
        </w:rPr>
      </w:pPr>
      <w:r>
        <w:rPr>
          <w:sz w:val="24"/>
        </w:rPr>
        <w:t>Conjunto de medidas adoptadas para que las empresas puedan responder al constante</w:t>
      </w:r>
      <w:r>
        <w:rPr>
          <w:spacing w:val="43"/>
          <w:sz w:val="24"/>
        </w:rPr>
        <w:t> </w:t>
      </w:r>
      <w:r>
        <w:rPr>
          <w:sz w:val="24"/>
        </w:rPr>
        <w:t>proceso</w:t>
      </w:r>
      <w:r>
        <w:rPr>
          <w:spacing w:val="44"/>
          <w:sz w:val="24"/>
        </w:rPr>
        <w:t> </w:t>
      </w:r>
      <w:r>
        <w:rPr>
          <w:sz w:val="24"/>
        </w:rPr>
        <w:t>de</w:t>
      </w:r>
      <w:r>
        <w:rPr>
          <w:spacing w:val="45"/>
          <w:sz w:val="24"/>
        </w:rPr>
        <w:t> </w:t>
      </w:r>
      <w:r>
        <w:rPr>
          <w:sz w:val="24"/>
        </w:rPr>
        <w:t>cambio,</w:t>
      </w:r>
      <w:r>
        <w:rPr>
          <w:spacing w:val="44"/>
          <w:sz w:val="24"/>
        </w:rPr>
        <w:t> </w:t>
      </w:r>
      <w:r>
        <w:rPr>
          <w:sz w:val="24"/>
        </w:rPr>
        <w:t>dando</w:t>
      </w:r>
      <w:r>
        <w:rPr>
          <w:spacing w:val="44"/>
          <w:sz w:val="24"/>
        </w:rPr>
        <w:t> </w:t>
      </w:r>
      <w:r>
        <w:rPr>
          <w:sz w:val="24"/>
        </w:rPr>
        <w:t>una</w:t>
      </w:r>
      <w:r>
        <w:rPr>
          <w:spacing w:val="43"/>
          <w:sz w:val="24"/>
        </w:rPr>
        <w:t> </w:t>
      </w:r>
      <w:r>
        <w:rPr>
          <w:sz w:val="24"/>
        </w:rPr>
        <w:t>respuesta</w:t>
      </w:r>
      <w:r>
        <w:rPr>
          <w:spacing w:val="44"/>
          <w:sz w:val="24"/>
        </w:rPr>
        <w:t> </w:t>
      </w:r>
      <w:r>
        <w:rPr>
          <w:sz w:val="24"/>
        </w:rPr>
        <w:t>en</w:t>
      </w:r>
      <w:r>
        <w:rPr>
          <w:spacing w:val="44"/>
          <w:sz w:val="24"/>
        </w:rPr>
        <w:t> </w:t>
      </w:r>
      <w:r>
        <w:rPr>
          <w:sz w:val="24"/>
        </w:rPr>
        <w:t>forma</w:t>
      </w:r>
      <w:r>
        <w:rPr>
          <w:spacing w:val="46"/>
          <w:sz w:val="24"/>
        </w:rPr>
        <w:t> </w:t>
      </w:r>
      <w:r>
        <w:rPr>
          <w:sz w:val="24"/>
        </w:rPr>
        <w:t>oportuna</w:t>
      </w:r>
      <w:r>
        <w:rPr>
          <w:spacing w:val="45"/>
          <w:sz w:val="24"/>
        </w:rPr>
        <w:t> </w:t>
      </w:r>
      <w:r>
        <w:rPr>
          <w:sz w:val="24"/>
        </w:rPr>
        <w:t>en</w:t>
      </w:r>
    </w:p>
    <w:p>
      <w:pPr>
        <w:spacing w:after="0" w:line="352" w:lineRule="auto"/>
        <w:jc w:val="left"/>
        <w:rPr>
          <w:sz w:val="24"/>
        </w:rPr>
        <w:sectPr>
          <w:pgSz w:w="12240" w:h="15840"/>
          <w:pgMar w:header="0" w:footer="1243" w:top="1360" w:bottom="1440" w:left="1600" w:right="1580"/>
        </w:sectPr>
      </w:pPr>
    </w:p>
    <w:p>
      <w:pPr>
        <w:pStyle w:val="BodyText"/>
        <w:spacing w:line="360" w:lineRule="auto" w:before="50"/>
        <w:ind w:left="1530"/>
      </w:pPr>
      <w:r>
        <w:rPr/>
        <w:t>tiempo, calidad y costo a fines de aumentar la eficiencia económica (Yañez, 1999).</w:t>
      </w:r>
    </w:p>
    <w:p>
      <w:pPr>
        <w:pStyle w:val="ListParagraph"/>
        <w:numPr>
          <w:ilvl w:val="2"/>
          <w:numId w:val="41"/>
        </w:numPr>
        <w:tabs>
          <w:tab w:pos="1530" w:val="left" w:leader="none"/>
        </w:tabs>
        <w:spacing w:line="357" w:lineRule="auto" w:before="3" w:after="0"/>
        <w:ind w:left="1530" w:right="119" w:hanging="360"/>
        <w:jc w:val="both"/>
        <w:rPr>
          <w:sz w:val="24"/>
        </w:rPr>
      </w:pPr>
      <w:r>
        <w:rPr>
          <w:sz w:val="24"/>
        </w:rPr>
        <w:t>Capacidad de gerencia de ajustar el empleo, el uso de la fuerza de trabajo en el proceso productivo y el salario a las condiciones cambiantes de la producción (De la Garza,</w:t>
      </w:r>
      <w:r>
        <w:rPr>
          <w:spacing w:val="-5"/>
          <w:sz w:val="24"/>
        </w:rPr>
        <w:t> </w:t>
      </w:r>
      <w:r>
        <w:rPr>
          <w:sz w:val="24"/>
        </w:rPr>
        <w:t>1997).</w:t>
      </w:r>
    </w:p>
    <w:p>
      <w:pPr>
        <w:pStyle w:val="ListParagraph"/>
        <w:numPr>
          <w:ilvl w:val="2"/>
          <w:numId w:val="41"/>
        </w:numPr>
        <w:tabs>
          <w:tab w:pos="1530" w:val="left" w:leader="none"/>
        </w:tabs>
        <w:spacing w:line="352" w:lineRule="auto" w:before="6" w:after="0"/>
        <w:ind w:left="1530" w:right="122" w:hanging="360"/>
        <w:jc w:val="both"/>
        <w:rPr>
          <w:sz w:val="24"/>
        </w:rPr>
      </w:pPr>
      <w:r>
        <w:rPr>
          <w:sz w:val="24"/>
        </w:rPr>
        <w:t>Necesidad de adaptación por parte de las organizaciones con la finalidad de incrementar su productividad y mejorar la calidad (Peck,</w:t>
      </w:r>
      <w:r>
        <w:rPr>
          <w:spacing w:val="-11"/>
          <w:sz w:val="24"/>
        </w:rPr>
        <w:t> </w:t>
      </w:r>
      <w:r>
        <w:rPr>
          <w:sz w:val="24"/>
        </w:rPr>
        <w:t>1996).</w:t>
      </w:r>
    </w:p>
    <w:p>
      <w:pPr>
        <w:pStyle w:val="ListParagraph"/>
        <w:numPr>
          <w:ilvl w:val="2"/>
          <w:numId w:val="41"/>
        </w:numPr>
        <w:tabs>
          <w:tab w:pos="1530" w:val="left" w:leader="none"/>
        </w:tabs>
        <w:spacing w:line="355" w:lineRule="auto" w:before="11" w:after="0"/>
        <w:ind w:left="1530" w:right="122" w:hanging="360"/>
        <w:jc w:val="both"/>
        <w:rPr>
          <w:sz w:val="24"/>
        </w:rPr>
      </w:pPr>
      <w:r>
        <w:rPr>
          <w:sz w:val="24"/>
        </w:rPr>
        <w:t>Capacidad del mercado de crear las condiciones para que la economía regrese a una posición de equilibrio óptimo después de un shock exógeno (Amadeo y Camargo,</w:t>
      </w:r>
      <w:r>
        <w:rPr>
          <w:spacing w:val="-6"/>
          <w:sz w:val="24"/>
        </w:rPr>
        <w:t> </w:t>
      </w:r>
      <w:r>
        <w:rPr>
          <w:sz w:val="24"/>
        </w:rPr>
        <w:t>1993).</w:t>
      </w:r>
    </w:p>
    <w:p>
      <w:pPr>
        <w:pStyle w:val="BodyText"/>
      </w:pPr>
    </w:p>
    <w:p>
      <w:pPr>
        <w:pStyle w:val="BodyText"/>
        <w:spacing w:line="360" w:lineRule="auto" w:before="148"/>
        <w:ind w:left="102" w:right="119"/>
        <w:jc w:val="both"/>
      </w:pPr>
      <w:r>
        <w:rPr/>
        <w:t>Para efectos de esta tesis, la atención se centra en el término flexibilidad del mercado de trabajo, el cual es usado principalmente en situaciones en las que éste se encuentra sensible a la oferta y demanda cambiantes. Por tanto, la flexibilidad del mercado de trabajo se define como el conjunto de medidas de adaptación a situaciones de los mercados internos y externos de la organización.</w:t>
      </w:r>
    </w:p>
    <w:p>
      <w:pPr>
        <w:pStyle w:val="BodyText"/>
      </w:pPr>
    </w:p>
    <w:p>
      <w:pPr>
        <w:pStyle w:val="BodyText"/>
        <w:spacing w:line="360" w:lineRule="auto" w:before="143"/>
        <w:ind w:left="102" w:right="118"/>
        <w:jc w:val="both"/>
      </w:pPr>
      <w:r>
        <w:rPr/>
        <w:t>La flexibilidad del mercado de trabajo puede funcionar en el nivel micro (lugar de trabajo, departamento o empresa), meso (corporación, rama, zona) o del sistema de relaciones industriales, abarcando la regulación del conflicto, la negociación colectiva, las leyes laborales, la seguridad social y los pactos corporativos (De la Garza, 1997). Puede aceptar un nivel formal, codificado con leyes, reglamentos o pactos, y otro informal, propio de costumbres, tradiciones e interacciones cotidianas.</w:t>
      </w:r>
    </w:p>
    <w:p>
      <w:pPr>
        <w:pStyle w:val="BodyText"/>
      </w:pPr>
    </w:p>
    <w:p>
      <w:pPr>
        <w:pStyle w:val="Heading3"/>
        <w:numPr>
          <w:ilvl w:val="2"/>
          <w:numId w:val="42"/>
        </w:numPr>
        <w:tabs>
          <w:tab w:pos="702" w:val="left" w:leader="none"/>
        </w:tabs>
        <w:spacing w:line="240" w:lineRule="auto" w:before="213" w:after="0"/>
        <w:ind w:left="702" w:right="0" w:hanging="600"/>
        <w:jc w:val="both"/>
      </w:pPr>
      <w:bookmarkStart w:name="_bookmark17" w:id="30"/>
      <w:bookmarkEnd w:id="30"/>
      <w:r>
        <w:rPr>
          <w:b w:val="0"/>
        </w:rPr>
      </w:r>
      <w:bookmarkStart w:name="_bookmark17" w:id="31"/>
      <w:bookmarkEnd w:id="31"/>
      <w:r>
        <w:rPr/>
        <w:t>P</w:t>
      </w:r>
      <w:r>
        <w:rPr/>
        <w:t>erspectivas teóricas de la flexibilidad del mercado de</w:t>
      </w:r>
      <w:r>
        <w:rPr>
          <w:spacing w:val="-17"/>
        </w:rPr>
        <w:t> </w:t>
      </w:r>
      <w:r>
        <w:rPr/>
        <w:t>trabajo</w:t>
      </w:r>
    </w:p>
    <w:p>
      <w:pPr>
        <w:pStyle w:val="BodyText"/>
        <w:rPr>
          <w:b/>
        </w:rPr>
      </w:pPr>
    </w:p>
    <w:p>
      <w:pPr>
        <w:pStyle w:val="BodyText"/>
        <w:spacing w:line="360" w:lineRule="auto" w:before="139"/>
        <w:ind w:left="102" w:right="115"/>
        <w:jc w:val="both"/>
      </w:pPr>
      <w:r>
        <w:rPr/>
        <w:t>De acuerdo con De la Garza (1997) la flexibilidad se puede clasificar en tres perspectivas teóricas: neoclásicos del mercado de trabajo, para este autor la flexibilidad del trabajo sería una condición abstracta; la doctrina de la nueva ola del </w:t>
      </w:r>
      <w:r>
        <w:rPr>
          <w:i/>
        </w:rPr>
        <w:t>management</w:t>
      </w:r>
      <w:r>
        <w:rPr/>
        <w:t>, que adoptó la perspectiva de la calidad total y el justo a tiempo (cuarta generación de la segmentación o toyotismo); y los posfordistas con sus propuesta de flexibilidad negociada u ofensiva.</w:t>
      </w:r>
    </w:p>
    <w:p>
      <w:pPr>
        <w:spacing w:after="0" w:line="360" w:lineRule="auto"/>
        <w:jc w:val="both"/>
        <w:sectPr>
          <w:pgSz w:w="12240" w:h="15840"/>
          <w:pgMar w:header="0" w:footer="1243" w:top="1360" w:bottom="1440" w:left="1600" w:right="1580"/>
        </w:sectPr>
      </w:pPr>
    </w:p>
    <w:p>
      <w:pPr>
        <w:pStyle w:val="BodyText"/>
        <w:rPr>
          <w:sz w:val="20"/>
        </w:rPr>
      </w:pPr>
    </w:p>
    <w:p>
      <w:pPr>
        <w:pStyle w:val="BodyText"/>
        <w:rPr>
          <w:sz w:val="20"/>
        </w:rPr>
      </w:pPr>
    </w:p>
    <w:p>
      <w:pPr>
        <w:pStyle w:val="BodyText"/>
        <w:spacing w:before="7"/>
        <w:rPr>
          <w:sz w:val="18"/>
        </w:rPr>
      </w:pPr>
    </w:p>
    <w:p>
      <w:pPr>
        <w:pStyle w:val="Heading3"/>
        <w:numPr>
          <w:ilvl w:val="0"/>
          <w:numId w:val="43"/>
        </w:numPr>
        <w:tabs>
          <w:tab w:pos="362" w:val="left" w:leader="none"/>
        </w:tabs>
        <w:spacing w:line="240" w:lineRule="auto" w:before="69" w:after="0"/>
        <w:ind w:left="362" w:right="0" w:hanging="260"/>
        <w:jc w:val="both"/>
      </w:pPr>
      <w:r>
        <w:rPr/>
        <w:t>Flexibilidad en la teoría</w:t>
      </w:r>
      <w:r>
        <w:rPr>
          <w:spacing w:val="-9"/>
        </w:rPr>
        <w:t> </w:t>
      </w:r>
      <w:r>
        <w:rPr/>
        <w:t>neoclásica</w:t>
      </w:r>
    </w:p>
    <w:p>
      <w:pPr>
        <w:pStyle w:val="BodyText"/>
        <w:rPr>
          <w:b/>
        </w:rPr>
      </w:pPr>
    </w:p>
    <w:p>
      <w:pPr>
        <w:pStyle w:val="BodyText"/>
        <w:spacing w:before="6"/>
        <w:rPr>
          <w:b/>
          <w:sz w:val="23"/>
        </w:rPr>
      </w:pPr>
    </w:p>
    <w:p>
      <w:pPr>
        <w:pStyle w:val="BodyText"/>
        <w:spacing w:line="360" w:lineRule="auto"/>
        <w:ind w:left="102" w:right="121"/>
        <w:jc w:val="both"/>
      </w:pPr>
      <w:r>
        <w:rPr/>
        <w:t>La flexibilidad del mercado de trabajo en la teoría neoclásica es entendida como eliminación de las trabas para que los mecanismos del mercado se encarguen de modo espontáneo de asignar el factor trabajo en cuanto a precio y empleo, la aplicación de la teoría de la demanda de empleo implica la ausencia de restricciones para emplear o desemplear trabajadores de acuerdo con el mercado (De la Garza, 1997). Se rige bajo el supuesto de racionalidad de los agentes, es decir los agentes económicos buscan la maximización de la</w:t>
      </w:r>
      <w:r>
        <w:rPr>
          <w:spacing w:val="-6"/>
        </w:rPr>
        <w:t> </w:t>
      </w:r>
      <w:r>
        <w:rPr/>
        <w:t>utilidad.</w:t>
      </w:r>
    </w:p>
    <w:p>
      <w:pPr>
        <w:pStyle w:val="BodyText"/>
      </w:pPr>
    </w:p>
    <w:p>
      <w:pPr>
        <w:pStyle w:val="ListParagraph"/>
        <w:numPr>
          <w:ilvl w:val="0"/>
          <w:numId w:val="43"/>
        </w:numPr>
        <w:tabs>
          <w:tab w:pos="377" w:val="left" w:leader="none"/>
        </w:tabs>
        <w:spacing w:line="240" w:lineRule="auto" w:before="148" w:after="0"/>
        <w:ind w:left="376" w:right="0" w:hanging="274"/>
        <w:jc w:val="both"/>
        <w:rPr>
          <w:b/>
          <w:i/>
          <w:sz w:val="24"/>
        </w:rPr>
      </w:pPr>
      <w:r>
        <w:rPr>
          <w:b/>
          <w:sz w:val="24"/>
        </w:rPr>
        <w:t>Flexibilidad en la nueva ola del</w:t>
      </w:r>
      <w:r>
        <w:rPr>
          <w:b/>
          <w:spacing w:val="-10"/>
          <w:sz w:val="24"/>
        </w:rPr>
        <w:t> </w:t>
      </w:r>
      <w:r>
        <w:rPr>
          <w:b/>
          <w:i/>
          <w:sz w:val="24"/>
        </w:rPr>
        <w:t>management</w:t>
      </w:r>
    </w:p>
    <w:p>
      <w:pPr>
        <w:pStyle w:val="BodyText"/>
        <w:rPr>
          <w:b/>
          <w:i/>
        </w:rPr>
      </w:pPr>
    </w:p>
    <w:p>
      <w:pPr>
        <w:pStyle w:val="BodyText"/>
        <w:spacing w:before="6"/>
        <w:rPr>
          <w:b/>
          <w:i/>
          <w:sz w:val="23"/>
        </w:rPr>
      </w:pPr>
    </w:p>
    <w:p>
      <w:pPr>
        <w:pStyle w:val="BodyText"/>
        <w:spacing w:line="360" w:lineRule="auto"/>
        <w:ind w:left="102" w:right="117"/>
        <w:jc w:val="both"/>
      </w:pPr>
      <w:r>
        <w:rPr/>
        <w:t>En la cuarta generación de la segmentación del mercado de trabajo o </w:t>
      </w:r>
      <w:r>
        <w:rPr>
          <w:i/>
        </w:rPr>
        <w:t>Toyotismo</w:t>
      </w:r>
      <w:r>
        <w:rPr/>
        <w:t>, también conocido como la nueva ola del </w:t>
      </w:r>
      <w:r>
        <w:rPr>
          <w:i/>
        </w:rPr>
        <w:t>management, </w:t>
      </w:r>
      <w:r>
        <w:rPr/>
        <w:t>no acepta la idea neoclásica de flexibilidad, no descarta totalmente las propuestas neoclásicas sino que las modifica, la idea básica no es la desregulación del mercado de trabajo sino la flexibilidad dentro del proceso productivo, la idea de mercado interno de trabajo es más importante que la de mercado externo y su flexibilidad. El énfasis se centra en los puestos, categorías, departamentos, turnos u horarios de trabajo, polivalencia, y las promociones se deben otorgar por capacidad y no por antigüedad, al igual que el salario debe estar en función del desempeño.</w:t>
      </w:r>
    </w:p>
    <w:p>
      <w:pPr>
        <w:pStyle w:val="BodyText"/>
      </w:pPr>
    </w:p>
    <w:p>
      <w:pPr>
        <w:pStyle w:val="BodyText"/>
        <w:spacing w:line="360" w:lineRule="auto" w:before="143"/>
        <w:ind w:left="102" w:right="121"/>
        <w:jc w:val="both"/>
      </w:pPr>
      <w:r>
        <w:rPr/>
        <w:t>El individualismo y la concepción del actor racional son sustituidos por la idea de grupo, la concepción de la empresa como comunidad y acción de acuerdo con valores, y no sólo como utilidad. No se pretende llegar al equilibrio, así como capital y trabajo no se redistribuyen sólo por las fuerzas del mercado, sino que la producción es resultado de consenso, y no se busca el equilibrio interno sino una mejora continua  (De la Garza, 1997).</w:t>
      </w:r>
    </w:p>
    <w:p>
      <w:pPr>
        <w:spacing w:after="0" w:line="360" w:lineRule="auto"/>
        <w:jc w:val="both"/>
        <w:sectPr>
          <w:pgSz w:w="12240" w:h="15840"/>
          <w:pgMar w:header="0" w:footer="1243" w:top="1500" w:bottom="1440" w:left="1600" w:right="1580"/>
        </w:sectPr>
      </w:pPr>
    </w:p>
    <w:p>
      <w:pPr>
        <w:pStyle w:val="Heading3"/>
        <w:numPr>
          <w:ilvl w:val="0"/>
          <w:numId w:val="43"/>
        </w:numPr>
        <w:tabs>
          <w:tab w:pos="710" w:val="left" w:leader="none"/>
        </w:tabs>
        <w:spacing w:line="240" w:lineRule="auto" w:before="55" w:after="0"/>
        <w:ind w:left="709" w:right="0" w:hanging="247"/>
        <w:jc w:val="both"/>
      </w:pPr>
      <w:r>
        <w:rPr/>
        <w:t>Flexibilidad</w:t>
      </w:r>
      <w:r>
        <w:rPr>
          <w:spacing w:val="-8"/>
        </w:rPr>
        <w:t> </w:t>
      </w:r>
      <w:r>
        <w:rPr/>
        <w:t>posfordista</w:t>
      </w:r>
    </w:p>
    <w:p>
      <w:pPr>
        <w:pStyle w:val="BodyText"/>
        <w:rPr>
          <w:b/>
        </w:rPr>
      </w:pPr>
    </w:p>
    <w:p>
      <w:pPr>
        <w:pStyle w:val="BodyText"/>
        <w:spacing w:before="6"/>
        <w:rPr>
          <w:b/>
          <w:sz w:val="23"/>
        </w:rPr>
      </w:pPr>
    </w:p>
    <w:p>
      <w:pPr>
        <w:pStyle w:val="BodyText"/>
        <w:spacing w:line="360" w:lineRule="auto"/>
        <w:ind w:left="462" w:right="115"/>
        <w:jc w:val="both"/>
      </w:pPr>
      <w:r>
        <w:rPr/>
        <w:t>De acuerdo con De la Garza (1997) es definida como la especialización flexible, plantea que la producción en masa llegó a su límite y que esto coincide con el surgimiento de un nuevo paradigma tecnológico en un contexto de predominio de una economía de variedad (clientes que exigen variedad y calidad en los productos), surge un nuevo artesano, flexible en horarios, puestos y tareas, recalificado, con relaciones de cooperación con sus</w:t>
      </w:r>
      <w:r>
        <w:rPr>
          <w:spacing w:val="-15"/>
        </w:rPr>
        <w:t> </w:t>
      </w:r>
      <w:r>
        <w:rPr/>
        <w:t>patrones.</w:t>
      </w:r>
    </w:p>
    <w:p>
      <w:pPr>
        <w:pStyle w:val="BodyText"/>
      </w:pPr>
    </w:p>
    <w:p>
      <w:pPr>
        <w:pStyle w:val="Heading3"/>
        <w:numPr>
          <w:ilvl w:val="2"/>
          <w:numId w:val="42"/>
        </w:numPr>
        <w:tabs>
          <w:tab w:pos="1062" w:val="left" w:leader="none"/>
        </w:tabs>
        <w:spacing w:line="240" w:lineRule="auto" w:before="215" w:after="0"/>
        <w:ind w:left="1062" w:right="0" w:hanging="600"/>
        <w:jc w:val="both"/>
      </w:pPr>
      <w:bookmarkStart w:name="_bookmark18" w:id="32"/>
      <w:bookmarkEnd w:id="32"/>
      <w:r>
        <w:rPr>
          <w:b w:val="0"/>
        </w:rPr>
      </w:r>
      <w:bookmarkStart w:name="_bookmark18" w:id="33"/>
      <w:bookmarkEnd w:id="33"/>
      <w:r>
        <w:rPr/>
        <w:t>T</w:t>
      </w:r>
      <w:r>
        <w:rPr/>
        <w:t>ipos de</w:t>
      </w:r>
      <w:r>
        <w:rPr>
          <w:spacing w:val="-6"/>
        </w:rPr>
        <w:t> </w:t>
      </w:r>
      <w:r>
        <w:rPr/>
        <w:t>flexibilidad</w:t>
      </w:r>
    </w:p>
    <w:p>
      <w:pPr>
        <w:pStyle w:val="BodyText"/>
        <w:rPr>
          <w:b/>
        </w:rPr>
      </w:pPr>
    </w:p>
    <w:p>
      <w:pPr>
        <w:pStyle w:val="BodyText"/>
        <w:spacing w:line="360" w:lineRule="auto" w:before="175"/>
        <w:ind w:left="462" w:right="119"/>
        <w:jc w:val="both"/>
      </w:pPr>
      <w:r>
        <w:rPr/>
        <w:t>Amadeo y Camargo (1993) señalan que existen diferentes nociones o conceptos que  definen la flexibilidad laboral, puede ser estudiada desde el mercado de trabajo o desde el insumo de trabajo. En donde el enfoque del mercado de trabajo incluye movilidad, flexibilidad del empleo y flexibilidad del salario real. El enfoque de flexibilidad del insumo de trabajo incluye la flexibilidad del capital humano y el crecimiento de la</w:t>
      </w:r>
      <w:r>
        <w:rPr>
          <w:spacing w:val="-17"/>
        </w:rPr>
        <w:t> </w:t>
      </w:r>
      <w:r>
        <w:rPr/>
        <w:t>productividad.</w:t>
      </w:r>
    </w:p>
    <w:p>
      <w:pPr>
        <w:pStyle w:val="BodyText"/>
      </w:pPr>
    </w:p>
    <w:p>
      <w:pPr>
        <w:pStyle w:val="Heading3"/>
        <w:spacing w:before="148"/>
        <w:ind w:left="3216" w:right="2876"/>
        <w:jc w:val="center"/>
      </w:pPr>
      <w:r>
        <w:rPr/>
        <w:t>Gráfica 1.3. Flexibilidad laboral</w:t>
      </w:r>
    </w:p>
    <w:p>
      <w:pPr>
        <w:pStyle w:val="BodyText"/>
        <w:rPr>
          <w:b/>
          <w:sz w:val="20"/>
        </w:rPr>
      </w:pPr>
    </w:p>
    <w:p>
      <w:pPr>
        <w:pStyle w:val="BodyText"/>
        <w:rPr>
          <w:b/>
          <w:sz w:val="16"/>
        </w:rPr>
      </w:pPr>
      <w:r>
        <w:rPr/>
        <w:pict>
          <v:group style="position:absolute;margin-left:67.419998pt;margin-top:11.155279pt;width:442.7pt;height:176.1pt;mso-position-horizontal-relative:page;mso-position-vertical-relative:paragraph;z-index:1456;mso-wrap-distance-left:0;mso-wrap-distance-right:0" coordorigin="1348,223" coordsize="8854,3522">
            <v:shape style="position:absolute;left:1366;top:262;width:8837;height:3482" type="#_x0000_t75" stroked="false">
              <v:imagedata r:id="rId21" o:title=""/>
            </v:shape>
            <v:shape style="position:absolute;left:1358;top:252;width:8812;height:3440" type="#_x0000_t75" stroked="false">
              <v:imagedata r:id="rId22" o:title=""/>
            </v:shape>
            <v:shape style="position:absolute;left:1358;top:233;width:8812;height:3459" coordorigin="1358,233" coordsize="8812,3459" path="m1358,1963l1363,1880,1378,1798,1402,1718,1436,1639,1478,1560,1529,1484,1589,1408,1658,1335,1734,1263,1819,1192,1911,1123,2011,1057,2063,1024,2118,992,2174,960,2232,929,2292,898,2353,868,2416,839,2480,810,2547,781,2614,753,2684,726,2755,700,2827,674,2901,648,2976,623,3053,599,3131,576,3210,553,3291,531,3373,510,3456,489,3541,469,3626,450,3713,432,3801,414,3891,397,3981,381,4072,365,4165,351,4258,337,4353,324,4448,312,4545,300,4642,290,4740,280,4839,271,4939,263,5040,256,5141,250,5243,245,5346,241,5450,237,5554,235,5659,234,5764,233,5870,234,5975,235,6079,237,6183,241,6286,245,6388,250,6489,256,6590,263,6690,271,6789,280,6887,290,6984,300,7081,312,7176,324,7271,337,7364,351,7456,365,7548,381,7638,397,7727,414,7816,432,7902,450,7988,469,8073,489,8156,510,8238,531,8319,553,8398,576,8476,599,8553,623,8628,648,8702,674,8774,700,8845,726,8914,753,8982,781,9048,810,9113,839,9176,868,9237,898,9297,929,9355,960,9411,992,9465,1024,9518,1057,9569,1090,9665,1157,9753,1227,9834,1298,9906,1371,9970,1446,10026,1522,10073,1599,10111,1678,10140,1758,10159,1839,10169,1921,10170,1963,10169,2004,10159,2086,10140,2167,10111,2247,10073,2326,10026,2403,9970,2479,9906,2554,9834,2627,9753,2698,9665,2768,9569,2835,9518,2869,9465,2901,9411,2934,9355,2965,9297,2996,9237,3027,9176,3057,9113,3087,9048,3116,8982,3144,8914,3172,8845,3199,8774,3226,8702,3252,8628,3277,8553,3302,8476,3326,8398,3349,8319,3372,8238,3394,8156,3415,8073,3436,7988,3456,7902,3475,7816,3494,7727,3511,7638,3528,7548,3545,7456,3560,7364,3575,7271,3588,7176,3601,7081,3614,6984,3625,6887,3635,6789,3645,6690,3654,6590,3662,6489,3669,6388,3675,6286,3680,6183,3684,6079,3688,5975,3690,5870,3692,5764,3692,5659,3692,5554,3690,5450,3688,5346,3684,5243,3680,5141,3675,5040,3669,4939,3662,4839,3654,4740,3645,4642,3635,4545,3625,4448,3614,4353,3601,4258,3588,4165,3575,4072,3560,3981,3545,3891,3528,3801,3511,3713,3494,3626,3475,3541,3456,3456,3436,3373,3415,3291,3394,3210,3372,3131,3349,3053,3326,2976,3302,2901,3277,2827,3252,2755,3226,2684,3199,2614,3172,2547,3144,2480,3116,2416,3087,2353,3057,2292,3027,2232,2996,2174,2965,2118,2934,2063,2901,2011,2869,1960,2835,1864,2768,1776,2698,1695,2627,1623,2554,1558,2479,1503,2403,1456,2326,1418,2247,1389,2167,1369,2086,1360,2004,1358,1963xe" filled="false" stroked="true" strokeweight="1pt" strokecolor="#c3d59b">
              <v:path arrowok="t"/>
            </v:shape>
            <v:shape style="position:absolute;left:2659;top:824;width:6211;height:2280" type="#_x0000_t75" stroked="false">
              <v:imagedata r:id="rId23" o:title=""/>
            </v:shape>
            <v:shape style="position:absolute;left:1898;top:1380;width:3893;height:1519" type="#_x0000_t75" stroked="false">
              <v:imagedata r:id="rId24" o:title=""/>
            </v:shape>
            <v:shape style="position:absolute;left:1890;top:1353;width:3869;height:1494" type="#_x0000_t75" stroked="false">
              <v:imagedata r:id="rId25" o:title=""/>
            </v:shape>
            <v:shape style="position:absolute;left:1890;top:1353;width:3869;height:1494" coordorigin="1890,1353" coordsize="3869,1494" path="m1890,1602l1903,1523,1938,1455,1992,1401,2061,1366,2139,1353,5510,1353,5589,1366,5657,1401,5711,1455,5747,1523,5759,1602,5759,2598,5747,2677,5711,2745,5657,2799,5589,2834,5510,2847,2139,2847,2061,2834,1992,2799,1938,2745,1903,2677,1890,2598,1890,1602xe" filled="false" stroked="true" strokeweight="1pt" strokecolor="#b3a1c6">
              <v:path arrowok="t"/>
            </v:shape>
            <v:shape style="position:absolute;left:1973;top:1510;width:3703;height:1183" type="#_x0000_t75" stroked="false">
              <v:imagedata r:id="rId26" o:title=""/>
            </v:shape>
            <v:shape style="position:absolute;left:5930;top:1380;width:3775;height:1519" type="#_x0000_t75" stroked="false">
              <v:imagedata r:id="rId27" o:title=""/>
            </v:shape>
            <v:shape style="position:absolute;left:5922;top:1353;width:3750;height:1494" type="#_x0000_t75" stroked="false">
              <v:imagedata r:id="rId28" o:title=""/>
            </v:shape>
            <v:shape style="position:absolute;left:5922;top:1353;width:3750;height:1494" coordorigin="5922,1353" coordsize="3750,1494" path="m5922,1602l5935,1523,5970,1455,6024,1401,6093,1366,6171,1353,9423,1353,9502,1366,9570,1401,9624,1455,9660,1523,9672,1602,9672,2598,9660,2677,9624,2745,9570,2799,9502,2834,9423,2847,6171,2847,6093,2834,6024,2799,5970,2745,5935,2677,5922,2598,5922,1602xe" filled="false" stroked="true" strokeweight="1pt" strokecolor="#d99593">
              <v:path arrowok="t"/>
            </v:shape>
            <v:shape style="position:absolute;left:6005;top:1510;width:3583;height:1183" type="#_x0000_t75" stroked="false">
              <v:imagedata r:id="rId29" o:title=""/>
            </v:shape>
            <v:shape style="position:absolute;left:1994;top:1856;width:1082;height:710" type="#_x0000_t75" stroked="false">
              <v:imagedata r:id="rId30" o:title=""/>
            </v:shape>
            <v:shape style="position:absolute;left:3174;top:1856;width:1181;height:710" type="#_x0000_t75" stroked="false">
              <v:imagedata r:id="rId31" o:title=""/>
            </v:shape>
            <v:shape style="position:absolute;left:4418;top:1856;width:1245;height:710" type="#_x0000_t75" stroked="false">
              <v:imagedata r:id="rId32" o:title=""/>
            </v:shape>
            <v:shape style="position:absolute;left:6286;top:1818;width:1246;height:710" type="#_x0000_t75" stroked="false">
              <v:imagedata r:id="rId33" o:title=""/>
            </v:shape>
            <v:shape style="position:absolute;left:7932;top:1818;width:1510;height:861" type="#_x0000_t75" stroked="false">
              <v:imagedata r:id="rId34" o:title=""/>
            </v:shape>
            <v:shape style="position:absolute;left:4220;top:890;width:3089;height:320" type="#_x0000_t202" filled="false" stroked="false">
              <v:textbox inset="0,0,0,0">
                <w:txbxContent>
                  <w:p>
                    <w:pPr>
                      <w:spacing w:line="319" w:lineRule="exact" w:before="0"/>
                      <w:ind w:left="0" w:right="-12" w:firstLine="0"/>
                      <w:jc w:val="left"/>
                      <w:rPr>
                        <w:rFonts w:ascii="Calibri"/>
                        <w:b/>
                        <w:sz w:val="32"/>
                      </w:rPr>
                    </w:pPr>
                    <w:r>
                      <w:rPr>
                        <w:rFonts w:ascii="Calibri"/>
                        <w:b/>
                        <w:sz w:val="32"/>
                      </w:rPr>
                      <w:t>FLEXIBILIDAD</w:t>
                    </w:r>
                    <w:r>
                      <w:rPr>
                        <w:rFonts w:ascii="Calibri"/>
                        <w:b/>
                        <w:spacing w:val="-9"/>
                        <w:sz w:val="32"/>
                      </w:rPr>
                      <w:t> </w:t>
                    </w:r>
                    <w:r>
                      <w:rPr>
                        <w:rFonts w:ascii="Calibri"/>
                        <w:b/>
                        <w:sz w:val="32"/>
                      </w:rPr>
                      <w:t>LABORAL</w:t>
                    </w:r>
                  </w:p>
                </w:txbxContent>
              </v:textbox>
              <w10:wrap type="none"/>
            </v:shape>
            <v:shape style="position:absolute;left:2343;top:1555;width:2965;height:221" type="#_x0000_t202" filled="false" stroked="false">
              <v:textbox inset="0,0,0,0">
                <w:txbxContent>
                  <w:p>
                    <w:pPr>
                      <w:spacing w:line="221" w:lineRule="exact" w:before="0"/>
                      <w:ind w:left="0" w:right="-10" w:firstLine="0"/>
                      <w:jc w:val="left"/>
                      <w:rPr>
                        <w:rFonts w:ascii="Calibri"/>
                        <w:sz w:val="22"/>
                      </w:rPr>
                    </w:pPr>
                    <w:r>
                      <w:rPr>
                        <w:rFonts w:ascii="Calibri"/>
                        <w:sz w:val="18"/>
                      </w:rPr>
                      <w:t>Flexibilidad </w:t>
                    </w:r>
                    <w:r>
                      <w:rPr>
                        <w:rFonts w:ascii="Calibri"/>
                        <w:sz w:val="22"/>
                      </w:rPr>
                      <w:t>del mercado de trabajo</w:t>
                    </w:r>
                  </w:p>
                </w:txbxContent>
              </v:textbox>
              <w10:wrap type="none"/>
            </v:shape>
            <v:shape style="position:absolute;left:6265;top:1555;width:3074;height:221" type="#_x0000_t202" filled="false" stroked="false">
              <v:textbox inset="0,0,0,0">
                <w:txbxContent>
                  <w:p>
                    <w:pPr>
                      <w:spacing w:line="221" w:lineRule="exact" w:before="0"/>
                      <w:ind w:left="0" w:right="-12" w:firstLine="0"/>
                      <w:jc w:val="left"/>
                      <w:rPr>
                        <w:rFonts w:ascii="Calibri"/>
                        <w:sz w:val="22"/>
                      </w:rPr>
                    </w:pPr>
                    <w:r>
                      <w:rPr>
                        <w:rFonts w:ascii="Calibri"/>
                        <w:sz w:val="22"/>
                      </w:rPr>
                      <w:t>Flexibilidad del insumo del trabajo</w:t>
                    </w:r>
                  </w:p>
                </w:txbxContent>
              </v:textbox>
              <w10:wrap type="none"/>
            </v:shape>
            <v:shape style="position:absolute;left:2170;top:1976;width:728;height:180" type="#_x0000_t202" filled="false" stroked="false">
              <v:textbox inset="0,0,0,0">
                <w:txbxContent>
                  <w:p>
                    <w:pPr>
                      <w:spacing w:line="180" w:lineRule="exact" w:before="0"/>
                      <w:ind w:left="0" w:right="-13" w:firstLine="0"/>
                      <w:jc w:val="left"/>
                      <w:rPr>
                        <w:rFonts w:ascii="Calibri"/>
                        <w:sz w:val="18"/>
                      </w:rPr>
                    </w:pPr>
                    <w:r>
                      <w:rPr>
                        <w:rFonts w:ascii="Calibri"/>
                        <w:spacing w:val="-1"/>
                        <w:sz w:val="18"/>
                      </w:rPr>
                      <w:t>Movilidad</w:t>
                    </w:r>
                  </w:p>
                </w:txbxContent>
              </v:textbox>
              <w10:wrap type="none"/>
            </v:shape>
            <v:shape style="position:absolute;left:3334;top:1979;width:824;height:435" type="#_x0000_t202" filled="false" stroked="false">
              <v:textbox inset="0,0,0,0">
                <w:txbxContent>
                  <w:p>
                    <w:pPr>
                      <w:spacing w:line="183" w:lineRule="exact" w:before="0"/>
                      <w:ind w:left="0" w:right="-11" w:firstLine="0"/>
                      <w:jc w:val="left"/>
                      <w:rPr>
                        <w:rFonts w:ascii="Calibri"/>
                        <w:sz w:val="18"/>
                      </w:rPr>
                    </w:pPr>
                    <w:r>
                      <w:rPr>
                        <w:rFonts w:ascii="Calibri"/>
                        <w:spacing w:val="-1"/>
                        <w:sz w:val="18"/>
                      </w:rPr>
                      <w:t>Flexibilidad</w:t>
                    </w:r>
                  </w:p>
                  <w:p>
                    <w:pPr>
                      <w:spacing w:line="216" w:lineRule="exact" w:before="34"/>
                      <w:ind w:left="0" w:right="-16" w:firstLine="0"/>
                      <w:jc w:val="left"/>
                      <w:rPr>
                        <w:rFonts w:ascii="Calibri"/>
                        <w:sz w:val="18"/>
                      </w:rPr>
                    </w:pPr>
                    <w:r>
                      <w:rPr>
                        <w:rFonts w:ascii="Calibri"/>
                        <w:sz w:val="18"/>
                      </w:rPr>
                      <w:t>del empleo</w:t>
                    </w:r>
                  </w:p>
                </w:txbxContent>
              </v:textbox>
              <w10:wrap type="none"/>
            </v:shape>
            <v:shape style="position:absolute;left:4631;top:1979;width:824;height:435" type="#_x0000_t202" filled="false" stroked="false">
              <v:textbox inset="0,0,0,0">
                <w:txbxContent>
                  <w:p>
                    <w:pPr>
                      <w:spacing w:line="183" w:lineRule="exact" w:before="0"/>
                      <w:ind w:left="31" w:right="-10" w:hanging="32"/>
                      <w:jc w:val="left"/>
                      <w:rPr>
                        <w:rFonts w:ascii="Calibri"/>
                        <w:sz w:val="18"/>
                      </w:rPr>
                    </w:pPr>
                    <w:r>
                      <w:rPr>
                        <w:rFonts w:ascii="Calibri"/>
                        <w:spacing w:val="-1"/>
                        <w:sz w:val="18"/>
                      </w:rPr>
                      <w:t>Flexibilidad</w:t>
                    </w:r>
                  </w:p>
                  <w:p>
                    <w:pPr>
                      <w:spacing w:line="216" w:lineRule="exact" w:before="34"/>
                      <w:ind w:left="31" w:right="-11" w:firstLine="0"/>
                      <w:jc w:val="left"/>
                      <w:rPr>
                        <w:rFonts w:ascii="Calibri"/>
                        <w:sz w:val="18"/>
                      </w:rPr>
                    </w:pPr>
                    <w:r>
                      <w:rPr>
                        <w:rFonts w:ascii="Calibri"/>
                        <w:sz w:val="18"/>
                      </w:rPr>
                      <w:t>del Salario</w:t>
                    </w:r>
                  </w:p>
                </w:txbxContent>
              </v:textbox>
              <w10:wrap type="none"/>
            </v:shape>
            <v:shape style="position:absolute;left:6498;top:1943;width:824;height:432" type="#_x0000_t202" filled="false" stroked="false">
              <v:textbox inset="0,0,0,0">
                <w:txbxContent>
                  <w:p>
                    <w:pPr>
                      <w:spacing w:line="183" w:lineRule="exact" w:before="0"/>
                      <w:ind w:left="35" w:right="-10" w:hanging="36"/>
                      <w:jc w:val="left"/>
                      <w:rPr>
                        <w:rFonts w:ascii="Calibri"/>
                        <w:sz w:val="18"/>
                      </w:rPr>
                    </w:pPr>
                    <w:r>
                      <w:rPr>
                        <w:rFonts w:ascii="Calibri"/>
                        <w:spacing w:val="-1"/>
                        <w:sz w:val="18"/>
                      </w:rPr>
                      <w:t>Flexibilidad</w:t>
                    </w:r>
                  </w:p>
                  <w:p>
                    <w:pPr>
                      <w:spacing w:line="216" w:lineRule="exact" w:before="32"/>
                      <w:ind w:left="35" w:right="-11" w:firstLine="0"/>
                      <w:jc w:val="left"/>
                      <w:rPr>
                        <w:rFonts w:ascii="Calibri"/>
                        <w:sz w:val="18"/>
                      </w:rPr>
                    </w:pPr>
                    <w:r>
                      <w:rPr>
                        <w:rFonts w:ascii="Calibri"/>
                        <w:sz w:val="18"/>
                      </w:rPr>
                      <w:t>del capital</w:t>
                    </w:r>
                  </w:p>
                </w:txbxContent>
              </v:textbox>
              <w10:wrap type="none"/>
            </v:shape>
            <v:shape style="position:absolute;left:8178;top:1943;width:1016;height:653" type="#_x0000_t202" filled="false" stroked="false">
              <v:textbox inset="0,0,0,0">
                <w:txbxContent>
                  <w:p>
                    <w:pPr>
                      <w:spacing w:line="183" w:lineRule="exact" w:before="0"/>
                      <w:ind w:left="1" w:right="0" w:firstLine="0"/>
                      <w:jc w:val="center"/>
                      <w:rPr>
                        <w:rFonts w:ascii="Calibri"/>
                        <w:sz w:val="18"/>
                      </w:rPr>
                    </w:pPr>
                    <w:r>
                      <w:rPr>
                        <w:rFonts w:ascii="Calibri"/>
                        <w:sz w:val="18"/>
                      </w:rPr>
                      <w:t>Crecimiento</w:t>
                    </w:r>
                  </w:p>
                  <w:p>
                    <w:pPr>
                      <w:spacing w:line="219" w:lineRule="exact" w:before="0"/>
                      <w:ind w:left="0" w:right="0" w:firstLine="0"/>
                      <w:jc w:val="center"/>
                      <w:rPr>
                        <w:rFonts w:ascii="Calibri"/>
                        <w:sz w:val="18"/>
                      </w:rPr>
                    </w:pPr>
                    <w:r>
                      <w:rPr>
                        <w:rFonts w:ascii="Calibri"/>
                        <w:sz w:val="18"/>
                      </w:rPr>
                      <w:t>de la</w:t>
                    </w:r>
                  </w:p>
                  <w:p>
                    <w:pPr>
                      <w:spacing w:line="216" w:lineRule="exact" w:before="34"/>
                      <w:ind w:left="0" w:right="0" w:firstLine="0"/>
                      <w:jc w:val="center"/>
                      <w:rPr>
                        <w:rFonts w:ascii="Calibri"/>
                        <w:sz w:val="18"/>
                      </w:rPr>
                    </w:pPr>
                    <w:r>
                      <w:rPr>
                        <w:rFonts w:ascii="Calibri"/>
                        <w:spacing w:val="-1"/>
                        <w:sz w:val="18"/>
                      </w:rPr>
                      <w:t>productividad</w:t>
                    </w:r>
                  </w:p>
                </w:txbxContent>
              </v:textbox>
              <w10:wrap type="none"/>
            </v:shape>
            <w10:wrap type="topAndBottom"/>
          </v:group>
        </w:pict>
      </w:r>
    </w:p>
    <w:p>
      <w:pPr>
        <w:pStyle w:val="BodyText"/>
        <w:rPr>
          <w:b/>
        </w:rPr>
      </w:pPr>
    </w:p>
    <w:p>
      <w:pPr>
        <w:pStyle w:val="BodyText"/>
        <w:spacing w:before="5"/>
        <w:rPr>
          <w:b/>
          <w:sz w:val="35"/>
        </w:rPr>
      </w:pPr>
    </w:p>
    <w:p>
      <w:pPr>
        <w:spacing w:before="0"/>
        <w:ind w:left="3216" w:right="2874" w:firstLine="0"/>
        <w:jc w:val="center"/>
        <w:rPr>
          <w:sz w:val="20"/>
        </w:rPr>
      </w:pPr>
      <w:r>
        <w:rPr>
          <w:sz w:val="20"/>
        </w:rPr>
        <w:t>Fuente: Amadeo y Camargo, 1993.</w:t>
      </w:r>
    </w:p>
    <w:p>
      <w:pPr>
        <w:spacing w:after="0"/>
        <w:jc w:val="center"/>
        <w:rPr>
          <w:sz w:val="20"/>
        </w:rPr>
        <w:sectPr>
          <w:pgSz w:w="12240" w:h="15840"/>
          <w:pgMar w:header="0" w:footer="1243" w:top="1360" w:bottom="1440" w:left="1240" w:right="1580"/>
        </w:sectPr>
      </w:pPr>
    </w:p>
    <w:p>
      <w:pPr>
        <w:pStyle w:val="BodyText"/>
        <w:spacing w:line="360" w:lineRule="auto" w:before="50"/>
        <w:ind w:left="102" w:right="122"/>
        <w:jc w:val="both"/>
      </w:pPr>
      <w:r>
        <w:rPr/>
        <w:t>Existe una clasificación, más unificada, que autores como Miranda y Salgado (2013),  Yañez (1999), De la Garza (1997) y Peck (1996) han definido: externa, interna y</w:t>
      </w:r>
      <w:r>
        <w:rPr>
          <w:spacing w:val="-19"/>
        </w:rPr>
        <w:t> </w:t>
      </w:r>
      <w:r>
        <w:rPr/>
        <w:t>salarial.</w:t>
      </w:r>
    </w:p>
    <w:p>
      <w:pPr>
        <w:pStyle w:val="BodyText"/>
      </w:pPr>
    </w:p>
    <w:p>
      <w:pPr>
        <w:pStyle w:val="Heading3"/>
        <w:numPr>
          <w:ilvl w:val="0"/>
          <w:numId w:val="44"/>
        </w:numPr>
        <w:tabs>
          <w:tab w:pos="362" w:val="left" w:leader="none"/>
        </w:tabs>
        <w:spacing w:line="240" w:lineRule="auto" w:before="148" w:after="0"/>
        <w:ind w:left="362" w:right="0" w:hanging="260"/>
        <w:jc w:val="both"/>
      </w:pPr>
      <w:r>
        <w:rPr/>
        <w:t>Flexibilidad</w:t>
      </w:r>
      <w:r>
        <w:rPr>
          <w:spacing w:val="-6"/>
        </w:rPr>
        <w:t> </w:t>
      </w:r>
      <w:r>
        <w:rPr/>
        <w:t>externa</w:t>
      </w:r>
    </w:p>
    <w:p>
      <w:pPr>
        <w:pStyle w:val="BodyText"/>
        <w:rPr>
          <w:b/>
        </w:rPr>
      </w:pPr>
    </w:p>
    <w:p>
      <w:pPr>
        <w:pStyle w:val="BodyText"/>
        <w:spacing w:before="6"/>
        <w:rPr>
          <w:b/>
          <w:sz w:val="23"/>
        </w:rPr>
      </w:pPr>
    </w:p>
    <w:p>
      <w:pPr>
        <w:pStyle w:val="BodyText"/>
        <w:spacing w:line="360" w:lineRule="auto"/>
        <w:ind w:left="102" w:right="120"/>
        <w:jc w:val="both"/>
      </w:pPr>
      <w:r>
        <w:rPr/>
        <w:t>La flexibilidad externa está definida como la flexibilidad del trabajo (De la Garza, 1997),  en la cual se enfatiza en la desregulación del empleo. Permite a la empresa aumentar o disminuir el empleo sin que esto le implique incurrir en elevados pasivos laborales o enfrentar obstáculos legales o normativos (Miranda y Salgado, 2013). Opera sobre la base de contrataciones atípicas, tales como contratos a plazo fijo, temporales, eventuales y a honorarios, y de la externalización y subcontratación de actividades (Yañez,</w:t>
      </w:r>
      <w:r>
        <w:rPr>
          <w:spacing w:val="-16"/>
        </w:rPr>
        <w:t> </w:t>
      </w:r>
      <w:r>
        <w:rPr/>
        <w:t>1999).</w:t>
      </w:r>
    </w:p>
    <w:p>
      <w:pPr>
        <w:pStyle w:val="BodyText"/>
      </w:pPr>
    </w:p>
    <w:p>
      <w:pPr>
        <w:pStyle w:val="BodyText"/>
        <w:spacing w:line="360" w:lineRule="auto" w:before="143"/>
        <w:ind w:left="102" w:right="118"/>
        <w:jc w:val="both"/>
      </w:pPr>
      <w:r>
        <w:rPr/>
        <w:t>La rapidez con la que se despide o incorpora la fuerza de trabajo es lo que permite catalogar que una empresa tenga una mayor o menor flexibilidad externa (Miranda y Salgado, 2013).</w:t>
      </w:r>
    </w:p>
    <w:p>
      <w:pPr>
        <w:pStyle w:val="BodyText"/>
        <w:spacing w:before="3"/>
        <w:rPr>
          <w:sz w:val="33"/>
        </w:rPr>
      </w:pPr>
    </w:p>
    <w:p>
      <w:pPr>
        <w:pStyle w:val="BodyText"/>
        <w:spacing w:line="360" w:lineRule="auto"/>
        <w:ind w:left="102" w:right="118"/>
        <w:jc w:val="both"/>
      </w:pPr>
      <w:r>
        <w:rPr/>
        <w:t>Una de las críticas más fuertes del modelo es para la flexibilidad externa, su lado negativo es que las empresas invierten menos en formación y capacitación para la fuerza laboral, buscan trasladar esta responsabilidad a las IES (Miranda y Salgado, 2013).</w:t>
      </w:r>
    </w:p>
    <w:p>
      <w:pPr>
        <w:pStyle w:val="BodyText"/>
      </w:pPr>
    </w:p>
    <w:p>
      <w:pPr>
        <w:pStyle w:val="BodyText"/>
        <w:spacing w:line="360" w:lineRule="auto" w:before="143"/>
        <w:ind w:left="102" w:right="118"/>
        <w:jc w:val="both"/>
      </w:pPr>
      <w:r>
        <w:rPr/>
        <w:t>Otra de las críticas más sobresalientes está en función de que la facilidad de despido genera contratos temporales y con las mínimas prestaciones sociales y laborales (Miranda y Salgado, 2013).</w:t>
      </w:r>
    </w:p>
    <w:p>
      <w:pPr>
        <w:pStyle w:val="BodyText"/>
      </w:pPr>
    </w:p>
    <w:p>
      <w:pPr>
        <w:pStyle w:val="Heading3"/>
        <w:numPr>
          <w:ilvl w:val="0"/>
          <w:numId w:val="44"/>
        </w:numPr>
        <w:tabs>
          <w:tab w:pos="377" w:val="left" w:leader="none"/>
        </w:tabs>
        <w:spacing w:line="240" w:lineRule="auto" w:before="148" w:after="0"/>
        <w:ind w:left="376" w:right="0" w:hanging="274"/>
        <w:jc w:val="both"/>
      </w:pPr>
      <w:r>
        <w:rPr/>
        <w:t>Flexibilidad</w:t>
      </w:r>
      <w:r>
        <w:rPr>
          <w:spacing w:val="-6"/>
        </w:rPr>
        <w:t> </w:t>
      </w:r>
      <w:r>
        <w:rPr/>
        <w:t>interna</w:t>
      </w:r>
    </w:p>
    <w:p>
      <w:pPr>
        <w:pStyle w:val="BodyText"/>
        <w:rPr>
          <w:b/>
        </w:rPr>
      </w:pPr>
    </w:p>
    <w:p>
      <w:pPr>
        <w:pStyle w:val="BodyText"/>
        <w:spacing w:before="7"/>
        <w:rPr>
          <w:b/>
          <w:sz w:val="23"/>
        </w:rPr>
      </w:pPr>
    </w:p>
    <w:p>
      <w:pPr>
        <w:pStyle w:val="BodyText"/>
        <w:spacing w:line="360" w:lineRule="auto"/>
        <w:ind w:left="102" w:right="117"/>
        <w:jc w:val="both"/>
      </w:pPr>
      <w:r>
        <w:rPr/>
        <w:t>La flexibilidad interna es el tipo de flexibilidad de la fuerza de trabajo (De la Garza, 1997). Las principales características son: reciclaje de trabajadores, redefinición de funciones y tareas y reconversión de trabajadores (Peck, 1996). Opera sobre la base de cambios en la jornada laboral (intensidad del trabajo), así como de modificaciones en el ejercicio de las tareas mediante calificadas, polivalencia, trabajo en equipo, etc. (Yañez, 1999). Bajo esta modalidad la gestión empresarial asigna diferentes funciones a los trabajadores dentro de la</w:t>
      </w:r>
    </w:p>
    <w:p>
      <w:pPr>
        <w:spacing w:after="0" w:line="360" w:lineRule="auto"/>
        <w:jc w:val="both"/>
        <w:sectPr>
          <w:pgSz w:w="12240" w:h="15840"/>
          <w:pgMar w:header="0" w:footer="1243" w:top="1360" w:bottom="1440" w:left="1600" w:right="1580"/>
        </w:sectPr>
      </w:pPr>
    </w:p>
    <w:p>
      <w:pPr>
        <w:pStyle w:val="BodyText"/>
        <w:spacing w:line="360" w:lineRule="auto" w:before="50"/>
        <w:ind w:left="102" w:right="114"/>
        <w:jc w:val="both"/>
      </w:pPr>
      <w:r>
        <w:rPr/>
        <w:t>división técnica del trabajo. Permite la rotación en las distintas líneas de producción y requiere de un trabajador multitareas o polivalente (Miranda y Salgado, 2013).</w:t>
      </w:r>
    </w:p>
    <w:p>
      <w:pPr>
        <w:pStyle w:val="BodyText"/>
      </w:pPr>
    </w:p>
    <w:p>
      <w:pPr>
        <w:pStyle w:val="BodyText"/>
        <w:spacing w:line="360" w:lineRule="auto" w:before="143"/>
        <w:ind w:left="102" w:right="118"/>
        <w:jc w:val="both"/>
      </w:pPr>
      <w:r>
        <w:rPr/>
        <w:t>La crítica principal de este tipo de flexibilidad es que va a fomentar la rotación (movilidad funcional), la movilidad geográfica, suspensión de contratos temporal y definitiva (despidos) y reducción de las jornadas (Pedrajas y Sala, 2010).</w:t>
      </w:r>
    </w:p>
    <w:p>
      <w:pPr>
        <w:pStyle w:val="BodyText"/>
      </w:pPr>
    </w:p>
    <w:p>
      <w:pPr>
        <w:pStyle w:val="BodyText"/>
      </w:pPr>
    </w:p>
    <w:p>
      <w:pPr>
        <w:pStyle w:val="BodyText"/>
        <w:spacing w:before="9"/>
      </w:pPr>
    </w:p>
    <w:p>
      <w:pPr>
        <w:pStyle w:val="Heading3"/>
        <w:numPr>
          <w:ilvl w:val="0"/>
          <w:numId w:val="44"/>
        </w:numPr>
        <w:tabs>
          <w:tab w:pos="350" w:val="left" w:leader="none"/>
        </w:tabs>
        <w:spacing w:line="240" w:lineRule="auto" w:before="0" w:after="0"/>
        <w:ind w:left="349" w:right="0" w:hanging="247"/>
        <w:jc w:val="both"/>
      </w:pPr>
      <w:r>
        <w:rPr/>
        <w:t>Flexibilidad</w:t>
      </w:r>
      <w:r>
        <w:rPr>
          <w:spacing w:val="-4"/>
        </w:rPr>
        <w:t> </w:t>
      </w:r>
      <w:r>
        <w:rPr/>
        <w:t>salarial</w:t>
      </w:r>
    </w:p>
    <w:p>
      <w:pPr>
        <w:pStyle w:val="BodyText"/>
        <w:rPr>
          <w:b/>
        </w:rPr>
      </w:pPr>
    </w:p>
    <w:p>
      <w:pPr>
        <w:pStyle w:val="BodyText"/>
        <w:spacing w:before="6"/>
        <w:rPr>
          <w:b/>
          <w:sz w:val="23"/>
        </w:rPr>
      </w:pPr>
    </w:p>
    <w:p>
      <w:pPr>
        <w:pStyle w:val="BodyText"/>
        <w:spacing w:line="360" w:lineRule="auto"/>
        <w:ind w:left="102" w:right="119"/>
        <w:jc w:val="both"/>
      </w:pPr>
      <w:r>
        <w:rPr/>
        <w:t>El énfasis se encuentra en función del rendimiento salarial (De la Garza, 1997). El objetivo central es la capacidad de que la empresa pueda ajustar los salarios de acuerdo con la situación financiera y de mercado que tenga la empresa. Caídas en la demanda de productos se traducen en una baja a los salarios. Por ejemplo, a través de una reducción en las horas trabajadas o pasando de un contrato de tiempo completo a uno de medio tiempo. Es una de las modalidades de flexibilidad más usadas por las organizaciones. Su crítica principal radica en el hecho de que las afectaciones son únicamente para el empleado, y el empleador es el que se ve más beneficiado, es un desajuste desde la perspectiva social (Miranda y Salgado, 2013).</w:t>
      </w:r>
    </w:p>
    <w:p>
      <w:pPr>
        <w:pStyle w:val="BodyText"/>
      </w:pPr>
    </w:p>
    <w:p>
      <w:pPr>
        <w:pStyle w:val="Heading3"/>
        <w:numPr>
          <w:ilvl w:val="2"/>
          <w:numId w:val="42"/>
        </w:numPr>
        <w:tabs>
          <w:tab w:pos="702" w:val="left" w:leader="none"/>
        </w:tabs>
        <w:spacing w:line="240" w:lineRule="auto" w:before="215" w:after="0"/>
        <w:ind w:left="702" w:right="0" w:hanging="600"/>
        <w:jc w:val="both"/>
      </w:pPr>
      <w:bookmarkStart w:name="_bookmark19" w:id="34"/>
      <w:bookmarkEnd w:id="34"/>
      <w:r>
        <w:rPr>
          <w:b w:val="0"/>
        </w:rPr>
      </w:r>
      <w:bookmarkStart w:name="_bookmark19" w:id="35"/>
      <w:bookmarkEnd w:id="35"/>
      <w:r>
        <w:rPr/>
        <w:t>E</w:t>
      </w:r>
      <w:r>
        <w:rPr/>
        <w:t>strategias para flexibilizar el mercado de</w:t>
      </w:r>
      <w:r>
        <w:rPr>
          <w:spacing w:val="-11"/>
        </w:rPr>
        <w:t> </w:t>
      </w:r>
      <w:r>
        <w:rPr/>
        <w:t>trabajo</w:t>
      </w:r>
    </w:p>
    <w:p>
      <w:pPr>
        <w:pStyle w:val="BodyText"/>
        <w:rPr>
          <w:b/>
        </w:rPr>
      </w:pPr>
    </w:p>
    <w:p>
      <w:pPr>
        <w:pStyle w:val="BodyText"/>
        <w:spacing w:line="360" w:lineRule="auto" w:before="173"/>
        <w:ind w:left="102" w:right="121"/>
        <w:jc w:val="both"/>
      </w:pPr>
      <w:r>
        <w:rPr/>
        <w:t>Peck (1996), propone que la flexibilidad laboral puede ser abordada desde el enfoque del proceso de producción o desde la estrategia del proceso de producción.</w:t>
      </w:r>
    </w:p>
    <w:p>
      <w:pPr>
        <w:pStyle w:val="BodyText"/>
      </w:pPr>
    </w:p>
    <w:p>
      <w:pPr>
        <w:pStyle w:val="Heading3"/>
        <w:numPr>
          <w:ilvl w:val="0"/>
          <w:numId w:val="45"/>
        </w:numPr>
        <w:tabs>
          <w:tab w:pos="362" w:val="left" w:leader="none"/>
        </w:tabs>
        <w:spacing w:line="240" w:lineRule="auto" w:before="148" w:after="0"/>
        <w:ind w:left="362" w:right="0" w:hanging="260"/>
        <w:jc w:val="both"/>
      </w:pPr>
      <w:r>
        <w:rPr/>
        <w:t>Estrategias desde el enfoque del proceso de</w:t>
      </w:r>
      <w:r>
        <w:rPr>
          <w:spacing w:val="-13"/>
        </w:rPr>
        <w:t> </w:t>
      </w:r>
      <w:r>
        <w:rPr/>
        <w:t>producción</w:t>
      </w:r>
    </w:p>
    <w:p>
      <w:pPr>
        <w:pStyle w:val="BodyText"/>
        <w:rPr>
          <w:b/>
        </w:rPr>
      </w:pPr>
    </w:p>
    <w:p>
      <w:pPr>
        <w:pStyle w:val="BodyText"/>
        <w:spacing w:before="6"/>
        <w:rPr>
          <w:b/>
          <w:sz w:val="23"/>
        </w:rPr>
      </w:pPr>
    </w:p>
    <w:p>
      <w:pPr>
        <w:pStyle w:val="BodyText"/>
        <w:spacing w:line="360" w:lineRule="auto"/>
        <w:ind w:left="102" w:right="120"/>
        <w:jc w:val="both"/>
      </w:pPr>
      <w:r>
        <w:rPr/>
        <w:t>Hay tres estrategias para la flexibilidad del mercado de trabajo desde el enfoque del proceso de producción (Peck, 1996):</w:t>
      </w:r>
    </w:p>
    <w:p>
      <w:pPr>
        <w:spacing w:after="0" w:line="360" w:lineRule="auto"/>
        <w:jc w:val="both"/>
        <w:sectPr>
          <w:pgSz w:w="12240" w:h="15840"/>
          <w:pgMar w:header="0" w:footer="1243" w:top="1360" w:bottom="1440" w:left="1600" w:right="1580"/>
        </w:sectPr>
      </w:pPr>
    </w:p>
    <w:p>
      <w:pPr>
        <w:pStyle w:val="ListParagraph"/>
        <w:numPr>
          <w:ilvl w:val="1"/>
          <w:numId w:val="45"/>
        </w:numPr>
        <w:tabs>
          <w:tab w:pos="822" w:val="left" w:leader="none"/>
        </w:tabs>
        <w:spacing w:line="352" w:lineRule="auto" w:before="30" w:after="0"/>
        <w:ind w:left="822" w:right="122" w:hanging="360"/>
        <w:jc w:val="both"/>
        <w:rPr>
          <w:sz w:val="24"/>
        </w:rPr>
      </w:pPr>
      <w:r>
        <w:rPr>
          <w:sz w:val="24"/>
        </w:rPr>
        <w:t>Individualizar la relación laboral, alejándose de la negociación colectiva y de los sistemas de negociación en ámbitos clave como la fijación de los</w:t>
      </w:r>
      <w:r>
        <w:rPr>
          <w:spacing w:val="-17"/>
          <w:sz w:val="24"/>
        </w:rPr>
        <w:t> </w:t>
      </w:r>
      <w:r>
        <w:rPr>
          <w:sz w:val="24"/>
        </w:rPr>
        <w:t>salarios.</w:t>
      </w:r>
    </w:p>
    <w:p>
      <w:pPr>
        <w:pStyle w:val="ListParagraph"/>
        <w:numPr>
          <w:ilvl w:val="1"/>
          <w:numId w:val="45"/>
        </w:numPr>
        <w:tabs>
          <w:tab w:pos="822" w:val="left" w:leader="none"/>
        </w:tabs>
        <w:spacing w:line="355" w:lineRule="auto" w:before="14" w:after="0"/>
        <w:ind w:left="822" w:right="123" w:hanging="360"/>
        <w:jc w:val="both"/>
        <w:rPr>
          <w:sz w:val="24"/>
        </w:rPr>
      </w:pPr>
      <w:r>
        <w:rPr>
          <w:sz w:val="24"/>
        </w:rPr>
        <w:t>Las empresas están tratando de lograr una mayor flexibilidad interna a través de cambios en los procesos laborales, tales como multihabilidades y la delimitación del trabajo.</w:t>
      </w:r>
    </w:p>
    <w:p>
      <w:pPr>
        <w:pStyle w:val="ListParagraph"/>
        <w:numPr>
          <w:ilvl w:val="1"/>
          <w:numId w:val="45"/>
        </w:numPr>
        <w:tabs>
          <w:tab w:pos="822" w:val="left" w:leader="none"/>
        </w:tabs>
        <w:spacing w:line="355" w:lineRule="auto" w:before="9" w:after="0"/>
        <w:ind w:left="822" w:right="124" w:hanging="360"/>
        <w:jc w:val="both"/>
        <w:rPr>
          <w:sz w:val="24"/>
        </w:rPr>
      </w:pPr>
      <w:r>
        <w:rPr>
          <w:sz w:val="24"/>
        </w:rPr>
        <w:t>La flexibilidad externa se busca a través de estrategias que permitan ajustes cuantitativamente rápidos del proceso de transición o inserción al mercado de trabajo de acuerdo con las fluctuaciones de las necesidades de</w:t>
      </w:r>
      <w:r>
        <w:rPr>
          <w:spacing w:val="-13"/>
          <w:sz w:val="24"/>
        </w:rPr>
        <w:t> </w:t>
      </w:r>
      <w:r>
        <w:rPr>
          <w:sz w:val="24"/>
        </w:rPr>
        <w:t>producción.</w:t>
      </w:r>
    </w:p>
    <w:p>
      <w:pPr>
        <w:pStyle w:val="BodyText"/>
      </w:pPr>
    </w:p>
    <w:p>
      <w:pPr>
        <w:pStyle w:val="BodyText"/>
        <w:spacing w:line="360" w:lineRule="auto" w:before="149"/>
        <w:ind w:left="102" w:right="124"/>
        <w:jc w:val="both"/>
      </w:pPr>
      <w:r>
        <w:rPr/>
        <w:t>Entendiéndose que al flexibilizar el proceso de producción se está flexibilizando el</w:t>
      </w:r>
      <w:r>
        <w:rPr>
          <w:spacing w:val="-17"/>
        </w:rPr>
        <w:t> </w:t>
      </w:r>
      <w:r>
        <w:rPr/>
        <w:t>mercado interno de trabajo también. La tendencia en las organizaciones se ha vuelto hacia flexibilizar ambos (proceso de producción y mercado de trabajo</w:t>
      </w:r>
      <w:r>
        <w:rPr>
          <w:spacing w:val="-12"/>
        </w:rPr>
        <w:t> </w:t>
      </w:r>
      <w:r>
        <w:rPr/>
        <w:t>interno).</w:t>
      </w:r>
    </w:p>
    <w:p>
      <w:pPr>
        <w:pStyle w:val="BodyText"/>
      </w:pPr>
    </w:p>
    <w:p>
      <w:pPr>
        <w:pStyle w:val="Heading3"/>
        <w:numPr>
          <w:ilvl w:val="0"/>
          <w:numId w:val="45"/>
        </w:numPr>
        <w:tabs>
          <w:tab w:pos="377" w:val="left" w:leader="none"/>
        </w:tabs>
        <w:spacing w:line="240" w:lineRule="auto" w:before="148" w:after="0"/>
        <w:ind w:left="376" w:right="0" w:hanging="274"/>
        <w:jc w:val="both"/>
      </w:pPr>
      <w:r>
        <w:rPr/>
        <w:t>Estrategia desde el enfoque de</w:t>
      </w:r>
      <w:r>
        <w:rPr>
          <w:spacing w:val="-12"/>
        </w:rPr>
        <w:t> </w:t>
      </w:r>
      <w:r>
        <w:rPr/>
        <w:t>producción</w:t>
      </w:r>
    </w:p>
    <w:p>
      <w:pPr>
        <w:pStyle w:val="BodyText"/>
        <w:rPr>
          <w:b/>
        </w:rPr>
      </w:pPr>
    </w:p>
    <w:p>
      <w:pPr>
        <w:pStyle w:val="BodyText"/>
        <w:spacing w:before="6"/>
        <w:rPr>
          <w:b/>
          <w:sz w:val="23"/>
        </w:rPr>
      </w:pPr>
    </w:p>
    <w:p>
      <w:pPr>
        <w:pStyle w:val="BodyText"/>
        <w:spacing w:line="362" w:lineRule="auto"/>
        <w:ind w:left="102" w:right="124"/>
        <w:jc w:val="both"/>
      </w:pPr>
      <w:r>
        <w:rPr/>
        <w:t>Desde el enfoque de las estrategias de producción tenemos que las organizaciones están optando por (Etlie y Penner-Hahn, 1994):</w:t>
      </w:r>
    </w:p>
    <w:p>
      <w:pPr>
        <w:pStyle w:val="BodyText"/>
      </w:pPr>
    </w:p>
    <w:p>
      <w:pPr>
        <w:pStyle w:val="ListParagraph"/>
        <w:numPr>
          <w:ilvl w:val="1"/>
          <w:numId w:val="45"/>
        </w:numPr>
        <w:tabs>
          <w:tab w:pos="822" w:val="left" w:leader="none"/>
        </w:tabs>
        <w:spacing w:line="350" w:lineRule="auto" w:before="140" w:after="0"/>
        <w:ind w:left="822" w:right="116" w:hanging="360"/>
        <w:jc w:val="both"/>
        <w:rPr>
          <w:sz w:val="24"/>
        </w:rPr>
      </w:pPr>
      <w:r>
        <w:rPr>
          <w:sz w:val="24"/>
        </w:rPr>
        <w:t>Instalar sistemas de manufactura más flexibles, conocidos como sistemas operativos.</w:t>
      </w:r>
    </w:p>
    <w:p>
      <w:pPr>
        <w:pStyle w:val="ListParagraph"/>
        <w:numPr>
          <w:ilvl w:val="1"/>
          <w:numId w:val="45"/>
        </w:numPr>
        <w:tabs>
          <w:tab w:pos="821" w:val="left" w:leader="none"/>
          <w:tab w:pos="822" w:val="left" w:leader="none"/>
        </w:tabs>
        <w:spacing w:line="240" w:lineRule="auto" w:before="16" w:after="0"/>
        <w:ind w:left="822" w:right="0" w:hanging="360"/>
        <w:jc w:val="left"/>
        <w:rPr>
          <w:sz w:val="24"/>
        </w:rPr>
      </w:pPr>
      <w:r>
        <w:rPr>
          <w:sz w:val="24"/>
        </w:rPr>
        <w:t>Sistemas de lanzamiento de nuevos productos más ágiles y</w:t>
      </w:r>
      <w:r>
        <w:rPr>
          <w:spacing w:val="-13"/>
          <w:sz w:val="24"/>
        </w:rPr>
        <w:t> </w:t>
      </w:r>
      <w:r>
        <w:rPr>
          <w:sz w:val="24"/>
        </w:rPr>
        <w:t>flexibles.</w:t>
      </w:r>
    </w:p>
    <w:p>
      <w:pPr>
        <w:pStyle w:val="BodyText"/>
      </w:pPr>
    </w:p>
    <w:p>
      <w:pPr>
        <w:pStyle w:val="BodyText"/>
        <w:spacing w:before="10"/>
        <w:rPr>
          <w:sz w:val="23"/>
        </w:rPr>
      </w:pPr>
    </w:p>
    <w:p>
      <w:pPr>
        <w:pStyle w:val="BodyText"/>
        <w:spacing w:line="360" w:lineRule="auto"/>
        <w:ind w:left="102" w:right="114"/>
        <w:jc w:val="both"/>
      </w:pPr>
      <w:r>
        <w:rPr/>
        <w:t>Para que las estrategias obtengan éxito en su implantación está fundamentado en la capacidad que se tenga de reproducibilidad de las mismas. Para ello se recomienda que no se establezcan únicamente con un fin económico, sino que deberán generar un cambio de cultura de trabajo en el mercado interno.</w:t>
      </w:r>
    </w:p>
    <w:p>
      <w:pPr>
        <w:pStyle w:val="BodyText"/>
        <w:spacing w:line="360" w:lineRule="auto" w:before="205"/>
        <w:ind w:left="102" w:right="121"/>
        <w:jc w:val="both"/>
      </w:pPr>
      <w:r>
        <w:rPr/>
        <w:t>Tomando en consideración lo expuesto en este apartado, se puede ver que la flexibilidad  del mercado de trabajo es un aspecto importante que puede llegar a facilitar u obstaculizar el proceso de transición de los jóvenes al mercado de trabajo. La flexibilidad externa, afecta el nivel de empleo y la flexibilidad interna, las condiciones de contratación. La </w:t>
      </w:r>
      <w:r>
        <w:rPr>
          <w:spacing w:val="18"/>
        </w:rPr>
        <w:t> </w:t>
      </w:r>
      <w:r>
        <w:rPr/>
        <w:t>flexibilidad</w:t>
      </w:r>
    </w:p>
    <w:p>
      <w:pPr>
        <w:spacing w:after="0" w:line="360" w:lineRule="auto"/>
        <w:jc w:val="both"/>
        <w:sectPr>
          <w:footerReference w:type="default" r:id="rId35"/>
          <w:pgSz w:w="12240" w:h="15840"/>
          <w:pgMar w:footer="1243" w:header="0" w:top="1380" w:bottom="1440" w:left="1600" w:right="1580"/>
        </w:sectPr>
      </w:pPr>
    </w:p>
    <w:p>
      <w:pPr>
        <w:pStyle w:val="BodyText"/>
        <w:spacing w:line="360" w:lineRule="auto" w:before="50"/>
        <w:ind w:left="102" w:right="119"/>
        <w:jc w:val="both"/>
      </w:pPr>
      <w:r>
        <w:rPr/>
        <w:t>salarial únicamente beneficia al empleador. Al final de la historia, los empleadores buscan flexibilizar sus procesos productivos, el objetivo es lograr más productividad al menor costo, lo cual se traduce en la citada flexibilidad salarial.</w:t>
      </w:r>
    </w:p>
    <w:p>
      <w:pPr>
        <w:pStyle w:val="BodyText"/>
      </w:pPr>
    </w:p>
    <w:p>
      <w:pPr>
        <w:pStyle w:val="BodyText"/>
        <w:spacing w:before="11"/>
        <w:rPr>
          <w:sz w:val="29"/>
        </w:rPr>
      </w:pPr>
    </w:p>
    <w:p>
      <w:pPr>
        <w:pStyle w:val="BodyText"/>
        <w:spacing w:line="360" w:lineRule="auto"/>
        <w:ind w:left="102" w:right="120"/>
        <w:jc w:val="both"/>
      </w:pPr>
      <w:r>
        <w:rPr/>
        <w:t>Se concluye que el mercado de trabajo puede ser estudiado desde diferentes perspectivas  del pensamiento económico, para efectos de sustento y soporte de esta investigación se toman como base la teoría neoclásica y la teoría de la segmentación. La teoría neoclásica del mercado de trabajo tiene como supuestos principales: considerar al mercado de trabajo como a cualquier otro mercado de bienes, la ley de oferta y demanda son las que establecen el nivel de salario, existen mercados internos y externos, en los cuales los trabajadores que </w:t>
      </w:r>
      <w:r>
        <w:rPr>
          <w:spacing w:val="-3"/>
        </w:rPr>
        <w:t>ya </w:t>
      </w:r>
      <w:r>
        <w:rPr/>
        <w:t>cuenta con un empleo se dice que son los trabajadores internos, dado que se encuentran dentro del mercado. Son ellos, los que obstaculizan y no permiten la entrada de los trabajadores que se encuentran fuera de él (trabajadores</w:t>
      </w:r>
      <w:r>
        <w:rPr>
          <w:spacing w:val="-13"/>
        </w:rPr>
        <w:t> </w:t>
      </w:r>
      <w:r>
        <w:rPr/>
        <w:t>externos).</w:t>
      </w:r>
    </w:p>
    <w:p>
      <w:pPr>
        <w:pStyle w:val="BodyText"/>
      </w:pPr>
    </w:p>
    <w:p>
      <w:pPr>
        <w:pStyle w:val="BodyText"/>
        <w:spacing w:before="4"/>
        <w:rPr>
          <w:sz w:val="21"/>
        </w:rPr>
      </w:pPr>
    </w:p>
    <w:p>
      <w:pPr>
        <w:pStyle w:val="BodyText"/>
        <w:spacing w:line="360" w:lineRule="auto" w:before="1"/>
        <w:ind w:left="102" w:right="118"/>
        <w:jc w:val="both"/>
      </w:pPr>
      <w:r>
        <w:rPr/>
        <w:t>Ahora bien, existen diferentes puntos de convergencia entre la perspectiva neoclásica y la segmentista, la principal es la consideración de la eficiencia económica, en donde para los neoclásicos se puede explicar únicamente con factores económicos, y para los segmentistas se deben considerar también los factores burocráticas que intervienen. Las críticas que los segmentistas han hecho a la teoría neoclásica principalmente son: la rigidez de salarios y el considerar al mercado de trabajo cómo a cualquier otro mercado de bienes. En respuesta a ello, la teoría de la segmentación propone la flexibilización del trabajo, siendo el elemento clave.</w:t>
      </w:r>
    </w:p>
    <w:p>
      <w:pPr>
        <w:pStyle w:val="BodyText"/>
      </w:pPr>
    </w:p>
    <w:p>
      <w:pPr>
        <w:pStyle w:val="BodyText"/>
        <w:spacing w:line="360" w:lineRule="auto" w:before="143"/>
        <w:ind w:left="102" w:right="120"/>
        <w:jc w:val="both"/>
      </w:pPr>
      <w:r>
        <w:rPr/>
        <w:t>En el siguiente capítulo se aborda la perspectiva teórica del proceso de transición, enfatizando en el supuesto de que el proceso de transición de la escuela al mercado de trabajo, tiene dos elementos principales: la Institución de Educación Superior que participa en el proceso de formación y el mercado de trabajo en el que se insertará el formado.</w:t>
      </w:r>
    </w:p>
    <w:p>
      <w:pPr>
        <w:spacing w:after="0" w:line="360" w:lineRule="auto"/>
        <w:jc w:val="both"/>
        <w:sectPr>
          <w:footerReference w:type="default" r:id="rId36"/>
          <w:pgSz w:w="12240" w:h="15840"/>
          <w:pgMar w:footer="1243" w:header="0" w:top="1360" w:bottom="1440" w:left="1600" w:right="1580"/>
          <w:pgNumType w:start="41"/>
        </w:sectPr>
      </w:pPr>
    </w:p>
    <w:p>
      <w:pPr>
        <w:pStyle w:val="BodyText"/>
        <w:spacing w:line="360" w:lineRule="auto" w:before="50"/>
        <w:ind w:left="102" w:right="121"/>
        <w:jc w:val="both"/>
      </w:pPr>
      <w:r>
        <w:rPr/>
        <w:t>Ambos serán estudiados con el propósito de entender y conocer el contexto en el cual se lleva a cabo dicho proceso, el interés principal se centra en destacar las características que se  presentan tanto favorables como desfavorables para los egresados.</w:t>
      </w:r>
    </w:p>
    <w:p>
      <w:pPr>
        <w:spacing w:after="0" w:line="360" w:lineRule="auto"/>
        <w:jc w:val="both"/>
        <w:sectPr>
          <w:pgSz w:w="12240" w:h="15840"/>
          <w:pgMar w:header="0" w:footer="1243" w:top="1360" w:bottom="1440" w:left="1600" w:right="1580"/>
        </w:sectPr>
      </w:pPr>
    </w:p>
    <w:p>
      <w:pPr>
        <w:pStyle w:val="Heading3"/>
        <w:ind w:right="19"/>
        <w:jc w:val="center"/>
      </w:pPr>
      <w:bookmarkStart w:name="_bookmark20" w:id="36"/>
      <w:bookmarkEnd w:id="36"/>
      <w:r>
        <w:rPr>
          <w:b w:val="0"/>
        </w:rPr>
      </w:r>
      <w:r>
        <w:rPr/>
        <w:t>CAPÍTULO 2</w:t>
      </w:r>
    </w:p>
    <w:p>
      <w:pPr>
        <w:spacing w:before="43"/>
        <w:ind w:left="0" w:right="21" w:firstLine="0"/>
        <w:jc w:val="center"/>
        <w:rPr>
          <w:b/>
          <w:sz w:val="24"/>
        </w:rPr>
      </w:pPr>
      <w:r>
        <w:rPr>
          <w:b/>
          <w:sz w:val="24"/>
        </w:rPr>
        <w:t>PROCESO DE TRANSICIÓN AL MERCADO DE TRABAJO</w:t>
      </w:r>
    </w:p>
    <w:p>
      <w:pPr>
        <w:pStyle w:val="BodyText"/>
        <w:rPr>
          <w:b/>
        </w:rPr>
      </w:pPr>
    </w:p>
    <w:p>
      <w:pPr>
        <w:pStyle w:val="BodyText"/>
        <w:spacing w:before="9"/>
        <w:rPr>
          <w:b/>
          <w:sz w:val="23"/>
        </w:rPr>
      </w:pPr>
    </w:p>
    <w:p>
      <w:pPr>
        <w:spacing w:before="0"/>
        <w:ind w:left="102" w:right="0" w:firstLine="0"/>
        <w:jc w:val="both"/>
        <w:rPr>
          <w:b/>
          <w:sz w:val="24"/>
        </w:rPr>
      </w:pPr>
      <w:r>
        <w:rPr>
          <w:b/>
          <w:sz w:val="24"/>
        </w:rPr>
        <w:t>Introducción</w:t>
      </w:r>
    </w:p>
    <w:p>
      <w:pPr>
        <w:pStyle w:val="BodyText"/>
        <w:spacing w:before="5"/>
        <w:rPr>
          <w:b/>
          <w:sz w:val="20"/>
        </w:rPr>
      </w:pPr>
    </w:p>
    <w:p>
      <w:pPr>
        <w:pStyle w:val="BodyText"/>
        <w:spacing w:line="360" w:lineRule="auto"/>
        <w:ind w:left="102" w:right="115"/>
        <w:jc w:val="both"/>
      </w:pPr>
      <w:r>
        <w:rPr/>
        <w:t>Después de haber analizado las principales teorías del mercado de trabajo que soportan esta tesis, en este capítulo se presentan un concepto básico para el tema de estudio: el proceso  de transición al mercado de</w:t>
      </w:r>
      <w:r>
        <w:rPr>
          <w:spacing w:val="-7"/>
        </w:rPr>
        <w:t> </w:t>
      </w:r>
      <w:r>
        <w:rPr/>
        <w:t>trabajo.</w:t>
      </w:r>
    </w:p>
    <w:p>
      <w:pPr>
        <w:pStyle w:val="BodyText"/>
      </w:pPr>
    </w:p>
    <w:p>
      <w:pPr>
        <w:pStyle w:val="BodyText"/>
        <w:spacing w:line="360" w:lineRule="auto" w:before="143"/>
        <w:ind w:left="102" w:right="115"/>
        <w:jc w:val="both"/>
      </w:pPr>
      <w:r>
        <w:rPr/>
        <w:t>Se analiza la perspectiva teórica del proceso de transición de la universidad al mercado de trabajo, con un recorrido por la teoría de la búsqueda, teoría de las señales y teoría de la  fila. El proceso de transición, una de la etapas más importantes para cualquier formado universitario, debe ser breve y fluido; sin embargo, este proceso no se comporta de esta forma en la actualidad, presentando una serie de cambios: (1) se retrasa el inicio  del proceso de transición profesional por el alargamiento de la escolarización; (2) se alarga la duración del proceso debido a la crisis económica; (3) se ha complejizado la transición profesional debido a la existencia de prácticas profesionales no laborales, empleos precarios, trabajos temporales; y (4) el proceso de transición se ha precarizado puesto que no está claro que conduzca a un empleo estable (Salgado y Miranda, 2007)</w:t>
      </w:r>
      <w:r>
        <w:rPr>
          <w:spacing w:val="-5"/>
        </w:rPr>
        <w:t> </w:t>
      </w:r>
      <w:r>
        <w:rPr/>
        <w:t>.</w:t>
      </w:r>
    </w:p>
    <w:p>
      <w:pPr>
        <w:pStyle w:val="BodyText"/>
      </w:pPr>
    </w:p>
    <w:p>
      <w:pPr>
        <w:pStyle w:val="Heading3"/>
        <w:numPr>
          <w:ilvl w:val="1"/>
          <w:numId w:val="46"/>
        </w:numPr>
        <w:tabs>
          <w:tab w:pos="464" w:val="left" w:leader="none"/>
        </w:tabs>
        <w:spacing w:line="240" w:lineRule="auto" w:before="212" w:after="0"/>
        <w:ind w:left="463" w:right="0" w:hanging="361"/>
        <w:jc w:val="both"/>
      </w:pPr>
      <w:bookmarkStart w:name="_bookmark21" w:id="37"/>
      <w:bookmarkEnd w:id="37"/>
      <w:r>
        <w:rPr>
          <w:b w:val="0"/>
        </w:rPr>
      </w:r>
      <w:bookmarkStart w:name="_bookmark21" w:id="38"/>
      <w:bookmarkEnd w:id="38"/>
      <w:r>
        <w:rPr/>
        <w:t>P</w:t>
      </w:r>
      <w:r>
        <w:rPr/>
        <w:t>roceso de</w:t>
      </w:r>
      <w:r>
        <w:rPr>
          <w:spacing w:val="-6"/>
        </w:rPr>
        <w:t> </w:t>
      </w:r>
      <w:r>
        <w:rPr/>
        <w:t>transición</w:t>
      </w:r>
    </w:p>
    <w:p>
      <w:pPr>
        <w:pStyle w:val="BodyText"/>
        <w:rPr>
          <w:b/>
        </w:rPr>
      </w:pPr>
    </w:p>
    <w:p>
      <w:pPr>
        <w:pStyle w:val="BodyText"/>
        <w:spacing w:line="360" w:lineRule="auto" w:before="175"/>
        <w:ind w:left="102" w:right="115"/>
        <w:jc w:val="both"/>
      </w:pPr>
      <w:r>
        <w:rPr/>
        <w:t>El proceso de transición de la escuela al mercado de trabajo, tiene dos elementos principales: la Institución de Educación Superior que participa en el proceso de formación y el mercado de trabajo en el que se insertará el formado. El primer elemento, está  constituido por los niveles académicos de licenciatura y posgrado (maestría y doctorado) (SEP, 2012). El segundo elemento, tiene diferentes características y es afectado por diferentes factores. Los autores neoclásicos consideran que son las leyes de oferta y demanda las que rigen y determinan el equilibrio y fijan los salarios. Es decir, la cantidad ofertada y la cantidad demandada que existirá en el mercado de trabajo, las cuales se  ajustan a medida que los empleos son creados o</w:t>
      </w:r>
      <w:r>
        <w:rPr>
          <w:spacing w:val="-10"/>
        </w:rPr>
        <w:t> </w:t>
      </w:r>
      <w:r>
        <w:rPr/>
        <w:t>desaparecen.</w:t>
      </w:r>
    </w:p>
    <w:p>
      <w:pPr>
        <w:spacing w:after="0" w:line="360" w:lineRule="auto"/>
        <w:jc w:val="both"/>
        <w:sectPr>
          <w:pgSz w:w="12240" w:h="15840"/>
          <w:pgMar w:header="0" w:footer="1243" w:top="1360" w:bottom="1440" w:left="1600" w:right="1580"/>
        </w:sectPr>
      </w:pPr>
    </w:p>
    <w:p>
      <w:pPr>
        <w:pStyle w:val="BodyText"/>
        <w:spacing w:line="360" w:lineRule="auto" w:before="50"/>
        <w:ind w:left="102" w:right="116"/>
        <w:jc w:val="both"/>
      </w:pPr>
      <w:r>
        <w:rPr/>
        <w:t>Se suele hablar de inserción o transición profesional como sinónimo de entrada en la vida activa, del acceso de los jóvenes al empleo, del paso de la escuela al trabajo o del sistema educativo al mercado de trabajo. Pero conviene recordar que esta inserción profesional no  es exclusiva de los jóvenes, afecta también a las personas que por alguna razón se incorporan tardíamente a la actividad económica o, a aquellas que se reincorporan  al empleo después de periodos largos de</w:t>
      </w:r>
      <w:r>
        <w:rPr>
          <w:spacing w:val="-11"/>
        </w:rPr>
        <w:t> </w:t>
      </w:r>
      <w:r>
        <w:rPr/>
        <w:t>desempleo.</w:t>
      </w:r>
    </w:p>
    <w:p>
      <w:pPr>
        <w:pStyle w:val="BodyText"/>
      </w:pPr>
    </w:p>
    <w:p>
      <w:pPr>
        <w:pStyle w:val="BodyText"/>
        <w:spacing w:line="360" w:lineRule="auto" w:before="143"/>
        <w:ind w:left="102" w:right="119"/>
        <w:jc w:val="both"/>
      </w:pPr>
      <w:r>
        <w:rPr/>
        <w:t>El </w:t>
      </w:r>
      <w:r>
        <w:rPr>
          <w:i/>
        </w:rPr>
        <w:t>European Centre for the Development of Vocational Training </w:t>
      </w:r>
      <w:r>
        <w:rPr/>
        <w:t>(CEDEFOP por sus siglas en español, 2012) definió al proceso de transición como una situación social y económica importante, el sector público determina que es un proceso que se lleva a cabo de buena forma si se cumple con (CEDEFOP, 2012):</w:t>
      </w:r>
    </w:p>
    <w:p>
      <w:pPr>
        <w:pStyle w:val="ListParagraph"/>
        <w:numPr>
          <w:ilvl w:val="2"/>
          <w:numId w:val="46"/>
        </w:numPr>
        <w:tabs>
          <w:tab w:pos="822" w:val="left" w:leader="none"/>
        </w:tabs>
        <w:spacing w:line="240" w:lineRule="auto" w:before="205" w:after="0"/>
        <w:ind w:left="822" w:right="0" w:hanging="360"/>
        <w:jc w:val="left"/>
        <w:rPr>
          <w:sz w:val="24"/>
        </w:rPr>
      </w:pPr>
      <w:r>
        <w:rPr>
          <w:sz w:val="24"/>
        </w:rPr>
        <w:t>Evaluación del entrenamiento y formación proveído por el sistema</w:t>
      </w:r>
      <w:r>
        <w:rPr>
          <w:spacing w:val="-9"/>
          <w:sz w:val="24"/>
        </w:rPr>
        <w:t> </w:t>
      </w:r>
      <w:r>
        <w:rPr>
          <w:sz w:val="24"/>
        </w:rPr>
        <w:t>educativo.</w:t>
      </w:r>
    </w:p>
    <w:p>
      <w:pPr>
        <w:pStyle w:val="ListParagraph"/>
        <w:numPr>
          <w:ilvl w:val="2"/>
          <w:numId w:val="46"/>
        </w:numPr>
        <w:tabs>
          <w:tab w:pos="822" w:val="left" w:leader="none"/>
        </w:tabs>
        <w:spacing w:line="360" w:lineRule="auto" w:before="139" w:after="0"/>
        <w:ind w:left="822" w:right="123" w:hanging="360"/>
        <w:jc w:val="left"/>
        <w:rPr>
          <w:sz w:val="24"/>
        </w:rPr>
      </w:pPr>
      <w:r>
        <w:rPr>
          <w:sz w:val="24"/>
        </w:rPr>
        <w:t>Cálculo del límite de desempleo juvenil y exclusión de gente joven al mercado de trabajo.</w:t>
      </w:r>
    </w:p>
    <w:p>
      <w:pPr>
        <w:pStyle w:val="ListParagraph"/>
        <w:numPr>
          <w:ilvl w:val="2"/>
          <w:numId w:val="46"/>
        </w:numPr>
        <w:tabs>
          <w:tab w:pos="822" w:val="left" w:leader="none"/>
        </w:tabs>
        <w:spacing w:line="360" w:lineRule="auto" w:before="6" w:after="0"/>
        <w:ind w:left="822" w:right="120" w:hanging="360"/>
        <w:jc w:val="left"/>
        <w:rPr>
          <w:sz w:val="24"/>
        </w:rPr>
      </w:pPr>
      <w:r>
        <w:rPr>
          <w:sz w:val="24"/>
        </w:rPr>
        <w:t>Promoción de la gente joven al mercado de trabajo, reclutamiento de empleados y seguridad de</w:t>
      </w:r>
      <w:r>
        <w:rPr>
          <w:spacing w:val="-5"/>
          <w:sz w:val="24"/>
        </w:rPr>
        <w:t> </w:t>
      </w:r>
      <w:r>
        <w:rPr>
          <w:sz w:val="24"/>
        </w:rPr>
        <w:t>empleo.</w:t>
      </w:r>
    </w:p>
    <w:p>
      <w:pPr>
        <w:pStyle w:val="BodyText"/>
      </w:pPr>
    </w:p>
    <w:p>
      <w:pPr>
        <w:pStyle w:val="BodyText"/>
        <w:spacing w:line="360" w:lineRule="auto" w:before="143"/>
        <w:ind w:left="102" w:right="120"/>
        <w:jc w:val="both"/>
      </w:pPr>
      <w:r>
        <w:rPr/>
        <w:t>Se puede discutir (Cachón, 1999) el sentido más común que se da a la expresión  “inserción” o “proceso de transición” que, desde una óptica individualista, parece querer apuntar a la consecución por el trabajador de un estatus (relativamente) establece en el mercado de trabajo. Aunque no existe un término que haya alcanzado una aceptación generalizada para describir este proceso, por lo que parece más adecuado hablar de transición profesional porque, como señala Cachón (1999), corresponde acertadamente a la idea de un tránsito, de un estado, intermedio que tiene una cierta duración, que sufre la influencia de la situación precedente y prefigura la situación futura. La inserción ha sido considerada durante mucho tiempo como una especie de fase, breve y neutra, entre dos momentos diferenciados de formación y empleo, como un tiempo de incertidumbre antes del acceso a la  estabilidad</w:t>
      </w:r>
      <w:r>
        <w:rPr>
          <w:spacing w:val="-7"/>
        </w:rPr>
        <w:t> </w:t>
      </w:r>
      <w:r>
        <w:rPr/>
        <w:t>profesional.</w:t>
      </w:r>
    </w:p>
    <w:p>
      <w:pPr>
        <w:pStyle w:val="BodyText"/>
        <w:spacing w:before="9"/>
      </w:pPr>
    </w:p>
    <w:p>
      <w:pPr>
        <w:pStyle w:val="BodyText"/>
        <w:spacing w:line="410" w:lineRule="atLeast"/>
        <w:ind w:left="102" w:right="120"/>
        <w:jc w:val="both"/>
      </w:pPr>
      <w:r>
        <w:rPr/>
        <w:t>La preocupación principal tanto del Estado como las instituciones sociales (incluida la familia)  es  si  realmente  la  formación  que  se  recibe  en  las  instituciones  educativas es</w:t>
      </w:r>
    </w:p>
    <w:p>
      <w:pPr>
        <w:spacing w:after="0" w:line="410" w:lineRule="atLeast"/>
        <w:jc w:val="both"/>
        <w:sectPr>
          <w:pgSz w:w="12240" w:h="15840"/>
          <w:pgMar w:header="0" w:footer="1243" w:top="1360" w:bottom="1440" w:left="1600" w:right="1580"/>
        </w:sectPr>
      </w:pPr>
    </w:p>
    <w:p>
      <w:pPr>
        <w:pStyle w:val="BodyText"/>
        <w:spacing w:line="360" w:lineRule="auto" w:before="50"/>
        <w:ind w:left="102" w:right="122"/>
        <w:jc w:val="both"/>
      </w:pPr>
      <w:r>
        <w:rPr/>
        <w:t>adecuada y está formando individuos o personas que pueda cubrir la oferta del mercado de trabajo.  Es decir, si el proceso de transición verdaderamente es una fase breve por la cual  el individuo transita en el periodo en el que termina su formación y preparación educativa,  y se incorpora a la vida</w:t>
      </w:r>
      <w:r>
        <w:rPr>
          <w:spacing w:val="-7"/>
        </w:rPr>
        <w:t> </w:t>
      </w:r>
      <w:r>
        <w:rPr/>
        <w:t>laboral.</w:t>
      </w:r>
    </w:p>
    <w:p>
      <w:pPr>
        <w:pStyle w:val="BodyText"/>
      </w:pPr>
    </w:p>
    <w:p>
      <w:pPr>
        <w:pStyle w:val="BodyText"/>
        <w:spacing w:line="360" w:lineRule="auto" w:before="143"/>
        <w:ind w:left="102" w:right="118"/>
        <w:jc w:val="both"/>
      </w:pPr>
      <w:r>
        <w:rPr/>
        <w:t>Partiendo del supuesto que a mayor formación se logrará una mayor empleabilidad, esto permite transferir al sistema formativo la responsabilidad por las tasas de desempleo  juvenil, bajo esta lógica se asume que los jóvenes con carencias o deficiencias en su formación profesional no logran insertarse correctamente a la vida profesional, </w:t>
      </w:r>
      <w:r>
        <w:rPr>
          <w:spacing w:val="-3"/>
        </w:rPr>
        <w:t>ya </w:t>
      </w:r>
      <w:r>
        <w:rPr/>
        <w:t>que el mercado de trabajo demanda niveles de calificación cada vez mayores. Sin embargo, no sucede del todo de esta forma existen diversas razones por las cuales el proceso de transición se puede retardar o definitivamente cancelar. En el siguiente apartado se analizan los tipos de trayectorias profesionales en los cuales se pueden identificar a los jóvenes en busca de</w:t>
      </w:r>
      <w:r>
        <w:rPr>
          <w:spacing w:val="-5"/>
        </w:rPr>
        <w:t> </w:t>
      </w:r>
      <w:r>
        <w:rPr/>
        <w:t>empleo.</w:t>
      </w:r>
    </w:p>
    <w:p>
      <w:pPr>
        <w:pStyle w:val="BodyText"/>
      </w:pPr>
    </w:p>
    <w:p>
      <w:pPr>
        <w:pStyle w:val="Heading3"/>
        <w:numPr>
          <w:ilvl w:val="2"/>
          <w:numId w:val="47"/>
        </w:numPr>
        <w:tabs>
          <w:tab w:pos="822" w:val="left" w:leader="none"/>
        </w:tabs>
        <w:spacing w:line="240" w:lineRule="auto" w:before="212" w:after="0"/>
        <w:ind w:left="822" w:right="0" w:hanging="720"/>
        <w:jc w:val="both"/>
      </w:pPr>
      <w:bookmarkStart w:name="_bookmark22" w:id="39"/>
      <w:bookmarkEnd w:id="39"/>
      <w:r>
        <w:rPr>
          <w:b w:val="0"/>
        </w:rPr>
      </w:r>
      <w:bookmarkStart w:name="_bookmark22" w:id="40"/>
      <w:bookmarkEnd w:id="40"/>
      <w:r>
        <w:rPr/>
        <w:t>M</w:t>
      </w:r>
      <w:r>
        <w:rPr/>
        <w:t>odalidades de transición</w:t>
      </w:r>
      <w:r>
        <w:rPr>
          <w:spacing w:val="-9"/>
        </w:rPr>
        <w:t> </w:t>
      </w:r>
      <w:r>
        <w:rPr/>
        <w:t>profesional</w:t>
      </w:r>
    </w:p>
    <w:p>
      <w:pPr>
        <w:pStyle w:val="BodyText"/>
        <w:spacing w:before="7"/>
        <w:rPr>
          <w:b/>
          <w:sz w:val="28"/>
        </w:rPr>
      </w:pPr>
    </w:p>
    <w:p>
      <w:pPr>
        <w:pStyle w:val="BodyText"/>
        <w:spacing w:line="360" w:lineRule="auto"/>
        <w:ind w:left="102" w:right="117"/>
        <w:jc w:val="both"/>
      </w:pPr>
      <w:r>
        <w:rPr/>
        <w:t>A través de distintos modelos se tratará de establecer las relaciones que se dan entre el proceso de transición profesional y las condiciones generales que prevalecen en el mercado de trabajo. Esta clasificación ha sido tomada de Casal (1997). El autor define seis modalidades posibles de transición; cada una de ellas se relaciona con  cierto perfil:</w:t>
      </w:r>
    </w:p>
    <w:p>
      <w:pPr>
        <w:pStyle w:val="BodyText"/>
      </w:pPr>
    </w:p>
    <w:p>
      <w:pPr>
        <w:pStyle w:val="ListParagraph"/>
        <w:numPr>
          <w:ilvl w:val="0"/>
          <w:numId w:val="48"/>
        </w:numPr>
        <w:tabs>
          <w:tab w:pos="822" w:val="left" w:leader="none"/>
        </w:tabs>
        <w:spacing w:line="360" w:lineRule="auto" w:before="143" w:after="0"/>
        <w:ind w:left="822" w:right="117" w:hanging="360"/>
        <w:jc w:val="both"/>
        <w:rPr>
          <w:sz w:val="24"/>
        </w:rPr>
      </w:pPr>
      <w:r>
        <w:rPr>
          <w:b/>
          <w:sz w:val="24"/>
        </w:rPr>
        <w:t>Transición acelerada o en éxito precoz</w:t>
      </w:r>
      <w:r>
        <w:rPr>
          <w:sz w:val="24"/>
        </w:rPr>
        <w:t>: Está conformada por jóvenes que tienen grandes expectativas de carrera profesional o de éxito, lo cual presupone opciones de prolongación de la formación académica con resultados positivos o, la opción para una inserción profesional susceptible de mejoras graduales a partir de una formación continua y/o la promoción interna rápida. Esta trayectoria sugiere itinerarios de formación en éxito y sin rupturas y un tránsito positivo a la vida activa. El desarrollo de una formación superior no es un requisito indispensable,  este</w:t>
      </w:r>
      <w:r>
        <w:rPr>
          <w:spacing w:val="31"/>
          <w:sz w:val="24"/>
        </w:rPr>
        <w:t> </w:t>
      </w:r>
      <w:r>
        <w:rPr>
          <w:sz w:val="24"/>
        </w:rPr>
        <w:t>puede</w:t>
      </w:r>
      <w:r>
        <w:rPr>
          <w:spacing w:val="30"/>
          <w:sz w:val="24"/>
        </w:rPr>
        <w:t> </w:t>
      </w:r>
      <w:r>
        <w:rPr>
          <w:sz w:val="24"/>
        </w:rPr>
        <w:t>darse</w:t>
      </w:r>
      <w:r>
        <w:rPr>
          <w:spacing w:val="30"/>
          <w:sz w:val="24"/>
        </w:rPr>
        <w:t> </w:t>
      </w:r>
      <w:r>
        <w:rPr>
          <w:sz w:val="24"/>
        </w:rPr>
        <w:t>también</w:t>
      </w:r>
      <w:r>
        <w:rPr>
          <w:spacing w:val="30"/>
          <w:sz w:val="24"/>
        </w:rPr>
        <w:t> </w:t>
      </w:r>
      <w:r>
        <w:rPr>
          <w:sz w:val="24"/>
        </w:rPr>
        <w:t>con</w:t>
      </w:r>
      <w:r>
        <w:rPr>
          <w:spacing w:val="31"/>
          <w:sz w:val="24"/>
        </w:rPr>
        <w:t> </w:t>
      </w:r>
      <w:r>
        <w:rPr>
          <w:sz w:val="24"/>
        </w:rPr>
        <w:t>estudios</w:t>
      </w:r>
      <w:r>
        <w:rPr>
          <w:spacing w:val="31"/>
          <w:sz w:val="24"/>
        </w:rPr>
        <w:t> </w:t>
      </w:r>
      <w:r>
        <w:rPr>
          <w:sz w:val="24"/>
        </w:rPr>
        <w:t>generales</w:t>
      </w:r>
      <w:r>
        <w:rPr>
          <w:spacing w:val="33"/>
          <w:sz w:val="24"/>
        </w:rPr>
        <w:t> </w:t>
      </w:r>
      <w:r>
        <w:rPr>
          <w:sz w:val="24"/>
        </w:rPr>
        <w:t>o</w:t>
      </w:r>
      <w:r>
        <w:rPr>
          <w:spacing w:val="31"/>
          <w:sz w:val="24"/>
        </w:rPr>
        <w:t> </w:t>
      </w:r>
      <w:r>
        <w:rPr>
          <w:sz w:val="24"/>
        </w:rPr>
        <w:t>profesionales</w:t>
      </w:r>
      <w:r>
        <w:rPr>
          <w:spacing w:val="31"/>
          <w:sz w:val="24"/>
        </w:rPr>
        <w:t> </w:t>
      </w:r>
      <w:r>
        <w:rPr>
          <w:sz w:val="24"/>
        </w:rPr>
        <w:t>de</w:t>
      </w:r>
      <w:r>
        <w:rPr>
          <w:spacing w:val="30"/>
          <w:sz w:val="24"/>
        </w:rPr>
        <w:t> </w:t>
      </w:r>
      <w:r>
        <w:rPr>
          <w:sz w:val="24"/>
        </w:rPr>
        <w:t>grado</w:t>
      </w:r>
      <w:r>
        <w:rPr>
          <w:spacing w:val="31"/>
          <w:sz w:val="24"/>
        </w:rPr>
        <w:t> </w:t>
      </w:r>
      <w:r>
        <w:rPr>
          <w:sz w:val="24"/>
        </w:rPr>
        <w:t>medio.</w:t>
      </w:r>
    </w:p>
    <w:p>
      <w:pPr>
        <w:spacing w:after="0" w:line="360" w:lineRule="auto"/>
        <w:jc w:val="both"/>
        <w:rPr>
          <w:sz w:val="24"/>
        </w:rPr>
        <w:sectPr>
          <w:pgSz w:w="12240" w:h="15840"/>
          <w:pgMar w:header="0" w:footer="1243" w:top="1360" w:bottom="1440" w:left="1600" w:right="1580"/>
        </w:sectPr>
      </w:pPr>
    </w:p>
    <w:p>
      <w:pPr>
        <w:pStyle w:val="BodyText"/>
        <w:spacing w:line="360" w:lineRule="auto" w:before="50"/>
        <w:ind w:left="701"/>
      </w:pPr>
      <w:r>
        <w:rPr/>
        <w:t>Esto se observó en México en los años setenta y ochenta donde los jóvenes y sobre todo los profesionistas accedían rápidamente a mejores puestos de trabajo.</w:t>
      </w:r>
    </w:p>
    <w:p>
      <w:pPr>
        <w:pStyle w:val="BodyText"/>
      </w:pPr>
    </w:p>
    <w:p>
      <w:pPr>
        <w:pStyle w:val="ListParagraph"/>
        <w:numPr>
          <w:ilvl w:val="0"/>
          <w:numId w:val="48"/>
        </w:numPr>
        <w:tabs>
          <w:tab w:pos="702" w:val="left" w:leader="none"/>
        </w:tabs>
        <w:spacing w:line="360" w:lineRule="auto" w:before="143" w:after="0"/>
        <w:ind w:left="702" w:right="113" w:hanging="360"/>
        <w:jc w:val="both"/>
        <w:rPr>
          <w:sz w:val="24"/>
        </w:rPr>
      </w:pPr>
      <w:r>
        <w:rPr>
          <w:b/>
          <w:sz w:val="24"/>
        </w:rPr>
        <w:t>Transición obrera</w:t>
      </w:r>
      <w:r>
        <w:rPr>
          <w:sz w:val="24"/>
        </w:rPr>
        <w:t>: </w:t>
      </w:r>
      <w:r>
        <w:rPr>
          <w:spacing w:val="-3"/>
          <w:sz w:val="24"/>
        </w:rPr>
        <w:t>La </w:t>
      </w:r>
      <w:r>
        <w:rPr>
          <w:sz w:val="24"/>
        </w:rPr>
        <w:t>componen jóvenes orientados hacia la cultura del trabajo manual y poco calificado. Presupone la definición de un horizonte social muy limitado en cuanto a la formación reglada y una profesionalización, más en función de las ofertas de trabajo existentes que a las opciones personales de elección profesional. La escasa calificación básica y profesional determina claramente los límites en la carrera y hacen que tales trayectorias sean  particularmente  vulnerables, con relación a los cambios en el mercado de trabajo y la evolución de las empresas. Esta forma implica un tránsito de la escuela a la vida activa muy avanzado </w:t>
      </w:r>
      <w:r>
        <w:rPr>
          <w:spacing w:val="-3"/>
          <w:sz w:val="24"/>
        </w:rPr>
        <w:t>y, </w:t>
      </w:r>
      <w:r>
        <w:rPr>
          <w:sz w:val="24"/>
        </w:rPr>
        <w:t>generalmente un proceso de emancipación familiar también muy precoz. La vulnerabilidad de esta trayectoria se manifiesta de forma efectiva en el cambio ocupacional y la ausencia de carrera en el desarrollo del</w:t>
      </w:r>
      <w:r>
        <w:rPr>
          <w:spacing w:val="-12"/>
          <w:sz w:val="24"/>
        </w:rPr>
        <w:t> </w:t>
      </w:r>
      <w:r>
        <w:rPr>
          <w:sz w:val="24"/>
        </w:rPr>
        <w:t>oficio.</w:t>
      </w:r>
    </w:p>
    <w:p>
      <w:pPr>
        <w:pStyle w:val="BodyText"/>
      </w:pPr>
    </w:p>
    <w:p>
      <w:pPr>
        <w:pStyle w:val="ListParagraph"/>
        <w:numPr>
          <w:ilvl w:val="0"/>
          <w:numId w:val="48"/>
        </w:numPr>
        <w:tabs>
          <w:tab w:pos="702" w:val="left" w:leader="none"/>
        </w:tabs>
        <w:spacing w:line="360" w:lineRule="auto" w:before="143" w:after="0"/>
        <w:ind w:left="702" w:right="115" w:hanging="360"/>
        <w:jc w:val="both"/>
        <w:rPr>
          <w:sz w:val="24"/>
        </w:rPr>
      </w:pPr>
      <w:r>
        <w:rPr>
          <w:b/>
          <w:sz w:val="24"/>
        </w:rPr>
        <w:t>Transición en el ámbito familiar</w:t>
      </w:r>
      <w:r>
        <w:rPr>
          <w:sz w:val="24"/>
        </w:rPr>
        <w:t>: Esta es cuantitativamente importante en México debido a la falta de empleo y al surgimiento del empleo informal, está formado por empresas o explotaciones de carácter familiar, tanto del sector agrícola, como de la pequeña industria (talleres), el comercio al detalle, la venta ambulante y talleres de reparación y servicio. La herencia patrimonial hacia el hijo mayor es una de las principales claves de esta transición. La transición por adscripción familiar, presupone una definición del horizonte de clase en función de </w:t>
      </w:r>
      <w:r>
        <w:rPr>
          <w:spacing w:val="2"/>
          <w:sz w:val="24"/>
        </w:rPr>
        <w:t>la </w:t>
      </w:r>
      <w:r>
        <w:rPr>
          <w:sz w:val="24"/>
        </w:rPr>
        <w:t>familia, una vinculación relativamente escasa con la formación postobligatoria, y un tránsito escuela-vida activa muy precoz en cuanto a la vinculación que se da con la economía</w:t>
      </w:r>
      <w:r>
        <w:rPr>
          <w:spacing w:val="-6"/>
          <w:sz w:val="24"/>
        </w:rPr>
        <w:t> </w:t>
      </w:r>
      <w:r>
        <w:rPr>
          <w:sz w:val="24"/>
        </w:rPr>
        <w:t>familiar.</w:t>
      </w:r>
    </w:p>
    <w:p>
      <w:pPr>
        <w:pStyle w:val="BodyText"/>
      </w:pPr>
    </w:p>
    <w:p>
      <w:pPr>
        <w:pStyle w:val="ListParagraph"/>
        <w:numPr>
          <w:ilvl w:val="0"/>
          <w:numId w:val="48"/>
        </w:numPr>
        <w:tabs>
          <w:tab w:pos="702" w:val="left" w:leader="none"/>
        </w:tabs>
        <w:spacing w:line="360" w:lineRule="auto" w:before="143" w:after="0"/>
        <w:ind w:left="702" w:right="116" w:hanging="360"/>
        <w:jc w:val="both"/>
        <w:rPr>
          <w:sz w:val="24"/>
        </w:rPr>
      </w:pPr>
      <w:r>
        <w:rPr>
          <w:b/>
          <w:sz w:val="24"/>
        </w:rPr>
        <w:t>Transición de aproximación sucesiva</w:t>
      </w:r>
      <w:r>
        <w:rPr>
          <w:sz w:val="24"/>
        </w:rPr>
        <w:t>: Se trata de una modalidad definida por  altas expectativas de mejora social y profesional (carreras profesionales principalmente) en un contexto donde las opciones a tomar resultan confusas o difíciles y el margen de error es más bien alto. Esta forma de transición presupone escolarización prolongada, experiencias laborales previas a la inserción,</w:t>
      </w:r>
      <w:r>
        <w:rPr>
          <w:spacing w:val="-10"/>
          <w:sz w:val="24"/>
        </w:rPr>
        <w:t> </w:t>
      </w:r>
      <w:r>
        <w:rPr>
          <w:sz w:val="24"/>
        </w:rPr>
        <w:t>variabilidad</w:t>
      </w:r>
    </w:p>
    <w:p>
      <w:pPr>
        <w:spacing w:after="0" w:line="360" w:lineRule="auto"/>
        <w:jc w:val="both"/>
        <w:rPr>
          <w:sz w:val="24"/>
        </w:rPr>
        <w:sectPr>
          <w:pgSz w:w="12240" w:h="15840"/>
          <w:pgMar w:header="0" w:footer="1243" w:top="1360" w:bottom="1440" w:left="1720" w:right="1580"/>
        </w:sectPr>
      </w:pPr>
    </w:p>
    <w:p>
      <w:pPr>
        <w:pStyle w:val="BodyText"/>
        <w:spacing w:line="360" w:lineRule="auto" w:before="50"/>
        <w:ind w:left="821" w:right="120"/>
        <w:jc w:val="both"/>
      </w:pPr>
      <w:r>
        <w:rPr/>
        <w:t>y fracasos parciales en el transito escuela-vida activa, precariedad y subocupación, mercado secundario, etc. Describe en definitiva, una trayectoria de inserción dominada por el ajuste continuo de expectativas (generalmente a la baja) y la asunción gradual de logros parciales.</w:t>
      </w:r>
    </w:p>
    <w:p>
      <w:pPr>
        <w:pStyle w:val="BodyText"/>
      </w:pPr>
    </w:p>
    <w:p>
      <w:pPr>
        <w:pStyle w:val="ListParagraph"/>
        <w:numPr>
          <w:ilvl w:val="0"/>
          <w:numId w:val="48"/>
        </w:numPr>
        <w:tabs>
          <w:tab w:pos="822" w:val="left" w:leader="none"/>
        </w:tabs>
        <w:spacing w:line="360" w:lineRule="auto" w:before="143" w:after="0"/>
        <w:ind w:left="822" w:right="113" w:hanging="360"/>
        <w:jc w:val="both"/>
        <w:rPr>
          <w:sz w:val="24"/>
        </w:rPr>
      </w:pPr>
      <w:r>
        <w:rPr>
          <w:b/>
          <w:sz w:val="24"/>
        </w:rPr>
        <w:t>Transición en precariedad o inestabilidad</w:t>
      </w:r>
      <w:r>
        <w:rPr>
          <w:sz w:val="24"/>
        </w:rPr>
        <w:t>: La inserción profesional en la precariedad está definida por un itinerario de resultados escasamente positivos y constructivos respecto al mercado de trabajo: situaciones de desempleo intermitente, rotación laboral fuerte y subocupación son tres características dominantes. Se trata de una situación de retraso en la transición de jóvenes con expectativas de posición altas, medianas o bajas, pero que su paso por el mercado de trabajo está caracterizado por la ausencia de estabilidad y continuidad</w:t>
      </w:r>
      <w:r>
        <w:rPr>
          <w:spacing w:val="-12"/>
          <w:sz w:val="24"/>
        </w:rPr>
        <w:t> </w:t>
      </w:r>
      <w:r>
        <w:rPr>
          <w:sz w:val="24"/>
        </w:rPr>
        <w:t>laboral.</w:t>
      </w:r>
    </w:p>
    <w:p>
      <w:pPr>
        <w:pStyle w:val="BodyText"/>
      </w:pPr>
    </w:p>
    <w:p>
      <w:pPr>
        <w:pStyle w:val="ListParagraph"/>
        <w:numPr>
          <w:ilvl w:val="0"/>
          <w:numId w:val="48"/>
        </w:numPr>
        <w:tabs>
          <w:tab w:pos="822" w:val="left" w:leader="none"/>
        </w:tabs>
        <w:spacing w:line="360" w:lineRule="auto" w:before="143" w:after="0"/>
        <w:ind w:left="822" w:right="118" w:hanging="360"/>
        <w:jc w:val="both"/>
        <w:rPr>
          <w:sz w:val="24"/>
        </w:rPr>
      </w:pPr>
      <w:r>
        <w:rPr>
          <w:b/>
          <w:sz w:val="24"/>
        </w:rPr>
        <w:t>Transición de estancamiento/bloqueo o desestructuración/desintegración</w:t>
      </w:r>
      <w:r>
        <w:rPr>
          <w:sz w:val="24"/>
        </w:rPr>
        <w:t>: Caracterizada por expectativas de posicionamiento social bajas y trayectorias de formación escolar cortas, erráticas y con certificación negativas. Cabe aclarar, que no todo fracaso escolar básico está determinado hacia este tipo de trayectoria, es más, algunos jóvenes con formación más prolongada o entornos familiares más favorecidos se encuentran dentro de esta modalidad. La especificidad de esta trayectoria es el bloqueo sistemático, ante la inserción laboral; existe desempleo crónico y entradas circunstanciales en el mercado de trabajo secundario, la mayor parte de estas actividades se desarrolla en la economía</w:t>
      </w:r>
      <w:r>
        <w:rPr>
          <w:spacing w:val="-9"/>
          <w:sz w:val="24"/>
        </w:rPr>
        <w:t> </w:t>
      </w:r>
      <w:r>
        <w:rPr>
          <w:sz w:val="24"/>
        </w:rPr>
        <w:t>informal.</w:t>
      </w:r>
    </w:p>
    <w:p>
      <w:pPr>
        <w:pStyle w:val="BodyText"/>
      </w:pPr>
    </w:p>
    <w:p>
      <w:pPr>
        <w:pStyle w:val="BodyText"/>
        <w:spacing w:line="360" w:lineRule="auto" w:before="143"/>
        <w:ind w:left="102" w:right="117"/>
        <w:jc w:val="both"/>
      </w:pPr>
      <w:r>
        <w:rPr/>
        <w:t>Es evidente que con la evolución y los cambios en la estructura y condiciones del empleo de los jóvenes junto a la expansión de la educación se ha modificado la forma de inserción al mercado de trabajo. La transición de los años sesenta en México era clara y determinada, mientras que para los años noventas en adelante está diversificada y las opciones dependen de cuestiones particulares. Factores tales como antecedentes familiares (padres ricos o altamente educados) pueden ayudar a que el proceso de transición sea más sencillo, encontrándose que en ocasiones estas relaciones familiares permite al egresado conseguir una mejor paga por el empleo (CEDFOP, 2012) sin importar el nivel educativo  </w:t>
      </w:r>
      <w:r>
        <w:rPr>
          <w:spacing w:val="26"/>
        </w:rPr>
        <w:t> </w:t>
      </w:r>
      <w:r>
        <w:rPr/>
        <w:t>alcanzado.</w:t>
      </w:r>
    </w:p>
    <w:p>
      <w:pPr>
        <w:spacing w:after="0" w:line="360" w:lineRule="auto"/>
        <w:jc w:val="both"/>
        <w:sectPr>
          <w:pgSz w:w="12240" w:h="15840"/>
          <w:pgMar w:header="0" w:footer="1243" w:top="1360" w:bottom="1440" w:left="1600" w:right="1580"/>
        </w:sectPr>
      </w:pPr>
    </w:p>
    <w:p>
      <w:pPr>
        <w:pStyle w:val="BodyText"/>
        <w:spacing w:line="360" w:lineRule="auto" w:before="50"/>
        <w:ind w:left="102" w:right="119"/>
        <w:jc w:val="both"/>
      </w:pPr>
      <w:r>
        <w:rPr/>
        <w:t>Algunas de estas teorías que explican y soportan el proceso de transición al mercado de trabajo son analizadas a continuación.</w:t>
      </w:r>
    </w:p>
    <w:p>
      <w:pPr>
        <w:pStyle w:val="BodyText"/>
      </w:pPr>
    </w:p>
    <w:p>
      <w:pPr>
        <w:pStyle w:val="Heading3"/>
        <w:numPr>
          <w:ilvl w:val="2"/>
          <w:numId w:val="47"/>
        </w:numPr>
        <w:tabs>
          <w:tab w:pos="810" w:val="left" w:leader="none"/>
        </w:tabs>
        <w:spacing w:line="240" w:lineRule="auto" w:before="148" w:after="0"/>
        <w:ind w:left="810" w:right="0" w:hanging="708"/>
        <w:jc w:val="both"/>
      </w:pPr>
      <w:bookmarkStart w:name="_bookmark23" w:id="41"/>
      <w:bookmarkEnd w:id="41"/>
      <w:r>
        <w:rPr>
          <w:b w:val="0"/>
        </w:rPr>
      </w:r>
      <w:bookmarkStart w:name="_bookmark23" w:id="42"/>
      <w:bookmarkEnd w:id="42"/>
      <w:r>
        <w:rPr/>
        <w:t>T</w:t>
      </w:r>
      <w:r>
        <w:rPr/>
        <w:t>eorías del proceso de transición al mercado de</w:t>
      </w:r>
      <w:r>
        <w:rPr>
          <w:spacing w:val="-12"/>
        </w:rPr>
        <w:t> </w:t>
      </w:r>
      <w:r>
        <w:rPr/>
        <w:t>trabajo</w:t>
      </w:r>
    </w:p>
    <w:p>
      <w:pPr>
        <w:pStyle w:val="BodyText"/>
        <w:rPr>
          <w:b/>
        </w:rPr>
      </w:pPr>
    </w:p>
    <w:p>
      <w:pPr>
        <w:pStyle w:val="BodyText"/>
        <w:spacing w:before="6"/>
        <w:rPr>
          <w:b/>
          <w:sz w:val="23"/>
        </w:rPr>
      </w:pPr>
    </w:p>
    <w:p>
      <w:pPr>
        <w:pStyle w:val="BodyText"/>
        <w:spacing w:line="360" w:lineRule="auto"/>
        <w:ind w:left="102" w:right="119"/>
        <w:jc w:val="both"/>
      </w:pPr>
      <w:r>
        <w:rPr/>
        <w:t>Las teorías que se presentan en este sub apartado fueron elegidas por ser las que mejor explican y definen el proceso de transición al mercado de trabajo. Se agruparon en cuatro incisos, en el primero se analiza la teoría de la búsqueda, en el segundo se conjuntaron tres teorías que por sus características pueden ser evaluadas simultáneamente: señales, filtro y selección o credencialismo.  En el tercer y último inciso se presenta la teoría de filas.</w:t>
      </w:r>
    </w:p>
    <w:p>
      <w:pPr>
        <w:pStyle w:val="BodyText"/>
      </w:pPr>
    </w:p>
    <w:p>
      <w:pPr>
        <w:pStyle w:val="Heading3"/>
        <w:numPr>
          <w:ilvl w:val="3"/>
          <w:numId w:val="47"/>
        </w:numPr>
        <w:tabs>
          <w:tab w:pos="942" w:val="left" w:leader="none"/>
        </w:tabs>
        <w:spacing w:line="240" w:lineRule="auto" w:before="212" w:after="0"/>
        <w:ind w:left="942" w:right="0" w:hanging="840"/>
        <w:jc w:val="both"/>
      </w:pPr>
      <w:bookmarkStart w:name="_bookmark24" w:id="43"/>
      <w:bookmarkEnd w:id="43"/>
      <w:r>
        <w:rPr>
          <w:b w:val="0"/>
        </w:rPr>
      </w:r>
      <w:bookmarkStart w:name="_bookmark24" w:id="44"/>
      <w:bookmarkEnd w:id="44"/>
      <w:r>
        <w:rPr/>
        <w:t>T</w:t>
      </w:r>
      <w:r>
        <w:rPr/>
        <w:t>eoría de la</w:t>
      </w:r>
      <w:r>
        <w:rPr>
          <w:spacing w:val="-5"/>
        </w:rPr>
        <w:t> </w:t>
      </w:r>
      <w:r>
        <w:rPr/>
        <w:t>búsqueda</w:t>
      </w:r>
    </w:p>
    <w:p>
      <w:pPr>
        <w:pStyle w:val="BodyText"/>
        <w:rPr>
          <w:b/>
        </w:rPr>
      </w:pPr>
    </w:p>
    <w:p>
      <w:pPr>
        <w:pStyle w:val="BodyText"/>
        <w:spacing w:line="360" w:lineRule="auto" w:before="175"/>
        <w:ind w:left="102" w:right="113"/>
        <w:jc w:val="both"/>
      </w:pPr>
      <w:r>
        <w:rPr/>
        <w:t>Una de de las teorías que trata de explicar las dificultades para insertarse al mercado de trabajo se denomina teoría de la búsqueda, demostrada primeramente por Stigler(1961) y posteriormente por McCall (1970) y Mortensen (1970). Parte del problema de ignorancia o información imperfecta, esto es, en el mundo real los desempleados, buscadores de empleo, no están informados o no conocen la demanda total de empleos. A su vez los empleadores pueden no conocer la calidad de la oferta, es decir desconocen las calificaciones reales de los desempleados y la cantidad de personas que se encuentran en la situación de desempleo (Gómez, Borra, Gil y Salas, 2008).</w:t>
      </w:r>
    </w:p>
    <w:p>
      <w:pPr>
        <w:pStyle w:val="BodyText"/>
      </w:pPr>
    </w:p>
    <w:p>
      <w:pPr>
        <w:pStyle w:val="BodyText"/>
        <w:spacing w:line="360" w:lineRule="auto" w:before="143"/>
        <w:ind w:left="102" w:right="115"/>
        <w:jc w:val="both"/>
      </w:pPr>
      <w:r>
        <w:rPr/>
        <w:t>Para resolver el problema de ignorancia, los desempleados incurren en costos de búsqueda (Gómez et. al, 2008), lo que equivale a pagar por conocer las ofertas de empleo que hay en el mercado. Los costos de información (indagación y evaluación de la información) no son exclusivos aunque si determinantes </w:t>
      </w:r>
      <w:r>
        <w:rPr>
          <w:spacing w:val="-3"/>
        </w:rPr>
        <w:t>ya </w:t>
      </w:r>
      <w:r>
        <w:rPr/>
        <w:t>que no es suficiente con que los puestos estén vacantes sino es necesario que los individuos que buscan empleo sepan de su existencia. Por tanto, se deben incluir también los costos de tiempo y movilidad (desplazamientos a las organizaciones que pueden contratar) (Gómez, et. al,</w:t>
      </w:r>
      <w:r>
        <w:rPr>
          <w:spacing w:val="-10"/>
        </w:rPr>
        <w:t> </w:t>
      </w:r>
      <w:r>
        <w:rPr/>
        <w:t>2008).</w:t>
      </w:r>
    </w:p>
    <w:p>
      <w:pPr>
        <w:spacing w:after="0" w:line="360" w:lineRule="auto"/>
        <w:jc w:val="both"/>
        <w:sectPr>
          <w:pgSz w:w="12240" w:h="15840"/>
          <w:pgMar w:header="0" w:footer="1243" w:top="1360" w:bottom="1440" w:left="1600" w:right="1580"/>
        </w:sectPr>
      </w:pPr>
    </w:p>
    <w:p>
      <w:pPr>
        <w:pStyle w:val="BodyText"/>
        <w:spacing w:line="360" w:lineRule="auto" w:before="50"/>
        <w:ind w:left="102" w:right="124"/>
        <w:jc w:val="both"/>
      </w:pPr>
      <w:r>
        <w:rPr/>
        <w:t>La probabilidad de que el individuo que busca empleo deje el desempleo está determinada por dos factores (Gómez, et. al, 2008):</w:t>
      </w:r>
    </w:p>
    <w:p>
      <w:pPr>
        <w:pStyle w:val="ListParagraph"/>
        <w:numPr>
          <w:ilvl w:val="4"/>
          <w:numId w:val="47"/>
        </w:numPr>
        <w:tabs>
          <w:tab w:pos="822" w:val="left" w:leader="none"/>
        </w:tabs>
        <w:spacing w:line="240" w:lineRule="auto" w:before="4" w:after="0"/>
        <w:ind w:left="822" w:right="0" w:hanging="360"/>
        <w:jc w:val="left"/>
        <w:rPr>
          <w:sz w:val="24"/>
        </w:rPr>
      </w:pPr>
      <w:r>
        <w:rPr>
          <w:sz w:val="24"/>
        </w:rPr>
        <w:t>La probabilidad de obtener una oferta de</w:t>
      </w:r>
      <w:r>
        <w:rPr>
          <w:spacing w:val="-8"/>
          <w:sz w:val="24"/>
        </w:rPr>
        <w:t> </w:t>
      </w:r>
      <w:r>
        <w:rPr>
          <w:sz w:val="24"/>
        </w:rPr>
        <w:t>empleo.</w:t>
      </w:r>
    </w:p>
    <w:p>
      <w:pPr>
        <w:pStyle w:val="BodyText"/>
        <w:spacing w:before="4"/>
        <w:rPr>
          <w:sz w:val="29"/>
        </w:rPr>
      </w:pPr>
    </w:p>
    <w:p>
      <w:pPr>
        <w:pStyle w:val="ListParagraph"/>
        <w:numPr>
          <w:ilvl w:val="4"/>
          <w:numId w:val="47"/>
        </w:numPr>
        <w:tabs>
          <w:tab w:pos="822" w:val="left" w:leader="none"/>
        </w:tabs>
        <w:spacing w:line="240" w:lineRule="auto" w:before="1" w:after="0"/>
        <w:ind w:left="822" w:right="0" w:hanging="360"/>
        <w:jc w:val="left"/>
        <w:rPr>
          <w:sz w:val="24"/>
        </w:rPr>
      </w:pPr>
      <w:r>
        <w:rPr>
          <w:sz w:val="24"/>
        </w:rPr>
        <w:t>La probabilidad de aceptar la oferta de</w:t>
      </w:r>
      <w:r>
        <w:rPr>
          <w:spacing w:val="-12"/>
          <w:sz w:val="24"/>
        </w:rPr>
        <w:t> </w:t>
      </w:r>
      <w:r>
        <w:rPr>
          <w:sz w:val="24"/>
        </w:rPr>
        <w:t>empleo.</w:t>
      </w:r>
    </w:p>
    <w:p>
      <w:pPr>
        <w:pStyle w:val="BodyText"/>
        <w:spacing w:before="4"/>
        <w:rPr>
          <w:sz w:val="29"/>
        </w:rPr>
      </w:pPr>
    </w:p>
    <w:p>
      <w:pPr>
        <w:pStyle w:val="BodyText"/>
        <w:spacing w:line="360" w:lineRule="auto" w:before="1"/>
        <w:ind w:left="102" w:right="120"/>
        <w:jc w:val="both"/>
      </w:pPr>
      <w:r>
        <w:rPr/>
        <w:t>Puede suceder que no sea aceptada la primera oferta recibida, en este caso el individuo sigue en proceso de búsqueda hasta localizar las ofertas atractivas. Entonces, la persona desempleada aplica el modelo de búsqueda secuencial, el individuo fija un salario de aceptación mínimo (salario de reserva) y sigue buscando hasta que encuentra una oferta que le ofrezca cuando menos el salario que él fijó como mínimo (Gómez et. al,</w:t>
      </w:r>
      <w:r>
        <w:rPr>
          <w:spacing w:val="-11"/>
        </w:rPr>
        <w:t> </w:t>
      </w:r>
      <w:r>
        <w:rPr/>
        <w:t>2008).</w:t>
      </w:r>
    </w:p>
    <w:p>
      <w:pPr>
        <w:pStyle w:val="BodyText"/>
      </w:pPr>
    </w:p>
    <w:p>
      <w:pPr>
        <w:pStyle w:val="Heading3"/>
        <w:numPr>
          <w:ilvl w:val="3"/>
          <w:numId w:val="47"/>
        </w:numPr>
        <w:tabs>
          <w:tab w:pos="882" w:val="left" w:leader="none"/>
        </w:tabs>
        <w:spacing w:line="240" w:lineRule="auto" w:before="148" w:after="0"/>
        <w:ind w:left="882" w:right="0" w:hanging="780"/>
        <w:jc w:val="both"/>
      </w:pPr>
      <w:bookmarkStart w:name="_bookmark25" w:id="45"/>
      <w:bookmarkEnd w:id="45"/>
      <w:r>
        <w:rPr>
          <w:b w:val="0"/>
        </w:rPr>
      </w:r>
      <w:bookmarkStart w:name="_bookmark25" w:id="46"/>
      <w:bookmarkEnd w:id="46"/>
      <w:r>
        <w:rPr/>
        <w:t>T</w:t>
      </w:r>
      <w:r>
        <w:rPr/>
        <w:t>eoría de las</w:t>
      </w:r>
      <w:r>
        <w:rPr>
          <w:spacing w:val="-5"/>
        </w:rPr>
        <w:t> </w:t>
      </w:r>
      <w:r>
        <w:rPr/>
        <w:t>señales</w:t>
      </w:r>
    </w:p>
    <w:p>
      <w:pPr>
        <w:pStyle w:val="BodyText"/>
        <w:rPr>
          <w:b/>
        </w:rPr>
      </w:pPr>
    </w:p>
    <w:p>
      <w:pPr>
        <w:pStyle w:val="BodyText"/>
        <w:spacing w:before="6"/>
        <w:rPr>
          <w:b/>
          <w:sz w:val="22"/>
        </w:rPr>
      </w:pPr>
    </w:p>
    <w:p>
      <w:pPr>
        <w:pStyle w:val="BodyText"/>
        <w:spacing w:line="360" w:lineRule="auto"/>
        <w:ind w:left="102" w:right="117"/>
        <w:jc w:val="both"/>
      </w:pPr>
      <w:r>
        <w:rPr/>
        <w:t>Otro de los problemas que enfrentan los jóvenes egresados está en relación a la educación exigida, para los empleadores el hecho de haber terminado una carrera universitaria, independientemente de cuál haya sido, puede ser una señal de que la persona es inteligente o cuenta con la capacidad de aprender (Spence,</w:t>
      </w:r>
      <w:r>
        <w:rPr>
          <w:spacing w:val="-8"/>
        </w:rPr>
        <w:t> </w:t>
      </w:r>
      <w:r>
        <w:rPr/>
        <w:t>1973).</w:t>
      </w:r>
    </w:p>
    <w:p>
      <w:pPr>
        <w:pStyle w:val="BodyText"/>
      </w:pPr>
    </w:p>
    <w:p>
      <w:pPr>
        <w:pStyle w:val="BodyText"/>
        <w:spacing w:line="360" w:lineRule="auto" w:before="143"/>
        <w:ind w:left="102" w:right="141"/>
      </w:pPr>
      <w:r>
        <w:rPr/>
        <w:t>Aplicada al mercado de trabajo, es un intento de introducir en los modelos de búsqueda el problema de toma de decisiones por parte de los empleadores en contextos de información imperfecta (Gómez et. al, 2008). El supuesto básico de esta teoría es que el empleador nunca estará completamente seguro de la productividad potencial de los candidatos que solicitan el puesto vacante. En consecuencia, se guía por una serie de señales (resultados de los exámenes de selección, entrevistas, certificado de calificaciones, título, cédula) que son indicativas de la productividad potencial (Gómez et. al, 2008). Los empleadores entonces, filtran a los candidatos en función del expediente académico, con el fin de poder  seleccionar al</w:t>
      </w:r>
      <w:r>
        <w:rPr>
          <w:spacing w:val="-6"/>
        </w:rPr>
        <w:t> </w:t>
      </w:r>
      <w:r>
        <w:rPr/>
        <w:t>mejor.</w:t>
      </w:r>
    </w:p>
    <w:p>
      <w:pPr>
        <w:spacing w:after="0" w:line="360" w:lineRule="auto"/>
        <w:sectPr>
          <w:pgSz w:w="12240" w:h="15840"/>
          <w:pgMar w:header="0" w:footer="1243" w:top="1360" w:bottom="1440" w:left="1600" w:right="1580"/>
        </w:sectPr>
      </w:pPr>
    </w:p>
    <w:p>
      <w:pPr>
        <w:pStyle w:val="Heading3"/>
        <w:numPr>
          <w:ilvl w:val="3"/>
          <w:numId w:val="47"/>
        </w:numPr>
        <w:tabs>
          <w:tab w:pos="882" w:val="left" w:leader="none"/>
        </w:tabs>
        <w:spacing w:line="240" w:lineRule="auto" w:before="55" w:after="0"/>
        <w:ind w:left="882" w:right="0" w:hanging="780"/>
        <w:jc w:val="both"/>
      </w:pPr>
      <w:bookmarkStart w:name="_bookmark26" w:id="47"/>
      <w:bookmarkEnd w:id="47"/>
      <w:r>
        <w:rPr>
          <w:b w:val="0"/>
        </w:rPr>
      </w:r>
      <w:bookmarkStart w:name="_bookmark26" w:id="48"/>
      <w:bookmarkEnd w:id="48"/>
      <w:r>
        <w:rPr/>
        <w:t>T</w:t>
      </w:r>
      <w:r>
        <w:rPr/>
        <w:t>eoría de</w:t>
      </w:r>
      <w:r>
        <w:rPr>
          <w:spacing w:val="-2"/>
        </w:rPr>
        <w:t> </w:t>
      </w:r>
      <w:r>
        <w:rPr/>
        <w:t>filas</w:t>
      </w:r>
    </w:p>
    <w:p>
      <w:pPr>
        <w:pStyle w:val="BodyText"/>
        <w:rPr>
          <w:b/>
        </w:rPr>
      </w:pPr>
    </w:p>
    <w:p>
      <w:pPr>
        <w:pStyle w:val="BodyText"/>
        <w:spacing w:line="360" w:lineRule="auto" w:before="175"/>
        <w:ind w:left="102" w:right="118"/>
        <w:jc w:val="both"/>
      </w:pPr>
      <w:r>
        <w:rPr/>
        <w:t>El tamaño de la oferta de la fuerza de trabajo que existe para un mismo puesto se materializa como una fila de aspirantes (Campos, 2003), de ahí adquiere esta teoría el nombre de Teoría de filas. Para Thurow (1970) la competencia para obtener un puesto de trabajo está basada en las calificaciones que cada aspirante al puesto posee, las cuales se obtienen mediante el entrenamiento y la capacitación, es decir mediante la generación de capital humano. Los trabajadores más calificados son los primeros en la fila, y por ende, los primeros en ser contratados, dejando a los menos calificados que encuentren vacantes menos deseables en los sectores marginales de la economía o que permanezcan desempleados.</w:t>
      </w:r>
    </w:p>
    <w:p>
      <w:pPr>
        <w:pStyle w:val="BodyText"/>
      </w:pPr>
    </w:p>
    <w:p>
      <w:pPr>
        <w:pStyle w:val="BodyText"/>
        <w:spacing w:before="8"/>
        <w:rPr>
          <w:sz w:val="29"/>
        </w:rPr>
      </w:pPr>
    </w:p>
    <w:p>
      <w:pPr>
        <w:pStyle w:val="BodyText"/>
        <w:spacing w:line="360" w:lineRule="auto" w:before="1"/>
        <w:ind w:left="102" w:right="119"/>
        <w:jc w:val="both"/>
      </w:pPr>
      <w:r>
        <w:rPr/>
        <w:t>En la teoría de filas los empleadores controlan y asignan los puestos de trabajo entre los candidatos, es decir las personas que están buscando empleo, por ejemplo los egresados universitarios; los empleadores definen los requisitos de acceso de acuerdo con los términos de la demanda y las características requeridas y necesarias en cada puesto de trabajo, esta asignación se realiza en función de las preferencias que cada uno tiene: sexo, edad, hábitos, nivel de educación, resultados de los tests, etc; además de las calificaciones adquiridas en trabajos anteriores: experiencia laboral.</w:t>
      </w:r>
    </w:p>
    <w:p>
      <w:pPr>
        <w:pStyle w:val="BodyText"/>
        <w:spacing w:line="360" w:lineRule="auto" w:before="205"/>
        <w:ind w:left="102" w:right="117"/>
        <w:jc w:val="both"/>
      </w:pPr>
      <w:r>
        <w:rPr/>
        <w:t>Sin embargo, para el egresado universitario, este conjunto de características no garantizan  la permanencia en el puesto, </w:t>
      </w:r>
      <w:r>
        <w:rPr>
          <w:spacing w:val="-3"/>
        </w:rPr>
        <w:t>ya </w:t>
      </w:r>
      <w:r>
        <w:rPr/>
        <w:t>que sólo le dan acceso a la puerta de entrada del mercado  de trabajo (Piore, 1985; Thurow y Lucas, 1972). Para el empresario, el mismo conjunto de características, representan un ahorro en el costo de formación y una reducción de tiempo en el proceso de integración directa del</w:t>
      </w:r>
      <w:r>
        <w:rPr>
          <w:spacing w:val="-9"/>
        </w:rPr>
        <w:t> </w:t>
      </w:r>
      <w:r>
        <w:rPr/>
        <w:t>trabajador.</w:t>
      </w:r>
    </w:p>
    <w:p>
      <w:pPr>
        <w:pStyle w:val="BodyText"/>
      </w:pPr>
    </w:p>
    <w:p>
      <w:pPr>
        <w:pStyle w:val="BodyText"/>
        <w:spacing w:line="360" w:lineRule="auto" w:before="143"/>
        <w:ind w:left="102" w:right="122"/>
        <w:jc w:val="both"/>
      </w:pPr>
      <w:r>
        <w:rPr/>
        <w:t>A manera de resumen, para ayudar a recordar las teorías revisadas en el capítulo anterior y el presente a continuación se presenta una línea del tiempo de las mismas (ver gráfica 2.1.).</w:t>
      </w:r>
    </w:p>
    <w:p>
      <w:pPr>
        <w:spacing w:after="0" w:line="360" w:lineRule="auto"/>
        <w:jc w:val="both"/>
        <w:sectPr>
          <w:footerReference w:type="default" r:id="rId37"/>
          <w:pgSz w:w="12240" w:h="15840"/>
          <w:pgMar w:footer="1243" w:header="0" w:top="1360" w:bottom="1440" w:left="1600" w:right="1580"/>
        </w:sectPr>
      </w:pPr>
    </w:p>
    <w:p>
      <w:pPr>
        <w:pStyle w:val="BodyText"/>
        <w:rPr>
          <w:sz w:val="20"/>
        </w:rPr>
      </w:pPr>
    </w:p>
    <w:p>
      <w:pPr>
        <w:pStyle w:val="BodyText"/>
        <w:rPr>
          <w:sz w:val="20"/>
        </w:rPr>
      </w:pPr>
    </w:p>
    <w:p>
      <w:pPr>
        <w:pStyle w:val="BodyText"/>
        <w:rPr>
          <w:sz w:val="20"/>
        </w:rPr>
      </w:pPr>
    </w:p>
    <w:p>
      <w:pPr>
        <w:pStyle w:val="BodyText"/>
        <w:spacing w:before="6"/>
      </w:pPr>
    </w:p>
    <w:p>
      <w:pPr>
        <w:pStyle w:val="Heading3"/>
        <w:spacing w:before="69"/>
        <w:ind w:left="2497"/>
        <w:jc w:val="left"/>
      </w:pPr>
      <w:r>
        <w:rPr/>
        <w:t>Gráfica 2.1. Línea del tiempo teorías del proceso de transición al mercado de trabajo</w:t>
      </w:r>
    </w:p>
    <w:p>
      <w:pPr>
        <w:pStyle w:val="BodyText"/>
        <w:rPr>
          <w:b/>
          <w:sz w:val="20"/>
        </w:rPr>
      </w:pPr>
    </w:p>
    <w:p>
      <w:pPr>
        <w:pStyle w:val="BodyText"/>
        <w:spacing w:before="10"/>
        <w:rPr>
          <w:b/>
          <w:sz w:val="21"/>
        </w:rPr>
      </w:pPr>
      <w:r>
        <w:rPr/>
        <w:drawing>
          <wp:anchor distT="0" distB="0" distL="0" distR="0" allowOverlap="1" layoutInCell="1" locked="0" behindDoc="0" simplePos="0" relativeHeight="1480">
            <wp:simplePos x="0" y="0"/>
            <wp:positionH relativeFrom="page">
              <wp:posOffset>876300</wp:posOffset>
            </wp:positionH>
            <wp:positionV relativeFrom="paragraph">
              <wp:posOffset>184978</wp:posOffset>
            </wp:positionV>
            <wp:extent cx="8451300" cy="4520374"/>
            <wp:effectExtent l="0" t="0" r="0" b="0"/>
            <wp:wrapTopAndBottom/>
            <wp:docPr id="11" name="image20.png" descr=""/>
            <wp:cNvGraphicFramePr>
              <a:graphicFrameLocks noChangeAspect="1"/>
            </wp:cNvGraphicFramePr>
            <a:graphic>
              <a:graphicData uri="http://schemas.openxmlformats.org/drawingml/2006/picture">
                <pic:pic>
                  <pic:nvPicPr>
                    <pic:cNvPr id="12" name="image20.png"/>
                    <pic:cNvPicPr/>
                  </pic:nvPicPr>
                  <pic:blipFill>
                    <a:blip r:embed="rId39" cstate="print"/>
                    <a:stretch>
                      <a:fillRect/>
                    </a:stretch>
                  </pic:blipFill>
                  <pic:spPr>
                    <a:xfrm>
                      <a:off x="0" y="0"/>
                      <a:ext cx="8451300" cy="4520374"/>
                    </a:xfrm>
                    <a:prstGeom prst="rect">
                      <a:avLst/>
                    </a:prstGeom>
                  </pic:spPr>
                </pic:pic>
              </a:graphicData>
            </a:graphic>
          </wp:anchor>
        </w:drawing>
      </w:r>
    </w:p>
    <w:p>
      <w:pPr>
        <w:spacing w:before="21"/>
        <w:ind w:left="5422" w:right="5704" w:firstLine="0"/>
        <w:jc w:val="center"/>
        <w:rPr>
          <w:sz w:val="22"/>
        </w:rPr>
      </w:pPr>
      <w:r>
        <w:rPr>
          <w:sz w:val="22"/>
        </w:rPr>
        <w:t>Fuente: elaboración propia.</w:t>
      </w:r>
    </w:p>
    <w:p>
      <w:pPr>
        <w:pStyle w:val="BodyText"/>
        <w:spacing w:before="8"/>
        <w:rPr>
          <w:sz w:val="25"/>
        </w:rPr>
      </w:pPr>
    </w:p>
    <w:p>
      <w:pPr>
        <w:spacing w:before="57"/>
        <w:ind w:left="111" w:right="0" w:firstLine="0"/>
        <w:jc w:val="left"/>
        <w:rPr>
          <w:rFonts w:ascii="Calibri"/>
          <w:sz w:val="22"/>
        </w:rPr>
      </w:pPr>
      <w:r>
        <w:rPr>
          <w:rFonts w:ascii="Calibri"/>
          <w:sz w:val="22"/>
        </w:rPr>
        <w:t>51</w:t>
      </w:r>
    </w:p>
    <w:p>
      <w:pPr>
        <w:spacing w:after="0"/>
        <w:jc w:val="left"/>
        <w:rPr>
          <w:rFonts w:ascii="Calibri"/>
          <w:sz w:val="22"/>
        </w:rPr>
        <w:sectPr>
          <w:footerReference w:type="default" r:id="rId38"/>
          <w:pgSz w:w="15840" w:h="12240" w:orient="landscape"/>
          <w:pgMar w:footer="0" w:header="0" w:top="1140" w:bottom="280" w:left="1240" w:right="1020"/>
        </w:sectPr>
      </w:pPr>
    </w:p>
    <w:p>
      <w:pPr>
        <w:pStyle w:val="BodyText"/>
        <w:spacing w:before="2"/>
        <w:rPr>
          <w:rFonts w:ascii="Calibri"/>
          <w:sz w:val="10"/>
        </w:rPr>
      </w:pPr>
    </w:p>
    <w:p>
      <w:pPr>
        <w:pStyle w:val="Heading3"/>
        <w:numPr>
          <w:ilvl w:val="1"/>
          <w:numId w:val="49"/>
        </w:numPr>
        <w:tabs>
          <w:tab w:pos="523" w:val="left" w:leader="none"/>
        </w:tabs>
        <w:spacing w:line="240" w:lineRule="auto" w:before="70" w:after="0"/>
        <w:ind w:left="102" w:right="0" w:firstLine="0"/>
        <w:jc w:val="both"/>
      </w:pPr>
      <w:bookmarkStart w:name="_bookmark27" w:id="49"/>
      <w:bookmarkEnd w:id="49"/>
      <w:r>
        <w:rPr>
          <w:b w:val="0"/>
        </w:rPr>
      </w:r>
      <w:bookmarkStart w:name="_bookmark27" w:id="50"/>
      <w:bookmarkEnd w:id="50"/>
      <w:r>
        <w:rPr/>
        <w:t>M</w:t>
      </w:r>
      <w:r>
        <w:rPr/>
        <w:t>odelo</w:t>
      </w:r>
      <w:r>
        <w:rPr>
          <w:spacing w:val="-6"/>
        </w:rPr>
        <w:t> </w:t>
      </w:r>
      <w:r>
        <w:rPr/>
        <w:t>hipotético</w:t>
      </w:r>
    </w:p>
    <w:p>
      <w:pPr>
        <w:pStyle w:val="BodyText"/>
        <w:spacing w:before="3"/>
        <w:rPr>
          <w:b/>
          <w:sz w:val="30"/>
        </w:rPr>
      </w:pPr>
    </w:p>
    <w:p>
      <w:pPr>
        <w:pStyle w:val="BodyText"/>
        <w:spacing w:line="360" w:lineRule="auto"/>
        <w:ind w:left="102" w:right="114"/>
        <w:jc w:val="both"/>
      </w:pPr>
      <w:r>
        <w:rPr/>
        <w:t>Con el propósito de mostrar de manera gráfica la contribución de las variables: proceso de transición y mercado de trabajo en el caso de los licenciados en Economía de la UAEMéx, se presenta un modelo teórico y uno hipotético que pretenden explicar cómo contribuyen dichas variables a que para los egresados de la Licenciatura en Economía de la UAEMéx de 2000 a 2010 existen las condiciones que facilitan el proceso de transición al mercado de trabajo, hipótesis de esta tesis.</w:t>
      </w:r>
    </w:p>
    <w:p>
      <w:pPr>
        <w:pStyle w:val="BodyText"/>
        <w:spacing w:line="360" w:lineRule="auto" w:before="206"/>
        <w:ind w:left="102" w:right="123"/>
        <w:jc w:val="both"/>
      </w:pPr>
      <w:r>
        <w:rPr/>
        <w:t>El modelo teórico se construyó con base en la cuarta generación de la segmentación, la cual fue determinada como la teoría eje de esta tesis. Cabe mencionar que en el caso de las teorías del proceso de transición al mercado de trabajo se han ido sumando y las posturas más recientes no excluyen los preceptos y supuestos de sus antecesoras.</w:t>
      </w:r>
    </w:p>
    <w:p>
      <w:pPr>
        <w:pStyle w:val="BodyText"/>
        <w:spacing w:line="360" w:lineRule="auto" w:before="205"/>
        <w:ind w:left="102" w:right="116"/>
        <w:jc w:val="both"/>
      </w:pPr>
      <w:r>
        <w:rPr/>
        <w:t>La </w:t>
      </w:r>
      <w:r>
        <w:rPr>
          <w:b/>
          <w:i/>
        </w:rPr>
        <w:t>cuarta generación</w:t>
      </w:r>
      <w:r>
        <w:rPr/>
        <w:t>, se considera la teoría más reciente en la cual los segmentos se forman en función de las multihabilidades que la persona requiere para desempeñar su trabajo (Womack y Jones, 2003). Promueve el autocontrol, la mejora continua y presenta flexibilización del trabajo. Así como se incluyen los supuestos planteados por sus antecesoras. Además que se involucran los aspectos del proceso de búsqueda que vive el individuo al encarar el mercado de trabajo por primera vez. En donde se especifica que para que el buscador deje el desempleo hay dos factores (Gómez, et. Al, 2008): 1) probabilidad de obtener una oferta de empelo y 2) probabilidad de aceptarla.</w:t>
      </w:r>
    </w:p>
    <w:p>
      <w:pPr>
        <w:pStyle w:val="BodyText"/>
      </w:pPr>
    </w:p>
    <w:p>
      <w:pPr>
        <w:spacing w:line="362" w:lineRule="auto" w:before="143"/>
        <w:ind w:left="102" w:right="116" w:firstLine="0"/>
        <w:jc w:val="both"/>
        <w:rPr>
          <w:b/>
          <w:i/>
          <w:sz w:val="24"/>
        </w:rPr>
      </w:pPr>
      <w:r>
        <w:rPr>
          <w:sz w:val="24"/>
        </w:rPr>
        <w:t>Con base en lo anterior se estableció la hipótesis de investigación: </w:t>
      </w:r>
      <w:r>
        <w:rPr>
          <w:b/>
          <w:i/>
          <w:sz w:val="24"/>
        </w:rPr>
        <w:t>Las condiciones que </w:t>
      </w:r>
      <w:r>
        <w:rPr>
          <w:b/>
          <w:i/>
          <w:sz w:val="24"/>
        </w:rPr>
        <w:t>conllevan el proceso de transición al mercado de trabajo de los egresados de 2000 a 2010 de la Licenciatura en Economía han sido favorables.</w:t>
      </w:r>
    </w:p>
    <w:p>
      <w:pPr>
        <w:pStyle w:val="BodyText"/>
        <w:spacing w:before="9"/>
        <w:rPr>
          <w:b/>
          <w:i/>
          <w:sz w:val="35"/>
        </w:rPr>
      </w:pPr>
    </w:p>
    <w:p>
      <w:pPr>
        <w:pStyle w:val="BodyText"/>
        <w:spacing w:before="1"/>
        <w:ind w:left="102"/>
        <w:jc w:val="both"/>
      </w:pPr>
      <w:r>
        <w:rPr/>
        <w:t>En la gráfica 2.2., se presenta el modelo hipotético causal de las variables observadas.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spacing w:before="0"/>
        <w:ind w:left="102" w:right="115" w:firstLine="0"/>
        <w:jc w:val="right"/>
        <w:rPr>
          <w:rFonts w:ascii="Calibri"/>
          <w:sz w:val="22"/>
        </w:rPr>
      </w:pPr>
      <w:r>
        <w:rPr>
          <w:rFonts w:ascii="Calibri"/>
          <w:sz w:val="22"/>
        </w:rPr>
        <w:t>52</w:t>
      </w:r>
    </w:p>
    <w:p>
      <w:pPr>
        <w:spacing w:after="0"/>
        <w:jc w:val="right"/>
        <w:rPr>
          <w:rFonts w:ascii="Calibri"/>
          <w:sz w:val="22"/>
        </w:rPr>
        <w:sectPr>
          <w:footerReference w:type="default" r:id="rId40"/>
          <w:pgSz w:w="12240" w:h="15840"/>
          <w:pgMar w:footer="0" w:header="0" w:top="1500" w:bottom="280" w:left="1600" w:right="1580"/>
        </w:sectPr>
      </w:pPr>
    </w:p>
    <w:p>
      <w:pPr>
        <w:pStyle w:val="BodyText"/>
        <w:rPr>
          <w:rFonts w:ascii="Calibri"/>
          <w:sz w:val="20"/>
        </w:rPr>
      </w:pPr>
    </w:p>
    <w:p>
      <w:pPr>
        <w:pStyle w:val="BodyText"/>
        <w:spacing w:before="3"/>
        <w:rPr>
          <w:rFonts w:ascii="Calibri"/>
          <w:sz w:val="20"/>
        </w:rPr>
      </w:pPr>
    </w:p>
    <w:p>
      <w:pPr>
        <w:pStyle w:val="Heading3"/>
        <w:spacing w:before="70"/>
        <w:ind w:left="5866" w:right="5100"/>
        <w:jc w:val="center"/>
      </w:pPr>
      <w:r>
        <w:rPr/>
        <w:t>Gráfica  2.2. Modelo hipotético</w:t>
      </w:r>
    </w:p>
    <w:p>
      <w:pPr>
        <w:pStyle w:val="BodyText"/>
        <w:rPr>
          <w:b/>
          <w:sz w:val="20"/>
        </w:rPr>
      </w:pPr>
    </w:p>
    <w:p>
      <w:pPr>
        <w:pStyle w:val="BodyText"/>
        <w:spacing w:before="1"/>
        <w:rPr>
          <w:b/>
          <w:sz w:val="23"/>
        </w:rPr>
      </w:pPr>
      <w:r>
        <w:rPr/>
        <w:pict>
          <v:group style="position:absolute;margin-left:88.779999pt;margin-top:15.265264pt;width:623.550pt;height:242.55pt;mso-position-horizontal-relative:page;mso-position-vertical-relative:paragraph;z-index:1648;mso-wrap-distance-left:0;mso-wrap-distance-right:0" coordorigin="1776,305" coordsize="12471,4851">
            <v:shape style="position:absolute;left:6496;top:2758;width:3135;height:120" coordorigin="6496,2758" coordsize="3135,120" path="m9511,2758l9511,2878,9611,2828,9531,2828,9531,2808,9611,2808,9511,2758xm9511,2808l6496,2808,6496,2828,9511,2828,9511,2808xm9611,2808l9531,2808,9531,2828,9611,2828,9631,2818,9611,2808xe" filled="true" fillcolor="#4f81bc" stroked="false">
              <v:path arrowok="t"/>
              <v:fill type="solid"/>
            </v:shape>
            <v:shape style="position:absolute;left:1793;top:764;width:4735;height:4310" type="#_x0000_t75" stroked="false">
              <v:imagedata r:id="rId42" o:title=""/>
            </v:shape>
            <v:shape style="position:absolute;left:1786;top:738;width:4710;height:4285" type="#_x0000_t75" stroked="false">
              <v:imagedata r:id="rId43" o:title=""/>
            </v:shape>
            <v:shape style="position:absolute;left:1786;top:738;width:4710;height:4285" coordorigin="1786,738" coordsize="4710,4285" path="m1786,1452l1789,1379,1800,1308,1818,1240,1842,1174,1872,1111,1908,1053,1949,998,1995,947,2046,901,2101,860,2159,824,2222,794,2287,770,2356,752,2427,741,2500,738,5781,738,5854,741,5925,752,5994,770,6059,794,6122,824,6181,860,6236,901,6286,947,6332,998,6374,1053,6409,1111,6439,1174,6463,1240,6481,1308,6492,1379,6496,1452,6496,4309,6492,4382,6481,4452,6463,4521,6439,4586,6409,4649,6374,4708,6332,4763,6286,4814,6236,4860,6181,4901,6122,4936,6059,4967,5994,4991,5925,5008,5854,5019,5781,5023,2500,5023,2427,5019,2356,5008,2287,4991,2222,4967,2159,4936,2101,4901,2046,4860,1995,4814,1949,4763,1908,4708,1872,4649,1842,4586,1818,4521,1800,4452,1789,4382,1786,4309,1786,1452xe" filled="false" stroked="true" strokeweight="1pt" strokecolor="#94b3d6">
              <v:path arrowok="t"/>
            </v:shape>
            <v:shape style="position:absolute;left:2004;top:1031;width:4272;height:3703" type="#_x0000_t75" stroked="false">
              <v:imagedata r:id="rId44" o:title=""/>
            </v:shape>
            <v:shape style="position:absolute;left:2255;top:1841;width:3587;height:584" coordorigin="2255,1841" coordsize="3587,584" path="m5745,1841l2352,1841,2314,1848,2284,1869,2263,1900,2255,1938,2255,2328,2263,2365,2284,2396,2314,2417,2352,2425,5745,2425,5783,2417,5813,2396,5834,2365,5842,2328,5842,1938,5834,1900,5813,1869,5783,1848,5745,1841xe" filled="true" fillcolor="#ffffff" stroked="false">
              <v:path arrowok="t"/>
              <v:fill type="solid"/>
            </v:shape>
            <v:shape style="position:absolute;left:2255;top:1841;width:3587;height:584" coordorigin="2255,1841" coordsize="3587,584" path="m2255,1938l2263,1900,2284,1869,2314,1848,2352,1841,5745,1841,5783,1848,5813,1869,5834,1900,5842,1938,5842,2328,5834,2365,5813,2396,5783,2417,5745,2425,2352,2425,2314,2417,2284,2396,2263,2365,2255,2328,2255,1938xe" filled="false" stroked="true" strokeweight=".75pt" strokecolor="#000000">
              <v:path arrowok="t"/>
            </v:shape>
            <v:shape style="position:absolute;left:2255;top:2722;width:3587;height:618" coordorigin="2255,2722" coordsize="3587,618" path="m5739,2722l2358,2722,2318,2730,2285,2752,2263,2785,2255,2825,2255,3237,2263,3277,2285,3310,2318,3332,2358,3340,5739,3340,5779,3332,5812,3310,5834,3277,5842,3237,5842,2825,5834,2785,5812,2752,5779,2730,5739,2722xe" filled="true" fillcolor="#ffffff" stroked="false">
              <v:path arrowok="t"/>
              <v:fill type="solid"/>
            </v:shape>
            <v:shape style="position:absolute;left:2255;top:2722;width:3587;height:618" coordorigin="2255,2722" coordsize="3587,618" path="m2255,2825l2263,2785,2285,2752,2318,2730,2358,2722,5739,2722,5779,2730,5812,2752,5834,2785,5842,2825,5842,3237,5834,3277,5812,3310,5779,3332,5739,3340,2358,3340,2318,3332,2285,3310,2263,3277,2255,3237,2255,2825xe" filled="false" stroked="true" strokeweight=".75pt" strokecolor="#000000">
              <v:path arrowok="t"/>
            </v:shape>
            <v:shape style="position:absolute;left:9638;top:342;width:4608;height:4814" type="#_x0000_t75" stroked="false">
              <v:imagedata r:id="rId45" o:title=""/>
            </v:shape>
            <v:shape style="position:absolute;left:9631;top:315;width:4582;height:4788" type="#_x0000_t75" stroked="false">
              <v:imagedata r:id="rId46" o:title=""/>
            </v:shape>
            <v:shape style="position:absolute;left:9631;top:315;width:4582;height:4788" coordorigin="9631,315" coordsize="4582,4788" path="m9631,1079l9635,1005,9645,934,9662,865,9685,798,9713,734,9747,674,9787,617,9831,564,9880,515,9933,471,9990,432,10050,397,10114,369,10180,346,10250,329,10321,319,10395,315,13450,315,13523,319,13595,329,13664,346,13731,369,13794,397,13855,432,13912,471,13965,515,14013,564,14058,617,14097,674,14131,734,14160,798,14183,865,14199,934,14210,1005,14213,1079,14213,4340,14210,4413,14199,4485,14183,4554,14160,4621,14131,4684,14097,4745,14058,4802,14013,4855,13965,4903,13912,4948,13855,4987,13794,5021,13731,5050,13664,5073,13595,5090,13523,5100,13450,5103,10395,5103,10321,5100,10250,5090,10180,5073,10114,5050,10050,5021,9990,4987,9933,4948,9880,4903,9831,4855,9787,4802,9747,4745,9713,4684,9685,4621,9662,4554,9645,4485,9635,4413,9631,4340,9631,1079xe" filled="false" stroked="true" strokeweight="1pt" strokecolor="#f79546">
              <v:path arrowok="t"/>
            </v:shape>
            <v:shape style="position:absolute;left:9864;top:620;width:4116;height:4176" type="#_x0000_t75" stroked="false">
              <v:imagedata r:id="rId47" o:title=""/>
            </v:shape>
            <v:shape style="position:absolute;left:2257;top:3677;width:3587;height:584" coordorigin="2257,3677" coordsize="3587,584" path="m5747,3677l2354,3677,2316,3684,2286,3705,2265,3736,2257,3774,2257,4163,2265,4201,2286,4232,2316,4253,2354,4261,5747,4261,5785,4253,5815,4232,5836,4201,5844,4163,5844,3774,5836,3736,5815,3705,5785,3684,5747,3677xe" filled="true" fillcolor="#ffffff" stroked="false">
              <v:path arrowok="t"/>
              <v:fill type="solid"/>
            </v:shape>
            <v:shape style="position:absolute;left:2257;top:3677;width:3587;height:584" coordorigin="2257,3677" coordsize="3587,584" path="m2257,3774l2265,3736,2286,3705,2316,3684,2354,3677,5747,3677,5785,3684,5815,3705,5836,3736,5844,3774,5844,4163,5836,4201,5815,4232,5785,4253,5747,4261,2354,4261,2316,4253,2286,4232,2265,4201,2257,4163,2257,3774xe" filled="false" stroked="true" strokeweight=".75pt" strokecolor="#000000">
              <v:path arrowok="t"/>
            </v:shape>
            <v:shape style="position:absolute;left:2681;top:1071;width:2915;height:320" type="#_x0000_t202" filled="false" stroked="false">
              <v:textbox inset="0,0,0,0">
                <w:txbxContent>
                  <w:p>
                    <w:pPr>
                      <w:spacing w:line="320" w:lineRule="exact" w:before="0"/>
                      <w:ind w:left="0" w:right="-20" w:firstLine="0"/>
                      <w:jc w:val="left"/>
                      <w:rPr>
                        <w:b/>
                        <w:sz w:val="32"/>
                      </w:rPr>
                    </w:pPr>
                    <w:r>
                      <w:rPr>
                        <w:b/>
                        <w:sz w:val="32"/>
                        <w:u w:val="thick"/>
                      </w:rPr>
                      <w:t>Proceso de transición</w:t>
                    </w:r>
                  </w:p>
                </w:txbxContent>
              </v:textbox>
              <w10:wrap type="none"/>
            </v:shape>
            <v:shape style="position:absolute;left:3449;top:1981;width:1199;height:240" type="#_x0000_t202" filled="false" stroked="false">
              <v:textbox inset="0,0,0,0">
                <w:txbxContent>
                  <w:p>
                    <w:pPr>
                      <w:spacing w:line="240" w:lineRule="exact" w:before="0"/>
                      <w:ind w:left="0" w:right="-11" w:firstLine="0"/>
                      <w:jc w:val="left"/>
                      <w:rPr>
                        <w:b/>
                        <w:sz w:val="24"/>
                      </w:rPr>
                    </w:pPr>
                    <w:r>
                      <w:rPr>
                        <w:b/>
                        <w:spacing w:val="-1"/>
                        <w:sz w:val="24"/>
                      </w:rPr>
                      <w:t>Asertividad</w:t>
                    </w:r>
                  </w:p>
                </w:txbxContent>
              </v:textbox>
              <w10:wrap type="none"/>
            </v:shape>
            <v:shape style="position:absolute;left:7592;top:2416;width:833;height:221" type="#_x0000_t202" filled="false" stroked="false">
              <v:textbox inset="0,0,0,0">
                <w:txbxContent>
                  <w:p>
                    <w:pPr>
                      <w:spacing w:line="221" w:lineRule="exact" w:before="0"/>
                      <w:ind w:left="0" w:right="-19" w:firstLine="0"/>
                      <w:jc w:val="left"/>
                      <w:rPr>
                        <w:i/>
                        <w:sz w:val="22"/>
                      </w:rPr>
                    </w:pPr>
                    <w:r>
                      <w:rPr>
                        <w:i/>
                        <w:sz w:val="22"/>
                      </w:rPr>
                      <w:t>Hipótesis</w:t>
                    </w:r>
                  </w:p>
                </w:txbxContent>
              </v:textbox>
              <w10:wrap type="none"/>
            </v:shape>
            <v:shape style="position:absolute;left:10561;top:1907;width:2717;height:951" type="#_x0000_t202" filled="false" stroked="false">
              <v:textbox inset="0,0,0,0">
                <w:txbxContent>
                  <w:p>
                    <w:pPr>
                      <w:spacing w:line="326" w:lineRule="exact" w:before="0"/>
                      <w:ind w:left="-1" w:right="0" w:firstLine="0"/>
                      <w:jc w:val="center"/>
                      <w:rPr>
                        <w:b/>
                        <w:sz w:val="32"/>
                      </w:rPr>
                    </w:pPr>
                    <w:r>
                      <w:rPr>
                        <w:b/>
                        <w:sz w:val="32"/>
                        <w:u w:val="thick"/>
                      </w:rPr>
                      <w:t>Mercado de</w:t>
                    </w:r>
                    <w:r>
                      <w:rPr>
                        <w:b/>
                        <w:spacing w:val="-7"/>
                        <w:sz w:val="32"/>
                        <w:u w:val="thick"/>
                      </w:rPr>
                      <w:t> </w:t>
                    </w:r>
                    <w:r>
                      <w:rPr>
                        <w:b/>
                        <w:sz w:val="32"/>
                        <w:u w:val="thick"/>
                      </w:rPr>
                      <w:t>trabajo</w:t>
                    </w:r>
                  </w:p>
                  <w:p>
                    <w:pPr>
                      <w:spacing w:line="361" w:lineRule="exact" w:before="263"/>
                      <w:ind w:left="1" w:right="0" w:firstLine="0"/>
                      <w:jc w:val="center"/>
                      <w:rPr>
                        <w:b/>
                        <w:sz w:val="32"/>
                      </w:rPr>
                    </w:pPr>
                    <w:r>
                      <w:rPr>
                        <w:b/>
                        <w:sz w:val="32"/>
                      </w:rPr>
                      <w:t>(trabajo</w:t>
                    </w:r>
                    <w:r>
                      <w:rPr>
                        <w:b/>
                        <w:spacing w:val="73"/>
                        <w:sz w:val="32"/>
                      </w:rPr>
                      <w:t> </w:t>
                    </w:r>
                    <w:r>
                      <w:rPr>
                        <w:b/>
                        <w:sz w:val="32"/>
                      </w:rPr>
                      <w:t>actual)</w:t>
                    </w:r>
                  </w:p>
                </w:txbxContent>
              </v:textbox>
              <w10:wrap type="none"/>
            </v:shape>
            <v:shape style="position:absolute;left:3641;top:2864;width:815;height:240" type="#_x0000_t202" filled="false" stroked="false">
              <v:textbox inset="0,0,0,0">
                <w:txbxContent>
                  <w:p>
                    <w:pPr>
                      <w:spacing w:line="240" w:lineRule="exact" w:before="0"/>
                      <w:ind w:left="0" w:right="-19" w:firstLine="0"/>
                      <w:jc w:val="left"/>
                      <w:rPr>
                        <w:b/>
                        <w:sz w:val="24"/>
                      </w:rPr>
                    </w:pPr>
                    <w:r>
                      <w:rPr>
                        <w:b/>
                        <w:sz w:val="24"/>
                      </w:rPr>
                      <w:t>Calidad</w:t>
                    </w:r>
                  </w:p>
                </w:txbxContent>
              </v:textbox>
              <w10:wrap type="none"/>
            </v:shape>
            <v:shape style="position:absolute;left:3322;top:3817;width:1455;height:240" type="#_x0000_t202" filled="false" stroked="false">
              <v:textbox inset="0,0,0,0">
                <w:txbxContent>
                  <w:p>
                    <w:pPr>
                      <w:spacing w:line="240" w:lineRule="exact" w:before="0"/>
                      <w:ind w:left="0" w:right="-19" w:firstLine="0"/>
                      <w:jc w:val="left"/>
                      <w:rPr>
                        <w:b/>
                        <w:sz w:val="24"/>
                      </w:rPr>
                    </w:pPr>
                    <w:r>
                      <w:rPr>
                        <w:b/>
                        <w:sz w:val="24"/>
                      </w:rPr>
                      <w:t>Consolidación</w:t>
                    </w:r>
                  </w:p>
                </w:txbxContent>
              </v:textbox>
              <w10:wrap type="none"/>
            </v:shape>
            <w10:wrap type="topAndBottom"/>
          </v:group>
        </w:pic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
        <w:rPr>
          <w:b/>
          <w:sz w:val="30"/>
        </w:rPr>
      </w:pPr>
    </w:p>
    <w:p>
      <w:pPr>
        <w:spacing w:before="0"/>
        <w:ind w:left="5866" w:right="5094" w:firstLine="0"/>
        <w:jc w:val="center"/>
        <w:rPr>
          <w:sz w:val="20"/>
        </w:rPr>
      </w:pPr>
      <w:r>
        <w:rPr>
          <w:sz w:val="20"/>
        </w:rPr>
        <w:t>Fuente: elaboración propia</w:t>
      </w:r>
    </w:p>
    <w:p>
      <w:pPr>
        <w:pStyle w:val="BodyText"/>
        <w:rPr>
          <w:sz w:val="20"/>
        </w:rPr>
      </w:pPr>
    </w:p>
    <w:p>
      <w:pPr>
        <w:pStyle w:val="BodyText"/>
        <w:rPr>
          <w:sz w:val="20"/>
        </w:rPr>
      </w:pPr>
    </w:p>
    <w:p>
      <w:pPr>
        <w:pStyle w:val="BodyText"/>
        <w:spacing w:before="5"/>
        <w:rPr>
          <w:sz w:val="28"/>
        </w:rPr>
      </w:pPr>
    </w:p>
    <w:p>
      <w:pPr>
        <w:spacing w:before="57"/>
        <w:ind w:left="103" w:right="0" w:firstLine="0"/>
        <w:jc w:val="left"/>
        <w:rPr>
          <w:rFonts w:ascii="Calibri"/>
          <w:sz w:val="22"/>
        </w:rPr>
      </w:pPr>
      <w:r>
        <w:rPr>
          <w:rFonts w:ascii="Calibri"/>
          <w:sz w:val="22"/>
        </w:rPr>
        <w:t>53</w:t>
      </w:r>
    </w:p>
    <w:p>
      <w:pPr>
        <w:spacing w:after="0"/>
        <w:jc w:val="left"/>
        <w:rPr>
          <w:rFonts w:ascii="Calibri"/>
          <w:sz w:val="22"/>
        </w:rPr>
        <w:sectPr>
          <w:footerReference w:type="default" r:id="rId41"/>
          <w:pgSz w:w="15840" w:h="12240" w:orient="landscape"/>
          <w:pgMar w:footer="0" w:header="0" w:top="1140" w:bottom="280" w:left="180" w:right="1480"/>
        </w:sectPr>
      </w:pPr>
    </w:p>
    <w:p>
      <w:pPr>
        <w:pStyle w:val="Heading3"/>
        <w:numPr>
          <w:ilvl w:val="1"/>
          <w:numId w:val="49"/>
        </w:numPr>
        <w:tabs>
          <w:tab w:pos="523" w:val="left" w:leader="none"/>
        </w:tabs>
        <w:spacing w:line="278" w:lineRule="auto" w:before="55" w:after="0"/>
        <w:ind w:left="102" w:right="729" w:firstLine="0"/>
        <w:jc w:val="left"/>
      </w:pPr>
      <w:bookmarkStart w:name="_bookmark28" w:id="51"/>
      <w:bookmarkEnd w:id="51"/>
      <w:r>
        <w:rPr>
          <w:b w:val="0"/>
        </w:rPr>
      </w:r>
      <w:bookmarkStart w:name="_bookmark28" w:id="52"/>
      <w:bookmarkEnd w:id="52"/>
      <w:r>
        <w:rPr/>
        <w:t>In</w:t>
      </w:r>
      <w:r>
        <w:rPr/>
        <w:t>mersión del proceso de transición al mercado de trabajo desde las ciencias económico-administrativas.</w:t>
      </w:r>
    </w:p>
    <w:p>
      <w:pPr>
        <w:pStyle w:val="BodyText"/>
        <w:spacing w:before="3"/>
        <w:rPr>
          <w:b/>
          <w:sz w:val="35"/>
        </w:rPr>
      </w:pPr>
    </w:p>
    <w:p>
      <w:pPr>
        <w:pStyle w:val="BodyText"/>
        <w:spacing w:line="360" w:lineRule="auto" w:before="1"/>
        <w:ind w:left="102" w:right="118"/>
        <w:jc w:val="both"/>
      </w:pPr>
      <w:r>
        <w:rPr/>
        <w:t>Históricamente, las ciencias económico-administrativas nacen de la fusión de dos disciplinas científicas: economía y administración. Ambas se encuentran catalogadas en el rubro de las ciencias sociales. Entendiéndose estas últimas, como aquellas en donde se agrupan a todas las ciencias y/o disciplinas científicas cuyo objeto de estudio son las actividades y el comportamiento de los seres humanos. Individualmente y por definición, es popularmente conocido que a la ciencia económica o economía se le distingue por ser la encargada del estudio de los procesos de producción, distribución, comercialización y consumo de bienes y servicios, así como la generación del bienestar individual y/o colectivo. Mientras que a la ciencia administrativa o administración, se le conoce como la encargada de: planear, organizar, dirigir y controlar todos los recursos de una organización para alcanzar fines claramente determinados.</w:t>
      </w:r>
    </w:p>
    <w:p>
      <w:pPr>
        <w:pStyle w:val="BodyText"/>
      </w:pPr>
    </w:p>
    <w:p>
      <w:pPr>
        <w:pStyle w:val="BodyText"/>
        <w:spacing w:before="143"/>
        <w:ind w:left="102"/>
        <w:jc w:val="both"/>
      </w:pPr>
      <w:r>
        <w:rPr/>
        <w:t>Dicho argumento es soportado y respaldado textualmente de la siguiente manera:</w:t>
      </w:r>
    </w:p>
    <w:p>
      <w:pPr>
        <w:spacing w:line="360" w:lineRule="auto" w:before="138"/>
        <w:ind w:left="810" w:right="117" w:firstLine="0"/>
        <w:jc w:val="both"/>
        <w:rPr>
          <w:sz w:val="22"/>
        </w:rPr>
      </w:pPr>
      <w:r>
        <w:rPr>
          <w:sz w:val="22"/>
        </w:rPr>
        <w:t>Si bien los estudios económico-adminsitrativos tiene raíces teóricas sólidas en la economía y la administración, su principal virtud radica en poder abordar problemas que son eludidos tanto por la Economía como por la Administración en forma separada. Por ello, los estudios económico-administrativos han brindado luz sobre una cantidad importante de fenómenos, que aunque también han sido duramente criticados porque, en ocasiones, llegan a disidir de las ciencias en las que tiene origen (Cernas y Mercado,</w:t>
      </w:r>
      <w:r>
        <w:rPr>
          <w:spacing w:val="-15"/>
          <w:sz w:val="22"/>
        </w:rPr>
        <w:t> </w:t>
      </w:r>
      <w:r>
        <w:rPr>
          <w:sz w:val="22"/>
        </w:rPr>
        <w:t>2013)</w:t>
      </w:r>
    </w:p>
    <w:p>
      <w:pPr>
        <w:pStyle w:val="BodyText"/>
        <w:rPr>
          <w:sz w:val="22"/>
        </w:rPr>
      </w:pPr>
    </w:p>
    <w:p>
      <w:pPr>
        <w:pStyle w:val="BodyText"/>
        <w:spacing w:line="360" w:lineRule="auto" w:before="131"/>
        <w:ind w:left="102" w:right="110"/>
        <w:jc w:val="both"/>
      </w:pPr>
      <w:r>
        <w:rPr/>
        <w:t>Así, cuando se unen la teoría de las organizaciones y la teoría económica, nace una nueva disciplina, no sólo se estudia a los individuos y su interacción con el entorno sino que se analizan las características de sus gestiones y acciones. En donde el bienestar es importante, pero también el cómo se llega al logro de objetivos dentro de las organizaciones. No únicamente el impacto a nivel macro (entorno) es relevante sino que el análisis se debe hacer a nivel micro (organización). El ser humano sigue siendo el protagonista pero ahora  se estudian las repercusiones de sus acciones productivas al interior de las organizaciones y cómo a su vez éstas impactan al medio en donde se encuentran ubicados –individuo y organización-.</w:t>
      </w:r>
    </w:p>
    <w:p>
      <w:pPr>
        <w:spacing w:after="0" w:line="360" w:lineRule="auto"/>
        <w:jc w:val="both"/>
        <w:sectPr>
          <w:footerReference w:type="default" r:id="rId48"/>
          <w:pgSz w:w="12240" w:h="15840"/>
          <w:pgMar w:footer="1235" w:header="0" w:top="1360" w:bottom="1420" w:left="1600" w:right="1580"/>
          <w:pgNumType w:start="54"/>
        </w:sectPr>
      </w:pPr>
    </w:p>
    <w:p>
      <w:pPr>
        <w:pStyle w:val="BodyText"/>
        <w:spacing w:line="360" w:lineRule="auto" w:before="50"/>
        <w:ind w:left="102" w:right="117"/>
        <w:jc w:val="both"/>
      </w:pPr>
      <w:r>
        <w:rPr/>
        <w:t>Se plantean cinco argumentos a desarrollar para explicar cómo el proceso de transición se encuentra catalogado dentro de las ciencias económico-administrativas: encontrar el primer empleo es una actividad relevante para los individuos; el mercado de trabajo es una institución que puede ser analizada desde la perspectiva teórica de ambas ciencias – económica y administrativa-; el proceso de transición o inserción al empleo es un momento único, que afecta al entorno pero que tiene su origen en las organizaciones; insertarse a la vida productiva es una actividad social que involucra tanto a individuos como a instituciones; y el bienestar de la organización está en función del tipo de ofertas laborales que pueda crear.</w:t>
      </w:r>
    </w:p>
    <w:p>
      <w:pPr>
        <w:pStyle w:val="BodyText"/>
      </w:pPr>
    </w:p>
    <w:p>
      <w:pPr>
        <w:pStyle w:val="BodyText"/>
        <w:spacing w:line="360" w:lineRule="auto" w:before="143"/>
        <w:ind w:left="102" w:right="117"/>
        <w:jc w:val="both"/>
      </w:pPr>
      <w:r>
        <w:rPr/>
        <w:t>Es necesario en este punto, recordar el concepto de proceso de transición, el cual se define como el periodo que transcurre entre que una persona termina su educación superior (universitaria o tecnológica) y se incorpora a la vida productiva (Cachón, 1999), puntualizando que la contratación debe ser en alguna actividad formal, es decir, dentro de una organización bien constituida y con un salario y prestaciones acordes a las funciones a desempeñar. Es un lapso intermedio entre la escuela y el empleo, en donde el tiempo no es una medida estándar para todos. De ahí, que el primer argumento a desarrollar en el entendido de que es un problema que debe ser analizado desde la óptica de la fusión de las dos ciencias –económica y administrativa- sea: encontrar el primer empleo es una actividad relevante para los individuos.</w:t>
      </w:r>
    </w:p>
    <w:p>
      <w:pPr>
        <w:pStyle w:val="BodyText"/>
      </w:pPr>
    </w:p>
    <w:p>
      <w:pPr>
        <w:pStyle w:val="BodyText"/>
        <w:spacing w:line="360" w:lineRule="auto" w:before="143"/>
        <w:ind w:left="102" w:right="116"/>
        <w:jc w:val="both"/>
      </w:pPr>
      <w:r>
        <w:rPr/>
        <w:t>La ilusión y esperanza de todo joven, que dedica tiempo a formarse y prepararse profesionalmente es que, al egresar su incorporación al mercado de trabajo sea más “fácil” en comparación de aquellos que no cuentan con estudios de licenciatura. Además de tener  la expectativa que dada la formación universitaria (en el caso de los licenciados en economía) la percepción salarial a la que tendrá acceso será mayor a la de otros desempleados sin estudios superiores. Todas estas creencias </w:t>
      </w:r>
      <w:r>
        <w:rPr>
          <w:spacing w:val="-3"/>
        </w:rPr>
        <w:t>ya </w:t>
      </w:r>
      <w:r>
        <w:rPr/>
        <w:t>han sido formalizadas a través de la teoría de la búsqueda (Stigler, 1961; McCall, 1970; Mortensen, 1970), la cual si bien se puede considerar que pertenece al ámbito administrativo involucra análisis económico del mercado de</w:t>
      </w:r>
      <w:r>
        <w:rPr>
          <w:spacing w:val="-8"/>
        </w:rPr>
        <w:t> </w:t>
      </w:r>
      <w:r>
        <w:rPr/>
        <w:t>trabajo.</w:t>
      </w:r>
    </w:p>
    <w:p>
      <w:pPr>
        <w:spacing w:after="0" w:line="360" w:lineRule="auto"/>
        <w:jc w:val="both"/>
        <w:sectPr>
          <w:pgSz w:w="12240" w:h="15840"/>
          <w:pgMar w:header="0" w:footer="1235" w:top="1360" w:bottom="1440" w:left="1600" w:right="1580"/>
        </w:sectPr>
      </w:pPr>
    </w:p>
    <w:p>
      <w:pPr>
        <w:pStyle w:val="BodyText"/>
        <w:spacing w:line="352" w:lineRule="auto" w:before="50"/>
        <w:ind w:left="122" w:right="120"/>
        <w:jc w:val="both"/>
      </w:pPr>
      <w:r>
        <w:rPr/>
        <w:t>Por ejemplo, dicha teoría parte del supuesto de información imperfecta por parte de los buscadores</w:t>
      </w:r>
      <w:r>
        <w:rPr>
          <w:position w:val="11"/>
          <w:sz w:val="16"/>
        </w:rPr>
        <w:t>6</w:t>
      </w:r>
      <w:r>
        <w:rPr/>
        <w:t>, los que se caracterizan por no conocer con lujo de detalle todas las vacantes de empleo disponibles en el mercado, por ello el buscador tiene información incompleta para hacer la selección de la oferta que mejor se adapte a sus habilidades y competencias, no le queda otra opción que elegir de entre las que tiene acceso. El proceso no concluye ahí, el</w:t>
      </w:r>
    </w:p>
    <w:p>
      <w:pPr>
        <w:pStyle w:val="BodyText"/>
        <w:spacing w:line="360" w:lineRule="auto" w:before="14"/>
        <w:ind w:left="122" w:right="117"/>
        <w:jc w:val="both"/>
      </w:pPr>
      <w:r>
        <w:rPr/>
        <w:t>buscador no cambiará a “contratado” hasta no hallar una organización que lo considere apto para cubrir la vacante. El interés de ser contratado, en muchos de los casos, no se deriva únicamente del hecho de sentir ansiedad de poner en práctica sus conocimientos y habilidades, para muchos jóvenes mexicanos responde a la necesidad de contribuir monetariamente al hogar. Ya sea que tenga el propio o siga viviendo con sus padres. Con lo cual queda justificado por qué es un momento relevante en la vida de cualquier individuo.</w:t>
      </w:r>
    </w:p>
    <w:p>
      <w:pPr>
        <w:pStyle w:val="BodyText"/>
      </w:pPr>
    </w:p>
    <w:p>
      <w:pPr>
        <w:pStyle w:val="BodyText"/>
        <w:spacing w:line="360" w:lineRule="auto" w:before="143"/>
        <w:ind w:left="122" w:right="118"/>
        <w:jc w:val="both"/>
      </w:pPr>
      <w:r>
        <w:rPr/>
        <w:t>En el ejemplo anterior, la primera parte pertenece a una actividad económica en donde la teoría neoclásica del mercado laboral puede apoyar a la teoría de la búsqueda a explicar el comportamiento de oferta y demanda de trabajo. En la segunda parte por tratarse de un proceso no hay otra disciplina científica que pueda desarrollar mejor el tema que la administración. Dando fe con esto, de que efectivamente la nueva ciencia cuenta con los elementos necesarios para examinar fenómenos desde una condición más integral y con mejores resultados. En donde es claro, que no se trata de dos ciencias sociales ajenas una de la otra, sino por el contrario son complementarias, aunque para algunos pudiera no ser así. En este trabajo no es el único argumento válido para demostrar la hipótesis propuesta, falta mostrar otros cuatro argumentos más.</w:t>
      </w:r>
    </w:p>
    <w:p>
      <w:pPr>
        <w:pStyle w:val="BodyText"/>
      </w:pPr>
    </w:p>
    <w:p>
      <w:pPr>
        <w:pStyle w:val="BodyText"/>
        <w:spacing w:line="360" w:lineRule="auto" w:before="143"/>
        <w:ind w:left="122" w:right="117"/>
        <w:jc w:val="both"/>
      </w:pPr>
      <w:r>
        <w:rPr/>
        <w:t>El segundo argumento explicitado en este documento, continúa en la misma línea de análisis, encaminado nuevamente a revelar la inmersión del tema de estudio en las ciencias económico-administrativas: el mercado de trabajo es una institución que puede ser  analizada desde la perspectiva teórica de ambas ciencias –económica y administrativa-. Es común, encontrar que la mayoría de los autores que estudian el mercado de trabajo están sustentando sus hipótesis y tesis en la ciencia económica únicamente. Desde la </w:t>
      </w:r>
      <w:r>
        <w:rPr>
          <w:spacing w:val="43"/>
        </w:rPr>
        <w:t> </w:t>
      </w:r>
      <w:r>
        <w:rPr/>
        <w:t>perspectiva</w:t>
      </w:r>
    </w:p>
    <w:p>
      <w:pPr>
        <w:pStyle w:val="BodyText"/>
        <w:spacing w:before="3"/>
        <w:rPr>
          <w:sz w:val="27"/>
        </w:rPr>
      </w:pPr>
      <w:r>
        <w:rPr/>
        <w:pict>
          <v:line style="position:absolute;mso-position-horizontal-relative:page;mso-position-vertical-relative:paragraph;z-index:1672;mso-wrap-distance-left:0;mso-wrap-distance-right:0" from="85.103996pt,17.999783pt" to="229.123996pt,17.999783pt" stroked="true" strokeweight=".71997pt" strokecolor="#000000">
            <w10:wrap type="topAndBottom"/>
          </v:line>
        </w:pict>
      </w:r>
    </w:p>
    <w:p>
      <w:pPr>
        <w:spacing w:line="242" w:lineRule="auto" w:before="39"/>
        <w:ind w:left="122" w:right="523" w:firstLine="0"/>
        <w:jc w:val="left"/>
        <w:rPr>
          <w:sz w:val="20"/>
        </w:rPr>
      </w:pPr>
      <w:r>
        <w:rPr>
          <w:rFonts w:ascii="Calibri" w:hAnsi="Calibri"/>
          <w:position w:val="10"/>
          <w:sz w:val="13"/>
        </w:rPr>
        <w:t>6 </w:t>
      </w:r>
      <w:r>
        <w:rPr>
          <w:sz w:val="20"/>
        </w:rPr>
        <w:t>Definidos por todas aquellas personas en busca de empleo por primera vez o que intentan reinsertarse al trabajo y que todos se encuentran en un mismo momento en la “búsqueda”.</w:t>
      </w:r>
    </w:p>
    <w:p>
      <w:pPr>
        <w:spacing w:after="0" w:line="242" w:lineRule="auto"/>
        <w:jc w:val="left"/>
        <w:rPr>
          <w:sz w:val="20"/>
        </w:rPr>
        <w:sectPr>
          <w:pgSz w:w="12240" w:h="15840"/>
          <w:pgMar w:header="0" w:footer="1235" w:top="1360" w:bottom="1420" w:left="1580" w:right="1580"/>
        </w:sectPr>
      </w:pPr>
    </w:p>
    <w:p>
      <w:pPr>
        <w:pStyle w:val="BodyText"/>
        <w:spacing w:line="360" w:lineRule="auto" w:before="50"/>
        <w:ind w:left="122" w:right="117"/>
        <w:jc w:val="both"/>
      </w:pPr>
      <w:r>
        <w:rPr/>
        <w:t>neoclásica hasta la teoría de la segmentación y sus cuatro generaciones presentan modelos que enmarcan las situaciones más distintivas de los mercados productivos, sin lugar a  dudas han sido muy bien interpretados y valuados. Sin embargo, y con las reservas de que se debe realizar una investigación más a fondo, se puede añadir a estas teorías la idea de  que el mercado de trabajo tiene las características de una institución y como tal, puede ser presentado como una organización. No sólo se debe juzgar al mercado sino que se debe incluir el proceso más importante para que el empleo exista: transición</w:t>
      </w:r>
      <w:r>
        <w:rPr>
          <w:spacing w:val="-15"/>
        </w:rPr>
        <w:t> </w:t>
      </w:r>
      <w:r>
        <w:rPr/>
        <w:t>laboral.</w:t>
      </w:r>
    </w:p>
    <w:p>
      <w:pPr>
        <w:pStyle w:val="BodyText"/>
      </w:pPr>
    </w:p>
    <w:p>
      <w:pPr>
        <w:pStyle w:val="BodyText"/>
        <w:spacing w:line="360" w:lineRule="auto" w:before="143"/>
        <w:ind w:left="122" w:right="118"/>
        <w:jc w:val="both"/>
      </w:pPr>
      <w:r>
        <w:rPr/>
        <w:t>El proceso de transición laboral se puede gestionar, organizar y planear desde la entrada o salida de profesionales al mercado de trabajo. Como cualquier proceso productivo de servicios, en donde existen entradas, transformación y salida (la contratación). Con ello, se puede hacer la fusión entre las teorías económicas –modelos econométricos que explican el empleo- y la esencia de la administración, para explicar cómo el mercado de trabajo es más que sólo una idea abstracta, es una organización con reglas, estructuras y mecanismos o procesos que pueden ser mejorados. Pero no se debe soslayar el hecho de que el proceso de transición o inserción al empleo es un momento único, que afecta al entorno pero que tiene su origen en las organizaciones, tercer argumento de este ensayo.</w:t>
      </w:r>
    </w:p>
    <w:p>
      <w:pPr>
        <w:pStyle w:val="BodyText"/>
      </w:pPr>
    </w:p>
    <w:p>
      <w:pPr>
        <w:pStyle w:val="BodyText"/>
        <w:spacing w:line="345" w:lineRule="auto" w:before="143"/>
        <w:ind w:left="122" w:right="115"/>
        <w:jc w:val="both"/>
      </w:pPr>
      <w:r>
        <w:rPr/>
        <w:t>Aun cuando el mismo individuo puede encontrarse más de una vez en la búsqueda de empleo, cada ocasión involucra un tiempo que se puede considerar “único”. Esto es, las condiciones  en  las  que  se  encuentra  el  mercado  de  trabajo  -crisis  o  no  crisis </w:t>
      </w:r>
      <w:r>
        <w:rPr>
          <w:position w:val="11"/>
          <w:sz w:val="16"/>
        </w:rPr>
        <w:t>7 </w:t>
      </w:r>
      <w:r>
        <w:rPr/>
        <w:t>-   son</w:t>
      </w:r>
    </w:p>
    <w:p>
      <w:pPr>
        <w:pStyle w:val="BodyText"/>
        <w:spacing w:line="360" w:lineRule="auto" w:before="5"/>
        <w:ind w:left="122" w:right="119"/>
        <w:jc w:val="both"/>
      </w:pPr>
      <w:r>
        <w:rPr/>
        <w:t>cambiantes y se ajustan a determinantes tanto de los mercados internos como externos, los cuales no tienen un comportamiento lineal a través de los años, con ello una persona que busca empleo en un periodo X puede encontrar un mercado laboral muy “noble” que lo acoge rápidamente –periodo de no crisis-. Y este mismo sujeto en otro momento, periodo X+1, se topa con un mercado de trabajo sin oportunidades de empleo, en donde su transición es más compleja por el hecho de que tiene que esperar un tiempo más largo o en su desesperación por trabajar y generar dinero se contrata o subcontrata en un trabajo inferior a sus capacidades, o en un caso extremo acepta un salario menor al promedio del mercado. Por tanto el momento de inserción    es “único”. Con muchas diferencias entre los</w:t>
      </w:r>
    </w:p>
    <w:p>
      <w:pPr>
        <w:pStyle w:val="BodyText"/>
        <w:spacing w:before="2"/>
        <w:rPr>
          <w:sz w:val="11"/>
        </w:rPr>
      </w:pPr>
      <w:r>
        <w:rPr/>
        <w:pict>
          <v:line style="position:absolute;mso-position-horizontal-relative:page;mso-position-vertical-relative:paragraph;z-index:1696;mso-wrap-distance-left:0;mso-wrap-distance-right:0" from="85.103996pt,8.755754pt" to="229.123996pt,8.755754pt" stroked="true" strokeweight=".72003pt" strokecolor="#000000">
            <w10:wrap type="topAndBottom"/>
          </v:line>
        </w:pict>
      </w:r>
    </w:p>
    <w:p>
      <w:pPr>
        <w:spacing w:before="39"/>
        <w:ind w:left="122" w:right="1552" w:firstLine="0"/>
        <w:jc w:val="left"/>
        <w:rPr>
          <w:sz w:val="20"/>
        </w:rPr>
      </w:pPr>
      <w:r>
        <w:rPr>
          <w:rFonts w:ascii="Calibri" w:hAnsi="Calibri"/>
          <w:position w:val="10"/>
          <w:sz w:val="13"/>
        </w:rPr>
        <w:t>7 </w:t>
      </w:r>
      <w:r>
        <w:rPr>
          <w:sz w:val="20"/>
        </w:rPr>
        <w:t>Se recomienda revisar la teoría de ciclos económicos para el mercado laboral.</w:t>
      </w:r>
    </w:p>
    <w:p>
      <w:pPr>
        <w:spacing w:after="0"/>
        <w:jc w:val="left"/>
        <w:rPr>
          <w:sz w:val="20"/>
        </w:rPr>
        <w:sectPr>
          <w:pgSz w:w="12240" w:h="15840"/>
          <w:pgMar w:header="0" w:footer="1235" w:top="1360" w:bottom="1420" w:left="1580" w:right="1580"/>
        </w:sectPr>
      </w:pPr>
    </w:p>
    <w:p>
      <w:pPr>
        <w:pStyle w:val="BodyText"/>
        <w:spacing w:line="360" w:lineRule="auto" w:before="50"/>
        <w:ind w:left="102" w:right="120"/>
        <w:jc w:val="both"/>
      </w:pPr>
      <w:r>
        <w:rPr/>
        <w:t>momentos y los individuos. En este ejemplo es sustentado por la teoría de la búsqueda como marco teórico, la cual se emplea para explicar el cómo suceden los eventos al interior del mercado de trabajo y el papel de la teoría económica fue el de contextualizar el evento en el tiempo. De nuevo, es posible crear una amalgama de conceptos y preceptos que ayudan a entender el fenómeno de estudio, uniendo a las dos ciencias en un solo</w:t>
      </w:r>
      <w:r>
        <w:rPr>
          <w:spacing w:val="-12"/>
        </w:rPr>
        <w:t> </w:t>
      </w:r>
      <w:r>
        <w:rPr/>
        <w:t>enfoque.</w:t>
      </w:r>
    </w:p>
    <w:p>
      <w:pPr>
        <w:pStyle w:val="BodyText"/>
        <w:spacing w:line="360" w:lineRule="auto" w:before="6"/>
        <w:ind w:left="102" w:right="114"/>
        <w:jc w:val="both"/>
      </w:pPr>
      <w:r>
        <w:rPr/>
        <w:t>En el siguiente ejemplo se tratará de exponer el por qué insertarse a la vida productiva a pesar de ser una actividad económica, es también considerada una actividad social que involucra tanto a individuos como a instituciones. El escenario, puede ser cualquier organización que necesita empleados, por lo cual recurre a un medio </w:t>
      </w:r>
      <w:r>
        <w:rPr>
          <w:spacing w:val="-3"/>
        </w:rPr>
        <w:t>ya </w:t>
      </w:r>
      <w:r>
        <w:rPr/>
        <w:t>sea electrónico o impreso para ofertar su disposición a contratar personas. El análisis del lado de la economía involucra a la segunda generación de la segmentación del mercado (teoría radical), en donde el mercado se distingue por está claramente dividido no sólo por las condiciones de empleo sino también de raza, género y sector productivo donde se encuentran. En su contraparte, por el área administrativa existen tres teorías que enriquecen el entendimiento de la situación: filas, señales y filtro. Para ello se debe identificar cada peculiaridad del mercado laboral y definir cuál de las tres teorías administrativas o las tres delimitan mejor  el fenómeno, el que se caracteriza mediante un modelo matemático y el análisis está completo. Tenemos un modelo econométrico con un marco teórico</w:t>
      </w:r>
      <w:r>
        <w:rPr>
          <w:spacing w:val="-10"/>
        </w:rPr>
        <w:t> </w:t>
      </w:r>
      <w:r>
        <w:rPr/>
        <w:t>administrativo.</w:t>
      </w:r>
    </w:p>
    <w:p>
      <w:pPr>
        <w:pStyle w:val="BodyText"/>
      </w:pPr>
    </w:p>
    <w:p>
      <w:pPr>
        <w:pStyle w:val="BodyText"/>
        <w:spacing w:line="360" w:lineRule="auto" w:before="143"/>
        <w:ind w:left="102" w:right="121"/>
        <w:jc w:val="both"/>
      </w:pPr>
      <w:r>
        <w:rPr/>
        <w:t>A pesar de ser tan sencillo resumir la situación y cómo lo que se pretende demostrar es que es una actividad social que no es exclusiva ni de los individuos ni de las organizaciones, la explicación al ejemplo es como sigue: el individuo pertenece a alguno de los segmentos del mercado (teoría económica) y acude con un cierto nivel de formación al mercado  de trabajo, en donde un empleador u organización evalúa mediante “señales” si es el candidato correcto (teoría del filtro-administración-). Y su acceso al empleo sigue un comportamiento que se ajusta más a los supuestos de la teoría de la fila, en la cual no es un sistema que respete el orden de llegada al mercado laboral, sino que el más apto es contratado primero, siendo así una actividad que afecta no sólo al individuo sino a la organización que lo contrata.</w:t>
      </w:r>
    </w:p>
    <w:p>
      <w:pPr>
        <w:spacing w:after="0" w:line="360" w:lineRule="auto"/>
        <w:jc w:val="both"/>
        <w:sectPr>
          <w:pgSz w:w="12240" w:h="15840"/>
          <w:pgMar w:header="0" w:footer="1235" w:top="1360" w:bottom="1440" w:left="1600" w:right="1580"/>
        </w:sectPr>
      </w:pPr>
    </w:p>
    <w:p>
      <w:pPr>
        <w:pStyle w:val="BodyText"/>
        <w:spacing w:line="360" w:lineRule="auto" w:before="50"/>
        <w:ind w:left="102" w:right="116"/>
        <w:jc w:val="both"/>
      </w:pPr>
      <w:r>
        <w:rPr/>
        <w:t>La argumentación presentada hasta el momento es suficiente para demostrar que el vinculo entre el tema de estudio y las ciencias económico-administrativas es real y fuerte, para cerrar este punto se presenta cómo último argumento para corroborar que efectivamente el proceso de transición si es un fenómeno que se encuentra dentro del área de conocimiento de la que se ha hablado a largo de esta disertación, se propone imaginar una organización  en la que se quiere medir el bienestar que genera (tanto endógena como exógenamente) cuyo modelo de ecuaciones y con el objetivo de realizar un estudio comparativo entre el contratado y su jefe inmediato, de entrada para el análisis se selecciona el indicador del clima laboral y satisfacción de los empleados contratados con un máximo seis meses en la organización. A la par que para el jefe inmediato de cada uno de ellos se pide hagan una evaluación de desempeño sujeto a sujeto de los</w:t>
      </w:r>
      <w:r>
        <w:rPr>
          <w:spacing w:val="-9"/>
        </w:rPr>
        <w:t> </w:t>
      </w:r>
      <w:r>
        <w:rPr/>
        <w:t>seleccionados.</w:t>
      </w:r>
    </w:p>
    <w:p>
      <w:pPr>
        <w:pStyle w:val="BodyText"/>
      </w:pPr>
    </w:p>
    <w:p>
      <w:pPr>
        <w:pStyle w:val="BodyText"/>
        <w:spacing w:line="360" w:lineRule="auto" w:before="143"/>
        <w:ind w:left="102" w:right="119"/>
        <w:jc w:val="both"/>
      </w:pPr>
      <w:r>
        <w:rPr/>
        <w:t>Entonces, para poder determinar que es el tipo de empleo que ofrece la organización el que determina el nivel de bienestar de la misma, se construye una base de datos con los resultados de los instrumentos mencionados en el párrafo anterior y se contrastan uno a uno los resultados con la descripción del puesto y objetivos particulares de cada uno de los empleados evaluados.</w:t>
      </w:r>
    </w:p>
    <w:p>
      <w:pPr>
        <w:pStyle w:val="BodyText"/>
      </w:pPr>
    </w:p>
    <w:p>
      <w:pPr>
        <w:pStyle w:val="BodyText"/>
        <w:spacing w:line="360" w:lineRule="auto" w:before="143"/>
        <w:ind w:left="102" w:right="119"/>
        <w:jc w:val="both"/>
      </w:pPr>
      <w:r>
        <w:rPr/>
        <w:t>Se puede llegar a pensar que medir el bienestar es sin duda un tema que atañe a la economía, sin embargo se le ha dado un giro substancial al involucrar el desempeño de los individuos, la percepción que tienen de la organización y la administración de los puestos y funciones, con lo que se involucran tanto a la economía como a la administración. Así, no sólo se busca un indicador productivo (teoría económica) sino que se implica el hecho de que existan las condiciones administrativas que propicien el buen resultado del</w:t>
      </w:r>
      <w:r>
        <w:rPr>
          <w:spacing w:val="-11"/>
        </w:rPr>
        <w:t> </w:t>
      </w:r>
      <w:r>
        <w:rPr/>
        <w:t>indicador.</w:t>
      </w:r>
    </w:p>
    <w:p>
      <w:pPr>
        <w:pStyle w:val="BodyText"/>
      </w:pPr>
    </w:p>
    <w:p>
      <w:pPr>
        <w:pStyle w:val="BodyText"/>
        <w:spacing w:line="360" w:lineRule="auto" w:before="143"/>
        <w:ind w:left="102" w:right="121"/>
        <w:jc w:val="both"/>
      </w:pPr>
      <w:r>
        <w:rPr/>
        <w:t>Es una forma nueva e innovadora de abordar un tema que tradicionalmente, se vería aislado, recurriendo únicamente a supuestos de una disciplina o de la</w:t>
      </w:r>
      <w:r>
        <w:rPr>
          <w:spacing w:val="-13"/>
        </w:rPr>
        <w:t> </w:t>
      </w:r>
      <w:r>
        <w:rPr/>
        <w:t>otra.</w:t>
      </w:r>
    </w:p>
    <w:p>
      <w:pPr>
        <w:pStyle w:val="BodyText"/>
      </w:pPr>
    </w:p>
    <w:p>
      <w:pPr>
        <w:pStyle w:val="BodyText"/>
        <w:spacing w:line="360" w:lineRule="auto" w:before="143"/>
        <w:ind w:left="102" w:right="121"/>
        <w:jc w:val="both"/>
      </w:pPr>
      <w:r>
        <w:rPr/>
        <w:t>En conclusión el estudio del proceso de transición al mercado de trabajo está inmerso en las ciencias económico-administrativas. No es sencillo lograr que un mismo fenómeno sea abordado teóricamente por distintas disciplinas, en este caso particular se tuvo que   realizar</w:t>
      </w:r>
    </w:p>
    <w:p>
      <w:pPr>
        <w:spacing w:after="0" w:line="360" w:lineRule="auto"/>
        <w:jc w:val="both"/>
        <w:sectPr>
          <w:pgSz w:w="12240" w:h="15840"/>
          <w:pgMar w:header="0" w:footer="1235" w:top="1360" w:bottom="1440" w:left="1600" w:right="1580"/>
        </w:sectPr>
      </w:pPr>
    </w:p>
    <w:p>
      <w:pPr>
        <w:pStyle w:val="BodyText"/>
        <w:spacing w:line="360" w:lineRule="auto" w:before="50"/>
        <w:ind w:left="102" w:right="117"/>
        <w:jc w:val="both"/>
      </w:pPr>
      <w:r>
        <w:rPr/>
        <w:t>una pesquisa por más de un año. Este proceso de búsqueda de información fue un periodo formativo que contribuyó a contextualizar mejor el problema de estudio.</w:t>
      </w:r>
    </w:p>
    <w:p>
      <w:pPr>
        <w:pStyle w:val="BodyText"/>
      </w:pPr>
    </w:p>
    <w:p>
      <w:pPr>
        <w:pStyle w:val="BodyText"/>
        <w:spacing w:line="360" w:lineRule="auto" w:before="143"/>
        <w:ind w:left="102" w:right="121"/>
        <w:jc w:val="both"/>
      </w:pPr>
      <w:r>
        <w:rPr/>
        <w:t>Gran parte del éxito de que las teorías económicas y las teorías administrativas puedan ser trabajadas hombro con hombro en el estudio de la transición laboral y en general para cualquier trabajo científico, radica primero en conocer tanto la teoría económica como la teoría de las organizaciones. Sin este entendimiento sería muy difícil tratar de exponer un marco contextual que involucre a ambas ciencias.</w:t>
      </w:r>
    </w:p>
    <w:p>
      <w:pPr>
        <w:pStyle w:val="BodyText"/>
      </w:pPr>
    </w:p>
    <w:p>
      <w:pPr>
        <w:pStyle w:val="BodyText"/>
        <w:spacing w:line="360" w:lineRule="auto" w:before="143"/>
        <w:ind w:left="102" w:right="120"/>
        <w:jc w:val="both"/>
      </w:pPr>
      <w:r>
        <w:rPr/>
        <w:t>El siguiente elemento, debe ser la claridad con la que el problema sea planteado, pues ésta será la clave para poder seleccionar correctamente que tipo de análisis que modele mejor la situación. Específicamente en el caso de estudio de los egresados de la Licenciatura en Economía se analizaron muchas teorías de ambas disciplinas, las cuales se tuvieron que descartar una a una hasta encontrar las que verdaderamente explican el fenómeno. Por ello, con mucha confianza, se puede afirmar que existe una correspondencia clara de que la nueva ciencia, como ha sido llamada desde el inicio de este documento, si es la ciencia apropiada para analizar el proceso de transición de la universidad al trabajo.</w:t>
      </w:r>
    </w:p>
    <w:p>
      <w:pPr>
        <w:pStyle w:val="BodyText"/>
      </w:pPr>
    </w:p>
    <w:p>
      <w:pPr>
        <w:pStyle w:val="BodyText"/>
        <w:spacing w:line="360" w:lineRule="auto" w:before="143"/>
        <w:ind w:left="102" w:right="113"/>
        <w:jc w:val="both"/>
      </w:pPr>
      <w:r>
        <w:rPr/>
        <w:t>En resumen, en este capítulo se revisó el proceso de transición, periodo que existe entre la formación en una Institución de Educación Superior y el ingreso o inserción del egresado universitario o cualquier formado al mercado de trabajo. Dicho proceso debería ser breve y fluido, sin embargo no siempre sucede así.</w:t>
      </w:r>
    </w:p>
    <w:p>
      <w:pPr>
        <w:pStyle w:val="BodyText"/>
        <w:spacing w:line="360" w:lineRule="auto" w:before="203"/>
        <w:ind w:left="102" w:right="116"/>
        <w:jc w:val="both"/>
      </w:pPr>
      <w:r>
        <w:rPr/>
        <w:t>Se analizaron tres de las principales teorías que explican el proceso de transición, se definió que la teoría de la búsqueda y la teoría de las señales son las que mejor explican lo que sucede al momento de que un egresado trata de insertarse al mercado de trabajo. La teoría de la fila, explica el tiempo que transcurre desde que un buscador de empleo inicia su proceso de transición hasta que logra ser contratado, que es lo que se está analizando en  esta tesis, que se traduce como su inserción al mercado de</w:t>
      </w:r>
      <w:r>
        <w:rPr>
          <w:spacing w:val="-10"/>
        </w:rPr>
        <w:t> </w:t>
      </w:r>
      <w:r>
        <w:rPr/>
        <w:t>trabajo.</w:t>
      </w:r>
    </w:p>
    <w:p>
      <w:pPr>
        <w:pStyle w:val="BodyText"/>
        <w:spacing w:line="360" w:lineRule="auto" w:before="205"/>
        <w:ind w:left="102" w:right="120"/>
        <w:jc w:val="both"/>
      </w:pPr>
      <w:r>
        <w:rPr/>
        <w:t>Así, la teoría de la búsqueda pone de manifiesto que ante una realidad de información imperfecta tanto desempleados como empleadores no poseen toda el conocimiento de lo</w:t>
      </w:r>
    </w:p>
    <w:p>
      <w:pPr>
        <w:spacing w:after="0" w:line="360" w:lineRule="auto"/>
        <w:jc w:val="both"/>
        <w:sectPr>
          <w:footerReference w:type="default" r:id="rId49"/>
          <w:pgSz w:w="12240" w:h="15840"/>
          <w:pgMar w:footer="1243" w:header="0" w:top="1360" w:bottom="1440" w:left="1600" w:right="1580"/>
        </w:sectPr>
      </w:pPr>
    </w:p>
    <w:p>
      <w:pPr>
        <w:pStyle w:val="BodyText"/>
        <w:spacing w:line="360" w:lineRule="auto" w:before="50"/>
        <w:ind w:left="102" w:right="122"/>
        <w:jc w:val="both"/>
      </w:pPr>
      <w:r>
        <w:rPr/>
        <w:t>que sucede en el mercado de trabajo ante esta situación los desempleados recurren al modelo de la búsqueda secuencial en dónde el principio básico es fijar un salario mínimo por parte de los desempleados, la búsqueda continúa hasta que el individuo encuentra una oferta que otorgue cuando menos el salario que el fijo como mínimo.</w:t>
      </w:r>
    </w:p>
    <w:p>
      <w:pPr>
        <w:pStyle w:val="BodyText"/>
        <w:spacing w:line="360" w:lineRule="auto" w:before="205"/>
        <w:ind w:left="102" w:right="116"/>
        <w:jc w:val="both"/>
      </w:pPr>
      <w:r>
        <w:rPr/>
        <w:t>Por parte de los empleadores, la teoría de las señales (teoría del filtro, teoría de la selección o credencialismo) en el proceso de transición, cuenta con “señales” las que ayudan a minimizar la falta de información en el proceso de toma de decisiones, los empleadores se guían por medio de estas señales que les indican la productividad potencial del individuo que solicita la vacante.</w:t>
      </w:r>
    </w:p>
    <w:p>
      <w:pPr>
        <w:pStyle w:val="BodyText"/>
        <w:spacing w:line="360" w:lineRule="auto" w:before="203"/>
        <w:ind w:left="102" w:right="120"/>
        <w:jc w:val="both"/>
      </w:pPr>
      <w:r>
        <w:rPr/>
        <w:t>La teoría de la fila explica porque unos egresados pasan más tiempo en el proceso de transición que otros y esto está en función de las calificaciones que hayan logrado al momento de egresar de la carrera profesional.</w:t>
      </w:r>
    </w:p>
    <w:p>
      <w:pPr>
        <w:pStyle w:val="BodyText"/>
        <w:spacing w:line="360" w:lineRule="auto" w:before="205"/>
        <w:ind w:left="102" w:right="116"/>
        <w:jc w:val="both"/>
      </w:pPr>
      <w:r>
        <w:rPr/>
        <w:t>Según Weller (2007) en los países latinoamericanos se esperaba que a partir de los años 1990’s los procesos de transición de la escuela al trabajo mejorarán, sin embargo la inserción laboral se fue haciendo cada vez más compleja: tasas de desempleo elevadas y precariedad en el empleo juvenil (flexibilidad del mercado de trabajo). Generando con ello dudas sobre la eficiencia de la inversión en educación y capacitación. El tema de Educación Superior será abordado en el siguiente capítulo, en el cual se revisan los principales indicadores de educación en México y en el Estado de México, así como el fenómeno de la masificación de la educación superior y las políticas actuales que dictaminan los parámetros que se deben seguir en este rubro.</w:t>
      </w:r>
    </w:p>
    <w:p>
      <w:pPr>
        <w:pStyle w:val="BodyText"/>
        <w:spacing w:line="360" w:lineRule="auto" w:before="205"/>
        <w:ind w:left="102" w:right="118"/>
        <w:jc w:val="both"/>
      </w:pPr>
      <w:r>
        <w:rPr/>
        <w:t>Una vez analizados los conceptos de mercado de trabajo, transición, flexibilidad laboral y haberse explicado la inmersión del tema de estudio de esta tesis en las ciencias económico- administrativas es importante analizar la situación de educación superior para el periodo 2000 a 2010, con la finalidad de entender el contexto en el cual fueron formados los egresados de la Licenciatura de Economía de la UAEMéx, lo cual se evalúa en el siguiente capítulo.</w:t>
      </w:r>
    </w:p>
    <w:p>
      <w:pPr>
        <w:spacing w:after="0" w:line="360" w:lineRule="auto"/>
        <w:jc w:val="both"/>
        <w:sectPr>
          <w:footerReference w:type="default" r:id="rId50"/>
          <w:pgSz w:w="12240" w:h="15840"/>
          <w:pgMar w:footer="1243" w:header="0" w:top="1360" w:bottom="1440" w:left="1600" w:right="1580"/>
        </w:sectPr>
      </w:pPr>
    </w:p>
    <w:p>
      <w:pPr>
        <w:pStyle w:val="Heading3"/>
        <w:spacing w:before="53"/>
        <w:ind w:right="19"/>
        <w:jc w:val="center"/>
      </w:pPr>
      <w:bookmarkStart w:name="_bookmark29" w:id="53"/>
      <w:bookmarkEnd w:id="53"/>
      <w:r>
        <w:rPr>
          <w:b w:val="0"/>
        </w:rPr>
      </w:r>
      <w:r>
        <w:rPr/>
        <w:t>CAPÍTULO 3</w:t>
      </w:r>
    </w:p>
    <w:p>
      <w:pPr>
        <w:spacing w:before="0"/>
        <w:ind w:left="0" w:right="20" w:firstLine="0"/>
        <w:jc w:val="center"/>
        <w:rPr>
          <w:b/>
          <w:sz w:val="24"/>
        </w:rPr>
      </w:pPr>
      <w:r>
        <w:rPr>
          <w:b/>
          <w:sz w:val="24"/>
        </w:rPr>
        <w:t>LA EDUCACIÓN SUPERIOR EN MÉXICO, PERIODO 2000-2010</w:t>
      </w:r>
    </w:p>
    <w:p>
      <w:pPr>
        <w:pStyle w:val="BodyText"/>
        <w:rPr>
          <w:b/>
        </w:rPr>
      </w:pPr>
    </w:p>
    <w:p>
      <w:pPr>
        <w:spacing w:before="141"/>
        <w:ind w:left="102" w:right="0" w:firstLine="0"/>
        <w:jc w:val="both"/>
        <w:rPr>
          <w:b/>
          <w:sz w:val="24"/>
        </w:rPr>
      </w:pPr>
      <w:r>
        <w:rPr>
          <w:b/>
          <w:sz w:val="24"/>
        </w:rPr>
        <w:t>Introducción</w:t>
      </w:r>
    </w:p>
    <w:p>
      <w:pPr>
        <w:pStyle w:val="BodyText"/>
        <w:spacing w:line="360" w:lineRule="auto" w:before="132"/>
        <w:ind w:left="102" w:right="118"/>
        <w:jc w:val="both"/>
      </w:pPr>
      <w:r>
        <w:rPr/>
        <w:t>El objetivo del capítulo es hacer un repaso de la evolución del sistema educativo en México y en el Estado de México durante el período 2000 a 2010, ahondando en la realidad del nivel superior, con el propósito de analizar políticas, cobertura y calidad de la educación que reciben los egresados universitarios y reflexionar los impactos de la formación en su proceso de transición al mercado de trabajo, específicamente de los licenciados en economía de la</w:t>
      </w:r>
      <w:r>
        <w:rPr>
          <w:spacing w:val="-2"/>
        </w:rPr>
        <w:t> </w:t>
      </w:r>
      <w:r>
        <w:rPr/>
        <w:t>UAEMéx.</w:t>
      </w:r>
    </w:p>
    <w:p>
      <w:pPr>
        <w:pStyle w:val="BodyText"/>
      </w:pPr>
    </w:p>
    <w:p>
      <w:pPr>
        <w:pStyle w:val="BodyText"/>
        <w:spacing w:line="360" w:lineRule="auto" w:before="143"/>
        <w:ind w:left="102" w:right="117"/>
        <w:jc w:val="both"/>
      </w:pPr>
      <w:r>
        <w:rPr/>
        <w:t>La primera parte se inicia con el análisis de la masificación de la educación superior y la exploración de los niveles educativos tanto internacionales como nacionales, en la segunda se muestran los programas y planes de evaluación, acreditación y asignación de recursos financieros internacionales y nacionales para la educación superior, en donde se incluyen las políticas educativas que inciden e impactan en las universidades</w:t>
      </w:r>
      <w:r>
        <w:rPr>
          <w:spacing w:val="-11"/>
        </w:rPr>
        <w:t> </w:t>
      </w:r>
      <w:r>
        <w:rPr/>
        <w:t>mexicanas.</w:t>
      </w:r>
    </w:p>
    <w:p>
      <w:pPr>
        <w:pStyle w:val="BodyText"/>
      </w:pPr>
    </w:p>
    <w:p>
      <w:pPr>
        <w:pStyle w:val="BodyText"/>
        <w:spacing w:line="360" w:lineRule="auto" w:before="143"/>
        <w:ind w:left="102" w:right="115"/>
        <w:jc w:val="both"/>
      </w:pPr>
      <w:r>
        <w:rPr/>
        <w:t>En la tercera se incorpora una compilación de los indicadores educativos más representativos, con lo que se bosqueja la situación de la educación superior a nivel país y en el Estado de México, se incluyen cifras representativas para las profesiones que a nivel nacional y estatal destacan en rubros como: ocupación, salario y género, considerando aquellas que requieren educación superior.</w:t>
      </w:r>
    </w:p>
    <w:p>
      <w:pPr>
        <w:pStyle w:val="BodyText"/>
      </w:pPr>
    </w:p>
    <w:p>
      <w:pPr>
        <w:pStyle w:val="BodyText"/>
        <w:spacing w:line="360" w:lineRule="auto" w:before="143"/>
        <w:ind w:left="102" w:right="114"/>
        <w:jc w:val="both"/>
      </w:pPr>
      <w:r>
        <w:rPr/>
        <w:t>Finalmente, por ser los egresados de la Licenciatura de Economía de la UAEMéx los que constituyen la población de estudio de esta tesis, se incluye una breve reseña de la historia de la UAEMéx y de la Facultad de Economía, así como la estructura académica de la Licenciatura de Economía y los programas y proyectos que se han implementado en relación a la misma.</w:t>
      </w:r>
    </w:p>
    <w:p>
      <w:pPr>
        <w:spacing w:after="0" w:line="360" w:lineRule="auto"/>
        <w:jc w:val="both"/>
        <w:sectPr>
          <w:footerReference w:type="default" r:id="rId51"/>
          <w:pgSz w:w="12240" w:h="15840"/>
          <w:pgMar w:footer="1003" w:header="0" w:top="1360" w:bottom="1200" w:left="1600" w:right="1580"/>
          <w:pgNumType w:start="62"/>
        </w:sectPr>
      </w:pPr>
    </w:p>
    <w:p>
      <w:pPr>
        <w:pStyle w:val="Heading3"/>
        <w:numPr>
          <w:ilvl w:val="1"/>
          <w:numId w:val="50"/>
        </w:numPr>
        <w:tabs>
          <w:tab w:pos="523" w:val="left" w:leader="none"/>
        </w:tabs>
        <w:spacing w:line="240" w:lineRule="auto" w:before="55" w:after="0"/>
        <w:ind w:left="522" w:right="0" w:hanging="420"/>
        <w:jc w:val="both"/>
      </w:pPr>
      <w:bookmarkStart w:name="_bookmark30" w:id="54"/>
      <w:bookmarkEnd w:id="54"/>
      <w:r>
        <w:rPr>
          <w:b w:val="0"/>
        </w:rPr>
      </w:r>
      <w:bookmarkStart w:name="_bookmark30" w:id="55"/>
      <w:bookmarkEnd w:id="55"/>
      <w:r>
        <w:rPr/>
        <w:t>La</w:t>
      </w:r>
      <w:r>
        <w:rPr/>
        <w:t> masificación de la educación</w:t>
      </w:r>
      <w:r>
        <w:rPr>
          <w:spacing w:val="52"/>
        </w:rPr>
        <w:t> </w:t>
      </w:r>
      <w:r>
        <w:rPr/>
        <w:t>superior</w:t>
      </w:r>
    </w:p>
    <w:p>
      <w:pPr>
        <w:pStyle w:val="BodyText"/>
        <w:rPr>
          <w:b/>
        </w:rPr>
      </w:pPr>
    </w:p>
    <w:p>
      <w:pPr>
        <w:pStyle w:val="BodyText"/>
        <w:spacing w:before="6"/>
        <w:rPr>
          <w:b/>
          <w:sz w:val="23"/>
        </w:rPr>
      </w:pPr>
    </w:p>
    <w:p>
      <w:pPr>
        <w:pStyle w:val="BodyText"/>
        <w:spacing w:line="360" w:lineRule="auto"/>
        <w:ind w:left="102" w:right="118"/>
        <w:jc w:val="both"/>
      </w:pPr>
      <w:r>
        <w:rPr/>
        <w:t>En las últimas décadas del siglo XX a nivel internacional el tema de la educación superior ha cobrado relevancia, por un lado, derivado del hecho de que la población juvenil que estudia una carrera universitaria ha aumentado y por el otro, que la demanda de estudios universitarios ha crecido. A este fenómeno se le conoce como masificación de la educación.</w:t>
      </w:r>
    </w:p>
    <w:p>
      <w:pPr>
        <w:pStyle w:val="BodyText"/>
      </w:pPr>
    </w:p>
    <w:p>
      <w:pPr>
        <w:pStyle w:val="BodyText"/>
        <w:spacing w:line="360" w:lineRule="auto" w:before="143"/>
        <w:ind w:left="102" w:right="120"/>
        <w:jc w:val="both"/>
      </w:pPr>
      <w:r>
        <w:rPr/>
        <w:t>Todo el mundo lo ha vivido, se originó a partir del incremento y acenso de la clase media,  la cual buscaba cursar estudios universitarios (Gómez, Borra, Gil y Salas, 2008), principalmente con el deseo de una promoción social, es decir poseer un título universitario que para la clase media ayudara a posicionarse y calificarse mejor dentro de su entorno social, además el contar con estudios universitarios permitía una inserción al mercado de trabajo con un mejor salario y un trabajo que ante la sociedad era considerado como superior, por requerir menos esfuerzo físico y más esfuerzo</w:t>
      </w:r>
      <w:r>
        <w:rPr>
          <w:spacing w:val="-10"/>
        </w:rPr>
        <w:t> </w:t>
      </w:r>
      <w:r>
        <w:rPr/>
        <w:t>intelectual.</w:t>
      </w:r>
    </w:p>
    <w:p>
      <w:pPr>
        <w:pStyle w:val="BodyText"/>
      </w:pPr>
    </w:p>
    <w:p>
      <w:pPr>
        <w:pStyle w:val="BodyText"/>
        <w:spacing w:line="360" w:lineRule="auto" w:before="143"/>
        <w:ind w:left="102" w:right="114"/>
        <w:jc w:val="both"/>
      </w:pPr>
      <w:r>
        <w:rPr/>
        <w:t>Los datos publicados en 2012 por la Organización para la Cooperación y Desarrollos Económicos (OCDE) mostraron que las personas que cuentan con un nivel de educación superior en México se ha duplicado en las últimas cinco décadas. De las personas entre 55  y 64 años de edad 9.8% cuenta con estudios profesionales, en comparación con 20.2% de aquellos entre 25 y 34 años de edad que también han concluido estudios de nivel superior (OCDE,</w:t>
      </w:r>
      <w:r>
        <w:rPr>
          <w:spacing w:val="-5"/>
        </w:rPr>
        <w:t> </w:t>
      </w:r>
      <w:r>
        <w:rPr/>
        <w:t>2012).</w:t>
      </w:r>
    </w:p>
    <w:p>
      <w:pPr>
        <w:pStyle w:val="BodyText"/>
        <w:spacing w:line="360" w:lineRule="auto" w:before="205"/>
        <w:ind w:left="102" w:right="119"/>
        <w:jc w:val="both"/>
      </w:pPr>
      <w:r>
        <w:rPr/>
        <w:t>Como se observa con los datos anteriores, México no ha sido ajeno a este fenómeno de masificación de la educación superior. Prueba de ello ha sido el incremento significativo de la matrícula, de los docentes y de las instituciones.</w:t>
      </w:r>
    </w:p>
    <w:p>
      <w:pPr>
        <w:pStyle w:val="BodyText"/>
        <w:spacing w:before="5"/>
        <w:rPr>
          <w:sz w:val="22"/>
        </w:rPr>
      </w:pPr>
    </w:p>
    <w:p>
      <w:pPr>
        <w:spacing w:before="0"/>
        <w:ind w:left="810" w:right="115" w:firstLine="0"/>
        <w:jc w:val="both"/>
        <w:rPr>
          <w:sz w:val="22"/>
        </w:rPr>
      </w:pPr>
      <w:r>
        <w:rPr>
          <w:sz w:val="22"/>
        </w:rPr>
        <w:t>Vista en perspectiva histórica, es indiscutible que la educación pública en México abrió oportunidades de desarrollo personal, movilidad social y mejoramiento económico para generaciones de personas, lo que coadyuvó al desarrollo del país y afianzó sus rasgos de identidad. Son logros considerables que, sin embargo, resultan insatisfactorios ante la persistencia de procesos sociales de marginación de las oportunidades educativas, particularmente entre los más pobres. Los servicios educativos siguen siendo escasos en parte importante del territorio nacional, en especial, aunque no exclusivamente, en el área rural (SEP, 2013).</w:t>
      </w:r>
    </w:p>
    <w:p>
      <w:pPr>
        <w:spacing w:after="0"/>
        <w:jc w:val="both"/>
        <w:rPr>
          <w:sz w:val="22"/>
        </w:rPr>
        <w:sectPr>
          <w:pgSz w:w="12240" w:h="15840"/>
          <w:pgMar w:header="0" w:footer="1003" w:top="1360" w:bottom="1200" w:left="1600" w:right="1580"/>
        </w:sectPr>
      </w:pPr>
    </w:p>
    <w:p>
      <w:pPr>
        <w:pStyle w:val="BodyText"/>
        <w:spacing w:line="355" w:lineRule="auto" w:before="50"/>
        <w:ind w:left="122" w:right="114"/>
        <w:jc w:val="both"/>
      </w:pPr>
      <w:r>
        <w:rPr/>
        <w:t>Las cifras presentadas por la Secretaría de Educación Pública (SEP) (2013) permiten observar la tendencia del crecimiento de la matrícula en el nivel superior. Destaca que la tendencia a la alza se mantuvo constante de 1990 a 2010 en el país, con un promedio de 4.43%. Cabe aclarar que el periodo en el que se presentó un retroceso fue 1992-1993, el cual disminuyó 0.73% con respecto a 1991-1992, mientras que el que reportó un mayor crecimiento con un 7.91%</w:t>
      </w:r>
      <w:r>
        <w:rPr>
          <w:position w:val="11"/>
          <w:sz w:val="16"/>
        </w:rPr>
        <w:t>8  </w:t>
      </w:r>
      <w:r>
        <w:rPr/>
        <w:t>fue 1995-1996 (gráfica</w:t>
      </w:r>
      <w:r>
        <w:rPr>
          <w:spacing w:val="-27"/>
        </w:rPr>
        <w:t> </w:t>
      </w:r>
      <w:r>
        <w:rPr/>
        <w:t>3.1.).</w:t>
      </w:r>
    </w:p>
    <w:p>
      <w:pPr>
        <w:pStyle w:val="BodyText"/>
        <w:spacing w:before="8"/>
        <w:rPr>
          <w:sz w:val="35"/>
        </w:rPr>
      </w:pPr>
    </w:p>
    <w:p>
      <w:pPr>
        <w:pStyle w:val="Heading3"/>
        <w:spacing w:before="0"/>
        <w:ind w:left="841" w:right="262"/>
        <w:jc w:val="left"/>
      </w:pPr>
      <w:r>
        <w:rPr/>
        <w:t>Gráfica 3.1. Masificación de la educación superior en México, 1990-2010</w:t>
      </w:r>
    </w:p>
    <w:p>
      <w:pPr>
        <w:pStyle w:val="BodyText"/>
        <w:rPr>
          <w:b/>
          <w:sz w:val="20"/>
        </w:rPr>
      </w:pPr>
    </w:p>
    <w:p>
      <w:pPr>
        <w:pStyle w:val="BodyText"/>
        <w:spacing w:before="1"/>
        <w:rPr>
          <w:b/>
          <w:sz w:val="17"/>
        </w:rPr>
      </w:pPr>
    </w:p>
    <w:p>
      <w:pPr>
        <w:spacing w:before="0"/>
        <w:ind w:left="1070" w:right="1552" w:firstLine="0"/>
        <w:jc w:val="left"/>
        <w:rPr>
          <w:rFonts w:ascii="Calibri"/>
          <w:sz w:val="20"/>
        </w:rPr>
      </w:pPr>
      <w:r>
        <w:rPr/>
        <w:pict>
          <v:group style="position:absolute;margin-left:173.744995pt;margin-top:6.38646pt;width:301.6pt;height:152.35pt;mso-position-horizontal-relative:page;mso-position-vertical-relative:paragraph;z-index:1744" coordorigin="3475,128" coordsize="6032,3047">
            <v:shape style="position:absolute;left:3482;top:135;width:6017;height:3032" coordorigin="3482,135" coordsize="6017,3032" path="m3545,2607l9499,2607m3545,2113l9499,2113m3545,1618l9499,1618m3545,1124l9499,1124m3545,630l9499,630m3545,135l9499,135m3545,3102l3545,135m3482,3102l3545,3102m3482,2607l3545,2607m3482,2113l3545,2113m3482,1618l3545,1618m3482,1124l3545,1124m3482,630l3545,630m3482,135l3545,135m3545,3102l9499,3102m3545,3102l3545,3166m3842,3102l3842,3166m4140,3102l4140,3166m4438,3102l4438,3166m4735,3102l4735,3166m5033,3102l5033,3166m5333,3102l5333,3166m5630,3102l5630,3166m5928,3102l5928,3166m6226,3102l6226,3166m6523,3102l6523,3166m6821,3102l6821,3166m7118,3102l7118,3166m7416,3102l7416,3166m7714,3102l7714,3166m8011,3102l8011,3166m8309,3102l8309,3166m8606,3102l8606,3166m8904,3102l8904,3166m9202,3102l9202,3166m9499,3102l9499,3166e" filled="false" stroked="true" strokeweight=".72pt" strokecolor="#858585">
              <v:path arrowok="t"/>
            </v:shape>
            <v:shape style="position:absolute;left:3694;top:284;width:5657;height:1580" coordorigin="3694,284" coordsize="5657,1580" path="m3694,1863l3991,1801,4289,1810,4586,1748,4884,1698,5184,1585,5482,1508,5779,1393,6077,1285,6374,1160,6672,1076,6970,978,7267,889,7565,805,7862,742,8160,682,8458,601,8755,507,9053,426,9350,284e" filled="false" stroked="true" strokeweight="2.16pt" strokecolor="#497dba">
              <v:path arrowok="t"/>
            </v:shape>
            <v:shape style="position:absolute;left:3616;top:1785;width:154;height:154" type="#_x0000_t75" stroked="false">
              <v:imagedata r:id="rId52" o:title=""/>
            </v:shape>
            <v:shape style="position:absolute;left:3914;top:1720;width:154;height:154" type="#_x0000_t75" stroked="false">
              <v:imagedata r:id="rId53" o:title=""/>
            </v:shape>
            <v:shape style="position:absolute;left:4211;top:1730;width:154;height:154" type="#_x0000_t75" stroked="false">
              <v:imagedata r:id="rId54" o:title=""/>
            </v:shape>
            <v:shape style="position:absolute;left:4509;top:1670;width:154;height:154" type="#_x0000_t75" stroked="false">
              <v:imagedata r:id="rId55" o:title=""/>
            </v:shape>
            <v:shape style="position:absolute;left:4806;top:1617;width:154;height:154" type="#_x0000_t75" stroked="false">
              <v:imagedata r:id="rId54" o:title=""/>
            </v:shape>
            <v:shape style="position:absolute;left:5104;top:1507;width:154;height:154" type="#_x0000_t75" stroked="false">
              <v:imagedata r:id="rId54" o:title=""/>
            </v:shape>
            <v:shape style="position:absolute;left:5402;top:1427;width:154;height:154" type="#_x0000_t75" stroked="false">
              <v:imagedata r:id="rId52" o:title=""/>
            </v:shape>
            <v:shape style="position:absolute;left:5699;top:1315;width:154;height:154" type="#_x0000_t75" stroked="false">
              <v:imagedata r:id="rId53" o:title=""/>
            </v:shape>
            <v:shape style="position:absolute;left:5997;top:1204;width:154;height:154" type="#_x0000_t75" stroked="false">
              <v:imagedata r:id="rId54" o:title=""/>
            </v:shape>
            <v:shape style="position:absolute;left:6294;top:1082;width:154;height:154" type="#_x0000_t75" stroked="false">
              <v:imagedata r:id="rId52" o:title=""/>
            </v:shape>
            <v:shape style="position:absolute;left:6592;top:998;width:154;height:154" type="#_x0000_t75" stroked="false">
              <v:imagedata r:id="rId52" o:title=""/>
            </v:shape>
            <v:shape style="position:absolute;left:6890;top:899;width:154;height:154" type="#_x0000_t75" stroked="false">
              <v:imagedata r:id="rId54" o:title=""/>
            </v:shape>
            <v:shape style="position:absolute;left:7187;top:811;width:154;height:154" type="#_x0000_t75" stroked="false">
              <v:imagedata r:id="rId52" o:title=""/>
            </v:shape>
            <v:shape style="position:absolute;left:7485;top:724;width:154;height:154" type="#_x0000_t75" stroked="false">
              <v:imagedata r:id="rId55" o:title=""/>
            </v:shape>
            <v:shape style="position:absolute;left:7785;top:664;width:154;height:154" type="#_x0000_t75" stroked="false">
              <v:imagedata r:id="rId55" o:title=""/>
            </v:shape>
            <v:shape style="position:absolute;left:8083;top:602;width:154;height:154" type="#_x0000_t75" stroked="false">
              <v:imagedata r:id="rId53" o:title=""/>
            </v:shape>
            <v:shape style="position:absolute;left:8380;top:520;width:154;height:154" type="#_x0000_t75" stroked="false">
              <v:imagedata r:id="rId52" o:title=""/>
            </v:shape>
            <v:shape style="position:absolute;left:8678;top:427;width:154;height:154" type="#_x0000_t75" stroked="false">
              <v:imagedata r:id="rId55" o:title=""/>
            </v:shape>
            <v:shape style="position:absolute;left:8975;top:347;width:154;height:154" type="#_x0000_t75" stroked="false">
              <v:imagedata r:id="rId53" o:title=""/>
            </v:shape>
            <v:shape style="position:absolute;left:9273;top:206;width:154;height:154" type="#_x0000_t75" stroked="false">
              <v:imagedata r:id="rId52" o:title=""/>
            </v:shape>
            <w10:wrap type="none"/>
          </v:group>
        </w:pict>
      </w:r>
      <w:r>
        <w:rPr>
          <w:rFonts w:ascii="Calibri"/>
          <w:sz w:val="20"/>
        </w:rPr>
        <w:t>3000000</w:t>
      </w:r>
    </w:p>
    <w:p>
      <w:pPr>
        <w:pStyle w:val="BodyText"/>
        <w:spacing w:before="8"/>
        <w:rPr>
          <w:rFonts w:ascii="Calibri"/>
          <w:sz w:val="15"/>
        </w:rPr>
      </w:pPr>
    </w:p>
    <w:p>
      <w:pPr>
        <w:spacing w:before="59"/>
        <w:ind w:left="1070" w:right="1552" w:firstLine="0"/>
        <w:jc w:val="left"/>
        <w:rPr>
          <w:rFonts w:ascii="Calibri"/>
          <w:sz w:val="20"/>
        </w:rPr>
      </w:pPr>
      <w:r>
        <w:rPr>
          <w:rFonts w:ascii="Calibri"/>
          <w:sz w:val="20"/>
        </w:rPr>
        <w:t>2500000</w:t>
      </w:r>
    </w:p>
    <w:p>
      <w:pPr>
        <w:pStyle w:val="BodyText"/>
        <w:spacing w:before="8"/>
        <w:rPr>
          <w:rFonts w:ascii="Calibri"/>
          <w:sz w:val="15"/>
        </w:rPr>
      </w:pPr>
    </w:p>
    <w:p>
      <w:pPr>
        <w:spacing w:before="59"/>
        <w:ind w:left="1070" w:right="1552" w:firstLine="0"/>
        <w:jc w:val="left"/>
        <w:rPr>
          <w:rFonts w:ascii="Calibri"/>
          <w:sz w:val="20"/>
        </w:rPr>
      </w:pPr>
      <w:r>
        <w:rPr>
          <w:rFonts w:ascii="Calibri"/>
          <w:sz w:val="20"/>
        </w:rPr>
        <w:t>2000000</w:t>
      </w:r>
    </w:p>
    <w:p>
      <w:pPr>
        <w:pStyle w:val="BodyText"/>
        <w:spacing w:before="8"/>
        <w:rPr>
          <w:rFonts w:ascii="Calibri"/>
          <w:sz w:val="15"/>
        </w:rPr>
      </w:pPr>
    </w:p>
    <w:p>
      <w:pPr>
        <w:spacing w:before="59"/>
        <w:ind w:left="1070" w:right="1552" w:firstLine="0"/>
        <w:jc w:val="left"/>
        <w:rPr>
          <w:rFonts w:ascii="Calibri"/>
          <w:sz w:val="20"/>
        </w:rPr>
      </w:pPr>
      <w:r>
        <w:rPr>
          <w:rFonts w:ascii="Calibri"/>
          <w:sz w:val="20"/>
        </w:rPr>
        <w:t>1500000</w:t>
      </w:r>
    </w:p>
    <w:p>
      <w:pPr>
        <w:pStyle w:val="BodyText"/>
        <w:spacing w:before="8"/>
        <w:rPr>
          <w:rFonts w:ascii="Calibri"/>
          <w:sz w:val="15"/>
        </w:rPr>
      </w:pPr>
    </w:p>
    <w:p>
      <w:pPr>
        <w:spacing w:before="59"/>
        <w:ind w:left="1070" w:right="1552" w:firstLine="0"/>
        <w:jc w:val="left"/>
        <w:rPr>
          <w:rFonts w:ascii="Calibri"/>
          <w:sz w:val="20"/>
        </w:rPr>
      </w:pPr>
      <w:r>
        <w:rPr>
          <w:rFonts w:ascii="Calibri"/>
          <w:sz w:val="20"/>
        </w:rPr>
        <w:t>1000000</w:t>
      </w:r>
    </w:p>
    <w:p>
      <w:pPr>
        <w:pStyle w:val="BodyText"/>
        <w:spacing w:before="8"/>
        <w:rPr>
          <w:rFonts w:ascii="Calibri"/>
          <w:sz w:val="15"/>
        </w:rPr>
      </w:pPr>
    </w:p>
    <w:p>
      <w:pPr>
        <w:spacing w:before="59"/>
        <w:ind w:left="1171" w:right="1552" w:firstLine="0"/>
        <w:jc w:val="left"/>
        <w:rPr>
          <w:rFonts w:ascii="Calibri"/>
          <w:sz w:val="20"/>
        </w:rPr>
      </w:pPr>
      <w:r>
        <w:rPr>
          <w:rFonts w:ascii="Calibri"/>
          <w:sz w:val="20"/>
        </w:rPr>
        <w:t>500000</w:t>
      </w:r>
    </w:p>
    <w:p>
      <w:pPr>
        <w:pStyle w:val="BodyText"/>
        <w:spacing w:before="8"/>
        <w:rPr>
          <w:rFonts w:ascii="Calibri"/>
          <w:sz w:val="15"/>
        </w:rPr>
      </w:pPr>
    </w:p>
    <w:p>
      <w:pPr>
        <w:spacing w:before="59"/>
        <w:ind w:left="1679" w:right="0" w:firstLine="0"/>
        <w:jc w:val="left"/>
        <w:rPr>
          <w:rFonts w:ascii="Calibri"/>
          <w:sz w:val="20"/>
        </w:rPr>
      </w:pPr>
      <w:r>
        <w:rPr/>
        <w:pict>
          <v:shape style="position:absolute;margin-left:179.639999pt;margin-top:15.011369pt;width:294.9pt;height:45.6pt;mso-position-horizontal-relative:page;mso-position-vertical-relative:paragraph;z-index:1768"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90-1991</w:t>
                  </w:r>
                </w:p>
                <w:p>
                  <w:pPr>
                    <w:spacing w:before="54"/>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91-1992</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92-1993</w:t>
                  </w:r>
                </w:p>
                <w:p>
                  <w:pPr>
                    <w:spacing w:before="54"/>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93-1994</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94-1995</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95-1996</w:t>
                  </w:r>
                </w:p>
                <w:p>
                  <w:pPr>
                    <w:spacing w:before="54"/>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96-1997</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97-1998</w:t>
                  </w:r>
                </w:p>
                <w:p>
                  <w:pPr>
                    <w:spacing w:before="54"/>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98-1999</w:t>
                  </w:r>
                </w:p>
                <w:p>
                  <w:pPr>
                    <w:spacing w:before="53"/>
                    <w:ind w:left="20" w:right="0" w:firstLine="0"/>
                    <w:jc w:val="left"/>
                    <w:rPr>
                      <w:rFonts w:ascii="Calibri"/>
                      <w:sz w:val="20"/>
                    </w:rPr>
                  </w:pPr>
                  <w:r>
                    <w:rPr>
                      <w:rFonts w:ascii="Calibri"/>
                      <w:w w:val="99"/>
                      <w:sz w:val="20"/>
                    </w:rPr>
                    <w:t>1</w:t>
                  </w:r>
                  <w:r>
                    <w:rPr>
                      <w:rFonts w:ascii="Calibri"/>
                      <w:spacing w:val="1"/>
                      <w:w w:val="99"/>
                      <w:sz w:val="20"/>
                    </w:rPr>
                    <w:t>9</w:t>
                  </w:r>
                  <w:r>
                    <w:rPr>
                      <w:rFonts w:ascii="Calibri"/>
                      <w:w w:val="99"/>
                      <w:sz w:val="20"/>
                    </w:rPr>
                    <w:t>99-2000</w:t>
                  </w:r>
                </w:p>
                <w:p>
                  <w:pPr>
                    <w:spacing w:before="53"/>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00-2001</w:t>
                  </w:r>
                </w:p>
                <w:p>
                  <w:pPr>
                    <w:spacing w:before="54"/>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01-2002</w:t>
                  </w:r>
                </w:p>
                <w:p>
                  <w:pPr>
                    <w:spacing w:before="53"/>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02-2003</w:t>
                  </w:r>
                </w:p>
                <w:p>
                  <w:pPr>
                    <w:spacing w:before="54"/>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w:t>
                  </w:r>
                  <w:r>
                    <w:rPr>
                      <w:rFonts w:ascii="Calibri"/>
                      <w:spacing w:val="-1"/>
                      <w:w w:val="99"/>
                      <w:sz w:val="20"/>
                    </w:rPr>
                    <w:t>3</w:t>
                  </w:r>
                  <w:r>
                    <w:rPr>
                      <w:rFonts w:ascii="Calibri"/>
                      <w:spacing w:val="1"/>
                      <w:w w:val="99"/>
                      <w:sz w:val="20"/>
                    </w:rPr>
                    <w:t>-</w:t>
                  </w:r>
                  <w:r>
                    <w:rPr>
                      <w:rFonts w:ascii="Calibri"/>
                      <w:w w:val="99"/>
                      <w:sz w:val="20"/>
                    </w:rPr>
                    <w:t>2</w:t>
                  </w:r>
                  <w:r>
                    <w:rPr>
                      <w:rFonts w:ascii="Calibri"/>
                      <w:spacing w:val="-1"/>
                      <w:w w:val="99"/>
                      <w:sz w:val="20"/>
                    </w:rPr>
                    <w:t>0</w:t>
                  </w:r>
                  <w:r>
                    <w:rPr>
                      <w:rFonts w:ascii="Calibri"/>
                      <w:w w:val="99"/>
                      <w:sz w:val="20"/>
                    </w:rPr>
                    <w:t>04</w:t>
                  </w:r>
                </w:p>
                <w:p>
                  <w:pPr>
                    <w:spacing w:before="53"/>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04-2005</w:t>
                  </w:r>
                </w:p>
                <w:p>
                  <w:pPr>
                    <w:spacing w:before="53"/>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05-2006</w:t>
                  </w:r>
                </w:p>
                <w:p>
                  <w:pPr>
                    <w:spacing w:before="54"/>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06-2007</w:t>
                  </w:r>
                </w:p>
                <w:p>
                  <w:pPr>
                    <w:spacing w:before="53"/>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07-2008</w:t>
                  </w:r>
                </w:p>
                <w:p>
                  <w:pPr>
                    <w:spacing w:before="54"/>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w:t>
                  </w:r>
                  <w:r>
                    <w:rPr>
                      <w:rFonts w:ascii="Calibri"/>
                      <w:spacing w:val="-1"/>
                      <w:w w:val="99"/>
                      <w:sz w:val="20"/>
                    </w:rPr>
                    <w:t>8</w:t>
                  </w:r>
                  <w:r>
                    <w:rPr>
                      <w:rFonts w:ascii="Calibri"/>
                      <w:spacing w:val="1"/>
                      <w:w w:val="99"/>
                      <w:sz w:val="20"/>
                    </w:rPr>
                    <w:t>-</w:t>
                  </w:r>
                  <w:r>
                    <w:rPr>
                      <w:rFonts w:ascii="Calibri"/>
                      <w:w w:val="99"/>
                      <w:sz w:val="20"/>
                    </w:rPr>
                    <w:t>2</w:t>
                  </w:r>
                  <w:r>
                    <w:rPr>
                      <w:rFonts w:ascii="Calibri"/>
                      <w:spacing w:val="-1"/>
                      <w:w w:val="99"/>
                      <w:sz w:val="20"/>
                    </w:rPr>
                    <w:t>0</w:t>
                  </w:r>
                  <w:r>
                    <w:rPr>
                      <w:rFonts w:ascii="Calibri"/>
                      <w:w w:val="99"/>
                      <w:sz w:val="20"/>
                    </w:rPr>
                    <w:t>09</w:t>
                  </w:r>
                </w:p>
                <w:p>
                  <w:pPr>
                    <w:spacing w:before="53"/>
                    <w:ind w:left="20" w:right="0" w:firstLine="0"/>
                    <w:jc w:val="left"/>
                    <w:rPr>
                      <w:rFonts w:ascii="Calibri"/>
                      <w:sz w:val="20"/>
                    </w:rPr>
                  </w:pPr>
                  <w:r>
                    <w:rPr>
                      <w:rFonts w:ascii="Calibri"/>
                      <w:w w:val="99"/>
                      <w:sz w:val="20"/>
                    </w:rPr>
                    <w:t>2</w:t>
                  </w:r>
                  <w:r>
                    <w:rPr>
                      <w:rFonts w:ascii="Calibri"/>
                      <w:spacing w:val="1"/>
                      <w:w w:val="99"/>
                      <w:sz w:val="20"/>
                    </w:rPr>
                    <w:t>0</w:t>
                  </w:r>
                  <w:r>
                    <w:rPr>
                      <w:rFonts w:ascii="Calibri"/>
                      <w:w w:val="99"/>
                      <w:sz w:val="20"/>
                    </w:rPr>
                    <w:t>09-2010</w:t>
                  </w:r>
                </w:p>
              </w:txbxContent>
            </v:textbox>
            <w10:wrap type="none"/>
          </v:shape>
        </w:pict>
      </w:r>
      <w:r>
        <w:rPr>
          <w:rFonts w:ascii="Calibri"/>
          <w:w w:val="99"/>
          <w:sz w:val="20"/>
        </w:rPr>
        <w:t>0</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rPr>
      </w:pPr>
    </w:p>
    <w:p>
      <w:pPr>
        <w:spacing w:before="74"/>
        <w:ind w:left="122" w:right="0" w:firstLine="0"/>
        <w:jc w:val="both"/>
        <w:rPr>
          <w:sz w:val="20"/>
        </w:rPr>
      </w:pPr>
      <w:r>
        <w:rPr>
          <w:sz w:val="20"/>
        </w:rPr>
        <w:t>** Se consideran los datos reportados para: normal licenciatura, licenciatura y capacitación para el trabajo.</w:t>
      </w:r>
    </w:p>
    <w:p>
      <w:pPr>
        <w:spacing w:before="115"/>
        <w:ind w:left="2006" w:right="1552" w:firstLine="0"/>
        <w:jc w:val="left"/>
        <w:rPr>
          <w:sz w:val="20"/>
        </w:rPr>
      </w:pPr>
      <w:r>
        <w:rPr>
          <w:sz w:val="20"/>
        </w:rPr>
        <w:t>Fuente: elaboración propia con base en los datos de SEP, 2013.</w:t>
      </w:r>
    </w:p>
    <w:p>
      <w:pPr>
        <w:pStyle w:val="BodyText"/>
        <w:rPr>
          <w:sz w:val="20"/>
        </w:rPr>
      </w:pPr>
    </w:p>
    <w:p>
      <w:pPr>
        <w:pStyle w:val="BodyText"/>
        <w:spacing w:before="2"/>
        <w:rPr>
          <w:sz w:val="20"/>
        </w:rPr>
      </w:pPr>
    </w:p>
    <w:p>
      <w:pPr>
        <w:pStyle w:val="BodyText"/>
        <w:spacing w:line="352" w:lineRule="auto"/>
        <w:ind w:left="122" w:right="116"/>
        <w:jc w:val="both"/>
      </w:pPr>
      <w:r>
        <w:rPr/>
        <w:t>En México al hablar de educación superior, se sigue entendiendo como sinónimo de IES (Casanova, 2002). Sin embargo, es necesario aclarar que la educación superior en este país incluyen: estudios de licenciatura, normal licenciatura</w:t>
      </w:r>
      <w:r>
        <w:rPr>
          <w:position w:val="11"/>
          <w:sz w:val="16"/>
        </w:rPr>
        <w:t>9 </w:t>
      </w:r>
      <w:r>
        <w:rPr/>
        <w:t>y capacitación para el trabajo, así como posgrados: especialidades, maestrías y doctorados. Además de que se sigue  asignando la responsabilidad de formar y capacitar para el empleo a las IES, por lo tanto </w:t>
      </w:r>
      <w:r>
        <w:rPr>
          <w:spacing w:val="6"/>
        </w:rPr>
        <w:t> </w:t>
      </w:r>
      <w:r>
        <w:rPr/>
        <w:t>se</w:t>
      </w:r>
    </w:p>
    <w:p>
      <w:pPr>
        <w:pStyle w:val="BodyText"/>
        <w:spacing w:before="3"/>
        <w:rPr>
          <w:sz w:val="17"/>
        </w:rPr>
      </w:pPr>
      <w:r>
        <w:rPr/>
        <w:pict>
          <v:line style="position:absolute;mso-position-horizontal-relative:page;mso-position-vertical-relative:paragraph;z-index:1720;mso-wrap-distance-left:0;mso-wrap-distance-right:0" from="85.103996pt,12.27842pt" to="229.123996pt,12.27842pt" stroked="true" strokeweight=".72003pt" strokecolor="#000000">
            <w10:wrap type="topAndBottom"/>
          </v:line>
        </w:pict>
      </w:r>
    </w:p>
    <w:p>
      <w:pPr>
        <w:spacing w:before="42"/>
        <w:ind w:left="122" w:right="124" w:firstLine="0"/>
        <w:jc w:val="both"/>
        <w:rPr>
          <w:sz w:val="20"/>
        </w:rPr>
      </w:pPr>
      <w:r>
        <w:rPr>
          <w:position w:val="9"/>
          <w:sz w:val="13"/>
        </w:rPr>
        <w:t>8 </w:t>
      </w:r>
      <w:r>
        <w:rPr>
          <w:sz w:val="20"/>
        </w:rPr>
        <w:t>Esta tendencia fue principalmente afectada por la crisis financiera de 1994, en este periodo los estudiantes fueron cambiados de educación privada a educación pública, como medida de reducción de gastos en los hogares.</w:t>
      </w:r>
    </w:p>
    <w:p>
      <w:pPr>
        <w:pStyle w:val="BodyText"/>
        <w:spacing w:before="2"/>
        <w:rPr>
          <w:sz w:val="19"/>
        </w:rPr>
      </w:pPr>
    </w:p>
    <w:p>
      <w:pPr>
        <w:spacing w:before="0"/>
        <w:ind w:left="122" w:right="203" w:firstLine="0"/>
        <w:jc w:val="both"/>
        <w:rPr>
          <w:sz w:val="20"/>
        </w:rPr>
      </w:pPr>
      <w:r>
        <w:rPr>
          <w:position w:val="9"/>
          <w:sz w:val="13"/>
        </w:rPr>
        <w:t>9 </w:t>
      </w:r>
      <w:r>
        <w:rPr>
          <w:sz w:val="20"/>
        </w:rPr>
        <w:t>Normal básica desaparece a partir del ciclo escolar 1987-1988, para este estudio queda fuera del periodo de análisis.</w:t>
      </w:r>
    </w:p>
    <w:p>
      <w:pPr>
        <w:spacing w:after="0"/>
        <w:jc w:val="both"/>
        <w:rPr>
          <w:sz w:val="20"/>
        </w:rPr>
        <w:sectPr>
          <w:pgSz w:w="12240" w:h="15840"/>
          <w:pgMar w:header="0" w:footer="1003" w:top="1360" w:bottom="1200" w:left="1580" w:right="1580"/>
        </w:sectPr>
      </w:pPr>
    </w:p>
    <w:p>
      <w:pPr>
        <w:pStyle w:val="BodyText"/>
        <w:spacing w:line="360" w:lineRule="auto" w:before="50"/>
        <w:ind w:left="122" w:right="124"/>
        <w:jc w:val="both"/>
      </w:pPr>
      <w:r>
        <w:rPr/>
        <w:t>asume y cree que los individuos que asisten y concluyen una carrera universitaria, podrán insertarse mejor, más rápido y con un nivel más alto en el mercado de trabajo.</w:t>
      </w:r>
    </w:p>
    <w:p>
      <w:pPr>
        <w:pStyle w:val="BodyText"/>
      </w:pPr>
    </w:p>
    <w:p>
      <w:pPr>
        <w:pStyle w:val="BodyText"/>
        <w:spacing w:line="360" w:lineRule="auto" w:before="143"/>
        <w:ind w:left="122" w:right="114"/>
        <w:jc w:val="both"/>
      </w:pPr>
      <w:r>
        <w:rPr/>
        <w:t>Esta creencia puede no ser del todo falsa, ya que existe evidencia empírica de que tener un diploma o título universitario en países pertenecientes a la OCDE (2013) ayuda a los individuos a encontrar mejores empleos en términos de salario, prestaciones y horarios. Por ejemplo, la mayoría de los egresados con un diploma o título universitario en los países de la OCDE no padecieron tanto el desempleo durante la crisis de 2008, aunque no fue una regla para todos ellos.</w:t>
      </w:r>
    </w:p>
    <w:p>
      <w:pPr>
        <w:pStyle w:val="BodyText"/>
      </w:pPr>
    </w:p>
    <w:p>
      <w:pPr>
        <w:pStyle w:val="BodyText"/>
        <w:spacing w:line="360" w:lineRule="auto" w:before="143"/>
        <w:ind w:left="122" w:right="117"/>
        <w:jc w:val="both"/>
      </w:pPr>
      <w:r>
        <w:rPr/>
        <w:t>México a pesar de pertenecer al grupo de la OCDE, de 2008 a 2012 presentó  un  incremento de un punto porcentual de personas desempleadas con título universitario (OCDE, 2012). Para los mexicanos con estudios profesionales el desempleo ha ido en aumento, al pasar de 2.8 % en 2007 a 4 % en 2009. En cambio, para quienes tienen estudios mayores a secundaria o carrera técnica la desocupación bajó de 4.4 % en 1997 a 4.2% en 2009 (OCDE,</w:t>
      </w:r>
      <w:r>
        <w:rPr>
          <w:spacing w:val="-6"/>
        </w:rPr>
        <w:t> </w:t>
      </w:r>
      <w:r>
        <w:rPr/>
        <w:t>2012).</w:t>
      </w:r>
    </w:p>
    <w:p>
      <w:pPr>
        <w:pStyle w:val="BodyText"/>
      </w:pPr>
    </w:p>
    <w:p>
      <w:pPr>
        <w:pStyle w:val="BodyText"/>
        <w:spacing w:line="350" w:lineRule="auto" w:before="143"/>
        <w:ind w:left="122" w:right="114"/>
        <w:jc w:val="both"/>
      </w:pPr>
      <w:r>
        <w:rPr/>
        <w:t>Es así como la masificación de la educación superior o el aumento del interés por estudiar una carrera profesional ha aumentado tanto la matrícula como el número de IES en el país. El contar con una matrícula cada vez más grande en los niveles superiores no es toda la realidad</w:t>
      </w:r>
      <w:r>
        <w:rPr>
          <w:position w:val="11"/>
          <w:sz w:val="16"/>
        </w:rPr>
        <w:t>10 </w:t>
      </w:r>
      <w:r>
        <w:rPr/>
        <w:t>mexicana en materia de educación. Aunado al gran número de estudiantes de</w:t>
      </w:r>
    </w:p>
    <w:p>
      <w:pPr>
        <w:pStyle w:val="BodyText"/>
        <w:spacing w:line="360" w:lineRule="auto"/>
        <w:ind w:left="122" w:right="114"/>
        <w:jc w:val="both"/>
      </w:pPr>
      <w:r>
        <w:rPr/>
        <w:t>educación superior, se tienen graves problemas que atender en este nivel (calidad y cobertura) y en otros, éstos inician en la formación básica y se van arrastrando a lo largo de los siguientes niveles educativos. En los niveles básicos la calidad y cobertura son los grandes desajustes a vencer. El Instituto Nacional para la Educación de los Adultos (INEA, 2011) reporta que diez millones de mexicanos no tienen estudios de primaria terminados y 17 millones no cuentan con certificado de secundaria. Y en el nivel superior se concentran toda la problemática de los niveles anteriores, lo que agrava aún más las carencias educativas de este nivel.</w:t>
      </w:r>
    </w:p>
    <w:p>
      <w:pPr>
        <w:pStyle w:val="BodyText"/>
        <w:rPr>
          <w:sz w:val="13"/>
        </w:rPr>
      </w:pPr>
      <w:r>
        <w:rPr/>
        <w:pict>
          <v:line style="position:absolute;mso-position-horizontal-relative:page;mso-position-vertical-relative:paragraph;z-index:1792;mso-wrap-distance-left:0;mso-wrap-distance-right:0" from="85.103996pt,9.839752pt" to="229.123996pt,9.839752pt" stroked="true" strokeweight=".72003pt" strokecolor="#000000">
            <w10:wrap type="topAndBottom"/>
          </v:line>
        </w:pict>
      </w:r>
    </w:p>
    <w:p>
      <w:pPr>
        <w:spacing w:line="242" w:lineRule="auto" w:before="39"/>
        <w:ind w:left="122" w:right="122" w:firstLine="0"/>
        <w:jc w:val="both"/>
        <w:rPr>
          <w:sz w:val="20"/>
        </w:rPr>
      </w:pPr>
      <w:r>
        <w:rPr>
          <w:rFonts w:ascii="Calibri" w:hAnsi="Calibri"/>
          <w:position w:val="10"/>
          <w:sz w:val="13"/>
        </w:rPr>
        <w:t>10 </w:t>
      </w:r>
      <w:r>
        <w:rPr>
          <w:sz w:val="20"/>
        </w:rPr>
        <w:t>Por toda la realidad se debe entender que en este trabajo de tesis y en particular en este capítulo únicamente se está analizando el nivel superior, para poder abarcar toda la situación actual de la educación mexicana deberían incluirse en el estudio todos los niveles desde preescolar hasta posgrado.</w:t>
      </w:r>
    </w:p>
    <w:p>
      <w:pPr>
        <w:spacing w:after="0" w:line="242" w:lineRule="auto"/>
        <w:jc w:val="both"/>
        <w:rPr>
          <w:sz w:val="20"/>
        </w:rPr>
        <w:sectPr>
          <w:pgSz w:w="12240" w:h="15840"/>
          <w:pgMar w:header="0" w:footer="1003" w:top="1360" w:bottom="1200" w:left="1580" w:right="1580"/>
        </w:sectPr>
      </w:pPr>
    </w:p>
    <w:p>
      <w:pPr>
        <w:pStyle w:val="Heading3"/>
        <w:numPr>
          <w:ilvl w:val="1"/>
          <w:numId w:val="50"/>
        </w:numPr>
        <w:tabs>
          <w:tab w:pos="523" w:val="left" w:leader="none"/>
        </w:tabs>
        <w:spacing w:line="240" w:lineRule="auto" w:before="55" w:after="0"/>
        <w:ind w:left="522" w:right="0" w:hanging="420"/>
        <w:jc w:val="both"/>
      </w:pPr>
      <w:bookmarkStart w:name="_bookmark31" w:id="56"/>
      <w:bookmarkEnd w:id="56"/>
      <w:r>
        <w:rPr>
          <w:b w:val="0"/>
        </w:rPr>
      </w:r>
      <w:bookmarkStart w:name="_bookmark31" w:id="57"/>
      <w:bookmarkEnd w:id="57"/>
      <w:r>
        <w:rPr/>
        <w:t>E</w:t>
      </w:r>
      <w:r>
        <w:rPr/>
        <w:t>ducación superior en</w:t>
      </w:r>
      <w:r>
        <w:rPr>
          <w:spacing w:val="-8"/>
        </w:rPr>
        <w:t> </w:t>
      </w:r>
      <w:r>
        <w:rPr/>
        <w:t>México</w:t>
      </w:r>
    </w:p>
    <w:p>
      <w:pPr>
        <w:pStyle w:val="BodyText"/>
        <w:rPr>
          <w:b/>
        </w:rPr>
      </w:pPr>
    </w:p>
    <w:p>
      <w:pPr>
        <w:pStyle w:val="BodyText"/>
        <w:spacing w:before="6"/>
        <w:rPr>
          <w:b/>
          <w:sz w:val="23"/>
        </w:rPr>
      </w:pPr>
    </w:p>
    <w:p>
      <w:pPr>
        <w:pStyle w:val="BodyText"/>
        <w:spacing w:line="360" w:lineRule="auto"/>
        <w:ind w:left="102" w:right="117"/>
        <w:jc w:val="both"/>
      </w:pPr>
      <w:r>
        <w:rPr/>
        <w:t>La educación mexicana de acuerdo con la Ley General de Educación publicada en el Diario Oficial de la Federación (DOF) del 13 de julio de 1993, modificada el 2 de noviembre de 2007 y cuya última actualización fue publicada el 9 de abril de 2012, establece que el sistema nacional de educación está constituido por: los educandos y los educadores; las autoridades educativas; el Consejo Nacional Técnico de la Educación y los  correspondientes en las entidades federativas; los planes, programas, métodos y materiales educativos; las instituciones educativas del estado y de sus organismos descentralizados; las instituciones de los particulares, con autorización o con reconocimiento de validez oficial  de estudios y las instituciones de educación superior a las que la ley otorga</w:t>
      </w:r>
      <w:r>
        <w:rPr>
          <w:spacing w:val="-14"/>
        </w:rPr>
        <w:t> </w:t>
      </w:r>
      <w:r>
        <w:rPr/>
        <w:t>autonomía.</w:t>
      </w:r>
    </w:p>
    <w:p>
      <w:pPr>
        <w:pStyle w:val="BodyText"/>
      </w:pPr>
    </w:p>
    <w:p>
      <w:pPr>
        <w:pStyle w:val="BodyText"/>
        <w:spacing w:line="360" w:lineRule="auto" w:before="143"/>
        <w:ind w:left="102" w:right="120"/>
        <w:jc w:val="both"/>
      </w:pPr>
      <w:r>
        <w:rPr/>
        <w:t>Esta misma ley establece que la educación tendrá las modalidades de escolarizada, no escolarizada y mixta. Además, distingue que en México la educación se encuentra clasificada principalmente en: básica, media superior y superior. A su vez la educación puede tener sostenimiento (financiamiento) público o privado. El financiamiento del Estado se subdivide en tres rubros, que dependen del origen de los recursos que pueden ser:  federal, estatal o</w:t>
      </w:r>
      <w:r>
        <w:rPr>
          <w:spacing w:val="-4"/>
        </w:rPr>
        <w:t> </w:t>
      </w:r>
      <w:r>
        <w:rPr/>
        <w:t>autónomo.</w:t>
      </w:r>
    </w:p>
    <w:p>
      <w:pPr>
        <w:pStyle w:val="BodyText"/>
        <w:spacing w:line="360" w:lineRule="auto" w:before="203"/>
        <w:ind w:left="102" w:right="116"/>
        <w:jc w:val="both"/>
      </w:pPr>
      <w:r>
        <w:rPr/>
        <w:t>Otra clasificación que también es válida y aceptada en México, son los grados educativos establecidos por la Organización de las Naciones Unidas para la Educación, la Ciencia y la Cultura (por sus siglas en inglés UNESCO) y se conocen como la </w:t>
      </w:r>
      <w:r>
        <w:rPr>
          <w:i/>
        </w:rPr>
        <w:t>International Standard </w:t>
      </w:r>
      <w:r>
        <w:rPr>
          <w:i/>
        </w:rPr>
        <w:t>Classification of Education </w:t>
      </w:r>
      <w:r>
        <w:rPr/>
        <w:t>- Clasificación Internacional Normalizada de la Educación (ISCED, 2011) en la cual se definen nueve niveles, en donde el cero corresponde a la “educación de la primera infancia”, el nivel uno “educación primaria”, el nivel dos “educación secundaria baja”, el nivel tres “educación secundaria alta”, el nivel cuatro “educación postsecundaria no terciaria”, el nivel cinco, seis, siete y ocho “educación terciaria”, el detalle de cada uno de estos niveles se encuentran descritos en el Anexo 1.</w:t>
      </w:r>
    </w:p>
    <w:p>
      <w:pPr>
        <w:pStyle w:val="BodyText"/>
        <w:spacing w:line="360" w:lineRule="auto" w:before="205"/>
        <w:ind w:left="102" w:right="116"/>
        <w:jc w:val="both"/>
      </w:pPr>
      <w:r>
        <w:rPr/>
        <w:t>La OCDE, reportó que en el año 2012 cerca del 100% de los niños de 5-14 años en México si está participando activamente en el nivel educativo que le corresponde, sin embargo los jóvenes entre 15-19 años el porcentaje real de los que asisten a la escuela se sitúa en  18.9%</w:t>
      </w:r>
    </w:p>
    <w:p>
      <w:pPr>
        <w:spacing w:after="0" w:line="360" w:lineRule="auto"/>
        <w:jc w:val="both"/>
        <w:sectPr>
          <w:pgSz w:w="12240" w:h="15840"/>
          <w:pgMar w:header="0" w:footer="1003" w:top="1360" w:bottom="1200" w:left="1600" w:right="1580"/>
        </w:sectPr>
      </w:pPr>
    </w:p>
    <w:p>
      <w:pPr>
        <w:pStyle w:val="BodyText"/>
        <w:spacing w:line="360" w:lineRule="auto" w:before="50"/>
        <w:ind w:left="122" w:right="118"/>
        <w:jc w:val="both"/>
      </w:pPr>
      <w:r>
        <w:rPr/>
        <w:t>y sólo una cuarta parte de los jóvenes entre 25-29 años están inscritos en algún programa educativo (OCDE, 2012).</w:t>
      </w:r>
    </w:p>
    <w:p>
      <w:pPr>
        <w:pStyle w:val="BodyText"/>
      </w:pPr>
    </w:p>
    <w:p>
      <w:pPr>
        <w:pStyle w:val="BodyText"/>
        <w:spacing w:line="360" w:lineRule="auto" w:before="143"/>
        <w:ind w:left="122" w:right="117"/>
        <w:jc w:val="both"/>
      </w:pPr>
      <w:r>
        <w:rPr/>
        <w:t>Al relacionar la tasa de empleo por grupos de edad y el máximo nivel de estudios alcanzado (tabla 3.1.) se observa que un porcentaje considerable de la población que cuenta con estudios de preparatoria (media superior) y licenciatura (superior) presentan los porcentajes más altos de empleo.</w:t>
      </w:r>
    </w:p>
    <w:p>
      <w:pPr>
        <w:pStyle w:val="BodyText"/>
        <w:spacing w:before="4"/>
        <w:rPr>
          <w:sz w:val="33"/>
        </w:rPr>
      </w:pPr>
    </w:p>
    <w:p>
      <w:pPr>
        <w:pStyle w:val="BodyText"/>
        <w:spacing w:line="360" w:lineRule="auto" w:before="1"/>
        <w:ind w:left="122" w:right="115"/>
        <w:jc w:val="both"/>
      </w:pPr>
      <w:r>
        <w:rPr/>
        <w:t>Si se considera al grupo 25 a 49 años de edad</w:t>
      </w:r>
      <w:r>
        <w:rPr>
          <w:position w:val="11"/>
          <w:sz w:val="16"/>
        </w:rPr>
        <w:t>11</w:t>
      </w:r>
      <w:r>
        <w:rPr/>
        <w:t>, se observa que el 81.3% cumple con esta característica, son los que tienen mayor nivel de empleo.</w:t>
      </w:r>
    </w:p>
    <w:p>
      <w:pPr>
        <w:pStyle w:val="BodyText"/>
      </w:pPr>
    </w:p>
    <w:p>
      <w:pPr>
        <w:pStyle w:val="Heading3"/>
        <w:spacing w:line="360" w:lineRule="auto" w:before="148"/>
        <w:ind w:left="2498" w:right="192" w:hanging="2291"/>
        <w:jc w:val="left"/>
      </w:pPr>
      <w:r>
        <w:rPr/>
        <w:t>Tabla 3.1. Tasa de empleo por grupos de edad y máximo nivel de estudios alcanzado, tercer trimestre de 2010 (%) en México.</w:t>
      </w:r>
    </w:p>
    <w:p>
      <w:pPr>
        <w:pStyle w:val="BodyText"/>
        <w:rPr>
          <w:b/>
          <w:sz w:val="20"/>
        </w:rPr>
      </w:pPr>
    </w:p>
    <w:p>
      <w:pPr>
        <w:pStyle w:val="BodyText"/>
        <w:spacing w:before="6"/>
        <w:rPr>
          <w:b/>
          <w:sz w:val="16"/>
        </w:rPr>
      </w:pPr>
    </w:p>
    <w:tbl>
      <w:tblPr>
        <w:tblW w:w="0" w:type="auto"/>
        <w:jc w:val="left"/>
        <w:tblInd w:w="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07"/>
        <w:gridCol w:w="1218"/>
        <w:gridCol w:w="1559"/>
        <w:gridCol w:w="2154"/>
        <w:gridCol w:w="1804"/>
      </w:tblGrid>
      <w:tr>
        <w:trPr>
          <w:trHeight w:val="1162" w:hRule="exact"/>
        </w:trPr>
        <w:tc>
          <w:tcPr>
            <w:tcW w:w="1507" w:type="dxa"/>
            <w:tcBorders>
              <w:left w:val="nil"/>
              <w:right w:val="nil"/>
            </w:tcBorders>
          </w:tcPr>
          <w:p>
            <w:pPr>
              <w:pStyle w:val="TableParagraph"/>
              <w:ind w:left="608" w:right="317" w:hanging="188"/>
              <w:rPr>
                <w:sz w:val="20"/>
              </w:rPr>
            </w:pPr>
            <w:r>
              <w:rPr>
                <w:sz w:val="20"/>
              </w:rPr>
              <w:t>Grupo de edad</w:t>
            </w:r>
          </w:p>
        </w:tc>
        <w:tc>
          <w:tcPr>
            <w:tcW w:w="1218" w:type="dxa"/>
            <w:tcBorders>
              <w:left w:val="nil"/>
              <w:right w:val="nil"/>
            </w:tcBorders>
          </w:tcPr>
          <w:p>
            <w:pPr>
              <w:pStyle w:val="TableParagraph"/>
              <w:spacing w:line="223" w:lineRule="exact"/>
              <w:ind w:left="336"/>
              <w:rPr>
                <w:sz w:val="20"/>
              </w:rPr>
            </w:pPr>
            <w:r>
              <w:rPr>
                <w:sz w:val="20"/>
              </w:rPr>
              <w:t>Total</w:t>
            </w:r>
          </w:p>
        </w:tc>
        <w:tc>
          <w:tcPr>
            <w:tcW w:w="1559" w:type="dxa"/>
            <w:tcBorders>
              <w:left w:val="nil"/>
              <w:right w:val="nil"/>
            </w:tcBorders>
          </w:tcPr>
          <w:p>
            <w:pPr>
              <w:pStyle w:val="TableParagraph"/>
              <w:ind w:left="115" w:right="136" w:firstLine="1"/>
              <w:jc w:val="center"/>
              <w:rPr>
                <w:sz w:val="20"/>
              </w:rPr>
            </w:pPr>
            <w:r>
              <w:rPr>
                <w:sz w:val="20"/>
              </w:rPr>
              <w:t>Preescolar, primaria,</w:t>
            </w:r>
            <w:r>
              <w:rPr>
                <w:spacing w:val="-8"/>
                <w:sz w:val="20"/>
              </w:rPr>
              <w:t> </w:t>
            </w:r>
            <w:r>
              <w:rPr>
                <w:sz w:val="20"/>
              </w:rPr>
              <w:t>primer ciclo de secundaria (CINE</w:t>
            </w:r>
            <w:r>
              <w:rPr>
                <w:spacing w:val="-3"/>
                <w:sz w:val="20"/>
              </w:rPr>
              <w:t> </w:t>
            </w:r>
            <w:r>
              <w:rPr>
                <w:sz w:val="20"/>
              </w:rPr>
              <w:t>0-2)</w:t>
            </w:r>
          </w:p>
        </w:tc>
        <w:tc>
          <w:tcPr>
            <w:tcW w:w="2154" w:type="dxa"/>
            <w:tcBorders>
              <w:left w:val="nil"/>
              <w:right w:val="nil"/>
            </w:tcBorders>
          </w:tcPr>
          <w:p>
            <w:pPr>
              <w:pStyle w:val="TableParagraph"/>
              <w:spacing w:line="223" w:lineRule="exact"/>
              <w:ind w:left="96" w:right="285"/>
              <w:jc w:val="center"/>
              <w:rPr>
                <w:sz w:val="20"/>
              </w:rPr>
            </w:pPr>
            <w:r>
              <w:rPr>
                <w:sz w:val="20"/>
              </w:rPr>
              <w:t>Segundo ciclo de sec.</w:t>
            </w:r>
          </w:p>
          <w:p>
            <w:pPr>
              <w:pStyle w:val="TableParagraph"/>
              <w:ind w:left="464" w:right="651" w:hanging="1"/>
              <w:jc w:val="center"/>
              <w:rPr>
                <w:sz w:val="20"/>
              </w:rPr>
            </w:pPr>
            <w:r>
              <w:rPr>
                <w:sz w:val="20"/>
              </w:rPr>
              <w:t>Y post-sec. (no superior) (CINE 3-4)</w:t>
            </w:r>
          </w:p>
        </w:tc>
        <w:tc>
          <w:tcPr>
            <w:tcW w:w="1804" w:type="dxa"/>
            <w:tcBorders>
              <w:left w:val="nil"/>
              <w:right w:val="nil"/>
            </w:tcBorders>
          </w:tcPr>
          <w:p>
            <w:pPr>
              <w:pStyle w:val="TableParagraph"/>
              <w:ind w:left="285" w:right="599" w:firstLine="31"/>
              <w:jc w:val="both"/>
              <w:rPr>
                <w:sz w:val="20"/>
              </w:rPr>
            </w:pPr>
            <w:r>
              <w:rPr>
                <w:sz w:val="20"/>
              </w:rPr>
              <w:t>Enseñanza superior* (CINE 5-6)</w:t>
            </w:r>
          </w:p>
        </w:tc>
      </w:tr>
      <w:tr>
        <w:trPr>
          <w:trHeight w:val="310" w:hRule="exact"/>
        </w:trPr>
        <w:tc>
          <w:tcPr>
            <w:tcW w:w="1507" w:type="dxa"/>
            <w:tcBorders>
              <w:left w:val="nil"/>
              <w:right w:val="nil"/>
            </w:tcBorders>
          </w:tcPr>
          <w:p>
            <w:pPr>
              <w:pStyle w:val="TableParagraph"/>
              <w:spacing w:line="223" w:lineRule="exact"/>
              <w:ind w:left="305" w:right="317"/>
              <w:rPr>
                <w:sz w:val="20"/>
              </w:rPr>
            </w:pPr>
            <w:r>
              <w:rPr>
                <w:sz w:val="20"/>
                <w:u w:val="single"/>
              </w:rPr>
              <w:t>Total</w:t>
            </w:r>
          </w:p>
        </w:tc>
        <w:tc>
          <w:tcPr>
            <w:tcW w:w="1218" w:type="dxa"/>
            <w:tcBorders>
              <w:left w:val="nil"/>
              <w:right w:val="nil"/>
            </w:tcBorders>
          </w:tcPr>
          <w:p>
            <w:pPr/>
          </w:p>
        </w:tc>
        <w:tc>
          <w:tcPr>
            <w:tcW w:w="1559" w:type="dxa"/>
            <w:tcBorders>
              <w:left w:val="nil"/>
              <w:right w:val="nil"/>
            </w:tcBorders>
          </w:tcPr>
          <w:p>
            <w:pPr/>
          </w:p>
        </w:tc>
        <w:tc>
          <w:tcPr>
            <w:tcW w:w="2154" w:type="dxa"/>
            <w:tcBorders>
              <w:left w:val="nil"/>
              <w:right w:val="nil"/>
            </w:tcBorders>
          </w:tcPr>
          <w:p>
            <w:pPr/>
          </w:p>
        </w:tc>
        <w:tc>
          <w:tcPr>
            <w:tcW w:w="1804" w:type="dxa"/>
            <w:tcBorders>
              <w:left w:val="nil"/>
              <w:right w:val="nil"/>
            </w:tcBorders>
          </w:tcPr>
          <w:p>
            <w:pPr/>
          </w:p>
        </w:tc>
      </w:tr>
      <w:tr>
        <w:trPr>
          <w:trHeight w:val="468" w:hRule="exact"/>
        </w:trPr>
        <w:tc>
          <w:tcPr>
            <w:tcW w:w="1507" w:type="dxa"/>
            <w:tcBorders>
              <w:left w:val="nil"/>
              <w:right w:val="nil"/>
            </w:tcBorders>
          </w:tcPr>
          <w:p>
            <w:pPr>
              <w:pStyle w:val="TableParagraph"/>
              <w:spacing w:line="223" w:lineRule="exact"/>
              <w:ind w:left="305" w:right="317"/>
              <w:rPr>
                <w:sz w:val="20"/>
              </w:rPr>
            </w:pPr>
            <w:r>
              <w:rPr>
                <w:sz w:val="20"/>
              </w:rPr>
              <w:t>15 a 24</w:t>
            </w:r>
          </w:p>
          <w:p>
            <w:pPr>
              <w:pStyle w:val="TableParagraph"/>
              <w:ind w:left="305" w:right="317"/>
              <w:rPr>
                <w:sz w:val="20"/>
              </w:rPr>
            </w:pPr>
            <w:r>
              <w:rPr>
                <w:sz w:val="20"/>
              </w:rPr>
              <w:t>años</w:t>
            </w:r>
          </w:p>
        </w:tc>
        <w:tc>
          <w:tcPr>
            <w:tcW w:w="1218" w:type="dxa"/>
            <w:tcBorders>
              <w:left w:val="nil"/>
              <w:right w:val="nil"/>
            </w:tcBorders>
          </w:tcPr>
          <w:p>
            <w:pPr>
              <w:pStyle w:val="TableParagraph"/>
              <w:spacing w:line="223" w:lineRule="exact"/>
              <w:ind w:right="115"/>
              <w:jc w:val="right"/>
              <w:rPr>
                <w:sz w:val="20"/>
              </w:rPr>
            </w:pPr>
            <w:r>
              <w:rPr>
                <w:sz w:val="20"/>
              </w:rPr>
              <w:t>43.1</w:t>
            </w:r>
          </w:p>
        </w:tc>
        <w:tc>
          <w:tcPr>
            <w:tcW w:w="1559" w:type="dxa"/>
            <w:tcBorders>
              <w:left w:val="nil"/>
              <w:right w:val="nil"/>
            </w:tcBorders>
          </w:tcPr>
          <w:p>
            <w:pPr>
              <w:pStyle w:val="TableParagraph"/>
              <w:spacing w:line="223" w:lineRule="exact"/>
              <w:ind w:right="114"/>
              <w:jc w:val="right"/>
              <w:rPr>
                <w:sz w:val="20"/>
              </w:rPr>
            </w:pPr>
            <w:r>
              <w:rPr>
                <w:sz w:val="20"/>
              </w:rPr>
              <w:t>44.6</w:t>
            </w:r>
          </w:p>
        </w:tc>
        <w:tc>
          <w:tcPr>
            <w:tcW w:w="2154" w:type="dxa"/>
            <w:tcBorders>
              <w:left w:val="nil"/>
              <w:right w:val="nil"/>
            </w:tcBorders>
          </w:tcPr>
          <w:p>
            <w:pPr>
              <w:pStyle w:val="TableParagraph"/>
              <w:spacing w:line="223" w:lineRule="exact"/>
              <w:ind w:right="283"/>
              <w:jc w:val="right"/>
              <w:rPr>
                <w:sz w:val="20"/>
              </w:rPr>
            </w:pPr>
            <w:r>
              <w:rPr>
                <w:sz w:val="20"/>
              </w:rPr>
              <w:t>41.7</w:t>
            </w:r>
          </w:p>
        </w:tc>
        <w:tc>
          <w:tcPr>
            <w:tcW w:w="1804" w:type="dxa"/>
            <w:tcBorders>
              <w:left w:val="nil"/>
              <w:right w:val="nil"/>
            </w:tcBorders>
          </w:tcPr>
          <w:p>
            <w:pPr>
              <w:pStyle w:val="TableParagraph"/>
              <w:spacing w:line="223" w:lineRule="exact"/>
              <w:ind w:right="243"/>
              <w:jc w:val="right"/>
              <w:rPr>
                <w:sz w:val="20"/>
              </w:rPr>
            </w:pPr>
            <w:r>
              <w:rPr>
                <w:sz w:val="20"/>
              </w:rPr>
              <w:t>40.6</w:t>
            </w:r>
          </w:p>
        </w:tc>
      </w:tr>
      <w:tr>
        <w:trPr>
          <w:trHeight w:val="454" w:hRule="exact"/>
        </w:trPr>
        <w:tc>
          <w:tcPr>
            <w:tcW w:w="1507" w:type="dxa"/>
            <w:tcBorders>
              <w:left w:val="nil"/>
              <w:bottom w:val="single" w:sz="36" w:space="0" w:color="000000"/>
              <w:right w:val="nil"/>
            </w:tcBorders>
          </w:tcPr>
          <w:p>
            <w:pPr>
              <w:pStyle w:val="TableParagraph"/>
              <w:spacing w:line="225" w:lineRule="exact"/>
              <w:ind w:left="305" w:right="317"/>
              <w:rPr>
                <w:sz w:val="20"/>
              </w:rPr>
            </w:pPr>
            <w:r>
              <w:rPr>
                <w:sz w:val="20"/>
              </w:rPr>
              <w:t>15 a 74</w:t>
            </w:r>
          </w:p>
          <w:p>
            <w:pPr>
              <w:pStyle w:val="TableParagraph"/>
              <w:spacing w:line="195" w:lineRule="exact"/>
              <w:ind w:left="305" w:right="317"/>
              <w:rPr>
                <w:sz w:val="20"/>
              </w:rPr>
            </w:pPr>
            <w:r>
              <w:rPr>
                <w:sz w:val="20"/>
              </w:rPr>
              <w:t>años</w:t>
            </w:r>
          </w:p>
        </w:tc>
        <w:tc>
          <w:tcPr>
            <w:tcW w:w="1218" w:type="dxa"/>
            <w:tcBorders>
              <w:left w:val="nil"/>
              <w:bottom w:val="single" w:sz="36" w:space="0" w:color="000000"/>
              <w:right w:val="nil"/>
            </w:tcBorders>
          </w:tcPr>
          <w:p>
            <w:pPr>
              <w:pStyle w:val="TableParagraph"/>
              <w:spacing w:line="226" w:lineRule="exact"/>
              <w:ind w:right="115"/>
              <w:jc w:val="right"/>
              <w:rPr>
                <w:sz w:val="20"/>
              </w:rPr>
            </w:pPr>
            <w:r>
              <w:rPr>
                <w:sz w:val="20"/>
              </w:rPr>
              <w:t>58.5</w:t>
            </w:r>
          </w:p>
        </w:tc>
        <w:tc>
          <w:tcPr>
            <w:tcW w:w="1559" w:type="dxa"/>
            <w:tcBorders>
              <w:left w:val="nil"/>
              <w:bottom w:val="single" w:sz="36" w:space="0" w:color="000000"/>
              <w:right w:val="nil"/>
            </w:tcBorders>
          </w:tcPr>
          <w:p>
            <w:pPr>
              <w:pStyle w:val="TableParagraph"/>
              <w:spacing w:line="226" w:lineRule="exact"/>
              <w:ind w:right="114"/>
              <w:jc w:val="right"/>
              <w:rPr>
                <w:sz w:val="20"/>
              </w:rPr>
            </w:pPr>
            <w:r>
              <w:rPr>
                <w:sz w:val="20"/>
              </w:rPr>
              <w:t>55.9</w:t>
            </w:r>
          </w:p>
        </w:tc>
        <w:tc>
          <w:tcPr>
            <w:tcW w:w="2154" w:type="dxa"/>
            <w:tcBorders>
              <w:left w:val="nil"/>
              <w:bottom w:val="single" w:sz="36" w:space="0" w:color="000000"/>
              <w:right w:val="nil"/>
            </w:tcBorders>
          </w:tcPr>
          <w:p>
            <w:pPr>
              <w:pStyle w:val="TableParagraph"/>
              <w:spacing w:line="226" w:lineRule="exact"/>
              <w:ind w:right="283"/>
              <w:jc w:val="right"/>
              <w:rPr>
                <w:sz w:val="20"/>
              </w:rPr>
            </w:pPr>
            <w:r>
              <w:rPr>
                <w:sz w:val="20"/>
              </w:rPr>
              <w:t>58.2</w:t>
            </w:r>
          </w:p>
        </w:tc>
        <w:tc>
          <w:tcPr>
            <w:tcW w:w="1804" w:type="dxa"/>
            <w:tcBorders>
              <w:left w:val="nil"/>
              <w:bottom w:val="single" w:sz="36" w:space="0" w:color="000000"/>
              <w:right w:val="nil"/>
            </w:tcBorders>
          </w:tcPr>
          <w:p>
            <w:pPr>
              <w:pStyle w:val="TableParagraph"/>
              <w:spacing w:line="226" w:lineRule="exact"/>
              <w:ind w:right="243"/>
              <w:jc w:val="right"/>
              <w:rPr>
                <w:sz w:val="20"/>
              </w:rPr>
            </w:pPr>
            <w:r>
              <w:rPr>
                <w:sz w:val="20"/>
              </w:rPr>
              <w:t>69.2</w:t>
            </w:r>
          </w:p>
        </w:tc>
      </w:tr>
      <w:tr>
        <w:trPr>
          <w:trHeight w:val="470" w:hRule="exact"/>
        </w:trPr>
        <w:tc>
          <w:tcPr>
            <w:tcW w:w="1507" w:type="dxa"/>
            <w:tcBorders>
              <w:top w:val="single" w:sz="36" w:space="0" w:color="000000"/>
              <w:left w:val="single" w:sz="36" w:space="0" w:color="000000"/>
              <w:bottom w:val="single" w:sz="36" w:space="0" w:color="000000"/>
              <w:right w:val="nil"/>
            </w:tcBorders>
          </w:tcPr>
          <w:p>
            <w:pPr>
              <w:pStyle w:val="TableParagraph"/>
              <w:spacing w:line="224" w:lineRule="exact"/>
              <w:ind w:left="260"/>
              <w:rPr>
                <w:sz w:val="20"/>
              </w:rPr>
            </w:pPr>
            <w:r>
              <w:rPr>
                <w:sz w:val="20"/>
              </w:rPr>
              <w:t>25 a 49</w:t>
            </w:r>
          </w:p>
          <w:p>
            <w:pPr>
              <w:pStyle w:val="TableParagraph"/>
              <w:spacing w:line="211" w:lineRule="exact"/>
              <w:ind w:left="260"/>
              <w:rPr>
                <w:sz w:val="20"/>
              </w:rPr>
            </w:pPr>
            <w:r>
              <w:rPr>
                <w:sz w:val="20"/>
              </w:rPr>
              <w:t>años</w:t>
            </w:r>
          </w:p>
        </w:tc>
        <w:tc>
          <w:tcPr>
            <w:tcW w:w="1218" w:type="dxa"/>
            <w:tcBorders>
              <w:top w:val="single" w:sz="36" w:space="0" w:color="000000"/>
              <w:left w:val="nil"/>
              <w:bottom w:val="single" w:sz="36" w:space="0" w:color="000000"/>
              <w:right w:val="nil"/>
            </w:tcBorders>
          </w:tcPr>
          <w:p>
            <w:pPr>
              <w:pStyle w:val="TableParagraph"/>
              <w:spacing w:line="224" w:lineRule="exact"/>
              <w:ind w:right="113"/>
              <w:jc w:val="right"/>
              <w:rPr>
                <w:sz w:val="20"/>
              </w:rPr>
            </w:pPr>
            <w:r>
              <w:rPr>
                <w:sz w:val="20"/>
              </w:rPr>
              <w:t>70</w:t>
            </w:r>
          </w:p>
        </w:tc>
        <w:tc>
          <w:tcPr>
            <w:tcW w:w="1559" w:type="dxa"/>
            <w:tcBorders>
              <w:top w:val="single" w:sz="36" w:space="0" w:color="000000"/>
              <w:left w:val="nil"/>
              <w:bottom w:val="single" w:sz="36" w:space="0" w:color="000000"/>
              <w:right w:val="nil"/>
            </w:tcBorders>
          </w:tcPr>
          <w:p>
            <w:pPr>
              <w:pStyle w:val="TableParagraph"/>
              <w:spacing w:line="224" w:lineRule="exact"/>
              <w:ind w:right="114"/>
              <w:jc w:val="right"/>
              <w:rPr>
                <w:sz w:val="20"/>
              </w:rPr>
            </w:pPr>
            <w:r>
              <w:rPr>
                <w:sz w:val="20"/>
              </w:rPr>
              <w:t>65.2</w:t>
            </w:r>
          </w:p>
        </w:tc>
        <w:tc>
          <w:tcPr>
            <w:tcW w:w="2154" w:type="dxa"/>
            <w:tcBorders>
              <w:top w:val="single" w:sz="36" w:space="0" w:color="000000"/>
              <w:left w:val="nil"/>
              <w:bottom w:val="single" w:sz="36" w:space="0" w:color="000000"/>
              <w:right w:val="nil"/>
            </w:tcBorders>
          </w:tcPr>
          <w:p>
            <w:pPr>
              <w:pStyle w:val="TableParagraph"/>
              <w:spacing w:line="224" w:lineRule="exact"/>
              <w:ind w:right="283"/>
              <w:jc w:val="right"/>
              <w:rPr>
                <w:sz w:val="20"/>
              </w:rPr>
            </w:pPr>
            <w:r>
              <w:rPr>
                <w:sz w:val="20"/>
              </w:rPr>
              <w:t>73.5</w:t>
            </w:r>
          </w:p>
        </w:tc>
        <w:tc>
          <w:tcPr>
            <w:tcW w:w="1804" w:type="dxa"/>
            <w:tcBorders>
              <w:top w:val="single" w:sz="36" w:space="0" w:color="000000"/>
              <w:left w:val="nil"/>
              <w:bottom w:val="single" w:sz="36" w:space="0" w:color="000000"/>
              <w:right w:val="single" w:sz="36" w:space="0" w:color="000000"/>
            </w:tcBorders>
          </w:tcPr>
          <w:p>
            <w:pPr>
              <w:pStyle w:val="TableParagraph"/>
              <w:spacing w:line="224" w:lineRule="exact"/>
              <w:ind w:right="198"/>
              <w:jc w:val="right"/>
              <w:rPr>
                <w:sz w:val="20"/>
              </w:rPr>
            </w:pPr>
            <w:r>
              <w:rPr>
                <w:sz w:val="20"/>
              </w:rPr>
              <w:t>81.3</w:t>
            </w:r>
          </w:p>
        </w:tc>
      </w:tr>
      <w:tr>
        <w:trPr>
          <w:trHeight w:val="487" w:hRule="exact"/>
        </w:trPr>
        <w:tc>
          <w:tcPr>
            <w:tcW w:w="1507" w:type="dxa"/>
            <w:tcBorders>
              <w:top w:val="single" w:sz="36" w:space="0" w:color="000000"/>
              <w:left w:val="nil"/>
              <w:right w:val="nil"/>
            </w:tcBorders>
          </w:tcPr>
          <w:p>
            <w:pPr>
              <w:pStyle w:val="TableParagraph"/>
              <w:spacing w:line="209" w:lineRule="exact"/>
              <w:ind w:left="305" w:right="317"/>
              <w:rPr>
                <w:sz w:val="20"/>
              </w:rPr>
            </w:pPr>
            <w:r>
              <w:rPr>
                <w:sz w:val="20"/>
              </w:rPr>
              <w:t>25 a 74</w:t>
            </w:r>
          </w:p>
          <w:p>
            <w:pPr>
              <w:pStyle w:val="TableParagraph"/>
              <w:ind w:left="305" w:right="317"/>
              <w:rPr>
                <w:sz w:val="20"/>
              </w:rPr>
            </w:pPr>
            <w:r>
              <w:rPr>
                <w:sz w:val="20"/>
              </w:rPr>
              <w:t>años</w:t>
            </w:r>
          </w:p>
        </w:tc>
        <w:tc>
          <w:tcPr>
            <w:tcW w:w="1218" w:type="dxa"/>
            <w:tcBorders>
              <w:top w:val="single" w:sz="36" w:space="0" w:color="000000"/>
              <w:left w:val="nil"/>
              <w:right w:val="nil"/>
            </w:tcBorders>
          </w:tcPr>
          <w:p>
            <w:pPr>
              <w:pStyle w:val="TableParagraph"/>
              <w:spacing w:line="209" w:lineRule="exact"/>
              <w:ind w:right="115"/>
              <w:jc w:val="right"/>
              <w:rPr>
                <w:sz w:val="20"/>
              </w:rPr>
            </w:pPr>
            <w:r>
              <w:rPr>
                <w:sz w:val="20"/>
              </w:rPr>
              <w:t>64.2</w:t>
            </w:r>
          </w:p>
        </w:tc>
        <w:tc>
          <w:tcPr>
            <w:tcW w:w="1559" w:type="dxa"/>
            <w:tcBorders>
              <w:top w:val="single" w:sz="36" w:space="0" w:color="000000"/>
              <w:left w:val="nil"/>
              <w:right w:val="nil"/>
            </w:tcBorders>
          </w:tcPr>
          <w:p>
            <w:pPr>
              <w:pStyle w:val="TableParagraph"/>
              <w:spacing w:line="209" w:lineRule="exact"/>
              <w:ind w:right="114"/>
              <w:jc w:val="right"/>
              <w:rPr>
                <w:sz w:val="20"/>
              </w:rPr>
            </w:pPr>
            <w:r>
              <w:rPr>
                <w:sz w:val="20"/>
              </w:rPr>
              <w:t>59.4</w:t>
            </w:r>
          </w:p>
        </w:tc>
        <w:tc>
          <w:tcPr>
            <w:tcW w:w="2154" w:type="dxa"/>
            <w:tcBorders>
              <w:top w:val="single" w:sz="36" w:space="0" w:color="000000"/>
              <w:left w:val="nil"/>
              <w:right w:val="nil"/>
            </w:tcBorders>
          </w:tcPr>
          <w:p>
            <w:pPr>
              <w:pStyle w:val="TableParagraph"/>
              <w:spacing w:line="209" w:lineRule="exact"/>
              <w:ind w:right="283"/>
              <w:jc w:val="right"/>
              <w:rPr>
                <w:sz w:val="20"/>
              </w:rPr>
            </w:pPr>
            <w:r>
              <w:rPr>
                <w:sz w:val="20"/>
              </w:rPr>
              <w:t>69.3</w:t>
            </w:r>
          </w:p>
        </w:tc>
        <w:tc>
          <w:tcPr>
            <w:tcW w:w="1804" w:type="dxa"/>
            <w:tcBorders>
              <w:top w:val="single" w:sz="36" w:space="0" w:color="000000"/>
              <w:left w:val="nil"/>
              <w:right w:val="nil"/>
            </w:tcBorders>
          </w:tcPr>
          <w:p>
            <w:pPr>
              <w:pStyle w:val="TableParagraph"/>
              <w:spacing w:line="209" w:lineRule="exact"/>
              <w:ind w:right="243"/>
              <w:jc w:val="right"/>
              <w:rPr>
                <w:sz w:val="20"/>
              </w:rPr>
            </w:pPr>
            <w:r>
              <w:rPr>
                <w:sz w:val="20"/>
              </w:rPr>
              <w:t>78.1</w:t>
            </w:r>
          </w:p>
        </w:tc>
      </w:tr>
    </w:tbl>
    <w:p>
      <w:pPr>
        <w:spacing w:line="223" w:lineRule="exact" w:before="0"/>
        <w:ind w:left="122" w:right="0" w:firstLine="0"/>
        <w:jc w:val="both"/>
        <w:rPr>
          <w:sz w:val="20"/>
        </w:rPr>
      </w:pPr>
      <w:r>
        <w:rPr>
          <w:sz w:val="20"/>
        </w:rPr>
        <w:t>*Incluye a las personas que no obtuvieron ningún título</w:t>
      </w:r>
    </w:p>
    <w:p>
      <w:pPr>
        <w:spacing w:before="0"/>
        <w:ind w:left="117" w:right="115" w:firstLine="0"/>
        <w:jc w:val="center"/>
        <w:rPr>
          <w:sz w:val="20"/>
        </w:rPr>
      </w:pPr>
      <w:r>
        <w:rPr>
          <w:sz w:val="20"/>
        </w:rPr>
        <w:t>Fuente: Eurostat (2013)</w:t>
      </w:r>
    </w:p>
    <w:p>
      <w:pPr>
        <w:pStyle w:val="BodyText"/>
        <w:spacing w:before="1"/>
        <w:rPr>
          <w:sz w:val="20"/>
        </w:rPr>
      </w:pPr>
    </w:p>
    <w:p>
      <w:pPr>
        <w:pStyle w:val="BodyText"/>
        <w:spacing w:line="360" w:lineRule="auto" w:before="1"/>
        <w:ind w:left="122" w:right="115"/>
        <w:jc w:val="both"/>
      </w:pPr>
      <w:r>
        <w:rPr/>
        <w:t>El indicador anterior es importante porque el culminar los estudios universitarios debe representar una inserción laboral más rápida y con mejores oportunidades de absorción y permanencia en el mercado de trabajo. Por ello, el hecho de que las cifras con mejores porcentajes son aquellas en donde el rango de edad corresponde al de las personas que</w:t>
      </w:r>
    </w:p>
    <w:p>
      <w:pPr>
        <w:pStyle w:val="BodyText"/>
        <w:rPr>
          <w:sz w:val="20"/>
        </w:rPr>
      </w:pPr>
    </w:p>
    <w:p>
      <w:pPr>
        <w:pStyle w:val="BodyText"/>
        <w:spacing w:before="10"/>
        <w:rPr>
          <w:sz w:val="17"/>
        </w:rPr>
      </w:pPr>
      <w:r>
        <w:rPr/>
        <w:pict>
          <v:line style="position:absolute;mso-position-horizontal-relative:page;mso-position-vertical-relative:paragraph;z-index:1816;mso-wrap-distance-left:0;mso-wrap-distance-right:0" from="85.103996pt,12.620726pt" to="229.123996pt,12.620726pt" stroked="true" strokeweight=".72003pt" strokecolor="#000000">
            <w10:wrap type="topAndBottom"/>
          </v:line>
        </w:pict>
      </w:r>
    </w:p>
    <w:p>
      <w:pPr>
        <w:spacing w:line="237" w:lineRule="auto" w:before="49"/>
        <w:ind w:left="122" w:right="116" w:firstLine="0"/>
        <w:jc w:val="both"/>
        <w:rPr>
          <w:sz w:val="20"/>
        </w:rPr>
      </w:pPr>
      <w:r>
        <w:rPr>
          <w:rFonts w:ascii="Calibri" w:hAnsi="Calibri"/>
          <w:position w:val="10"/>
          <w:sz w:val="14"/>
        </w:rPr>
        <w:t>11 </w:t>
      </w:r>
      <w:r>
        <w:rPr>
          <w:rFonts w:ascii="Calibri" w:hAnsi="Calibri"/>
          <w:sz w:val="22"/>
        </w:rPr>
        <w:t>L</w:t>
      </w:r>
      <w:r>
        <w:rPr>
          <w:sz w:val="20"/>
        </w:rPr>
        <w:t>a edad de ingreso promedio al nivel medio superior en México es de 18 años. En promedio se necesitan cuatro años para culminar estudios profesionales. Por lo que el rango promedio que corresponde es de 25 a 49 años, de ahí que sea el único que se analiza en este apartado.</w:t>
      </w:r>
    </w:p>
    <w:p>
      <w:pPr>
        <w:spacing w:after="0" w:line="237" w:lineRule="auto"/>
        <w:jc w:val="both"/>
        <w:rPr>
          <w:sz w:val="20"/>
        </w:rPr>
        <w:sectPr>
          <w:pgSz w:w="12240" w:h="15840"/>
          <w:pgMar w:header="0" w:footer="1003" w:top="1360" w:bottom="1200" w:left="1580" w:right="1580"/>
        </w:sectPr>
      </w:pPr>
    </w:p>
    <w:p>
      <w:pPr>
        <w:pStyle w:val="BodyText"/>
        <w:spacing w:line="360" w:lineRule="auto" w:before="50"/>
        <w:ind w:left="102" w:right="124"/>
        <w:jc w:val="both"/>
      </w:pPr>
      <w:r>
        <w:rPr/>
        <w:t>cursaron estudios superiores es un aliciente para que cada vez sean más las personas interesadas en cursar y terminar una carrera profesional.</w:t>
      </w:r>
    </w:p>
    <w:p>
      <w:pPr>
        <w:pStyle w:val="BodyText"/>
      </w:pPr>
    </w:p>
    <w:p>
      <w:pPr>
        <w:pStyle w:val="Heading3"/>
        <w:numPr>
          <w:ilvl w:val="1"/>
          <w:numId w:val="50"/>
        </w:numPr>
        <w:tabs>
          <w:tab w:pos="522" w:val="left" w:leader="none"/>
        </w:tabs>
        <w:spacing w:line="240" w:lineRule="auto" w:before="148" w:after="0"/>
        <w:ind w:left="522" w:right="0" w:hanging="420"/>
        <w:jc w:val="both"/>
      </w:pPr>
      <w:bookmarkStart w:name="_bookmark32" w:id="58"/>
      <w:bookmarkEnd w:id="58"/>
      <w:r>
        <w:rPr>
          <w:b w:val="0"/>
        </w:rPr>
      </w:r>
      <w:bookmarkStart w:name="_bookmark32" w:id="59"/>
      <w:bookmarkEnd w:id="59"/>
      <w:r>
        <w:rPr/>
        <w:t>E</w:t>
      </w:r>
      <w:r>
        <w:rPr/>
        <w:t>ducación y políticas</w:t>
      </w:r>
      <w:r>
        <w:rPr>
          <w:spacing w:val="-6"/>
        </w:rPr>
        <w:t> </w:t>
      </w:r>
      <w:r>
        <w:rPr/>
        <w:t>educativas</w:t>
      </w:r>
    </w:p>
    <w:p>
      <w:pPr>
        <w:pStyle w:val="BodyText"/>
        <w:rPr>
          <w:b/>
        </w:rPr>
      </w:pPr>
    </w:p>
    <w:p>
      <w:pPr>
        <w:pStyle w:val="BodyText"/>
        <w:spacing w:line="360" w:lineRule="auto" w:before="165"/>
        <w:ind w:left="102" w:right="117"/>
        <w:jc w:val="both"/>
      </w:pPr>
      <w:r>
        <w:rPr/>
        <w:t>El tema de educación ha sido motivo de debate en foros internacionales y nacionales, e incluido en las políticas internas de los países desarrollados, subdesarrollado y emergentes, y es la razón de que se creen organismos como la UNESCO, que en 1942 nace como una necesidad y preocupación de las naciones que se enfrentaban a la Alemania nazi, del cómo reconstruir los sistemas educativos a nivel internacional una vez restaurada la paz (UNESCO, 2011).</w:t>
      </w:r>
    </w:p>
    <w:p>
      <w:pPr>
        <w:pStyle w:val="BodyText"/>
      </w:pPr>
    </w:p>
    <w:p>
      <w:pPr>
        <w:pStyle w:val="BodyText"/>
        <w:spacing w:line="360" w:lineRule="auto" w:before="143"/>
        <w:ind w:left="102" w:right="123"/>
        <w:jc w:val="both"/>
      </w:pPr>
      <w:r>
        <w:rPr/>
        <w:t>Otros esfuerzos internacionales traducidos en foros regionales y mundiales que han abordado los temas que atañen a la educación superior son:</w:t>
      </w:r>
    </w:p>
    <w:p>
      <w:pPr>
        <w:pStyle w:val="ListParagraph"/>
        <w:numPr>
          <w:ilvl w:val="2"/>
          <w:numId w:val="50"/>
        </w:numPr>
        <w:tabs>
          <w:tab w:pos="885" w:val="left" w:leader="none"/>
        </w:tabs>
        <w:spacing w:line="240" w:lineRule="auto" w:before="4" w:after="0"/>
        <w:ind w:left="884" w:right="0" w:hanging="360"/>
        <w:jc w:val="left"/>
        <w:rPr>
          <w:sz w:val="24"/>
        </w:rPr>
      </w:pPr>
      <w:r>
        <w:rPr>
          <w:sz w:val="24"/>
        </w:rPr>
        <w:t>La convención contra discriminación en la enseñanza</w:t>
      </w:r>
      <w:r>
        <w:rPr>
          <w:spacing w:val="-10"/>
          <w:sz w:val="24"/>
        </w:rPr>
        <w:t> </w:t>
      </w:r>
      <w:r>
        <w:rPr>
          <w:sz w:val="24"/>
        </w:rPr>
        <w:t>(1960)</w:t>
      </w:r>
    </w:p>
    <w:p>
      <w:pPr>
        <w:pStyle w:val="ListParagraph"/>
        <w:numPr>
          <w:ilvl w:val="2"/>
          <w:numId w:val="50"/>
        </w:numPr>
        <w:tabs>
          <w:tab w:pos="885" w:val="left" w:leader="none"/>
        </w:tabs>
        <w:spacing w:line="240" w:lineRule="auto" w:before="139" w:after="0"/>
        <w:ind w:left="884" w:right="0" w:hanging="360"/>
        <w:jc w:val="left"/>
        <w:rPr>
          <w:sz w:val="24"/>
        </w:rPr>
      </w:pPr>
      <w:r>
        <w:rPr>
          <w:sz w:val="24"/>
        </w:rPr>
        <w:t>La conferencia mundial educación para todos (Jomtien,</w:t>
      </w:r>
      <w:r>
        <w:rPr>
          <w:spacing w:val="-7"/>
          <w:sz w:val="24"/>
        </w:rPr>
        <w:t> </w:t>
      </w:r>
      <w:r>
        <w:rPr>
          <w:sz w:val="24"/>
        </w:rPr>
        <w:t>1990)</w:t>
      </w:r>
    </w:p>
    <w:p>
      <w:pPr>
        <w:pStyle w:val="ListParagraph"/>
        <w:numPr>
          <w:ilvl w:val="2"/>
          <w:numId w:val="50"/>
        </w:numPr>
        <w:tabs>
          <w:tab w:pos="885" w:val="left" w:leader="none"/>
        </w:tabs>
        <w:spacing w:line="240" w:lineRule="auto" w:before="137" w:after="0"/>
        <w:ind w:left="884" w:right="0" w:hanging="360"/>
        <w:jc w:val="left"/>
        <w:rPr>
          <w:sz w:val="24"/>
        </w:rPr>
      </w:pPr>
      <w:r>
        <w:rPr>
          <w:sz w:val="24"/>
        </w:rPr>
        <w:t>El documento cambio y desarrollo en la educación superior (UNESCO,</w:t>
      </w:r>
      <w:r>
        <w:rPr>
          <w:spacing w:val="-7"/>
          <w:sz w:val="24"/>
        </w:rPr>
        <w:t> </w:t>
      </w:r>
      <w:r>
        <w:rPr>
          <w:sz w:val="24"/>
        </w:rPr>
        <w:t>1995)</w:t>
      </w:r>
    </w:p>
    <w:p>
      <w:pPr>
        <w:pStyle w:val="ListParagraph"/>
        <w:numPr>
          <w:ilvl w:val="2"/>
          <w:numId w:val="50"/>
        </w:numPr>
        <w:tabs>
          <w:tab w:pos="885" w:val="left" w:leader="none"/>
        </w:tabs>
        <w:spacing w:line="240" w:lineRule="auto" w:before="139" w:after="0"/>
        <w:ind w:left="884" w:right="0" w:hanging="360"/>
        <w:jc w:val="left"/>
        <w:rPr>
          <w:sz w:val="24"/>
        </w:rPr>
      </w:pPr>
      <w:r>
        <w:rPr>
          <w:sz w:val="24"/>
        </w:rPr>
        <w:t>Las conferencias regionales sobre educación superior (UNESCO,</w:t>
      </w:r>
      <w:r>
        <w:rPr>
          <w:spacing w:val="-8"/>
          <w:sz w:val="24"/>
        </w:rPr>
        <w:t> </w:t>
      </w:r>
      <w:r>
        <w:rPr>
          <w:sz w:val="24"/>
        </w:rPr>
        <w:t>1996-1998)</w:t>
      </w:r>
    </w:p>
    <w:p>
      <w:pPr>
        <w:pStyle w:val="ListParagraph"/>
        <w:numPr>
          <w:ilvl w:val="2"/>
          <w:numId w:val="50"/>
        </w:numPr>
        <w:tabs>
          <w:tab w:pos="885" w:val="left" w:leader="none"/>
        </w:tabs>
        <w:spacing w:line="240" w:lineRule="auto" w:before="137" w:after="0"/>
        <w:ind w:left="884" w:right="0" w:hanging="360"/>
        <w:jc w:val="left"/>
        <w:rPr>
          <w:sz w:val="24"/>
        </w:rPr>
      </w:pPr>
      <w:r>
        <w:rPr>
          <w:sz w:val="24"/>
        </w:rPr>
        <w:t>La conferencia mundial sobre la educación superior (UNESCO, parís,</w:t>
      </w:r>
      <w:r>
        <w:rPr>
          <w:spacing w:val="-7"/>
          <w:sz w:val="24"/>
        </w:rPr>
        <w:t> </w:t>
      </w:r>
      <w:r>
        <w:rPr>
          <w:sz w:val="24"/>
        </w:rPr>
        <w:t>1998)</w:t>
      </w:r>
    </w:p>
    <w:p>
      <w:pPr>
        <w:pStyle w:val="ListParagraph"/>
        <w:numPr>
          <w:ilvl w:val="2"/>
          <w:numId w:val="50"/>
        </w:numPr>
        <w:tabs>
          <w:tab w:pos="884" w:val="left" w:leader="none"/>
          <w:tab w:pos="885" w:val="left" w:leader="none"/>
        </w:tabs>
        <w:spacing w:line="240" w:lineRule="auto" w:before="139" w:after="0"/>
        <w:ind w:left="884" w:right="0" w:hanging="360"/>
        <w:jc w:val="left"/>
        <w:rPr>
          <w:sz w:val="24"/>
        </w:rPr>
      </w:pPr>
      <w:r>
        <w:rPr>
          <w:sz w:val="24"/>
        </w:rPr>
        <w:t>El foro mundial sobre la educación (Dakar, Senegal,</w:t>
      </w:r>
      <w:r>
        <w:rPr>
          <w:spacing w:val="-8"/>
          <w:sz w:val="24"/>
        </w:rPr>
        <w:t> </w:t>
      </w:r>
      <w:r>
        <w:rPr>
          <w:sz w:val="24"/>
        </w:rPr>
        <w:t>2000)</w:t>
      </w:r>
    </w:p>
    <w:p>
      <w:pPr>
        <w:pStyle w:val="ListParagraph"/>
        <w:numPr>
          <w:ilvl w:val="2"/>
          <w:numId w:val="50"/>
        </w:numPr>
        <w:tabs>
          <w:tab w:pos="885" w:val="left" w:leader="none"/>
        </w:tabs>
        <w:spacing w:line="240" w:lineRule="auto" w:before="137" w:after="0"/>
        <w:ind w:left="884" w:right="0" w:hanging="360"/>
        <w:jc w:val="left"/>
        <w:rPr>
          <w:sz w:val="24"/>
        </w:rPr>
      </w:pPr>
      <w:r>
        <w:rPr>
          <w:sz w:val="24"/>
        </w:rPr>
        <w:t>El foro mundial de educación (UNESCO, Londres,</w:t>
      </w:r>
      <w:r>
        <w:rPr>
          <w:spacing w:val="-8"/>
          <w:sz w:val="24"/>
        </w:rPr>
        <w:t> </w:t>
      </w:r>
      <w:r>
        <w:rPr>
          <w:sz w:val="24"/>
        </w:rPr>
        <w:t>2012)</w:t>
      </w:r>
    </w:p>
    <w:p>
      <w:pPr>
        <w:pStyle w:val="BodyText"/>
      </w:pPr>
    </w:p>
    <w:p>
      <w:pPr>
        <w:pStyle w:val="BodyText"/>
      </w:pPr>
    </w:p>
    <w:p>
      <w:pPr>
        <w:pStyle w:val="BodyText"/>
        <w:spacing w:line="360" w:lineRule="auto"/>
        <w:ind w:left="102" w:right="125"/>
        <w:jc w:val="both"/>
      </w:pPr>
      <w:r>
        <w:rPr/>
        <w:t>Con lo que queda de manifiesto que la educación construye uno de los cimientos tanto sociales como económicos de cualquier país.</w:t>
      </w:r>
    </w:p>
    <w:p>
      <w:pPr>
        <w:pStyle w:val="BodyText"/>
      </w:pPr>
    </w:p>
    <w:p>
      <w:pPr>
        <w:pStyle w:val="BodyText"/>
        <w:spacing w:line="360" w:lineRule="auto" w:before="143"/>
        <w:ind w:left="102" w:right="116"/>
        <w:jc w:val="both"/>
      </w:pPr>
      <w:r>
        <w:rPr/>
        <w:t>Los países invierten fuertes cantidades de dinero en educar a sus ciudadanos, amén de que para muchas culturas es la manera de perpetuar sus costumbres, tradiciones y sabiduría. Desde tiempos ancestrales, la educación ha jugado un papel clave para el crecimiento y desarrollo tanto económico como tecnológico de un país. Se puede considerar a la educación como uno de los pilares en los que se sostiene el crecimiento y desarrollo de una nación.</w:t>
      </w:r>
    </w:p>
    <w:p>
      <w:pPr>
        <w:spacing w:after="0" w:line="360" w:lineRule="auto"/>
        <w:jc w:val="both"/>
        <w:sectPr>
          <w:pgSz w:w="12240" w:h="15840"/>
          <w:pgMar w:header="0" w:footer="1003" w:top="1360" w:bottom="1200" w:left="1600" w:right="1580"/>
        </w:sectPr>
      </w:pPr>
    </w:p>
    <w:p>
      <w:pPr>
        <w:pStyle w:val="BodyText"/>
        <w:spacing w:line="360" w:lineRule="auto" w:before="50"/>
        <w:ind w:left="102" w:right="120"/>
        <w:jc w:val="both"/>
      </w:pPr>
      <w:r>
        <w:rPr/>
        <w:t>La educación tiene cuatro pilares: aprender a conocer, aprender a hacer, aprender a vivir juntos / aprender a vivir con los demás y aprender a ser, que de acuerdo al informe de la UNESCO (2006) para el siglo XXI,  se distinguen porque:</w:t>
      </w:r>
    </w:p>
    <w:p>
      <w:pPr>
        <w:pStyle w:val="BodyText"/>
      </w:pPr>
    </w:p>
    <w:p>
      <w:pPr>
        <w:spacing w:before="142"/>
        <w:ind w:left="461" w:right="121" w:firstLine="0"/>
        <w:jc w:val="both"/>
        <w:rPr>
          <w:sz w:val="22"/>
        </w:rPr>
      </w:pPr>
      <w:r>
        <w:rPr>
          <w:sz w:val="22"/>
        </w:rPr>
        <w:t>“Ya no basta con que cada individuo acumule al comienzo de su vida una reserva de conocimientos a la que podrá recurrir después sin límites. Sobre todo, debe estar en condiciones de aprovechar y utilizar durante toda la vida cada oportunidad que se le presente de actualizar, profundizar y enriquecer ese primer saber y de adaptarse a un mundo en permanente cambio” (Rodríguez, et al., 2009, p. 25).</w:t>
      </w:r>
    </w:p>
    <w:p>
      <w:pPr>
        <w:pStyle w:val="BodyText"/>
        <w:rPr>
          <w:sz w:val="22"/>
        </w:rPr>
      </w:pPr>
    </w:p>
    <w:p>
      <w:pPr>
        <w:pStyle w:val="BodyText"/>
        <w:spacing w:line="360" w:lineRule="auto" w:before="162"/>
        <w:ind w:left="102" w:right="116"/>
        <w:jc w:val="both"/>
      </w:pPr>
      <w:r>
        <w:rPr/>
        <w:t>Bajo la consideración de que nos encontramos en un mundo en constante cambio, se requiere de una formación permanente a lo largo de la vida de la persona (Rodríguez, et al., 2009), esto ha llevado a que las IES en todo el mundo, busquen reformas y métodos para mejorar la calidad de la educación.</w:t>
      </w:r>
    </w:p>
    <w:p>
      <w:pPr>
        <w:pStyle w:val="BodyText"/>
      </w:pPr>
    </w:p>
    <w:p>
      <w:pPr>
        <w:pStyle w:val="BodyText"/>
        <w:spacing w:line="360" w:lineRule="auto" w:before="143"/>
        <w:ind w:left="102" w:right="116"/>
        <w:jc w:val="both"/>
      </w:pPr>
      <w:r>
        <w:rPr/>
        <w:t>Si bien el tema de financiación se ha vuelto cada vez más importante en las políticas educativas de cada nación, el presupuesto que se destina a la educación superior es limitado, por ello es importante que el dinero público para las universidades públicas sea acordado bajo criterios de ejecución claros y contra entrega de productos (Altabach y Mc Gill, 2000), o dicho de otra forma, existe ahora un interés no sólo para quién y cuántos recursos financieros se asignan, sino también el evaluar qué resultados se están obteniendo derivados de este financiamiento a través de la eficiencia y</w:t>
      </w:r>
      <w:r>
        <w:rPr>
          <w:spacing w:val="-13"/>
        </w:rPr>
        <w:t> </w:t>
      </w:r>
      <w:r>
        <w:rPr/>
        <w:t>equidad.</w:t>
      </w:r>
    </w:p>
    <w:p>
      <w:pPr>
        <w:pStyle w:val="BodyText"/>
      </w:pPr>
    </w:p>
    <w:p>
      <w:pPr>
        <w:pStyle w:val="Heading3"/>
        <w:numPr>
          <w:ilvl w:val="2"/>
          <w:numId w:val="51"/>
        </w:numPr>
        <w:tabs>
          <w:tab w:pos="702" w:val="left" w:leader="none"/>
        </w:tabs>
        <w:spacing w:line="240" w:lineRule="auto" w:before="148" w:after="0"/>
        <w:ind w:left="702" w:right="0" w:hanging="600"/>
        <w:jc w:val="both"/>
      </w:pPr>
      <w:bookmarkStart w:name="_bookmark33" w:id="60"/>
      <w:bookmarkEnd w:id="60"/>
      <w:r>
        <w:rPr>
          <w:b w:val="0"/>
        </w:rPr>
      </w:r>
      <w:bookmarkStart w:name="_bookmark33" w:id="61"/>
      <w:bookmarkEnd w:id="61"/>
      <w:r>
        <w:rPr/>
        <w:t>P</w:t>
      </w:r>
      <w:r>
        <w:rPr/>
        <w:t>olíticas internacionales y</w:t>
      </w:r>
      <w:r>
        <w:rPr>
          <w:spacing w:val="-11"/>
        </w:rPr>
        <w:t> </w:t>
      </w:r>
      <w:r>
        <w:rPr/>
        <w:t>latinoamericanas</w:t>
      </w:r>
    </w:p>
    <w:p>
      <w:pPr>
        <w:pStyle w:val="BodyText"/>
        <w:rPr>
          <w:b/>
        </w:rPr>
      </w:pPr>
    </w:p>
    <w:p>
      <w:pPr>
        <w:pStyle w:val="BodyText"/>
        <w:spacing w:before="6"/>
        <w:rPr>
          <w:b/>
          <w:sz w:val="23"/>
        </w:rPr>
      </w:pPr>
    </w:p>
    <w:p>
      <w:pPr>
        <w:pStyle w:val="BodyText"/>
        <w:spacing w:line="360" w:lineRule="auto"/>
        <w:ind w:left="102" w:right="118"/>
        <w:jc w:val="both"/>
      </w:pPr>
      <w:r>
        <w:rPr/>
        <w:t>A nivel internacional y de Latinoamérica son cinco los organismos que orientan a los  países participantes a determinar las políticas educativas: el Banco Mundial (BM), la Organización para la Cooperación y el Desarrollo Económico (OCDE) y UNESCO para el contexto internacional. Y para Latinoamérica se considera a la CEPAL y al Banco Interamericano de Desarrollo (BID). Estos organismos proponen estrategias para mejorar la calidad educativa y generar programas que ayuden a su fortalecimiento. Además, llevan a cabo evaluaciones de los niveles educativos y la investigación</w:t>
      </w:r>
      <w:r>
        <w:rPr>
          <w:spacing w:val="-16"/>
        </w:rPr>
        <w:t> </w:t>
      </w:r>
      <w:r>
        <w:rPr/>
        <w:t>científica.</w:t>
      </w:r>
    </w:p>
    <w:p>
      <w:pPr>
        <w:spacing w:after="0" w:line="360" w:lineRule="auto"/>
        <w:jc w:val="both"/>
        <w:sectPr>
          <w:pgSz w:w="12240" w:h="15840"/>
          <w:pgMar w:header="0" w:footer="1003" w:top="1360" w:bottom="1200" w:left="1600" w:right="1580"/>
        </w:sectPr>
      </w:pPr>
    </w:p>
    <w:p>
      <w:pPr>
        <w:pStyle w:val="BodyText"/>
        <w:spacing w:line="360" w:lineRule="auto" w:before="50"/>
        <w:ind w:left="122" w:right="117"/>
        <w:jc w:val="both"/>
      </w:pPr>
      <w:r>
        <w:rPr/>
        <w:t>La OCDE durante el periodo presidencial del Lic. Felipe Calderón Hinojosa (2006-2012), realizó y presentó los siguientes trabajos en materia de educación para México (OCDE, 2013):</w:t>
      </w:r>
    </w:p>
    <w:p>
      <w:pPr>
        <w:pStyle w:val="ListParagraph"/>
        <w:numPr>
          <w:ilvl w:val="3"/>
          <w:numId w:val="51"/>
        </w:numPr>
        <w:tabs>
          <w:tab w:pos="841" w:val="left" w:leader="none"/>
          <w:tab w:pos="842" w:val="left" w:leader="none"/>
        </w:tabs>
        <w:spacing w:line="240" w:lineRule="auto" w:before="205" w:after="0"/>
        <w:ind w:left="842" w:right="0" w:hanging="360"/>
        <w:jc w:val="left"/>
        <w:rPr>
          <w:sz w:val="24"/>
        </w:rPr>
      </w:pPr>
      <w:r>
        <w:rPr>
          <w:sz w:val="24"/>
        </w:rPr>
        <w:t>“OECD Reviews of Tertiary Education México 2008” (Agosto,</w:t>
      </w:r>
      <w:r>
        <w:rPr>
          <w:spacing w:val="-9"/>
          <w:sz w:val="24"/>
        </w:rPr>
        <w:t> </w:t>
      </w:r>
      <w:r>
        <w:rPr>
          <w:sz w:val="24"/>
        </w:rPr>
        <w:t>2008).</w:t>
      </w:r>
    </w:p>
    <w:p>
      <w:pPr>
        <w:pStyle w:val="ListParagraph"/>
        <w:numPr>
          <w:ilvl w:val="3"/>
          <w:numId w:val="51"/>
        </w:numPr>
        <w:tabs>
          <w:tab w:pos="841" w:val="left" w:leader="none"/>
          <w:tab w:pos="842" w:val="left" w:leader="none"/>
          <w:tab w:pos="2247" w:val="left" w:leader="none"/>
          <w:tab w:pos="2578" w:val="left" w:leader="none"/>
          <w:tab w:pos="4289" w:val="left" w:leader="none"/>
          <w:tab w:pos="4730" w:val="left" w:leader="none"/>
          <w:tab w:pos="5121" w:val="left" w:leader="none"/>
          <w:tab w:pos="6030" w:val="left" w:leader="none"/>
          <w:tab w:pos="6473" w:val="left" w:leader="none"/>
          <w:tab w:pos="6970" w:val="left" w:leader="none"/>
          <w:tab w:pos="8087" w:val="left" w:leader="none"/>
        </w:tabs>
        <w:spacing w:line="352" w:lineRule="auto" w:before="138" w:after="0"/>
        <w:ind w:left="842" w:right="124" w:hanging="360"/>
        <w:jc w:val="left"/>
        <w:rPr>
          <w:sz w:val="24"/>
        </w:rPr>
      </w:pPr>
      <w:r>
        <w:rPr>
          <w:sz w:val="24"/>
        </w:rPr>
        <w:t>“Evaluación</w:t>
        <w:tab/>
        <w:t>y</w:t>
        <w:tab/>
        <w:t>reconocimiento</w:t>
        <w:tab/>
        <w:t>de</w:t>
        <w:tab/>
        <w:t>la</w:t>
        <w:tab/>
        <w:t>calidad</w:t>
        <w:tab/>
        <w:t>de</w:t>
        <w:tab/>
        <w:t>los</w:t>
        <w:tab/>
        <w:t>docentes.</w:t>
        <w:tab/>
        <w:t>Prácticas internacionales”  (Febrero,</w:t>
      </w:r>
      <w:r>
        <w:rPr>
          <w:spacing w:val="-6"/>
          <w:sz w:val="24"/>
        </w:rPr>
        <w:t> </w:t>
      </w:r>
      <w:r>
        <w:rPr>
          <w:sz w:val="24"/>
        </w:rPr>
        <w:t>2010).</w:t>
      </w:r>
    </w:p>
    <w:p>
      <w:pPr>
        <w:pStyle w:val="ListParagraph"/>
        <w:numPr>
          <w:ilvl w:val="3"/>
          <w:numId w:val="51"/>
        </w:numPr>
        <w:tabs>
          <w:tab w:pos="841" w:val="left" w:leader="none"/>
          <w:tab w:pos="842" w:val="left" w:leader="none"/>
        </w:tabs>
        <w:spacing w:line="352" w:lineRule="auto" w:before="11" w:after="0"/>
        <w:ind w:left="842" w:right="121" w:hanging="360"/>
        <w:jc w:val="left"/>
        <w:rPr>
          <w:sz w:val="24"/>
        </w:rPr>
      </w:pPr>
      <w:r>
        <w:rPr>
          <w:sz w:val="24"/>
        </w:rPr>
        <w:t>“Higher Education in Regional and City Development Paso del Norte, Mexico and the United States 2010” (Agosto,</w:t>
      </w:r>
      <w:r>
        <w:rPr>
          <w:spacing w:val="-5"/>
          <w:sz w:val="24"/>
        </w:rPr>
        <w:t> </w:t>
      </w:r>
      <w:r>
        <w:rPr>
          <w:sz w:val="24"/>
        </w:rPr>
        <w:t>2010).</w:t>
      </w:r>
    </w:p>
    <w:p>
      <w:pPr>
        <w:pStyle w:val="ListParagraph"/>
        <w:numPr>
          <w:ilvl w:val="3"/>
          <w:numId w:val="51"/>
        </w:numPr>
        <w:tabs>
          <w:tab w:pos="841" w:val="left" w:leader="none"/>
          <w:tab w:pos="842" w:val="left" w:leader="none"/>
        </w:tabs>
        <w:spacing w:line="240" w:lineRule="auto" w:before="12" w:after="0"/>
        <w:ind w:left="842" w:right="0" w:hanging="360"/>
        <w:jc w:val="left"/>
        <w:rPr>
          <w:sz w:val="24"/>
        </w:rPr>
      </w:pPr>
      <w:r>
        <w:rPr>
          <w:sz w:val="24"/>
        </w:rPr>
        <w:t>“Higher Education in Regional and City Development State of Veracruz,</w:t>
      </w:r>
      <w:r>
        <w:rPr>
          <w:spacing w:val="-11"/>
          <w:sz w:val="24"/>
        </w:rPr>
        <w:t> </w:t>
      </w:r>
      <w:r>
        <w:rPr>
          <w:sz w:val="24"/>
        </w:rPr>
        <w:t>Mexico</w:t>
      </w:r>
    </w:p>
    <w:p>
      <w:pPr>
        <w:pStyle w:val="BodyText"/>
        <w:tabs>
          <w:tab w:pos="841" w:val="left" w:leader="none"/>
        </w:tabs>
        <w:spacing w:before="138"/>
        <w:ind w:left="481" w:right="1552"/>
      </w:pPr>
      <w:r>
        <w:rPr>
          <w:rFonts w:ascii="Symbol" w:hAnsi="Symbol"/>
        </w:rPr>
        <w:t></w:t>
      </w:r>
      <w:r>
        <w:rPr/>
        <w:tab/>
        <w:t>2010” (Diciembre,</w:t>
      </w:r>
      <w:r>
        <w:rPr>
          <w:spacing w:val="-4"/>
        </w:rPr>
        <w:t> </w:t>
      </w:r>
      <w:r>
        <w:rPr/>
        <w:t>2010)</w:t>
      </w:r>
    </w:p>
    <w:p>
      <w:pPr>
        <w:pStyle w:val="ListParagraph"/>
        <w:numPr>
          <w:ilvl w:val="3"/>
          <w:numId w:val="51"/>
        </w:numPr>
        <w:tabs>
          <w:tab w:pos="841" w:val="left" w:leader="none"/>
          <w:tab w:pos="842" w:val="left" w:leader="none"/>
        </w:tabs>
        <w:spacing w:line="240" w:lineRule="auto" w:before="135" w:after="0"/>
        <w:ind w:left="842" w:right="0" w:hanging="360"/>
        <w:jc w:val="left"/>
        <w:rPr>
          <w:sz w:val="24"/>
        </w:rPr>
      </w:pPr>
      <w:r>
        <w:rPr>
          <w:sz w:val="24"/>
        </w:rPr>
        <w:t>“Mejorar las escuelas. Estrategias para la acción en México” (Diciembre,</w:t>
      </w:r>
      <w:r>
        <w:rPr>
          <w:spacing w:val="-14"/>
          <w:sz w:val="24"/>
        </w:rPr>
        <w:t> </w:t>
      </w:r>
      <w:r>
        <w:rPr>
          <w:sz w:val="24"/>
        </w:rPr>
        <w:t>2010).</w:t>
      </w:r>
    </w:p>
    <w:p>
      <w:pPr>
        <w:pStyle w:val="ListParagraph"/>
        <w:numPr>
          <w:ilvl w:val="3"/>
          <w:numId w:val="51"/>
        </w:numPr>
        <w:tabs>
          <w:tab w:pos="841" w:val="left" w:leader="none"/>
          <w:tab w:pos="842" w:val="left" w:leader="none"/>
        </w:tabs>
        <w:spacing w:line="352" w:lineRule="auto" w:before="120" w:after="0"/>
        <w:ind w:left="842" w:right="117" w:hanging="360"/>
        <w:jc w:val="left"/>
        <w:rPr>
          <w:sz w:val="24"/>
        </w:rPr>
      </w:pPr>
      <w:r>
        <w:rPr>
          <w:sz w:val="24"/>
        </w:rPr>
        <w:t>“Sistemas fuertes y reformadores exitosos en la educación. Lecciones de PISA</w:t>
      </w:r>
      <w:r>
        <w:rPr>
          <w:position w:val="11"/>
          <w:sz w:val="16"/>
        </w:rPr>
        <w:t>12 </w:t>
      </w:r>
      <w:r>
        <w:rPr>
          <w:sz w:val="24"/>
        </w:rPr>
        <w:t>para México” (Abril,</w:t>
      </w:r>
      <w:r>
        <w:rPr>
          <w:spacing w:val="-4"/>
          <w:sz w:val="24"/>
        </w:rPr>
        <w:t> </w:t>
      </w:r>
      <w:r>
        <w:rPr>
          <w:sz w:val="24"/>
        </w:rPr>
        <w:t>2011).</w:t>
      </w:r>
    </w:p>
    <w:p>
      <w:pPr>
        <w:pStyle w:val="ListParagraph"/>
        <w:numPr>
          <w:ilvl w:val="3"/>
          <w:numId w:val="51"/>
        </w:numPr>
        <w:tabs>
          <w:tab w:pos="841" w:val="left" w:leader="none"/>
          <w:tab w:pos="842" w:val="left" w:leader="none"/>
        </w:tabs>
        <w:spacing w:line="352" w:lineRule="auto" w:before="11" w:after="0"/>
        <w:ind w:left="842" w:right="124" w:hanging="360"/>
        <w:jc w:val="left"/>
        <w:rPr>
          <w:sz w:val="24"/>
        </w:rPr>
      </w:pPr>
      <w:r>
        <w:rPr>
          <w:sz w:val="24"/>
        </w:rPr>
        <w:t>“La medición del aprendizaje de los alumnos. Mejores prácticas para evaluar el valor agregado de las escuelas” (Junio,</w:t>
      </w:r>
      <w:r>
        <w:rPr>
          <w:spacing w:val="-8"/>
          <w:sz w:val="24"/>
        </w:rPr>
        <w:t> </w:t>
      </w:r>
      <w:r>
        <w:rPr>
          <w:sz w:val="24"/>
        </w:rPr>
        <w:t>2011).</w:t>
      </w:r>
    </w:p>
    <w:p>
      <w:pPr>
        <w:pStyle w:val="ListParagraph"/>
        <w:numPr>
          <w:ilvl w:val="3"/>
          <w:numId w:val="51"/>
        </w:numPr>
        <w:tabs>
          <w:tab w:pos="841" w:val="left" w:leader="none"/>
          <w:tab w:pos="842" w:val="left" w:leader="none"/>
        </w:tabs>
        <w:spacing w:line="352" w:lineRule="auto" w:before="11" w:after="0"/>
        <w:ind w:left="842" w:right="123" w:hanging="360"/>
        <w:jc w:val="left"/>
        <w:rPr>
          <w:sz w:val="24"/>
        </w:rPr>
      </w:pPr>
      <w:r>
        <w:rPr>
          <w:sz w:val="24"/>
        </w:rPr>
        <w:t>“Establecimiento de un marco para la evaluación e incentivos docentes. Consideraciones para México” (Septiembre,</w:t>
      </w:r>
      <w:r>
        <w:rPr>
          <w:spacing w:val="-7"/>
          <w:sz w:val="24"/>
        </w:rPr>
        <w:t> </w:t>
      </w:r>
      <w:r>
        <w:rPr>
          <w:sz w:val="24"/>
        </w:rPr>
        <w:t>2011).</w:t>
      </w:r>
    </w:p>
    <w:p>
      <w:pPr>
        <w:pStyle w:val="BodyText"/>
      </w:pPr>
    </w:p>
    <w:p>
      <w:pPr>
        <w:pStyle w:val="BodyText"/>
        <w:spacing w:line="360" w:lineRule="auto" w:before="151"/>
        <w:ind w:left="122" w:right="115"/>
        <w:jc w:val="both"/>
      </w:pPr>
      <w:r>
        <w:rPr/>
        <w:t>Esto permite al país contar con la información oportuna de diagnóstico para diseñar y aplicar políticas educativas acordes a la realidad económica y social del país. Cada sexenio presidencial se revisa y ajustan éstas de acuerdo a la estrategia planteada por el poder ejecutivo de la nación, mediante el Plan Nacional de Desarrollo (PND). Con ello se garantiza y fortalece el buen funcionamiento del sistema educativo. A continuación se revisan aquellas que aplican a este trabajo.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5"/>
        </w:rPr>
      </w:pPr>
      <w:r>
        <w:rPr/>
        <w:pict>
          <v:line style="position:absolute;mso-position-horizontal-relative:page;mso-position-vertical-relative:paragraph;z-index:1840;mso-wrap-distance-left:0;mso-wrap-distance-right:0" from="85.103996pt,11.195603pt" to="229.123996pt,11.195603pt" stroked="true" strokeweight=".72003pt" strokecolor="#000000">
            <w10:wrap type="topAndBottom"/>
          </v:line>
        </w:pict>
      </w:r>
    </w:p>
    <w:p>
      <w:pPr>
        <w:spacing w:line="288" w:lineRule="auto" w:before="49"/>
        <w:ind w:left="122" w:right="254" w:firstLine="0"/>
        <w:jc w:val="left"/>
        <w:rPr>
          <w:sz w:val="20"/>
        </w:rPr>
      </w:pPr>
      <w:r>
        <w:rPr>
          <w:rFonts w:ascii="Calibri" w:hAnsi="Calibri"/>
          <w:position w:val="10"/>
          <w:sz w:val="14"/>
        </w:rPr>
        <w:t>12</w:t>
      </w:r>
      <w:r>
        <w:rPr>
          <w:sz w:val="20"/>
        </w:rPr>
        <w:t>El Informe del Programa Internacional para la Evaluación de Estudiantes o Informe PISA por sus siglas en inglés (Program for International Student Assessment).</w:t>
      </w:r>
    </w:p>
    <w:p>
      <w:pPr>
        <w:spacing w:after="0" w:line="288" w:lineRule="auto"/>
        <w:jc w:val="left"/>
        <w:rPr>
          <w:sz w:val="20"/>
        </w:rPr>
        <w:sectPr>
          <w:footerReference w:type="default" r:id="rId56"/>
          <w:pgSz w:w="12240" w:h="15840"/>
          <w:pgMar w:footer="1003" w:header="0" w:top="1360" w:bottom="1200" w:left="1580" w:right="1580"/>
        </w:sectPr>
      </w:pPr>
    </w:p>
    <w:p>
      <w:pPr>
        <w:pStyle w:val="Heading3"/>
        <w:numPr>
          <w:ilvl w:val="2"/>
          <w:numId w:val="51"/>
        </w:numPr>
        <w:tabs>
          <w:tab w:pos="702" w:val="left" w:leader="none"/>
        </w:tabs>
        <w:spacing w:line="240" w:lineRule="auto" w:before="55" w:after="0"/>
        <w:ind w:left="702" w:right="0" w:hanging="600"/>
        <w:jc w:val="both"/>
      </w:pPr>
      <w:bookmarkStart w:name="_bookmark34" w:id="62"/>
      <w:bookmarkEnd w:id="62"/>
      <w:r>
        <w:rPr>
          <w:b w:val="0"/>
        </w:rPr>
      </w:r>
      <w:bookmarkStart w:name="_bookmark34" w:id="63"/>
      <w:bookmarkEnd w:id="63"/>
      <w:r>
        <w:rPr/>
        <w:t>La</w:t>
      </w:r>
      <w:r>
        <w:rPr/>
        <w:t> educación superior en los planes de</w:t>
      </w:r>
      <w:r>
        <w:rPr>
          <w:spacing w:val="-9"/>
        </w:rPr>
        <w:t> </w:t>
      </w:r>
      <w:r>
        <w:rPr/>
        <w:t>desarrollo</w:t>
      </w:r>
    </w:p>
    <w:p>
      <w:pPr>
        <w:pStyle w:val="BodyText"/>
        <w:rPr>
          <w:b/>
        </w:rPr>
      </w:pPr>
    </w:p>
    <w:p>
      <w:pPr>
        <w:pStyle w:val="BodyText"/>
        <w:spacing w:before="6"/>
        <w:rPr>
          <w:b/>
          <w:sz w:val="23"/>
        </w:rPr>
      </w:pPr>
    </w:p>
    <w:p>
      <w:pPr>
        <w:pStyle w:val="BodyText"/>
        <w:spacing w:line="360" w:lineRule="auto"/>
        <w:ind w:left="102" w:right="114"/>
        <w:jc w:val="both"/>
      </w:pPr>
      <w:r>
        <w:rPr/>
        <w:t>En México el organismo encargado de regular y controlar a nivel nacional que las políticas educativas se ejerzan de igual manera para todas las instituciones públicas es la SEP, a  nivel nacional la creación de la SEP se decreta en el Diario Oficial del  3 de octubre de  1921 (SEP, 2011), organismo que oficialmente trabaja en la mejora de la  calidad  educativa.</w:t>
      </w:r>
    </w:p>
    <w:p>
      <w:pPr>
        <w:pStyle w:val="BodyText"/>
      </w:pPr>
    </w:p>
    <w:p>
      <w:pPr>
        <w:pStyle w:val="BodyText"/>
        <w:spacing w:line="360" w:lineRule="auto" w:before="143"/>
        <w:ind w:left="102" w:right="116"/>
        <w:jc w:val="both"/>
      </w:pPr>
      <w:r>
        <w:rPr/>
        <w:t>Las políticas educativas se establecen desde el poder Ejecutivo Federal, con base en el PND. En cada periodo presidencial se establecen los ejes de acción en diferentes temas, en donde se encuentra incluida la educación, una práctica que se ha venido desarrollando, para la formulación del PND, es la consulta popular, mediante la participación ciudadana, el gobierno federal toma en consideración las propuestas aquí planteadas así como las sugerencias emitidas por los organismos internacionales como: BM, BID, CEPAL, OCDE Y UNESCO, mismos que </w:t>
      </w:r>
      <w:r>
        <w:rPr>
          <w:spacing w:val="-3"/>
        </w:rPr>
        <w:t>ya </w:t>
      </w:r>
      <w:r>
        <w:rPr/>
        <w:t>se mencionaron en el apartado anterior de políticas internacionales.</w:t>
      </w:r>
    </w:p>
    <w:p>
      <w:pPr>
        <w:pStyle w:val="BodyText"/>
      </w:pPr>
    </w:p>
    <w:p>
      <w:pPr>
        <w:pStyle w:val="BodyText"/>
        <w:spacing w:line="360" w:lineRule="auto" w:before="143"/>
        <w:ind w:left="102" w:right="119"/>
        <w:jc w:val="both"/>
      </w:pPr>
      <w:r>
        <w:rPr/>
        <w:t>El PND, es el documento oficial en donde se plasman las estrategias que se han determinado para guiar el rumbo económico, político y social del país, siendo el sistema de educación uno de los ejes estratégicos más importantes. A continuación se revisa los PND de los periodos presidenciales de 2001-2006 y 2007-2012, con los cuales se abarca el periodo completo de estudio de esta</w:t>
      </w:r>
      <w:r>
        <w:rPr>
          <w:spacing w:val="-8"/>
        </w:rPr>
        <w:t> </w:t>
      </w:r>
      <w:r>
        <w:rPr/>
        <w:t>tesis.</w:t>
      </w:r>
    </w:p>
    <w:p>
      <w:pPr>
        <w:pStyle w:val="BodyText"/>
      </w:pPr>
    </w:p>
    <w:p>
      <w:pPr>
        <w:pStyle w:val="BodyText"/>
        <w:spacing w:line="360" w:lineRule="auto" w:before="143"/>
        <w:ind w:left="102" w:right="116"/>
        <w:jc w:val="both"/>
      </w:pPr>
      <w:r>
        <w:rPr/>
        <w:t>También se incluyen los planes de desarrollo del Estado de México para los periodos 1998- 2004 y 2005-2011, bajo el mismo criterio por ser los planes vigentes en los años 2000 a 2010, establecidos como el periodo de análisis.</w:t>
      </w:r>
    </w:p>
    <w:p>
      <w:pPr>
        <w:pStyle w:val="BodyText"/>
      </w:pPr>
    </w:p>
    <w:p>
      <w:pPr>
        <w:pStyle w:val="Heading3"/>
        <w:numPr>
          <w:ilvl w:val="3"/>
          <w:numId w:val="52"/>
        </w:numPr>
        <w:tabs>
          <w:tab w:pos="882" w:val="left" w:leader="none"/>
        </w:tabs>
        <w:spacing w:line="240" w:lineRule="auto" w:before="148" w:after="0"/>
        <w:ind w:left="882" w:right="0" w:hanging="780"/>
        <w:jc w:val="both"/>
      </w:pPr>
      <w:bookmarkStart w:name="_bookmark35" w:id="64"/>
      <w:bookmarkEnd w:id="64"/>
      <w:r>
        <w:rPr>
          <w:b w:val="0"/>
        </w:rPr>
      </w:r>
      <w:bookmarkStart w:name="_bookmark35" w:id="65"/>
      <w:bookmarkEnd w:id="65"/>
      <w:r>
        <w:rPr/>
        <w:t>P</w:t>
      </w:r>
      <w:r>
        <w:rPr/>
        <w:t>lan Nacional de Desarrollo</w:t>
      </w:r>
      <w:r>
        <w:rPr>
          <w:spacing w:val="-5"/>
        </w:rPr>
        <w:t> </w:t>
      </w:r>
      <w:r>
        <w:rPr/>
        <w:t>(2001-2006)</w:t>
      </w:r>
    </w:p>
    <w:p>
      <w:pPr>
        <w:pStyle w:val="BodyText"/>
        <w:rPr>
          <w:b/>
        </w:rPr>
      </w:pPr>
    </w:p>
    <w:p>
      <w:pPr>
        <w:pStyle w:val="BodyText"/>
        <w:spacing w:before="4"/>
        <w:rPr>
          <w:b/>
          <w:sz w:val="23"/>
        </w:rPr>
      </w:pPr>
    </w:p>
    <w:p>
      <w:pPr>
        <w:pStyle w:val="BodyText"/>
        <w:spacing w:line="360" w:lineRule="auto"/>
        <w:ind w:left="102" w:right="117"/>
        <w:jc w:val="both"/>
      </w:pPr>
      <w:r>
        <w:rPr/>
        <w:t>Establece que la educación era la estrategia central para el desarrollo mexicano y por lo tanto su propósito central y prioritario fue hacer de la educación el gran proyecto   nacional,</w:t>
      </w:r>
    </w:p>
    <w:p>
      <w:pPr>
        <w:spacing w:after="0" w:line="360" w:lineRule="auto"/>
        <w:jc w:val="both"/>
        <w:sectPr>
          <w:footerReference w:type="default" r:id="rId57"/>
          <w:pgSz w:w="12240" w:h="15840"/>
          <w:pgMar w:footer="1003" w:header="0" w:top="1360" w:bottom="1200" w:left="1600" w:right="1580"/>
          <w:pgNumType w:start="71"/>
        </w:sectPr>
      </w:pPr>
    </w:p>
    <w:p>
      <w:pPr>
        <w:pStyle w:val="BodyText"/>
        <w:spacing w:line="360" w:lineRule="auto" w:before="50"/>
        <w:ind w:left="102" w:right="114"/>
        <w:jc w:val="both"/>
      </w:pPr>
      <w:r>
        <w:rPr/>
        <w:t>y lograrlo implicaba contar con programas, proyectos y acciones que permitieran tener educación de calidad y de vanguardia para todos. Se propusieron objetivos rectores y estrategias entre las que destacan (PND, 2001):</w:t>
      </w:r>
    </w:p>
    <w:p>
      <w:pPr>
        <w:pStyle w:val="ListParagraph"/>
        <w:numPr>
          <w:ilvl w:val="4"/>
          <w:numId w:val="52"/>
        </w:numPr>
        <w:tabs>
          <w:tab w:pos="822" w:val="left" w:leader="none"/>
        </w:tabs>
        <w:spacing w:line="240" w:lineRule="auto" w:before="6" w:after="0"/>
        <w:ind w:left="822" w:right="0" w:hanging="360"/>
        <w:jc w:val="left"/>
        <w:rPr>
          <w:sz w:val="22"/>
        </w:rPr>
      </w:pPr>
      <w:r>
        <w:rPr>
          <w:sz w:val="22"/>
        </w:rPr>
        <w:t>Proporcionar una educación de calidad, adecuada a las necesidades de todos los</w:t>
      </w:r>
      <w:r>
        <w:rPr>
          <w:spacing w:val="-17"/>
          <w:sz w:val="22"/>
        </w:rPr>
        <w:t> </w:t>
      </w:r>
      <w:r>
        <w:rPr>
          <w:sz w:val="22"/>
        </w:rPr>
        <w:t>mexicanos;</w:t>
      </w:r>
    </w:p>
    <w:p>
      <w:pPr>
        <w:pStyle w:val="ListParagraph"/>
        <w:numPr>
          <w:ilvl w:val="4"/>
          <w:numId w:val="52"/>
        </w:numPr>
        <w:tabs>
          <w:tab w:pos="822" w:val="left" w:leader="none"/>
        </w:tabs>
        <w:spacing w:line="360" w:lineRule="auto" w:before="126" w:after="0"/>
        <w:ind w:left="822" w:right="116" w:hanging="360"/>
        <w:jc w:val="both"/>
        <w:rPr>
          <w:sz w:val="22"/>
        </w:rPr>
      </w:pPr>
      <w:r>
        <w:rPr>
          <w:sz w:val="22"/>
        </w:rPr>
        <w:t>Ofrecer a los jóvenes y adultos que no tuvieron o no culminaron la educación básica, la posibilidad de capacitación y educación para la vida y el trabajo que les permita aprovechar las oportunidades de</w:t>
      </w:r>
      <w:r>
        <w:rPr>
          <w:spacing w:val="-12"/>
          <w:sz w:val="22"/>
        </w:rPr>
        <w:t> </w:t>
      </w:r>
      <w:r>
        <w:rPr>
          <w:sz w:val="22"/>
        </w:rPr>
        <w:t>desarrollo;</w:t>
      </w:r>
    </w:p>
    <w:p>
      <w:pPr>
        <w:pStyle w:val="ListParagraph"/>
        <w:numPr>
          <w:ilvl w:val="4"/>
          <w:numId w:val="52"/>
        </w:numPr>
        <w:tabs>
          <w:tab w:pos="822" w:val="left" w:leader="none"/>
        </w:tabs>
        <w:spacing w:line="360" w:lineRule="auto" w:before="4" w:after="0"/>
        <w:ind w:left="822" w:right="117" w:hanging="360"/>
        <w:jc w:val="both"/>
        <w:rPr>
          <w:sz w:val="22"/>
        </w:rPr>
      </w:pPr>
      <w:r>
        <w:rPr>
          <w:sz w:val="22"/>
        </w:rPr>
        <w:t>Diversificar y flexibilizar las ofertas de la educación media superior y superior a fin de lograr una mayor adecuación de los aprendizajes respecto a las necesidades individuales y los requerimientos</w:t>
      </w:r>
      <w:r>
        <w:rPr>
          <w:spacing w:val="-9"/>
          <w:sz w:val="22"/>
        </w:rPr>
        <w:t> </w:t>
      </w:r>
      <w:r>
        <w:rPr>
          <w:sz w:val="22"/>
        </w:rPr>
        <w:t>laborales;</w:t>
      </w:r>
    </w:p>
    <w:p>
      <w:pPr>
        <w:pStyle w:val="ListParagraph"/>
        <w:numPr>
          <w:ilvl w:val="4"/>
          <w:numId w:val="52"/>
        </w:numPr>
        <w:tabs>
          <w:tab w:pos="822" w:val="left" w:leader="none"/>
        </w:tabs>
        <w:spacing w:line="240" w:lineRule="auto" w:before="4" w:after="0"/>
        <w:ind w:left="822" w:right="0" w:hanging="360"/>
        <w:jc w:val="left"/>
        <w:rPr>
          <w:sz w:val="22"/>
        </w:rPr>
      </w:pPr>
      <w:r>
        <w:rPr>
          <w:sz w:val="22"/>
        </w:rPr>
        <w:t>Aprovechar la acción educativa cotidiana a fin de impulsar una nueva</w:t>
      </w:r>
      <w:r>
        <w:rPr>
          <w:spacing w:val="-23"/>
          <w:sz w:val="22"/>
        </w:rPr>
        <w:t> </w:t>
      </w:r>
      <w:r>
        <w:rPr>
          <w:sz w:val="22"/>
        </w:rPr>
        <w:t>ciudadanía;</w:t>
      </w:r>
    </w:p>
    <w:p>
      <w:pPr>
        <w:pStyle w:val="ListParagraph"/>
        <w:numPr>
          <w:ilvl w:val="4"/>
          <w:numId w:val="52"/>
        </w:numPr>
        <w:tabs>
          <w:tab w:pos="822" w:val="left" w:leader="none"/>
        </w:tabs>
        <w:spacing w:line="360" w:lineRule="auto" w:before="126" w:after="0"/>
        <w:ind w:left="822" w:right="116" w:hanging="360"/>
        <w:jc w:val="both"/>
        <w:rPr>
          <w:sz w:val="22"/>
        </w:rPr>
      </w:pPr>
      <w:r>
        <w:rPr>
          <w:sz w:val="22"/>
        </w:rPr>
        <w:t>Impulsar el federalismo educativo, la gestión institucional y la participación social en la educación, y disminuir los riesgos de deserción escolar mediante sistemas de becas diseñados para proteger a los estudiantes provenientes de familias con apremios económicos.</w:t>
      </w:r>
    </w:p>
    <w:p>
      <w:pPr>
        <w:pStyle w:val="BodyText"/>
        <w:rPr>
          <w:sz w:val="22"/>
        </w:rPr>
      </w:pPr>
    </w:p>
    <w:p>
      <w:pPr>
        <w:pStyle w:val="BodyText"/>
        <w:spacing w:before="167"/>
        <w:ind w:left="102"/>
        <w:jc w:val="both"/>
      </w:pPr>
      <w:r>
        <w:rPr/>
        <w:t>En donde la tercera estrategia es la que tiene una mayor aplicabilidad para este trabajo.</w:t>
      </w:r>
    </w:p>
    <w:p>
      <w:pPr>
        <w:pStyle w:val="BodyText"/>
      </w:pPr>
    </w:p>
    <w:p>
      <w:pPr>
        <w:pStyle w:val="BodyText"/>
        <w:spacing w:line="360" w:lineRule="auto" w:before="142"/>
        <w:ind w:left="102" w:right="120"/>
        <w:jc w:val="both"/>
      </w:pPr>
      <w:r>
        <w:rPr/>
        <w:t>Las críticas a este plan se centraron en las propuestas no cumplidas, así como en el hecho  de que fue elaborado con una cantidad considerable de las promesas de campaña de</w:t>
      </w:r>
      <w:r>
        <w:rPr>
          <w:spacing w:val="-10"/>
        </w:rPr>
        <w:t> </w:t>
      </w:r>
      <w:r>
        <w:rPr/>
        <w:t>Vicente Fox Quesada. Además de que el PND fue presentado un año después de haber tomado posesión como presidente constitucional (lo cual no es un hecho único de este sexenio, sucede en todos los periodos presidenciales), analistas económicos y columnistas de los principales diarios del país criticaron que sobredimensionó la relevancia del</w:t>
      </w:r>
      <w:r>
        <w:rPr>
          <w:spacing w:val="-11"/>
        </w:rPr>
        <w:t> </w:t>
      </w:r>
      <w:r>
        <w:rPr/>
        <w:t>PND.</w:t>
      </w:r>
    </w:p>
    <w:p>
      <w:pPr>
        <w:pStyle w:val="BodyText"/>
        <w:spacing w:before="8"/>
      </w:pPr>
    </w:p>
    <w:p>
      <w:pPr>
        <w:pStyle w:val="BodyText"/>
        <w:spacing w:line="360" w:lineRule="auto"/>
        <w:ind w:left="102" w:right="117"/>
        <w:jc w:val="both"/>
      </w:pPr>
      <w:r>
        <w:rPr/>
        <w:t>En materia de educación, se propuso “elevar cantidad y calidad educativa”, entre los resultados se incrementó la matrícula pero no la calidad educativa, la justificación del gobierno fue: “…de que sirve que les brinden el apoyo necesario y los directivos de las escuelas no lo sepan aprovechar…” (López y Sosa, 2007).</w:t>
      </w:r>
    </w:p>
    <w:p>
      <w:pPr>
        <w:pStyle w:val="BodyText"/>
        <w:spacing w:before="8"/>
      </w:pPr>
    </w:p>
    <w:p>
      <w:pPr>
        <w:pStyle w:val="BodyText"/>
        <w:spacing w:line="360" w:lineRule="auto"/>
        <w:ind w:left="102" w:right="123"/>
        <w:jc w:val="both"/>
      </w:pPr>
      <w:r>
        <w:rPr/>
        <w:t>El ex secretario de Educación Pública, José Ángel Pescador Osuna en una entrevista publicada por la Crónica (2003), reconoció los aciertos en materia de educación como: programa de becas y el  programa nacional de lectura. Sin embargo, se observa un   sexenio</w:t>
      </w:r>
    </w:p>
    <w:p>
      <w:pPr>
        <w:spacing w:after="0" w:line="360" w:lineRule="auto"/>
        <w:jc w:val="both"/>
        <w:sectPr>
          <w:pgSz w:w="12240" w:h="15840"/>
          <w:pgMar w:header="0" w:footer="1003" w:top="1360" w:bottom="1200" w:left="1600" w:right="1580"/>
        </w:sectPr>
      </w:pPr>
    </w:p>
    <w:p>
      <w:pPr>
        <w:pStyle w:val="BodyText"/>
        <w:spacing w:line="360" w:lineRule="auto" w:before="50"/>
        <w:ind w:left="102" w:right="116"/>
        <w:jc w:val="both"/>
      </w:pPr>
      <w:r>
        <w:rPr/>
        <w:t>más perdido para la educación en el país, en donde si bien se logran cumplir los aspectos de cobertura, la calidad siguió siendo una preocupación así como el financiamiento que no logra llegar a la cifra propuesta por la OCDE del 6% del PIB.</w:t>
      </w:r>
    </w:p>
    <w:p>
      <w:pPr>
        <w:pStyle w:val="BodyText"/>
      </w:pPr>
    </w:p>
    <w:p>
      <w:pPr>
        <w:pStyle w:val="Heading3"/>
        <w:numPr>
          <w:ilvl w:val="3"/>
          <w:numId w:val="52"/>
        </w:numPr>
        <w:tabs>
          <w:tab w:pos="882" w:val="left" w:leader="none"/>
        </w:tabs>
        <w:spacing w:line="240" w:lineRule="auto" w:before="148" w:after="0"/>
        <w:ind w:left="882" w:right="0" w:hanging="780"/>
        <w:jc w:val="both"/>
      </w:pPr>
      <w:bookmarkStart w:name="_bookmark36" w:id="66"/>
      <w:bookmarkEnd w:id="66"/>
      <w:r>
        <w:rPr>
          <w:b w:val="0"/>
        </w:rPr>
      </w:r>
      <w:bookmarkStart w:name="_bookmark36" w:id="67"/>
      <w:bookmarkEnd w:id="67"/>
      <w:r>
        <w:rPr/>
        <w:t>P</w:t>
      </w:r>
      <w:r>
        <w:rPr/>
        <w:t>lan Nacional de Desarrollo</w:t>
      </w:r>
      <w:r>
        <w:rPr>
          <w:spacing w:val="-5"/>
        </w:rPr>
        <w:t> </w:t>
      </w:r>
      <w:r>
        <w:rPr/>
        <w:t>(2007-2012)</w:t>
      </w:r>
    </w:p>
    <w:p>
      <w:pPr>
        <w:pStyle w:val="BodyText"/>
        <w:rPr>
          <w:b/>
        </w:rPr>
      </w:pPr>
    </w:p>
    <w:p>
      <w:pPr>
        <w:pStyle w:val="BodyText"/>
        <w:spacing w:before="6"/>
        <w:rPr>
          <w:b/>
          <w:sz w:val="23"/>
        </w:rPr>
      </w:pPr>
    </w:p>
    <w:p>
      <w:pPr>
        <w:pStyle w:val="BodyText"/>
        <w:spacing w:line="360" w:lineRule="auto"/>
        <w:ind w:left="102" w:right="120"/>
        <w:jc w:val="both"/>
      </w:pPr>
      <w:r>
        <w:rPr/>
        <w:t>La administración del presidente Felipe Calderón Hinojosa, estableció la política educativa dentro del Eje Tres: igualdad de oportunidades, concretamente en el apartado 3.3 del PND: transformación educativa, en este eje se establecen seis objetivos generales que rigen las prioridades y acciones del sector educativo nacional (PND, 2007):</w:t>
      </w:r>
    </w:p>
    <w:p>
      <w:pPr>
        <w:pStyle w:val="ListParagraph"/>
        <w:numPr>
          <w:ilvl w:val="4"/>
          <w:numId w:val="52"/>
        </w:numPr>
        <w:tabs>
          <w:tab w:pos="822" w:val="left" w:leader="none"/>
        </w:tabs>
        <w:spacing w:line="240" w:lineRule="auto" w:before="4" w:after="0"/>
        <w:ind w:left="822" w:right="0" w:hanging="360"/>
        <w:jc w:val="left"/>
        <w:rPr>
          <w:sz w:val="24"/>
        </w:rPr>
      </w:pPr>
      <w:r>
        <w:rPr>
          <w:sz w:val="24"/>
        </w:rPr>
        <w:t>Elevar la calidad</w:t>
      </w:r>
      <w:r>
        <w:rPr>
          <w:spacing w:val="-3"/>
          <w:sz w:val="24"/>
        </w:rPr>
        <w:t> </w:t>
      </w:r>
      <w:r>
        <w:rPr>
          <w:sz w:val="24"/>
        </w:rPr>
        <w:t>educativa:</w:t>
      </w:r>
    </w:p>
    <w:p>
      <w:pPr>
        <w:pStyle w:val="ListParagraph"/>
        <w:numPr>
          <w:ilvl w:val="5"/>
          <w:numId w:val="52"/>
        </w:numPr>
        <w:tabs>
          <w:tab w:pos="1542" w:val="left" w:leader="none"/>
        </w:tabs>
        <w:spacing w:line="333" w:lineRule="auto" w:before="139" w:after="0"/>
        <w:ind w:left="1542" w:right="122" w:hanging="360"/>
        <w:jc w:val="both"/>
        <w:rPr>
          <w:sz w:val="24"/>
        </w:rPr>
      </w:pPr>
      <w:r>
        <w:rPr>
          <w:sz w:val="24"/>
        </w:rPr>
        <w:t>Reforzar la capacitación de profesores, promoviendo su vinculación directa con las prioridades, objetivos y herramientas educativas en todos los</w:t>
      </w:r>
      <w:r>
        <w:rPr>
          <w:spacing w:val="-13"/>
          <w:sz w:val="24"/>
        </w:rPr>
        <w:t> </w:t>
      </w:r>
      <w:r>
        <w:rPr>
          <w:sz w:val="24"/>
        </w:rPr>
        <w:t>niveles.</w:t>
      </w:r>
    </w:p>
    <w:p>
      <w:pPr>
        <w:pStyle w:val="ListParagraph"/>
        <w:numPr>
          <w:ilvl w:val="5"/>
          <w:numId w:val="52"/>
        </w:numPr>
        <w:tabs>
          <w:tab w:pos="1542" w:val="left" w:leader="none"/>
        </w:tabs>
        <w:spacing w:line="352" w:lineRule="auto" w:before="35" w:after="0"/>
        <w:ind w:left="1542" w:right="114" w:hanging="360"/>
        <w:jc w:val="both"/>
        <w:rPr>
          <w:sz w:val="24"/>
        </w:rPr>
      </w:pPr>
      <w:r>
        <w:rPr>
          <w:sz w:val="24"/>
        </w:rPr>
        <w:t>Actualizar los programas de estudio, sus contenidos, materiales y métodos para elevar su pertinencia y relevancia en el desarrollo integral de los estudiantes, y fomentar en éstos el desarrollo de valores, habilidades y competencias para mejorar su productividad y competitividad al insertarse  en la vida</w:t>
      </w:r>
      <w:r>
        <w:rPr>
          <w:spacing w:val="-4"/>
          <w:sz w:val="24"/>
        </w:rPr>
        <w:t> </w:t>
      </w:r>
      <w:r>
        <w:rPr>
          <w:sz w:val="24"/>
        </w:rPr>
        <w:t>económica.</w:t>
      </w:r>
    </w:p>
    <w:p>
      <w:pPr>
        <w:pStyle w:val="ListParagraph"/>
        <w:numPr>
          <w:ilvl w:val="5"/>
          <w:numId w:val="52"/>
        </w:numPr>
        <w:tabs>
          <w:tab w:pos="1542" w:val="left" w:leader="none"/>
        </w:tabs>
        <w:spacing w:line="352" w:lineRule="auto" w:before="12" w:after="0"/>
        <w:ind w:left="1542" w:right="118" w:hanging="360"/>
        <w:jc w:val="both"/>
        <w:rPr>
          <w:sz w:val="24"/>
        </w:rPr>
      </w:pPr>
      <w:r>
        <w:rPr>
          <w:sz w:val="24"/>
        </w:rPr>
        <w:t>Fortalecer el federalismo educativo para asegurar la viabilidad operativa del sistema educativo mexicano a largo plazo, promoviendo formas de financiamiento responsables y manteniendo una operación altamente eficiente.</w:t>
      </w:r>
    </w:p>
    <w:p>
      <w:pPr>
        <w:pStyle w:val="ListParagraph"/>
        <w:numPr>
          <w:ilvl w:val="4"/>
          <w:numId w:val="52"/>
        </w:numPr>
        <w:tabs>
          <w:tab w:pos="822" w:val="left" w:leader="none"/>
        </w:tabs>
        <w:spacing w:line="360" w:lineRule="auto" w:before="12" w:after="0"/>
        <w:ind w:left="822" w:right="124" w:hanging="360"/>
        <w:jc w:val="left"/>
        <w:rPr>
          <w:sz w:val="24"/>
        </w:rPr>
      </w:pPr>
      <w:r>
        <w:rPr>
          <w:sz w:val="24"/>
        </w:rPr>
        <w:t>Reducir las desigualdades regionales, de género y entre grupos sociales en las oportunidades</w:t>
      </w:r>
      <w:r>
        <w:rPr>
          <w:spacing w:val="-3"/>
          <w:sz w:val="24"/>
        </w:rPr>
        <w:t> </w:t>
      </w:r>
      <w:r>
        <w:rPr>
          <w:sz w:val="24"/>
        </w:rPr>
        <w:t>educativas:</w:t>
      </w:r>
    </w:p>
    <w:p>
      <w:pPr>
        <w:pStyle w:val="ListParagraph"/>
        <w:numPr>
          <w:ilvl w:val="5"/>
          <w:numId w:val="52"/>
        </w:numPr>
        <w:tabs>
          <w:tab w:pos="1542" w:val="left" w:leader="none"/>
        </w:tabs>
        <w:spacing w:line="336" w:lineRule="auto" w:before="4" w:after="0"/>
        <w:ind w:left="1542" w:right="121" w:hanging="360"/>
        <w:jc w:val="both"/>
        <w:rPr>
          <w:sz w:val="24"/>
        </w:rPr>
      </w:pPr>
      <w:r>
        <w:rPr>
          <w:sz w:val="24"/>
        </w:rPr>
        <w:t>Modernizar y ampliar la infraestructura educativa, dirigiendo las acciones compensatorias a las regiones de mayor pobreza y</w:t>
      </w:r>
      <w:r>
        <w:rPr>
          <w:spacing w:val="-14"/>
          <w:sz w:val="24"/>
        </w:rPr>
        <w:t> </w:t>
      </w:r>
      <w:r>
        <w:rPr>
          <w:sz w:val="24"/>
        </w:rPr>
        <w:t>marginación.</w:t>
      </w:r>
    </w:p>
    <w:p>
      <w:pPr>
        <w:pStyle w:val="ListParagraph"/>
        <w:numPr>
          <w:ilvl w:val="5"/>
          <w:numId w:val="52"/>
        </w:numPr>
        <w:tabs>
          <w:tab w:pos="1542" w:val="left" w:leader="none"/>
        </w:tabs>
        <w:spacing w:line="336" w:lineRule="auto" w:before="30" w:after="0"/>
        <w:ind w:left="1542" w:right="119" w:hanging="360"/>
        <w:jc w:val="both"/>
        <w:rPr>
          <w:sz w:val="24"/>
        </w:rPr>
      </w:pPr>
      <w:r>
        <w:rPr>
          <w:sz w:val="24"/>
        </w:rPr>
        <w:t>Ampliar las becas educativas para los estudiantes de menores recursos en todos los niveles</w:t>
      </w:r>
      <w:r>
        <w:rPr>
          <w:spacing w:val="-6"/>
          <w:sz w:val="24"/>
        </w:rPr>
        <w:t> </w:t>
      </w:r>
      <w:r>
        <w:rPr>
          <w:sz w:val="24"/>
        </w:rPr>
        <w:t>educativos.</w:t>
      </w:r>
    </w:p>
    <w:p>
      <w:pPr>
        <w:pStyle w:val="ListParagraph"/>
        <w:numPr>
          <w:ilvl w:val="5"/>
          <w:numId w:val="52"/>
        </w:numPr>
        <w:tabs>
          <w:tab w:pos="1542" w:val="left" w:leader="none"/>
        </w:tabs>
        <w:spacing w:line="333" w:lineRule="auto" w:before="30" w:after="0"/>
        <w:ind w:left="1542" w:right="123" w:hanging="360"/>
        <w:jc w:val="both"/>
        <w:rPr>
          <w:sz w:val="24"/>
        </w:rPr>
      </w:pPr>
      <w:r>
        <w:rPr>
          <w:sz w:val="24"/>
        </w:rPr>
        <w:t>Fortalecer los esfuerzos de alfabetización de adultos e integrar a jóvenes y adultos a los programas de enseñanza abierta para abatir el rezago</w:t>
      </w:r>
      <w:r>
        <w:rPr>
          <w:spacing w:val="-17"/>
          <w:sz w:val="24"/>
        </w:rPr>
        <w:t> </w:t>
      </w:r>
      <w:r>
        <w:rPr>
          <w:sz w:val="24"/>
        </w:rPr>
        <w:t>educativo.</w:t>
      </w:r>
    </w:p>
    <w:p>
      <w:pPr>
        <w:spacing w:after="0" w:line="333" w:lineRule="auto"/>
        <w:jc w:val="both"/>
        <w:rPr>
          <w:sz w:val="24"/>
        </w:rPr>
        <w:sectPr>
          <w:pgSz w:w="12240" w:h="15840"/>
          <w:pgMar w:header="0" w:footer="1003" w:top="1360" w:bottom="1200" w:left="1600" w:right="1580"/>
        </w:sectPr>
      </w:pPr>
    </w:p>
    <w:p>
      <w:pPr>
        <w:pStyle w:val="BodyText"/>
        <w:spacing w:line="348" w:lineRule="auto" w:before="50"/>
        <w:ind w:left="1422" w:right="120" w:hanging="360"/>
        <w:jc w:val="both"/>
      </w:pPr>
      <w:r>
        <w:rPr>
          <w:rFonts w:ascii="Courier New" w:hAnsi="Courier New"/>
        </w:rPr>
        <w:t>o </w:t>
      </w:r>
      <w:r>
        <w:rPr/>
        <w:t>Promover una mayor integración, tanto entre los distintos  niveles  educativos, como dentro de los mismos, para aumentar la permanencia de  los estudiantes en el sistema</w:t>
      </w:r>
      <w:r>
        <w:rPr>
          <w:spacing w:val="-9"/>
        </w:rPr>
        <w:t> </w:t>
      </w:r>
      <w:r>
        <w:rPr/>
        <w:t>educativo.</w:t>
      </w:r>
    </w:p>
    <w:p>
      <w:pPr>
        <w:pStyle w:val="ListParagraph"/>
        <w:numPr>
          <w:ilvl w:val="4"/>
          <w:numId w:val="52"/>
        </w:numPr>
        <w:tabs>
          <w:tab w:pos="702" w:val="left" w:leader="none"/>
        </w:tabs>
        <w:spacing w:line="360" w:lineRule="auto" w:before="19" w:after="0"/>
        <w:ind w:left="702" w:right="116" w:hanging="360"/>
        <w:jc w:val="both"/>
        <w:rPr>
          <w:sz w:val="24"/>
        </w:rPr>
      </w:pPr>
      <w:r>
        <w:rPr>
          <w:sz w:val="24"/>
        </w:rPr>
        <w:t>Impulsar el desarrollo y utilización de nuevas tecnologías en el sistema educativo para apoyar la inserción de los estudiantes en la sociedad del conocimiento  y ampliar sus capacidades para la</w:t>
      </w:r>
      <w:r>
        <w:rPr>
          <w:spacing w:val="-10"/>
          <w:sz w:val="24"/>
        </w:rPr>
        <w:t> </w:t>
      </w:r>
      <w:r>
        <w:rPr>
          <w:sz w:val="24"/>
        </w:rPr>
        <w:t>vida:</w:t>
      </w:r>
    </w:p>
    <w:p>
      <w:pPr>
        <w:pStyle w:val="ListParagraph"/>
        <w:numPr>
          <w:ilvl w:val="5"/>
          <w:numId w:val="52"/>
        </w:numPr>
        <w:tabs>
          <w:tab w:pos="1422" w:val="left" w:leader="none"/>
        </w:tabs>
        <w:spacing w:line="348" w:lineRule="auto" w:before="4" w:after="0"/>
        <w:ind w:left="1422" w:right="122" w:hanging="360"/>
        <w:jc w:val="both"/>
        <w:rPr>
          <w:sz w:val="24"/>
        </w:rPr>
      </w:pPr>
      <w:r>
        <w:rPr>
          <w:sz w:val="24"/>
        </w:rPr>
        <w:t>Fortalecer el uso de nuevas tecnologías en el proceso de enseñanza y el desarrollo de habilidades en el uso de tecnologías de la información y la comunicación desde el nivel de educación</w:t>
      </w:r>
      <w:r>
        <w:rPr>
          <w:spacing w:val="-8"/>
          <w:sz w:val="24"/>
        </w:rPr>
        <w:t> </w:t>
      </w:r>
      <w:r>
        <w:rPr>
          <w:sz w:val="24"/>
        </w:rPr>
        <w:t>básica.</w:t>
      </w:r>
    </w:p>
    <w:p>
      <w:pPr>
        <w:pStyle w:val="ListParagraph"/>
        <w:numPr>
          <w:ilvl w:val="5"/>
          <w:numId w:val="52"/>
        </w:numPr>
        <w:tabs>
          <w:tab w:pos="1422" w:val="left" w:leader="none"/>
        </w:tabs>
        <w:spacing w:line="357" w:lineRule="auto" w:before="19" w:after="0"/>
        <w:ind w:left="1422" w:right="116" w:hanging="360"/>
        <w:jc w:val="both"/>
        <w:rPr>
          <w:sz w:val="24"/>
        </w:rPr>
      </w:pPr>
      <w:r>
        <w:rPr>
          <w:sz w:val="24"/>
        </w:rPr>
        <w:t>Impulsar la capacitación de los maestros en el acceso y uso de nuevas tecnologías y materiales digitales De poco o nada sirve la adquisición de aparatos, sistemas y líneas de conexión, así se trate de los más avanzados, si no se sabe cómo manejarlos. De ahí la importancia de propiciar una nueva cultura de uso y aprecio por las nuevas tecnologías de la información entre  el profesorado y directivos, y estimular su capacitación en el manejo de ellas así como su permanente actualización, para que puedan aprovecharlas mejor en el proceso de enseñanza aprendizaje y el desarrollo de habilidades de los alumnos.</w:t>
      </w:r>
    </w:p>
    <w:p>
      <w:pPr>
        <w:pStyle w:val="ListParagraph"/>
        <w:numPr>
          <w:ilvl w:val="5"/>
          <w:numId w:val="52"/>
        </w:numPr>
        <w:tabs>
          <w:tab w:pos="1422" w:val="left" w:leader="none"/>
        </w:tabs>
        <w:spacing w:line="240" w:lineRule="auto" w:before="6" w:after="0"/>
        <w:ind w:left="1422" w:right="0" w:hanging="360"/>
        <w:jc w:val="left"/>
        <w:rPr>
          <w:sz w:val="24"/>
        </w:rPr>
      </w:pPr>
      <w:r>
        <w:rPr>
          <w:sz w:val="24"/>
        </w:rPr>
        <w:t>Apoyar el desarrollo de conectividad en escuelas, bibliotecas y</w:t>
      </w:r>
      <w:r>
        <w:rPr>
          <w:spacing w:val="-17"/>
          <w:sz w:val="24"/>
        </w:rPr>
        <w:t> </w:t>
      </w:r>
      <w:r>
        <w:rPr>
          <w:sz w:val="24"/>
        </w:rPr>
        <w:t>hogares.</w:t>
      </w:r>
    </w:p>
    <w:p>
      <w:pPr>
        <w:pStyle w:val="ListParagraph"/>
        <w:numPr>
          <w:ilvl w:val="5"/>
          <w:numId w:val="52"/>
        </w:numPr>
        <w:tabs>
          <w:tab w:pos="1422" w:val="left" w:leader="none"/>
        </w:tabs>
        <w:spacing w:line="333" w:lineRule="auto" w:before="119" w:after="0"/>
        <w:ind w:left="1422" w:right="119" w:hanging="360"/>
        <w:jc w:val="both"/>
        <w:rPr>
          <w:sz w:val="24"/>
        </w:rPr>
      </w:pPr>
      <w:r>
        <w:rPr>
          <w:sz w:val="24"/>
        </w:rPr>
        <w:t>Transformar el modelo de telesecundaria vigente, incorporando nuevas tecnologías y promoviendo un esquema</w:t>
      </w:r>
      <w:r>
        <w:rPr>
          <w:spacing w:val="-5"/>
          <w:sz w:val="24"/>
        </w:rPr>
        <w:t> </w:t>
      </w:r>
      <w:r>
        <w:rPr>
          <w:sz w:val="24"/>
        </w:rPr>
        <w:t>interactivo.</w:t>
      </w:r>
    </w:p>
    <w:p>
      <w:pPr>
        <w:pStyle w:val="ListParagraph"/>
        <w:numPr>
          <w:ilvl w:val="5"/>
          <w:numId w:val="52"/>
        </w:numPr>
        <w:tabs>
          <w:tab w:pos="1422" w:val="left" w:leader="none"/>
        </w:tabs>
        <w:spacing w:line="333" w:lineRule="auto" w:before="35" w:after="0"/>
        <w:ind w:left="1422" w:right="119" w:hanging="360"/>
        <w:jc w:val="both"/>
        <w:rPr>
          <w:sz w:val="24"/>
        </w:rPr>
      </w:pPr>
      <w:r>
        <w:rPr>
          <w:sz w:val="24"/>
        </w:rPr>
        <w:t>Promover modelos de educación a distancia para educación media superior</w:t>
      </w:r>
      <w:r>
        <w:rPr>
          <w:spacing w:val="-13"/>
          <w:sz w:val="24"/>
        </w:rPr>
        <w:t> </w:t>
      </w:r>
      <w:r>
        <w:rPr>
          <w:sz w:val="24"/>
        </w:rPr>
        <w:t>y superior, garantizando una buena calidad tecnológica y de</w:t>
      </w:r>
      <w:r>
        <w:rPr>
          <w:spacing w:val="-12"/>
          <w:sz w:val="24"/>
        </w:rPr>
        <w:t> </w:t>
      </w:r>
      <w:r>
        <w:rPr>
          <w:sz w:val="24"/>
        </w:rPr>
        <w:t>contenidos</w:t>
      </w:r>
    </w:p>
    <w:p>
      <w:pPr>
        <w:pStyle w:val="ListParagraph"/>
        <w:numPr>
          <w:ilvl w:val="5"/>
          <w:numId w:val="52"/>
        </w:numPr>
        <w:tabs>
          <w:tab w:pos="1422" w:val="left" w:leader="none"/>
        </w:tabs>
        <w:spacing w:line="333" w:lineRule="auto" w:before="35" w:after="0"/>
        <w:ind w:left="1422" w:right="116" w:hanging="360"/>
        <w:jc w:val="both"/>
        <w:rPr>
          <w:sz w:val="24"/>
        </w:rPr>
      </w:pPr>
      <w:r>
        <w:rPr>
          <w:sz w:val="24"/>
        </w:rPr>
        <w:t>Impulsar el acceso de los planteles de todo el sistema educativo a plataformas tecnológicas y equipos más</w:t>
      </w:r>
      <w:r>
        <w:rPr>
          <w:spacing w:val="-6"/>
          <w:sz w:val="24"/>
        </w:rPr>
        <w:t> </w:t>
      </w:r>
      <w:r>
        <w:rPr>
          <w:sz w:val="24"/>
        </w:rPr>
        <w:t>modernos.</w:t>
      </w:r>
    </w:p>
    <w:p>
      <w:pPr>
        <w:pStyle w:val="ListParagraph"/>
        <w:numPr>
          <w:ilvl w:val="4"/>
          <w:numId w:val="52"/>
        </w:numPr>
        <w:tabs>
          <w:tab w:pos="702" w:val="left" w:leader="none"/>
        </w:tabs>
        <w:spacing w:line="240" w:lineRule="auto" w:before="36" w:after="0"/>
        <w:ind w:left="702" w:right="0" w:hanging="360"/>
        <w:jc w:val="left"/>
        <w:rPr>
          <w:sz w:val="24"/>
        </w:rPr>
      </w:pPr>
      <w:r>
        <w:rPr>
          <w:sz w:val="24"/>
        </w:rPr>
        <w:t>Promover la educación integral de las personas en todo el sistema</w:t>
      </w:r>
      <w:r>
        <w:rPr>
          <w:spacing w:val="-11"/>
          <w:sz w:val="24"/>
        </w:rPr>
        <w:t> </w:t>
      </w:r>
      <w:r>
        <w:rPr>
          <w:sz w:val="24"/>
        </w:rPr>
        <w:t>educativo:</w:t>
      </w:r>
    </w:p>
    <w:p>
      <w:pPr>
        <w:pStyle w:val="ListParagraph"/>
        <w:numPr>
          <w:ilvl w:val="5"/>
          <w:numId w:val="52"/>
        </w:numPr>
        <w:tabs>
          <w:tab w:pos="1422" w:val="left" w:leader="none"/>
        </w:tabs>
        <w:spacing w:line="240" w:lineRule="auto" w:before="137" w:after="0"/>
        <w:ind w:left="1422" w:right="0" w:hanging="360"/>
        <w:jc w:val="left"/>
        <w:rPr>
          <w:sz w:val="24"/>
        </w:rPr>
      </w:pPr>
      <w:r>
        <w:rPr>
          <w:sz w:val="24"/>
        </w:rPr>
        <w:t>Colocar a la comunidad escolar en el centro de los esfuerzos</w:t>
      </w:r>
      <w:r>
        <w:rPr>
          <w:spacing w:val="-14"/>
          <w:sz w:val="24"/>
        </w:rPr>
        <w:t> </w:t>
      </w:r>
      <w:r>
        <w:rPr>
          <w:sz w:val="24"/>
        </w:rPr>
        <w:t>educativos.</w:t>
      </w:r>
    </w:p>
    <w:p>
      <w:pPr>
        <w:pStyle w:val="ListParagraph"/>
        <w:numPr>
          <w:ilvl w:val="5"/>
          <w:numId w:val="52"/>
        </w:numPr>
        <w:tabs>
          <w:tab w:pos="1422" w:val="left" w:leader="none"/>
        </w:tabs>
        <w:spacing w:line="333" w:lineRule="auto" w:before="119" w:after="0"/>
        <w:ind w:left="1422" w:right="120" w:hanging="360"/>
        <w:jc w:val="both"/>
        <w:rPr>
          <w:sz w:val="24"/>
        </w:rPr>
      </w:pPr>
      <w:r>
        <w:rPr>
          <w:sz w:val="24"/>
        </w:rPr>
        <w:t>Impulsar la participación de los padres de familia en la toma de decisiones en las</w:t>
      </w:r>
      <w:r>
        <w:rPr>
          <w:spacing w:val="-4"/>
          <w:sz w:val="24"/>
        </w:rPr>
        <w:t> </w:t>
      </w:r>
      <w:r>
        <w:rPr>
          <w:sz w:val="24"/>
        </w:rPr>
        <w:t>escuelas</w:t>
      </w:r>
    </w:p>
    <w:p>
      <w:pPr>
        <w:pStyle w:val="ListParagraph"/>
        <w:numPr>
          <w:ilvl w:val="5"/>
          <w:numId w:val="52"/>
        </w:numPr>
        <w:tabs>
          <w:tab w:pos="1422" w:val="left" w:leader="none"/>
        </w:tabs>
        <w:spacing w:line="240" w:lineRule="auto" w:before="33" w:after="0"/>
        <w:ind w:left="1422" w:right="0" w:hanging="360"/>
        <w:jc w:val="left"/>
        <w:rPr>
          <w:sz w:val="24"/>
        </w:rPr>
      </w:pPr>
      <w:r>
        <w:rPr>
          <w:sz w:val="24"/>
        </w:rPr>
        <w:t>Renovar la currícula de formación cívica y ética desde la educación</w:t>
      </w:r>
      <w:r>
        <w:rPr>
          <w:spacing w:val="-16"/>
          <w:sz w:val="24"/>
        </w:rPr>
        <w:t> </w:t>
      </w:r>
      <w:r>
        <w:rPr>
          <w:sz w:val="24"/>
        </w:rPr>
        <w:t>básica.</w:t>
      </w:r>
    </w:p>
    <w:p>
      <w:pPr>
        <w:pStyle w:val="ListParagraph"/>
        <w:numPr>
          <w:ilvl w:val="5"/>
          <w:numId w:val="52"/>
        </w:numPr>
        <w:tabs>
          <w:tab w:pos="1422" w:val="left" w:leader="none"/>
        </w:tabs>
        <w:spacing w:line="240" w:lineRule="auto" w:before="119" w:after="0"/>
        <w:ind w:left="1422" w:right="0" w:hanging="360"/>
        <w:jc w:val="left"/>
        <w:rPr>
          <w:sz w:val="24"/>
        </w:rPr>
      </w:pPr>
      <w:r>
        <w:rPr>
          <w:sz w:val="24"/>
        </w:rPr>
        <w:t>Estimular la educación sobre derechos y responsabilidades</w:t>
      </w:r>
      <w:r>
        <w:rPr>
          <w:spacing w:val="-17"/>
          <w:sz w:val="24"/>
        </w:rPr>
        <w:t> </w:t>
      </w:r>
      <w:r>
        <w:rPr>
          <w:sz w:val="24"/>
        </w:rPr>
        <w:t>ciudadanas.</w:t>
      </w:r>
    </w:p>
    <w:p>
      <w:pPr>
        <w:spacing w:after="0" w:line="240" w:lineRule="auto"/>
        <w:jc w:val="left"/>
        <w:rPr>
          <w:sz w:val="24"/>
        </w:rPr>
        <w:sectPr>
          <w:pgSz w:w="12240" w:h="15840"/>
          <w:pgMar w:header="0" w:footer="1003" w:top="1360" w:bottom="1200" w:left="1720" w:right="1580"/>
        </w:sectPr>
      </w:pPr>
    </w:p>
    <w:p>
      <w:pPr>
        <w:pStyle w:val="ListParagraph"/>
        <w:numPr>
          <w:ilvl w:val="5"/>
          <w:numId w:val="52"/>
        </w:numPr>
        <w:tabs>
          <w:tab w:pos="1422" w:val="left" w:leader="none"/>
        </w:tabs>
        <w:spacing w:line="336" w:lineRule="auto" w:before="50" w:after="0"/>
        <w:ind w:left="1422" w:right="118" w:hanging="360"/>
        <w:jc w:val="both"/>
        <w:rPr>
          <w:sz w:val="24"/>
        </w:rPr>
      </w:pPr>
      <w:r>
        <w:rPr>
          <w:sz w:val="24"/>
        </w:rPr>
        <w:t>Impulsar la consolidación de espacios seguros en las escuelas y sus entornos comunitarios para que los estudiantes no sufran de</w:t>
      </w:r>
      <w:r>
        <w:rPr>
          <w:spacing w:val="-12"/>
          <w:sz w:val="24"/>
        </w:rPr>
        <w:t> </w:t>
      </w:r>
      <w:r>
        <w:rPr>
          <w:sz w:val="24"/>
        </w:rPr>
        <w:t>violencia.</w:t>
      </w:r>
    </w:p>
    <w:p>
      <w:pPr>
        <w:pStyle w:val="ListParagraph"/>
        <w:numPr>
          <w:ilvl w:val="5"/>
          <w:numId w:val="52"/>
        </w:numPr>
        <w:tabs>
          <w:tab w:pos="1422" w:val="left" w:leader="none"/>
        </w:tabs>
        <w:spacing w:line="240" w:lineRule="auto" w:before="30" w:after="0"/>
        <w:ind w:left="1422" w:right="0" w:hanging="360"/>
        <w:jc w:val="left"/>
        <w:rPr>
          <w:sz w:val="24"/>
        </w:rPr>
      </w:pPr>
      <w:r>
        <w:rPr>
          <w:sz w:val="24"/>
        </w:rPr>
        <w:t>Promover la educación de la ciencia desde la educación</w:t>
      </w:r>
      <w:r>
        <w:rPr>
          <w:spacing w:val="-14"/>
          <w:sz w:val="24"/>
        </w:rPr>
        <w:t> </w:t>
      </w:r>
      <w:r>
        <w:rPr>
          <w:sz w:val="24"/>
        </w:rPr>
        <w:t>básica</w:t>
      </w:r>
    </w:p>
    <w:p>
      <w:pPr>
        <w:pStyle w:val="ListParagraph"/>
        <w:numPr>
          <w:ilvl w:val="5"/>
          <w:numId w:val="52"/>
        </w:numPr>
        <w:tabs>
          <w:tab w:pos="1422" w:val="left" w:leader="none"/>
        </w:tabs>
        <w:spacing w:line="333" w:lineRule="auto" w:before="119" w:after="0"/>
        <w:ind w:left="1422" w:right="120" w:hanging="360"/>
        <w:jc w:val="both"/>
        <w:rPr>
          <w:sz w:val="24"/>
        </w:rPr>
      </w:pPr>
      <w:r>
        <w:rPr>
          <w:sz w:val="24"/>
        </w:rPr>
        <w:t>Impulsar mayores oportunidades para los estudiantes de participar en educación</w:t>
      </w:r>
      <w:r>
        <w:rPr>
          <w:spacing w:val="-6"/>
          <w:sz w:val="24"/>
        </w:rPr>
        <w:t> </w:t>
      </w:r>
      <w:r>
        <w:rPr>
          <w:sz w:val="24"/>
        </w:rPr>
        <w:t>artística.</w:t>
      </w:r>
    </w:p>
    <w:p>
      <w:pPr>
        <w:pStyle w:val="ListParagraph"/>
        <w:numPr>
          <w:ilvl w:val="5"/>
          <w:numId w:val="52"/>
        </w:numPr>
        <w:tabs>
          <w:tab w:pos="1422" w:val="left" w:leader="none"/>
        </w:tabs>
        <w:spacing w:line="333" w:lineRule="auto" w:before="35" w:after="0"/>
        <w:ind w:left="1422" w:right="121" w:hanging="360"/>
        <w:jc w:val="both"/>
        <w:rPr>
          <w:sz w:val="24"/>
        </w:rPr>
      </w:pPr>
      <w:r>
        <w:rPr>
          <w:sz w:val="24"/>
        </w:rPr>
        <w:t>Promover las actividades físicas en los planteles escolares y el deporte en todo el sistema</w:t>
      </w:r>
      <w:r>
        <w:rPr>
          <w:spacing w:val="-4"/>
          <w:sz w:val="24"/>
        </w:rPr>
        <w:t> </w:t>
      </w:r>
      <w:r>
        <w:rPr>
          <w:sz w:val="24"/>
        </w:rPr>
        <w:t>educativo.</w:t>
      </w:r>
    </w:p>
    <w:p>
      <w:pPr>
        <w:pStyle w:val="ListParagraph"/>
        <w:numPr>
          <w:ilvl w:val="5"/>
          <w:numId w:val="52"/>
        </w:numPr>
        <w:tabs>
          <w:tab w:pos="1422" w:val="left" w:leader="none"/>
        </w:tabs>
        <w:spacing w:line="336" w:lineRule="auto" w:before="35" w:after="0"/>
        <w:ind w:left="1422" w:right="121" w:hanging="360"/>
        <w:jc w:val="both"/>
        <w:rPr>
          <w:sz w:val="24"/>
        </w:rPr>
      </w:pPr>
      <w:r>
        <w:rPr>
          <w:sz w:val="24"/>
        </w:rPr>
        <w:t>Reforzar la educación para prevenir y abatir las conductas de riesgo entre niños y</w:t>
      </w:r>
      <w:r>
        <w:rPr>
          <w:spacing w:val="-4"/>
          <w:sz w:val="24"/>
        </w:rPr>
        <w:t> </w:t>
      </w:r>
      <w:r>
        <w:rPr>
          <w:sz w:val="24"/>
        </w:rPr>
        <w:t>adolescentes</w:t>
      </w:r>
    </w:p>
    <w:p>
      <w:pPr>
        <w:pStyle w:val="ListParagraph"/>
        <w:numPr>
          <w:ilvl w:val="5"/>
          <w:numId w:val="52"/>
        </w:numPr>
        <w:tabs>
          <w:tab w:pos="1422" w:val="left" w:leader="none"/>
        </w:tabs>
        <w:spacing w:line="348" w:lineRule="auto" w:before="33" w:after="0"/>
        <w:ind w:left="1422" w:right="117" w:hanging="360"/>
        <w:jc w:val="both"/>
        <w:rPr>
          <w:sz w:val="24"/>
        </w:rPr>
      </w:pPr>
      <w:r>
        <w:rPr>
          <w:sz w:val="24"/>
        </w:rPr>
        <w:t>El diseño e instrumentación de un sistema de información que se convierta en la plataforma de los procesos de toma de decisión y que se difunda ampliamente entre la sociedad en</w:t>
      </w:r>
      <w:r>
        <w:rPr>
          <w:spacing w:val="-10"/>
          <w:sz w:val="24"/>
        </w:rPr>
        <w:t> </w:t>
      </w:r>
      <w:r>
        <w:rPr>
          <w:sz w:val="24"/>
        </w:rPr>
        <w:t>general.</w:t>
      </w:r>
    </w:p>
    <w:p>
      <w:pPr>
        <w:pStyle w:val="ListParagraph"/>
        <w:numPr>
          <w:ilvl w:val="4"/>
          <w:numId w:val="52"/>
        </w:numPr>
        <w:tabs>
          <w:tab w:pos="702" w:val="left" w:leader="none"/>
        </w:tabs>
        <w:spacing w:line="360" w:lineRule="auto" w:before="17" w:after="0"/>
        <w:ind w:left="702" w:right="124" w:hanging="360"/>
        <w:jc w:val="left"/>
        <w:rPr>
          <w:sz w:val="24"/>
        </w:rPr>
      </w:pPr>
      <w:r>
        <w:rPr>
          <w:sz w:val="24"/>
        </w:rPr>
        <w:t>Fortalecer el acceso y la permanencia en el sistema de enseñanza media superior, brindando una educación de calidad orientada al desarrollo de</w:t>
      </w:r>
      <w:r>
        <w:rPr>
          <w:spacing w:val="-10"/>
          <w:sz w:val="24"/>
        </w:rPr>
        <w:t> </w:t>
      </w:r>
      <w:r>
        <w:rPr>
          <w:sz w:val="24"/>
        </w:rPr>
        <w:t>competencias:</w:t>
      </w:r>
    </w:p>
    <w:p>
      <w:pPr>
        <w:pStyle w:val="ListParagraph"/>
        <w:numPr>
          <w:ilvl w:val="5"/>
          <w:numId w:val="52"/>
        </w:numPr>
        <w:tabs>
          <w:tab w:pos="1422" w:val="left" w:leader="none"/>
        </w:tabs>
        <w:spacing w:line="336" w:lineRule="auto" w:before="4" w:after="0"/>
        <w:ind w:left="1422" w:right="122" w:hanging="360"/>
        <w:jc w:val="both"/>
        <w:rPr>
          <w:sz w:val="24"/>
        </w:rPr>
      </w:pPr>
      <w:r>
        <w:rPr>
          <w:sz w:val="24"/>
        </w:rPr>
        <w:t>Impulsar programas permanentes de capacitación y profesionalización de los maestros del sistema de educación media</w:t>
      </w:r>
      <w:r>
        <w:rPr>
          <w:spacing w:val="-10"/>
          <w:sz w:val="24"/>
        </w:rPr>
        <w:t> </w:t>
      </w:r>
      <w:r>
        <w:rPr>
          <w:sz w:val="24"/>
        </w:rPr>
        <w:t>superior.</w:t>
      </w:r>
    </w:p>
    <w:p>
      <w:pPr>
        <w:pStyle w:val="ListParagraph"/>
        <w:numPr>
          <w:ilvl w:val="5"/>
          <w:numId w:val="52"/>
        </w:numPr>
        <w:tabs>
          <w:tab w:pos="1422" w:val="left" w:leader="none"/>
        </w:tabs>
        <w:spacing w:line="336" w:lineRule="auto" w:before="30" w:after="0"/>
        <w:ind w:left="1422" w:right="121" w:hanging="360"/>
        <w:jc w:val="both"/>
        <w:rPr>
          <w:sz w:val="24"/>
        </w:rPr>
      </w:pPr>
      <w:r>
        <w:rPr>
          <w:sz w:val="24"/>
        </w:rPr>
        <w:t>Revisar el marco reglamentario e instrumentar procesos de evaluación en el sistema de educación media</w:t>
      </w:r>
      <w:r>
        <w:rPr>
          <w:spacing w:val="-6"/>
          <w:sz w:val="24"/>
        </w:rPr>
        <w:t> </w:t>
      </w:r>
      <w:r>
        <w:rPr>
          <w:sz w:val="24"/>
        </w:rPr>
        <w:t>superior.</w:t>
      </w:r>
    </w:p>
    <w:p>
      <w:pPr>
        <w:pStyle w:val="ListParagraph"/>
        <w:numPr>
          <w:ilvl w:val="5"/>
          <w:numId w:val="52"/>
        </w:numPr>
        <w:tabs>
          <w:tab w:pos="1422" w:val="left" w:leader="none"/>
        </w:tabs>
        <w:spacing w:line="336" w:lineRule="auto" w:before="30" w:after="0"/>
        <w:ind w:left="1422" w:right="121" w:hanging="360"/>
        <w:jc w:val="both"/>
        <w:rPr>
          <w:sz w:val="24"/>
        </w:rPr>
      </w:pPr>
      <w:r>
        <w:rPr>
          <w:sz w:val="24"/>
        </w:rPr>
        <w:t>Fortalecer la vinculación entre el sistema de educación media superior y el aparato</w:t>
      </w:r>
      <w:r>
        <w:rPr>
          <w:spacing w:val="-4"/>
          <w:sz w:val="24"/>
        </w:rPr>
        <w:t> </w:t>
      </w:r>
      <w:r>
        <w:rPr>
          <w:sz w:val="24"/>
        </w:rPr>
        <w:t>productivo.</w:t>
      </w:r>
    </w:p>
    <w:p>
      <w:pPr>
        <w:pStyle w:val="ListParagraph"/>
        <w:numPr>
          <w:ilvl w:val="5"/>
          <w:numId w:val="52"/>
        </w:numPr>
        <w:tabs>
          <w:tab w:pos="1422" w:val="left" w:leader="none"/>
        </w:tabs>
        <w:spacing w:line="348" w:lineRule="auto" w:before="30" w:after="0"/>
        <w:ind w:left="1422" w:right="120" w:hanging="360"/>
        <w:jc w:val="both"/>
        <w:rPr>
          <w:sz w:val="24"/>
        </w:rPr>
      </w:pPr>
      <w:r>
        <w:rPr>
          <w:sz w:val="24"/>
        </w:rPr>
        <w:t>Impulsar una reforma curricular de la educación media superior para impulsar la competitividad y responder a las nuevas dinámicas sociales y productivas.</w:t>
      </w:r>
    </w:p>
    <w:p>
      <w:pPr>
        <w:pStyle w:val="ListParagraph"/>
        <w:numPr>
          <w:ilvl w:val="5"/>
          <w:numId w:val="52"/>
        </w:numPr>
        <w:tabs>
          <w:tab w:pos="1422" w:val="left" w:leader="none"/>
        </w:tabs>
        <w:spacing w:line="333" w:lineRule="auto" w:before="19" w:after="0"/>
        <w:ind w:left="1422" w:right="123" w:hanging="360"/>
        <w:jc w:val="both"/>
        <w:rPr>
          <w:sz w:val="24"/>
        </w:rPr>
      </w:pPr>
      <w:r>
        <w:rPr>
          <w:sz w:val="24"/>
        </w:rPr>
        <w:t>Consolidar un sistema articulado y flexible de educación media superior que permita la movilidad de los estudiantes entre</w:t>
      </w:r>
      <w:r>
        <w:rPr>
          <w:spacing w:val="-9"/>
          <w:sz w:val="24"/>
        </w:rPr>
        <w:t> </w:t>
      </w:r>
      <w:r>
        <w:rPr>
          <w:sz w:val="24"/>
        </w:rPr>
        <w:t>subsistemas.</w:t>
      </w:r>
    </w:p>
    <w:p>
      <w:pPr>
        <w:pStyle w:val="ListParagraph"/>
        <w:numPr>
          <w:ilvl w:val="4"/>
          <w:numId w:val="52"/>
        </w:numPr>
        <w:tabs>
          <w:tab w:pos="702" w:val="left" w:leader="none"/>
        </w:tabs>
        <w:spacing w:line="360" w:lineRule="auto" w:before="36" w:after="0"/>
        <w:ind w:left="702" w:right="121" w:hanging="360"/>
        <w:jc w:val="left"/>
        <w:rPr>
          <w:sz w:val="24"/>
        </w:rPr>
      </w:pPr>
      <w:r>
        <w:rPr>
          <w:sz w:val="24"/>
        </w:rPr>
        <w:t>Ampliar la cobertura, favorecer la equidad y mejorar la calidad y pertinencia de la educación:</w:t>
      </w:r>
    </w:p>
    <w:p>
      <w:pPr>
        <w:pStyle w:val="ListParagraph"/>
        <w:numPr>
          <w:ilvl w:val="5"/>
          <w:numId w:val="52"/>
        </w:numPr>
        <w:tabs>
          <w:tab w:pos="1422" w:val="left" w:leader="none"/>
        </w:tabs>
        <w:spacing w:line="333" w:lineRule="auto" w:before="6" w:after="0"/>
        <w:ind w:left="1422" w:right="146" w:hanging="360"/>
        <w:jc w:val="both"/>
        <w:rPr>
          <w:sz w:val="24"/>
        </w:rPr>
      </w:pPr>
      <w:r>
        <w:rPr>
          <w:sz w:val="24"/>
        </w:rPr>
        <w:t>Crear nuevas instituciones de educación superior, aprovechar la capacidad instalada, diversificar los programas y fortalecer las modalidades</w:t>
      </w:r>
      <w:r>
        <w:rPr>
          <w:spacing w:val="-12"/>
          <w:sz w:val="24"/>
        </w:rPr>
        <w:t> </w:t>
      </w:r>
      <w:r>
        <w:rPr>
          <w:sz w:val="24"/>
        </w:rPr>
        <w:t>educativas.</w:t>
      </w:r>
    </w:p>
    <w:p>
      <w:pPr>
        <w:spacing w:after="0" w:line="333" w:lineRule="auto"/>
        <w:jc w:val="both"/>
        <w:rPr>
          <w:sz w:val="24"/>
        </w:rPr>
        <w:sectPr>
          <w:pgSz w:w="12240" w:h="15840"/>
          <w:pgMar w:header="0" w:footer="1003" w:top="1360" w:bottom="1200" w:left="1720" w:right="1580"/>
        </w:sectPr>
      </w:pPr>
    </w:p>
    <w:p>
      <w:pPr>
        <w:pStyle w:val="ListParagraph"/>
        <w:numPr>
          <w:ilvl w:val="6"/>
          <w:numId w:val="52"/>
        </w:numPr>
        <w:tabs>
          <w:tab w:pos="1542" w:val="left" w:leader="none"/>
        </w:tabs>
        <w:spacing w:line="348" w:lineRule="auto" w:before="50" w:after="0"/>
        <w:ind w:left="1542" w:right="222" w:hanging="360"/>
        <w:jc w:val="left"/>
        <w:rPr>
          <w:sz w:val="24"/>
        </w:rPr>
      </w:pPr>
      <w:r>
        <w:rPr>
          <w:sz w:val="24"/>
        </w:rPr>
        <w:t>Flexibilizar los planes de estudio, ampliar los sistemas de apoyo tutoriales y fortalecer los programas de becas dirigidos a los grupos en situación de desventaja.</w:t>
      </w:r>
    </w:p>
    <w:p>
      <w:pPr>
        <w:pStyle w:val="ListParagraph"/>
        <w:numPr>
          <w:ilvl w:val="6"/>
          <w:numId w:val="52"/>
        </w:numPr>
        <w:tabs>
          <w:tab w:pos="1542" w:val="left" w:leader="none"/>
        </w:tabs>
        <w:spacing w:line="348" w:lineRule="auto" w:before="19" w:after="0"/>
        <w:ind w:left="1542" w:right="628" w:hanging="360"/>
        <w:jc w:val="left"/>
        <w:rPr>
          <w:sz w:val="24"/>
        </w:rPr>
      </w:pPr>
      <w:r>
        <w:rPr>
          <w:sz w:val="24"/>
        </w:rPr>
        <w:t>Consolidar el perfil y desempeño del personal académico y extender</w:t>
      </w:r>
      <w:r>
        <w:rPr>
          <w:spacing w:val="-15"/>
          <w:sz w:val="24"/>
        </w:rPr>
        <w:t> </w:t>
      </w:r>
      <w:r>
        <w:rPr>
          <w:sz w:val="24"/>
        </w:rPr>
        <w:t>las prácticas de evaluación y acreditación para mejorar la calidad de los programas de educación</w:t>
      </w:r>
      <w:r>
        <w:rPr>
          <w:spacing w:val="-4"/>
          <w:sz w:val="24"/>
        </w:rPr>
        <w:t> </w:t>
      </w:r>
      <w:r>
        <w:rPr>
          <w:sz w:val="24"/>
        </w:rPr>
        <w:t>superior.</w:t>
      </w:r>
    </w:p>
    <w:p>
      <w:pPr>
        <w:pStyle w:val="ListParagraph"/>
        <w:numPr>
          <w:ilvl w:val="6"/>
          <w:numId w:val="52"/>
        </w:numPr>
        <w:tabs>
          <w:tab w:pos="1542" w:val="left" w:leader="none"/>
        </w:tabs>
        <w:spacing w:line="352" w:lineRule="auto" w:before="17" w:after="0"/>
        <w:ind w:left="1542" w:right="356" w:hanging="360"/>
        <w:jc w:val="left"/>
        <w:rPr>
          <w:sz w:val="24"/>
        </w:rPr>
      </w:pPr>
      <w:r>
        <w:rPr>
          <w:sz w:val="24"/>
        </w:rPr>
        <w:t>Crear y fortalecer las instancias institucionales y los mecanismos para articular, de manera coherente, la oferta educativa, las vocaciones y el desarrollo integral de los estudiantes, la demanda laboral y los</w:t>
      </w:r>
      <w:r>
        <w:rPr>
          <w:spacing w:val="-16"/>
          <w:sz w:val="24"/>
        </w:rPr>
        <w:t> </w:t>
      </w:r>
      <w:r>
        <w:rPr>
          <w:sz w:val="24"/>
        </w:rPr>
        <w:t>imperativos del desarrollo regional y</w:t>
      </w:r>
      <w:r>
        <w:rPr>
          <w:spacing w:val="-7"/>
          <w:sz w:val="24"/>
        </w:rPr>
        <w:t> </w:t>
      </w:r>
      <w:r>
        <w:rPr>
          <w:sz w:val="24"/>
        </w:rPr>
        <w:t>nacional.</w:t>
      </w:r>
    </w:p>
    <w:p>
      <w:pPr>
        <w:pStyle w:val="ListParagraph"/>
        <w:numPr>
          <w:ilvl w:val="6"/>
          <w:numId w:val="52"/>
        </w:numPr>
        <w:tabs>
          <w:tab w:pos="1542" w:val="left" w:leader="none"/>
        </w:tabs>
        <w:spacing w:line="336" w:lineRule="auto" w:before="12" w:after="0"/>
        <w:ind w:left="1542" w:right="770" w:hanging="360"/>
        <w:jc w:val="left"/>
        <w:rPr>
          <w:sz w:val="24"/>
        </w:rPr>
      </w:pPr>
      <w:r>
        <w:rPr>
          <w:sz w:val="24"/>
        </w:rPr>
        <w:t>Mejorar la integración, coordinación y gestión del sistema nacional de educación</w:t>
      </w:r>
      <w:r>
        <w:rPr>
          <w:spacing w:val="-6"/>
          <w:sz w:val="24"/>
        </w:rPr>
        <w:t> </w:t>
      </w:r>
      <w:r>
        <w:rPr>
          <w:sz w:val="24"/>
        </w:rPr>
        <w:t>superior.</w:t>
      </w:r>
    </w:p>
    <w:p>
      <w:pPr>
        <w:pStyle w:val="BodyText"/>
        <w:rPr>
          <w:sz w:val="27"/>
        </w:rPr>
      </w:pPr>
    </w:p>
    <w:p>
      <w:pPr>
        <w:pStyle w:val="BodyText"/>
        <w:spacing w:line="360" w:lineRule="auto" w:before="1"/>
        <w:ind w:left="102" w:right="118"/>
        <w:jc w:val="both"/>
      </w:pPr>
      <w:r>
        <w:rPr/>
        <w:t>En materia de educación existen dos críticas principales, la primera es la insuficiencia de recursos para llevarlo a cabo y la segunda fue en el sentido de que textualmente el PND (2007-2012) propuso: “igualdad de oportunidades educativas, profesionales y de salud es necesaria para que todos los mexicanos puedan participar plenamente en las actividades productivas”. De acuerdo con Arturo Huerta González (2007), profesor de la división de estudios de posgrado de la Facultad de Economía de la Universidad Nacional Autónoma de México (UNAM), afirma que no existió igualdad de oportunidades educativas, profesionales y de salud en el país.</w:t>
      </w:r>
    </w:p>
    <w:p>
      <w:pPr>
        <w:pStyle w:val="BodyText"/>
      </w:pPr>
    </w:p>
    <w:p>
      <w:pPr>
        <w:pStyle w:val="BodyText"/>
        <w:spacing w:line="360" w:lineRule="auto" w:before="143"/>
        <w:ind w:left="102" w:right="120"/>
        <w:jc w:val="both"/>
      </w:pPr>
      <w:r>
        <w:rPr/>
        <w:t>El problema fue que no se establecieron las condiciones productivas donde se pudieran realizar los que buscaban empleo, emprendían negocios, los que ya laboraban y pretendían obtener ingresos suficientes para satisfacer sus necesidades y expandirse. La política de educación no ofreció condiciones de educación, de trabajo y de salud a todos, lo cual llevó al país a no generar empleos productivos bien remunerados.</w:t>
      </w:r>
    </w:p>
    <w:p>
      <w:pPr>
        <w:pStyle w:val="BodyText"/>
      </w:pPr>
    </w:p>
    <w:p>
      <w:pPr>
        <w:pStyle w:val="BodyText"/>
        <w:spacing w:line="360" w:lineRule="auto" w:before="143"/>
        <w:ind w:left="102" w:right="121"/>
        <w:jc w:val="both"/>
      </w:pPr>
      <w:r>
        <w:rPr/>
        <w:t>Como se puede observar a lo largo de estos dos sexenios no se cumplió con uno de los requisitos fundamentales para mejorar el sistema educativo del país y que fue establecido por la OCDE en materia de financiamiento.</w:t>
      </w:r>
    </w:p>
    <w:p>
      <w:pPr>
        <w:spacing w:after="0" w:line="360" w:lineRule="auto"/>
        <w:jc w:val="both"/>
        <w:sectPr>
          <w:pgSz w:w="12240" w:h="15840"/>
          <w:pgMar w:header="0" w:footer="1003" w:top="1360" w:bottom="1200" w:left="1600" w:right="1580"/>
        </w:sectPr>
      </w:pPr>
    </w:p>
    <w:p>
      <w:pPr>
        <w:pStyle w:val="Heading3"/>
        <w:spacing w:line="360" w:lineRule="auto"/>
        <w:ind w:left="2929" w:right="1061" w:hanging="1871"/>
        <w:jc w:val="left"/>
      </w:pPr>
      <w:r>
        <w:rPr/>
        <w:t>Tabla 3.2. Gasto nacional en educación según origen de los recursos (porcentaje del PIB), 2000-2010</w:t>
      </w:r>
    </w:p>
    <w:p>
      <w:pPr>
        <w:spacing w:before="1" w:after="27"/>
        <w:ind w:left="4153" w:right="0" w:firstLine="0"/>
        <w:jc w:val="left"/>
        <w:rPr>
          <w:b/>
          <w:sz w:val="24"/>
        </w:rPr>
      </w:pPr>
      <w:r>
        <w:rPr>
          <w:b/>
          <w:sz w:val="24"/>
        </w:rPr>
        <w:t>Porcentaje del PIB</w:t>
      </w:r>
    </w:p>
    <w:tbl>
      <w:tblPr>
        <w:tblW w:w="0" w:type="auto"/>
        <w:jc w:val="left"/>
        <w:tblInd w:w="2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15"/>
        <w:gridCol w:w="1325"/>
        <w:gridCol w:w="1119"/>
        <w:gridCol w:w="1157"/>
      </w:tblGrid>
      <w:tr>
        <w:trPr>
          <w:trHeight w:val="305" w:hRule="exact"/>
        </w:trPr>
        <w:tc>
          <w:tcPr>
            <w:tcW w:w="1215" w:type="dxa"/>
            <w:tcBorders>
              <w:bottom w:val="single" w:sz="4" w:space="0" w:color="000000"/>
              <w:right w:val="single" w:sz="4" w:space="0" w:color="000000"/>
            </w:tcBorders>
          </w:tcPr>
          <w:p>
            <w:pPr/>
          </w:p>
        </w:tc>
        <w:tc>
          <w:tcPr>
            <w:tcW w:w="1325" w:type="dxa"/>
            <w:tcBorders>
              <w:left w:val="single" w:sz="4" w:space="0" w:color="000000"/>
              <w:bottom w:val="single" w:sz="4" w:space="0" w:color="000000"/>
              <w:right w:val="single" w:sz="4" w:space="0" w:color="000000"/>
            </w:tcBorders>
          </w:tcPr>
          <w:p>
            <w:pPr>
              <w:pStyle w:val="TableParagraph"/>
              <w:spacing w:line="268" w:lineRule="exact"/>
              <w:ind w:right="103"/>
              <w:jc w:val="right"/>
              <w:rPr>
                <w:sz w:val="24"/>
              </w:rPr>
            </w:pPr>
            <w:r>
              <w:rPr>
                <w:sz w:val="24"/>
              </w:rPr>
              <w:t>Nacional</w:t>
            </w:r>
          </w:p>
        </w:tc>
        <w:tc>
          <w:tcPr>
            <w:tcW w:w="1119" w:type="dxa"/>
            <w:tcBorders>
              <w:left w:val="single" w:sz="4" w:space="0" w:color="000000"/>
              <w:bottom w:val="single" w:sz="4" w:space="0" w:color="000000"/>
              <w:right w:val="single" w:sz="4" w:space="0" w:color="000000"/>
            </w:tcBorders>
          </w:tcPr>
          <w:p>
            <w:pPr>
              <w:pStyle w:val="TableParagraph"/>
              <w:spacing w:line="268" w:lineRule="exact"/>
              <w:ind w:right="101"/>
              <w:jc w:val="right"/>
              <w:rPr>
                <w:sz w:val="24"/>
              </w:rPr>
            </w:pPr>
            <w:r>
              <w:rPr>
                <w:sz w:val="24"/>
              </w:rPr>
              <w:t>Público</w:t>
            </w:r>
          </w:p>
        </w:tc>
        <w:tc>
          <w:tcPr>
            <w:tcW w:w="1157" w:type="dxa"/>
            <w:tcBorders>
              <w:left w:val="single" w:sz="4" w:space="0" w:color="000000"/>
              <w:bottom w:val="single" w:sz="4" w:space="0" w:color="000000"/>
            </w:tcBorders>
          </w:tcPr>
          <w:p>
            <w:pPr>
              <w:pStyle w:val="TableParagraph"/>
              <w:spacing w:line="268" w:lineRule="exact"/>
              <w:ind w:right="106"/>
              <w:jc w:val="right"/>
              <w:rPr>
                <w:sz w:val="24"/>
              </w:rPr>
            </w:pPr>
            <w:r>
              <w:rPr>
                <w:sz w:val="24"/>
              </w:rPr>
              <w:t>Privado</w:t>
            </w:r>
          </w:p>
        </w:tc>
      </w:tr>
      <w:tr>
        <w:trPr>
          <w:trHeight w:val="300" w:hRule="exact"/>
        </w:trPr>
        <w:tc>
          <w:tcPr>
            <w:tcW w:w="1215" w:type="dxa"/>
            <w:tcBorders>
              <w:top w:val="single" w:sz="4" w:space="0" w:color="000000"/>
              <w:right w:val="single" w:sz="4" w:space="0" w:color="000000"/>
            </w:tcBorders>
          </w:tcPr>
          <w:p>
            <w:pPr>
              <w:pStyle w:val="TableParagraph"/>
              <w:spacing w:line="270" w:lineRule="exact"/>
              <w:ind w:right="101"/>
              <w:jc w:val="right"/>
              <w:rPr>
                <w:sz w:val="24"/>
              </w:rPr>
            </w:pPr>
            <w:r>
              <w:rPr>
                <w:sz w:val="24"/>
              </w:rPr>
              <w:t>2000</w:t>
            </w:r>
          </w:p>
        </w:tc>
        <w:tc>
          <w:tcPr>
            <w:tcW w:w="1325" w:type="dxa"/>
            <w:tcBorders>
              <w:top w:val="single" w:sz="4" w:space="0" w:color="000000"/>
              <w:left w:val="single" w:sz="4" w:space="0" w:color="000000"/>
              <w:right w:val="single" w:sz="4" w:space="0" w:color="000000"/>
            </w:tcBorders>
          </w:tcPr>
          <w:p>
            <w:pPr>
              <w:pStyle w:val="TableParagraph"/>
              <w:spacing w:line="270" w:lineRule="exact"/>
              <w:ind w:right="101"/>
              <w:jc w:val="right"/>
              <w:rPr>
                <w:sz w:val="24"/>
              </w:rPr>
            </w:pPr>
            <w:r>
              <w:rPr>
                <w:sz w:val="24"/>
              </w:rPr>
              <w:t>6.43</w:t>
            </w:r>
          </w:p>
        </w:tc>
        <w:tc>
          <w:tcPr>
            <w:tcW w:w="1119" w:type="dxa"/>
            <w:tcBorders>
              <w:top w:val="single" w:sz="4" w:space="0" w:color="000000"/>
              <w:left w:val="single" w:sz="4" w:space="0" w:color="000000"/>
              <w:right w:val="single" w:sz="4" w:space="0" w:color="000000"/>
            </w:tcBorders>
          </w:tcPr>
          <w:p>
            <w:pPr>
              <w:pStyle w:val="TableParagraph"/>
              <w:spacing w:line="270" w:lineRule="exact"/>
              <w:ind w:right="101"/>
              <w:jc w:val="right"/>
              <w:rPr>
                <w:sz w:val="24"/>
              </w:rPr>
            </w:pPr>
            <w:r>
              <w:rPr>
                <w:sz w:val="24"/>
              </w:rPr>
              <w:t>5.03</w:t>
            </w:r>
          </w:p>
        </w:tc>
        <w:tc>
          <w:tcPr>
            <w:tcW w:w="1157" w:type="dxa"/>
            <w:tcBorders>
              <w:top w:val="single" w:sz="4" w:space="0" w:color="000000"/>
              <w:left w:val="single" w:sz="4" w:space="0" w:color="000000"/>
            </w:tcBorders>
          </w:tcPr>
          <w:p>
            <w:pPr>
              <w:pStyle w:val="TableParagraph"/>
              <w:spacing w:line="270" w:lineRule="exact"/>
              <w:ind w:right="107"/>
              <w:jc w:val="right"/>
              <w:rPr>
                <w:sz w:val="24"/>
              </w:rPr>
            </w:pPr>
            <w:r>
              <w:rPr>
                <w:sz w:val="24"/>
              </w:rPr>
              <w:t>1.40</w:t>
            </w:r>
          </w:p>
        </w:tc>
      </w:tr>
      <w:tr>
        <w:trPr>
          <w:trHeight w:val="300" w:hRule="exact"/>
        </w:trPr>
        <w:tc>
          <w:tcPr>
            <w:tcW w:w="1215" w:type="dxa"/>
            <w:tcBorders>
              <w:right w:val="single" w:sz="4" w:space="0" w:color="000000"/>
            </w:tcBorders>
          </w:tcPr>
          <w:p>
            <w:pPr>
              <w:pStyle w:val="TableParagraph"/>
              <w:spacing w:line="275" w:lineRule="exact"/>
              <w:ind w:right="101"/>
              <w:jc w:val="right"/>
              <w:rPr>
                <w:sz w:val="24"/>
              </w:rPr>
            </w:pPr>
            <w:r>
              <w:rPr>
                <w:sz w:val="24"/>
              </w:rPr>
              <w:t>2001</w:t>
            </w:r>
          </w:p>
        </w:tc>
        <w:tc>
          <w:tcPr>
            <w:tcW w:w="1325" w:type="dxa"/>
            <w:tcBorders>
              <w:left w:val="single" w:sz="4" w:space="0" w:color="000000"/>
              <w:right w:val="single" w:sz="4" w:space="0" w:color="000000"/>
            </w:tcBorders>
          </w:tcPr>
          <w:p>
            <w:pPr>
              <w:pStyle w:val="TableParagraph"/>
              <w:spacing w:line="275" w:lineRule="exact"/>
              <w:ind w:right="101"/>
              <w:jc w:val="right"/>
              <w:rPr>
                <w:sz w:val="24"/>
              </w:rPr>
            </w:pPr>
            <w:r>
              <w:rPr>
                <w:sz w:val="24"/>
              </w:rPr>
              <w:t>6.79</w:t>
            </w:r>
          </w:p>
        </w:tc>
        <w:tc>
          <w:tcPr>
            <w:tcW w:w="1119" w:type="dxa"/>
            <w:tcBorders>
              <w:left w:val="single" w:sz="4" w:space="0" w:color="000000"/>
              <w:right w:val="single" w:sz="4" w:space="0" w:color="000000"/>
            </w:tcBorders>
          </w:tcPr>
          <w:p>
            <w:pPr>
              <w:pStyle w:val="TableParagraph"/>
              <w:spacing w:line="275" w:lineRule="exact"/>
              <w:ind w:right="101"/>
              <w:jc w:val="right"/>
              <w:rPr>
                <w:sz w:val="24"/>
              </w:rPr>
            </w:pPr>
            <w:r>
              <w:rPr>
                <w:sz w:val="24"/>
              </w:rPr>
              <w:t>5.36</w:t>
            </w:r>
          </w:p>
        </w:tc>
        <w:tc>
          <w:tcPr>
            <w:tcW w:w="1157" w:type="dxa"/>
            <w:tcBorders>
              <w:left w:val="single" w:sz="4" w:space="0" w:color="000000"/>
            </w:tcBorders>
          </w:tcPr>
          <w:p>
            <w:pPr>
              <w:pStyle w:val="TableParagraph"/>
              <w:spacing w:line="275" w:lineRule="exact"/>
              <w:ind w:right="107"/>
              <w:jc w:val="right"/>
              <w:rPr>
                <w:sz w:val="24"/>
              </w:rPr>
            </w:pPr>
            <w:r>
              <w:rPr>
                <w:sz w:val="24"/>
              </w:rPr>
              <w:t>1.44</w:t>
            </w:r>
          </w:p>
        </w:tc>
      </w:tr>
      <w:tr>
        <w:trPr>
          <w:trHeight w:val="300" w:hRule="exact"/>
        </w:trPr>
        <w:tc>
          <w:tcPr>
            <w:tcW w:w="1215" w:type="dxa"/>
            <w:tcBorders>
              <w:right w:val="single" w:sz="4" w:space="0" w:color="000000"/>
            </w:tcBorders>
          </w:tcPr>
          <w:p>
            <w:pPr>
              <w:pStyle w:val="TableParagraph"/>
              <w:spacing w:line="275" w:lineRule="exact"/>
              <w:ind w:right="101"/>
              <w:jc w:val="right"/>
              <w:rPr>
                <w:sz w:val="24"/>
              </w:rPr>
            </w:pPr>
            <w:r>
              <w:rPr>
                <w:sz w:val="24"/>
              </w:rPr>
              <w:t>2002</w:t>
            </w:r>
          </w:p>
        </w:tc>
        <w:tc>
          <w:tcPr>
            <w:tcW w:w="1325" w:type="dxa"/>
            <w:tcBorders>
              <w:left w:val="single" w:sz="4" w:space="0" w:color="000000"/>
              <w:right w:val="single" w:sz="4" w:space="0" w:color="000000"/>
            </w:tcBorders>
          </w:tcPr>
          <w:p>
            <w:pPr>
              <w:pStyle w:val="TableParagraph"/>
              <w:spacing w:line="275" w:lineRule="exact"/>
              <w:ind w:right="101"/>
              <w:jc w:val="right"/>
              <w:rPr>
                <w:sz w:val="24"/>
              </w:rPr>
            </w:pPr>
            <w:r>
              <w:rPr>
                <w:sz w:val="24"/>
              </w:rPr>
              <w:t>7.02</w:t>
            </w:r>
          </w:p>
        </w:tc>
        <w:tc>
          <w:tcPr>
            <w:tcW w:w="1119" w:type="dxa"/>
            <w:tcBorders>
              <w:left w:val="single" w:sz="4" w:space="0" w:color="000000"/>
              <w:right w:val="single" w:sz="4" w:space="0" w:color="000000"/>
            </w:tcBorders>
          </w:tcPr>
          <w:p>
            <w:pPr>
              <w:pStyle w:val="TableParagraph"/>
              <w:spacing w:line="275" w:lineRule="exact"/>
              <w:ind w:right="101"/>
              <w:jc w:val="right"/>
              <w:rPr>
                <w:sz w:val="24"/>
              </w:rPr>
            </w:pPr>
            <w:r>
              <w:rPr>
                <w:sz w:val="24"/>
              </w:rPr>
              <w:t>5.50</w:t>
            </w:r>
          </w:p>
        </w:tc>
        <w:tc>
          <w:tcPr>
            <w:tcW w:w="1157" w:type="dxa"/>
            <w:tcBorders>
              <w:left w:val="single" w:sz="4" w:space="0" w:color="000000"/>
            </w:tcBorders>
          </w:tcPr>
          <w:p>
            <w:pPr>
              <w:pStyle w:val="TableParagraph"/>
              <w:spacing w:line="275" w:lineRule="exact"/>
              <w:ind w:right="107"/>
              <w:jc w:val="right"/>
              <w:rPr>
                <w:sz w:val="24"/>
              </w:rPr>
            </w:pPr>
            <w:r>
              <w:rPr>
                <w:sz w:val="24"/>
              </w:rPr>
              <w:t>1.52</w:t>
            </w:r>
          </w:p>
        </w:tc>
      </w:tr>
      <w:tr>
        <w:trPr>
          <w:trHeight w:val="300" w:hRule="exact"/>
        </w:trPr>
        <w:tc>
          <w:tcPr>
            <w:tcW w:w="1215" w:type="dxa"/>
            <w:tcBorders>
              <w:right w:val="single" w:sz="4" w:space="0" w:color="000000"/>
            </w:tcBorders>
          </w:tcPr>
          <w:p>
            <w:pPr>
              <w:pStyle w:val="TableParagraph"/>
              <w:spacing w:line="275" w:lineRule="exact"/>
              <w:ind w:right="101"/>
              <w:jc w:val="right"/>
              <w:rPr>
                <w:sz w:val="24"/>
              </w:rPr>
            </w:pPr>
            <w:r>
              <w:rPr>
                <w:sz w:val="24"/>
              </w:rPr>
              <w:t>2003</w:t>
            </w:r>
          </w:p>
        </w:tc>
        <w:tc>
          <w:tcPr>
            <w:tcW w:w="1325" w:type="dxa"/>
            <w:tcBorders>
              <w:left w:val="single" w:sz="4" w:space="0" w:color="000000"/>
              <w:right w:val="single" w:sz="4" w:space="0" w:color="000000"/>
            </w:tcBorders>
          </w:tcPr>
          <w:p>
            <w:pPr>
              <w:pStyle w:val="TableParagraph"/>
              <w:spacing w:line="275" w:lineRule="exact"/>
              <w:ind w:right="101"/>
              <w:jc w:val="right"/>
              <w:rPr>
                <w:sz w:val="24"/>
              </w:rPr>
            </w:pPr>
            <w:r>
              <w:rPr>
                <w:sz w:val="24"/>
              </w:rPr>
              <w:t>6.91</w:t>
            </w:r>
          </w:p>
        </w:tc>
        <w:tc>
          <w:tcPr>
            <w:tcW w:w="1119" w:type="dxa"/>
            <w:tcBorders>
              <w:left w:val="single" w:sz="4" w:space="0" w:color="000000"/>
              <w:right w:val="single" w:sz="4" w:space="0" w:color="000000"/>
            </w:tcBorders>
          </w:tcPr>
          <w:p>
            <w:pPr>
              <w:pStyle w:val="TableParagraph"/>
              <w:spacing w:line="275" w:lineRule="exact"/>
              <w:ind w:right="101"/>
              <w:jc w:val="right"/>
              <w:rPr>
                <w:sz w:val="24"/>
              </w:rPr>
            </w:pPr>
            <w:r>
              <w:rPr>
                <w:sz w:val="24"/>
              </w:rPr>
              <w:t>5.40</w:t>
            </w:r>
          </w:p>
        </w:tc>
        <w:tc>
          <w:tcPr>
            <w:tcW w:w="1157" w:type="dxa"/>
            <w:tcBorders>
              <w:left w:val="single" w:sz="4" w:space="0" w:color="000000"/>
            </w:tcBorders>
          </w:tcPr>
          <w:p>
            <w:pPr>
              <w:pStyle w:val="TableParagraph"/>
              <w:spacing w:line="275" w:lineRule="exact"/>
              <w:ind w:right="107"/>
              <w:jc w:val="right"/>
              <w:rPr>
                <w:sz w:val="24"/>
              </w:rPr>
            </w:pPr>
            <w:r>
              <w:rPr>
                <w:sz w:val="24"/>
              </w:rPr>
              <w:t>1.51</w:t>
            </w:r>
          </w:p>
        </w:tc>
      </w:tr>
      <w:tr>
        <w:trPr>
          <w:trHeight w:val="300" w:hRule="exact"/>
        </w:trPr>
        <w:tc>
          <w:tcPr>
            <w:tcW w:w="1215" w:type="dxa"/>
            <w:tcBorders>
              <w:right w:val="single" w:sz="4" w:space="0" w:color="000000"/>
            </w:tcBorders>
          </w:tcPr>
          <w:p>
            <w:pPr>
              <w:pStyle w:val="TableParagraph"/>
              <w:spacing w:line="275" w:lineRule="exact"/>
              <w:ind w:right="101"/>
              <w:jc w:val="right"/>
              <w:rPr>
                <w:sz w:val="24"/>
              </w:rPr>
            </w:pPr>
            <w:r>
              <w:rPr>
                <w:sz w:val="24"/>
              </w:rPr>
              <w:t>2004</w:t>
            </w:r>
          </w:p>
        </w:tc>
        <w:tc>
          <w:tcPr>
            <w:tcW w:w="1325" w:type="dxa"/>
            <w:tcBorders>
              <w:left w:val="single" w:sz="4" w:space="0" w:color="000000"/>
              <w:right w:val="single" w:sz="4" w:space="0" w:color="000000"/>
            </w:tcBorders>
          </w:tcPr>
          <w:p>
            <w:pPr>
              <w:pStyle w:val="TableParagraph"/>
              <w:spacing w:line="275" w:lineRule="exact"/>
              <w:ind w:right="101"/>
              <w:jc w:val="right"/>
              <w:rPr>
                <w:sz w:val="24"/>
              </w:rPr>
            </w:pPr>
            <w:r>
              <w:rPr>
                <w:sz w:val="24"/>
              </w:rPr>
              <w:t>6.54</w:t>
            </w:r>
          </w:p>
        </w:tc>
        <w:tc>
          <w:tcPr>
            <w:tcW w:w="1119" w:type="dxa"/>
            <w:tcBorders>
              <w:left w:val="single" w:sz="4" w:space="0" w:color="000000"/>
              <w:right w:val="single" w:sz="4" w:space="0" w:color="000000"/>
            </w:tcBorders>
          </w:tcPr>
          <w:p>
            <w:pPr>
              <w:pStyle w:val="TableParagraph"/>
              <w:spacing w:line="275" w:lineRule="exact"/>
              <w:ind w:right="101"/>
              <w:jc w:val="right"/>
              <w:rPr>
                <w:sz w:val="24"/>
              </w:rPr>
            </w:pPr>
            <w:r>
              <w:rPr>
                <w:sz w:val="24"/>
              </w:rPr>
              <w:t>5.09</w:t>
            </w:r>
          </w:p>
        </w:tc>
        <w:tc>
          <w:tcPr>
            <w:tcW w:w="1157" w:type="dxa"/>
            <w:tcBorders>
              <w:left w:val="single" w:sz="4" w:space="0" w:color="000000"/>
            </w:tcBorders>
          </w:tcPr>
          <w:p>
            <w:pPr>
              <w:pStyle w:val="TableParagraph"/>
              <w:spacing w:line="275" w:lineRule="exact"/>
              <w:ind w:right="107"/>
              <w:jc w:val="right"/>
              <w:rPr>
                <w:sz w:val="24"/>
              </w:rPr>
            </w:pPr>
            <w:r>
              <w:rPr>
                <w:sz w:val="24"/>
              </w:rPr>
              <w:t>1.45</w:t>
            </w:r>
          </w:p>
        </w:tc>
      </w:tr>
      <w:tr>
        <w:trPr>
          <w:trHeight w:val="300" w:hRule="exact"/>
        </w:trPr>
        <w:tc>
          <w:tcPr>
            <w:tcW w:w="1215" w:type="dxa"/>
            <w:tcBorders>
              <w:right w:val="single" w:sz="4" w:space="0" w:color="000000"/>
            </w:tcBorders>
          </w:tcPr>
          <w:p>
            <w:pPr>
              <w:pStyle w:val="TableParagraph"/>
              <w:spacing w:line="275" w:lineRule="exact"/>
              <w:ind w:right="101"/>
              <w:jc w:val="right"/>
              <w:rPr>
                <w:sz w:val="24"/>
              </w:rPr>
            </w:pPr>
            <w:r>
              <w:rPr>
                <w:sz w:val="24"/>
              </w:rPr>
              <w:t>2005</w:t>
            </w:r>
          </w:p>
        </w:tc>
        <w:tc>
          <w:tcPr>
            <w:tcW w:w="1325" w:type="dxa"/>
            <w:tcBorders>
              <w:left w:val="single" w:sz="4" w:space="0" w:color="000000"/>
              <w:right w:val="single" w:sz="4" w:space="0" w:color="000000"/>
            </w:tcBorders>
          </w:tcPr>
          <w:p>
            <w:pPr>
              <w:pStyle w:val="TableParagraph"/>
              <w:spacing w:line="275" w:lineRule="exact"/>
              <w:ind w:right="101"/>
              <w:jc w:val="right"/>
              <w:rPr>
                <w:sz w:val="24"/>
              </w:rPr>
            </w:pPr>
            <w:r>
              <w:rPr>
                <w:sz w:val="24"/>
              </w:rPr>
              <w:t>6.75</w:t>
            </w:r>
          </w:p>
        </w:tc>
        <w:tc>
          <w:tcPr>
            <w:tcW w:w="1119" w:type="dxa"/>
            <w:tcBorders>
              <w:left w:val="single" w:sz="4" w:space="0" w:color="000000"/>
              <w:right w:val="single" w:sz="4" w:space="0" w:color="000000"/>
            </w:tcBorders>
          </w:tcPr>
          <w:p>
            <w:pPr>
              <w:pStyle w:val="TableParagraph"/>
              <w:spacing w:line="275" w:lineRule="exact"/>
              <w:ind w:right="101"/>
              <w:jc w:val="right"/>
              <w:rPr>
                <w:sz w:val="24"/>
              </w:rPr>
            </w:pPr>
            <w:r>
              <w:rPr>
                <w:sz w:val="24"/>
              </w:rPr>
              <w:t>5.26</w:t>
            </w:r>
          </w:p>
        </w:tc>
        <w:tc>
          <w:tcPr>
            <w:tcW w:w="1157" w:type="dxa"/>
            <w:tcBorders>
              <w:left w:val="single" w:sz="4" w:space="0" w:color="000000"/>
            </w:tcBorders>
          </w:tcPr>
          <w:p>
            <w:pPr>
              <w:pStyle w:val="TableParagraph"/>
              <w:spacing w:line="275" w:lineRule="exact"/>
              <w:ind w:right="107"/>
              <w:jc w:val="right"/>
              <w:rPr>
                <w:sz w:val="24"/>
              </w:rPr>
            </w:pPr>
            <w:r>
              <w:rPr>
                <w:sz w:val="24"/>
              </w:rPr>
              <w:t>1.49</w:t>
            </w:r>
          </w:p>
        </w:tc>
      </w:tr>
      <w:tr>
        <w:trPr>
          <w:trHeight w:val="300" w:hRule="exact"/>
        </w:trPr>
        <w:tc>
          <w:tcPr>
            <w:tcW w:w="1215" w:type="dxa"/>
            <w:tcBorders>
              <w:right w:val="single" w:sz="4" w:space="0" w:color="000000"/>
            </w:tcBorders>
          </w:tcPr>
          <w:p>
            <w:pPr>
              <w:pStyle w:val="TableParagraph"/>
              <w:spacing w:line="275" w:lineRule="exact"/>
              <w:ind w:right="101"/>
              <w:jc w:val="right"/>
              <w:rPr>
                <w:sz w:val="24"/>
              </w:rPr>
            </w:pPr>
            <w:r>
              <w:rPr>
                <w:sz w:val="24"/>
              </w:rPr>
              <w:t>2006</w:t>
            </w:r>
          </w:p>
        </w:tc>
        <w:tc>
          <w:tcPr>
            <w:tcW w:w="1325" w:type="dxa"/>
            <w:tcBorders>
              <w:left w:val="single" w:sz="4" w:space="0" w:color="000000"/>
              <w:right w:val="single" w:sz="4" w:space="0" w:color="000000"/>
            </w:tcBorders>
          </w:tcPr>
          <w:p>
            <w:pPr>
              <w:pStyle w:val="TableParagraph"/>
              <w:spacing w:line="275" w:lineRule="exact"/>
              <w:ind w:right="101"/>
              <w:jc w:val="right"/>
              <w:rPr>
                <w:sz w:val="24"/>
              </w:rPr>
            </w:pPr>
            <w:r>
              <w:rPr>
                <w:sz w:val="24"/>
              </w:rPr>
              <w:t>6.49</w:t>
            </w:r>
          </w:p>
        </w:tc>
        <w:tc>
          <w:tcPr>
            <w:tcW w:w="1119" w:type="dxa"/>
            <w:tcBorders>
              <w:left w:val="single" w:sz="4" w:space="0" w:color="000000"/>
              <w:right w:val="single" w:sz="4" w:space="0" w:color="000000"/>
            </w:tcBorders>
          </w:tcPr>
          <w:p>
            <w:pPr>
              <w:pStyle w:val="TableParagraph"/>
              <w:spacing w:line="275" w:lineRule="exact"/>
              <w:ind w:right="101"/>
              <w:jc w:val="right"/>
              <w:rPr>
                <w:sz w:val="24"/>
              </w:rPr>
            </w:pPr>
            <w:r>
              <w:rPr>
                <w:sz w:val="24"/>
              </w:rPr>
              <w:t>5.07</w:t>
            </w:r>
          </w:p>
        </w:tc>
        <w:tc>
          <w:tcPr>
            <w:tcW w:w="1157" w:type="dxa"/>
            <w:tcBorders>
              <w:left w:val="single" w:sz="4" w:space="0" w:color="000000"/>
            </w:tcBorders>
          </w:tcPr>
          <w:p>
            <w:pPr>
              <w:pStyle w:val="TableParagraph"/>
              <w:spacing w:line="275" w:lineRule="exact"/>
              <w:ind w:right="107"/>
              <w:jc w:val="right"/>
              <w:rPr>
                <w:sz w:val="24"/>
              </w:rPr>
            </w:pPr>
            <w:r>
              <w:rPr>
                <w:sz w:val="24"/>
              </w:rPr>
              <w:t>1.43</w:t>
            </w:r>
          </w:p>
        </w:tc>
      </w:tr>
      <w:tr>
        <w:trPr>
          <w:trHeight w:val="300" w:hRule="exact"/>
        </w:trPr>
        <w:tc>
          <w:tcPr>
            <w:tcW w:w="1215" w:type="dxa"/>
            <w:tcBorders>
              <w:right w:val="single" w:sz="4" w:space="0" w:color="000000"/>
            </w:tcBorders>
          </w:tcPr>
          <w:p>
            <w:pPr>
              <w:pStyle w:val="TableParagraph"/>
              <w:spacing w:line="275" w:lineRule="exact"/>
              <w:ind w:right="101"/>
              <w:jc w:val="right"/>
              <w:rPr>
                <w:sz w:val="24"/>
              </w:rPr>
            </w:pPr>
            <w:r>
              <w:rPr>
                <w:sz w:val="24"/>
              </w:rPr>
              <w:t>2007</w:t>
            </w:r>
          </w:p>
        </w:tc>
        <w:tc>
          <w:tcPr>
            <w:tcW w:w="1325" w:type="dxa"/>
            <w:tcBorders>
              <w:left w:val="single" w:sz="4" w:space="0" w:color="000000"/>
              <w:right w:val="single" w:sz="4" w:space="0" w:color="000000"/>
            </w:tcBorders>
          </w:tcPr>
          <w:p>
            <w:pPr>
              <w:pStyle w:val="TableParagraph"/>
              <w:spacing w:line="275" w:lineRule="exact"/>
              <w:ind w:right="101"/>
              <w:jc w:val="right"/>
              <w:rPr>
                <w:sz w:val="24"/>
              </w:rPr>
            </w:pPr>
            <w:r>
              <w:rPr>
                <w:sz w:val="24"/>
              </w:rPr>
              <w:t>6.40</w:t>
            </w:r>
          </w:p>
        </w:tc>
        <w:tc>
          <w:tcPr>
            <w:tcW w:w="1119" w:type="dxa"/>
            <w:tcBorders>
              <w:left w:val="single" w:sz="4" w:space="0" w:color="000000"/>
              <w:right w:val="single" w:sz="4" w:space="0" w:color="000000"/>
            </w:tcBorders>
          </w:tcPr>
          <w:p>
            <w:pPr>
              <w:pStyle w:val="TableParagraph"/>
              <w:spacing w:line="275" w:lineRule="exact"/>
              <w:ind w:right="101"/>
              <w:jc w:val="right"/>
              <w:rPr>
                <w:sz w:val="24"/>
              </w:rPr>
            </w:pPr>
            <w:r>
              <w:rPr>
                <w:sz w:val="24"/>
              </w:rPr>
              <w:t>5.01</w:t>
            </w:r>
          </w:p>
        </w:tc>
        <w:tc>
          <w:tcPr>
            <w:tcW w:w="1157" w:type="dxa"/>
            <w:tcBorders>
              <w:left w:val="single" w:sz="4" w:space="0" w:color="000000"/>
            </w:tcBorders>
          </w:tcPr>
          <w:p>
            <w:pPr>
              <w:pStyle w:val="TableParagraph"/>
              <w:spacing w:line="275" w:lineRule="exact"/>
              <w:ind w:right="107"/>
              <w:jc w:val="right"/>
              <w:rPr>
                <w:sz w:val="24"/>
              </w:rPr>
            </w:pPr>
            <w:r>
              <w:rPr>
                <w:sz w:val="24"/>
              </w:rPr>
              <w:t>1.39</w:t>
            </w:r>
          </w:p>
        </w:tc>
      </w:tr>
      <w:tr>
        <w:trPr>
          <w:trHeight w:val="300" w:hRule="exact"/>
        </w:trPr>
        <w:tc>
          <w:tcPr>
            <w:tcW w:w="1215" w:type="dxa"/>
            <w:tcBorders>
              <w:right w:val="single" w:sz="4" w:space="0" w:color="000000"/>
            </w:tcBorders>
          </w:tcPr>
          <w:p>
            <w:pPr>
              <w:pStyle w:val="TableParagraph"/>
              <w:spacing w:line="275" w:lineRule="exact"/>
              <w:ind w:right="101"/>
              <w:jc w:val="right"/>
              <w:rPr>
                <w:sz w:val="24"/>
              </w:rPr>
            </w:pPr>
            <w:r>
              <w:rPr>
                <w:sz w:val="24"/>
              </w:rPr>
              <w:t>2008</w:t>
            </w:r>
          </w:p>
        </w:tc>
        <w:tc>
          <w:tcPr>
            <w:tcW w:w="1325" w:type="dxa"/>
            <w:tcBorders>
              <w:left w:val="single" w:sz="4" w:space="0" w:color="000000"/>
              <w:right w:val="single" w:sz="4" w:space="0" w:color="000000"/>
            </w:tcBorders>
          </w:tcPr>
          <w:p>
            <w:pPr>
              <w:pStyle w:val="TableParagraph"/>
              <w:spacing w:line="275" w:lineRule="exact"/>
              <w:ind w:right="101"/>
              <w:jc w:val="right"/>
              <w:rPr>
                <w:sz w:val="24"/>
              </w:rPr>
            </w:pPr>
            <w:r>
              <w:rPr>
                <w:sz w:val="24"/>
              </w:rPr>
              <w:t>6.43</w:t>
            </w:r>
          </w:p>
        </w:tc>
        <w:tc>
          <w:tcPr>
            <w:tcW w:w="1119" w:type="dxa"/>
            <w:tcBorders>
              <w:left w:val="single" w:sz="4" w:space="0" w:color="000000"/>
              <w:right w:val="single" w:sz="4" w:space="0" w:color="000000"/>
            </w:tcBorders>
          </w:tcPr>
          <w:p>
            <w:pPr>
              <w:pStyle w:val="TableParagraph"/>
              <w:spacing w:line="275" w:lineRule="exact"/>
              <w:ind w:right="101"/>
              <w:jc w:val="right"/>
              <w:rPr>
                <w:sz w:val="24"/>
              </w:rPr>
            </w:pPr>
            <w:r>
              <w:rPr>
                <w:sz w:val="24"/>
              </w:rPr>
              <w:t>5.08</w:t>
            </w:r>
          </w:p>
        </w:tc>
        <w:tc>
          <w:tcPr>
            <w:tcW w:w="1157" w:type="dxa"/>
            <w:tcBorders>
              <w:left w:val="single" w:sz="4" w:space="0" w:color="000000"/>
            </w:tcBorders>
          </w:tcPr>
          <w:p>
            <w:pPr>
              <w:pStyle w:val="TableParagraph"/>
              <w:spacing w:line="275" w:lineRule="exact"/>
              <w:ind w:right="107"/>
              <w:jc w:val="right"/>
              <w:rPr>
                <w:sz w:val="24"/>
              </w:rPr>
            </w:pPr>
            <w:r>
              <w:rPr>
                <w:sz w:val="24"/>
              </w:rPr>
              <w:t>1.35</w:t>
            </w:r>
          </w:p>
        </w:tc>
      </w:tr>
      <w:tr>
        <w:trPr>
          <w:trHeight w:val="300" w:hRule="exact"/>
        </w:trPr>
        <w:tc>
          <w:tcPr>
            <w:tcW w:w="1215" w:type="dxa"/>
            <w:tcBorders>
              <w:right w:val="single" w:sz="4" w:space="0" w:color="000000"/>
            </w:tcBorders>
          </w:tcPr>
          <w:p>
            <w:pPr>
              <w:pStyle w:val="TableParagraph"/>
              <w:spacing w:line="275" w:lineRule="exact"/>
              <w:ind w:right="101"/>
              <w:jc w:val="right"/>
              <w:rPr>
                <w:sz w:val="24"/>
              </w:rPr>
            </w:pPr>
            <w:r>
              <w:rPr>
                <w:sz w:val="24"/>
              </w:rPr>
              <w:t>2009</w:t>
            </w:r>
          </w:p>
        </w:tc>
        <w:tc>
          <w:tcPr>
            <w:tcW w:w="1325" w:type="dxa"/>
            <w:tcBorders>
              <w:left w:val="single" w:sz="4" w:space="0" w:color="000000"/>
              <w:right w:val="single" w:sz="4" w:space="0" w:color="000000"/>
            </w:tcBorders>
          </w:tcPr>
          <w:p>
            <w:pPr>
              <w:pStyle w:val="TableParagraph"/>
              <w:spacing w:line="275" w:lineRule="exact"/>
              <w:ind w:right="101"/>
              <w:jc w:val="right"/>
              <w:rPr>
                <w:sz w:val="24"/>
              </w:rPr>
            </w:pPr>
            <w:r>
              <w:rPr>
                <w:sz w:val="24"/>
              </w:rPr>
              <w:t>7.18</w:t>
            </w:r>
          </w:p>
        </w:tc>
        <w:tc>
          <w:tcPr>
            <w:tcW w:w="1119" w:type="dxa"/>
            <w:tcBorders>
              <w:left w:val="single" w:sz="4" w:space="0" w:color="000000"/>
              <w:right w:val="single" w:sz="4" w:space="0" w:color="000000"/>
            </w:tcBorders>
          </w:tcPr>
          <w:p>
            <w:pPr>
              <w:pStyle w:val="TableParagraph"/>
              <w:spacing w:line="275" w:lineRule="exact"/>
              <w:ind w:right="101"/>
              <w:jc w:val="right"/>
              <w:rPr>
                <w:sz w:val="24"/>
              </w:rPr>
            </w:pPr>
            <w:r>
              <w:rPr>
                <w:sz w:val="24"/>
              </w:rPr>
              <w:t>5.59</w:t>
            </w:r>
          </w:p>
        </w:tc>
        <w:tc>
          <w:tcPr>
            <w:tcW w:w="1157" w:type="dxa"/>
            <w:tcBorders>
              <w:left w:val="single" w:sz="4" w:space="0" w:color="000000"/>
            </w:tcBorders>
          </w:tcPr>
          <w:p>
            <w:pPr>
              <w:pStyle w:val="TableParagraph"/>
              <w:spacing w:line="275" w:lineRule="exact"/>
              <w:ind w:right="107"/>
              <w:jc w:val="right"/>
              <w:rPr>
                <w:sz w:val="24"/>
              </w:rPr>
            </w:pPr>
            <w:r>
              <w:rPr>
                <w:sz w:val="24"/>
              </w:rPr>
              <w:t>1.58</w:t>
            </w:r>
          </w:p>
        </w:tc>
      </w:tr>
      <w:tr>
        <w:trPr>
          <w:trHeight w:val="312" w:hRule="exact"/>
        </w:trPr>
        <w:tc>
          <w:tcPr>
            <w:tcW w:w="1215" w:type="dxa"/>
            <w:tcBorders>
              <w:bottom w:val="single" w:sz="4" w:space="0" w:color="000000"/>
              <w:right w:val="single" w:sz="4" w:space="0" w:color="000000"/>
            </w:tcBorders>
          </w:tcPr>
          <w:p>
            <w:pPr>
              <w:pStyle w:val="TableParagraph"/>
              <w:spacing w:line="275" w:lineRule="exact"/>
              <w:ind w:right="101"/>
              <w:jc w:val="right"/>
              <w:rPr>
                <w:sz w:val="24"/>
              </w:rPr>
            </w:pPr>
            <w:r>
              <w:rPr>
                <w:sz w:val="24"/>
              </w:rPr>
              <w:t>2010</w:t>
            </w:r>
          </w:p>
        </w:tc>
        <w:tc>
          <w:tcPr>
            <w:tcW w:w="1325" w:type="dxa"/>
            <w:tcBorders>
              <w:left w:val="single" w:sz="4" w:space="0" w:color="000000"/>
              <w:bottom w:val="single" w:sz="4" w:space="0" w:color="000000"/>
              <w:right w:val="single" w:sz="4" w:space="0" w:color="000000"/>
            </w:tcBorders>
          </w:tcPr>
          <w:p>
            <w:pPr>
              <w:pStyle w:val="TableParagraph"/>
              <w:spacing w:line="275" w:lineRule="exact"/>
              <w:ind w:right="101"/>
              <w:jc w:val="right"/>
              <w:rPr>
                <w:sz w:val="24"/>
              </w:rPr>
            </w:pPr>
            <w:r>
              <w:rPr>
                <w:sz w:val="24"/>
              </w:rPr>
              <w:t>7.05</w:t>
            </w:r>
          </w:p>
        </w:tc>
        <w:tc>
          <w:tcPr>
            <w:tcW w:w="1119" w:type="dxa"/>
            <w:tcBorders>
              <w:left w:val="single" w:sz="4" w:space="0" w:color="000000"/>
              <w:bottom w:val="single" w:sz="4" w:space="0" w:color="000000"/>
              <w:right w:val="single" w:sz="4" w:space="0" w:color="000000"/>
            </w:tcBorders>
          </w:tcPr>
          <w:p>
            <w:pPr>
              <w:pStyle w:val="TableParagraph"/>
              <w:spacing w:line="275" w:lineRule="exact"/>
              <w:ind w:right="101"/>
              <w:jc w:val="right"/>
              <w:rPr>
                <w:sz w:val="24"/>
              </w:rPr>
            </w:pPr>
            <w:r>
              <w:rPr>
                <w:sz w:val="24"/>
              </w:rPr>
              <w:t>5.57</w:t>
            </w:r>
          </w:p>
        </w:tc>
        <w:tc>
          <w:tcPr>
            <w:tcW w:w="1157" w:type="dxa"/>
            <w:tcBorders>
              <w:left w:val="single" w:sz="4" w:space="0" w:color="000000"/>
              <w:bottom w:val="single" w:sz="4" w:space="0" w:color="000000"/>
            </w:tcBorders>
          </w:tcPr>
          <w:p>
            <w:pPr>
              <w:pStyle w:val="TableParagraph"/>
              <w:spacing w:line="275" w:lineRule="exact"/>
              <w:ind w:right="107"/>
              <w:jc w:val="right"/>
              <w:rPr>
                <w:sz w:val="24"/>
              </w:rPr>
            </w:pPr>
            <w:r>
              <w:rPr>
                <w:sz w:val="24"/>
              </w:rPr>
              <w:t>1.49</w:t>
            </w:r>
          </w:p>
        </w:tc>
      </w:tr>
    </w:tbl>
    <w:p>
      <w:pPr>
        <w:pStyle w:val="BodyText"/>
        <w:rPr>
          <w:b/>
          <w:sz w:val="13"/>
        </w:rPr>
      </w:pPr>
    </w:p>
    <w:p>
      <w:pPr>
        <w:spacing w:before="74"/>
        <w:ind w:left="114" w:right="130" w:hanging="2"/>
        <w:jc w:val="center"/>
        <w:rPr>
          <w:sz w:val="20"/>
        </w:rPr>
      </w:pPr>
      <w:r>
        <w:rPr>
          <w:sz w:val="20"/>
        </w:rPr>
        <w:t>Fuente: INEE, cálculos con base en el Anexo Estadístico del </w:t>
      </w:r>
      <w:r>
        <w:rPr>
          <w:i/>
          <w:sz w:val="20"/>
        </w:rPr>
        <w:t>Cuarto Informe de Gobierno</w:t>
      </w:r>
      <w:r>
        <w:rPr>
          <w:sz w:val="20"/>
        </w:rPr>
        <w:t>, Presidencia de la República (2010); </w:t>
      </w:r>
      <w:r>
        <w:rPr>
          <w:i/>
          <w:sz w:val="20"/>
        </w:rPr>
        <w:t>Sistema de Cuentas Nacionales, Producto Interno Bruto por entidad federativa 2003-2008</w:t>
      </w:r>
      <w:r>
        <w:rPr>
          <w:sz w:val="20"/>
        </w:rPr>
        <w:t>, Inegi, e </w:t>
      </w:r>
      <w:r>
        <w:rPr>
          <w:i/>
          <w:sz w:val="20"/>
        </w:rPr>
        <w:t>Informe anual 2009</w:t>
      </w:r>
      <w:r>
        <w:rPr>
          <w:sz w:val="20"/>
        </w:rPr>
        <w:t>, Banco de México (2010).</w:t>
      </w:r>
    </w:p>
    <w:p>
      <w:pPr>
        <w:pStyle w:val="BodyText"/>
        <w:rPr>
          <w:sz w:val="20"/>
        </w:rPr>
      </w:pPr>
    </w:p>
    <w:p>
      <w:pPr>
        <w:pStyle w:val="BodyText"/>
        <w:spacing w:before="3"/>
        <w:rPr>
          <w:sz w:val="22"/>
        </w:rPr>
      </w:pPr>
    </w:p>
    <w:p>
      <w:pPr>
        <w:pStyle w:val="Heading3"/>
        <w:numPr>
          <w:ilvl w:val="3"/>
          <w:numId w:val="52"/>
        </w:numPr>
        <w:tabs>
          <w:tab w:pos="882" w:val="left" w:leader="none"/>
        </w:tabs>
        <w:spacing w:line="240" w:lineRule="auto" w:before="0" w:after="0"/>
        <w:ind w:left="882" w:right="0" w:hanging="780"/>
        <w:jc w:val="both"/>
      </w:pPr>
      <w:bookmarkStart w:name="_bookmark37" w:id="68"/>
      <w:bookmarkEnd w:id="68"/>
      <w:r>
        <w:rPr>
          <w:b w:val="0"/>
        </w:rPr>
      </w:r>
      <w:bookmarkStart w:name="_bookmark37" w:id="69"/>
      <w:bookmarkEnd w:id="69"/>
      <w:r>
        <w:rPr/>
        <w:t>P</w:t>
      </w:r>
      <w:r>
        <w:rPr/>
        <w:t>lan de desarrollo estatal</w:t>
      </w:r>
      <w:r>
        <w:rPr>
          <w:spacing w:val="-8"/>
        </w:rPr>
        <w:t> </w:t>
      </w:r>
      <w:r>
        <w:rPr/>
        <w:t>(1999-2005)</w:t>
      </w:r>
    </w:p>
    <w:p>
      <w:pPr>
        <w:pStyle w:val="BodyText"/>
        <w:rPr>
          <w:b/>
        </w:rPr>
      </w:pPr>
    </w:p>
    <w:p>
      <w:pPr>
        <w:pStyle w:val="BodyText"/>
        <w:spacing w:line="360" w:lineRule="auto" w:before="175"/>
        <w:ind w:left="102" w:right="125"/>
        <w:jc w:val="both"/>
      </w:pPr>
      <w:r>
        <w:rPr/>
        <w:t>En este plan de desarrollo no se dedica un apartado especial al tema de educación, los puntos y propuestas planteados en esta materia fueron:</w:t>
      </w:r>
    </w:p>
    <w:p>
      <w:pPr>
        <w:pStyle w:val="ListParagraph"/>
        <w:numPr>
          <w:ilvl w:val="0"/>
          <w:numId w:val="53"/>
        </w:numPr>
        <w:tabs>
          <w:tab w:pos="822" w:val="left" w:leader="none"/>
        </w:tabs>
        <w:spacing w:line="357" w:lineRule="auto" w:before="6" w:after="0"/>
        <w:ind w:left="822" w:right="119" w:hanging="360"/>
        <w:jc w:val="both"/>
        <w:rPr>
          <w:sz w:val="24"/>
        </w:rPr>
      </w:pPr>
      <w:r>
        <w:rPr>
          <w:sz w:val="24"/>
        </w:rPr>
        <w:t>Se replantearán los valores de los hombres, mujeres e instituciones mexiquenses, propiciando la clara conciencia de la importancia del entorno ecológico, los fenómenos poblacionales, el arte, la preservación de las tradiciones y costumbres, así como de la educación y el</w:t>
      </w:r>
      <w:r>
        <w:rPr>
          <w:spacing w:val="-9"/>
          <w:sz w:val="24"/>
        </w:rPr>
        <w:t> </w:t>
      </w:r>
      <w:r>
        <w:rPr>
          <w:sz w:val="24"/>
        </w:rPr>
        <w:t>conocimiento.</w:t>
      </w:r>
    </w:p>
    <w:p>
      <w:pPr>
        <w:pStyle w:val="ListParagraph"/>
        <w:numPr>
          <w:ilvl w:val="0"/>
          <w:numId w:val="53"/>
        </w:numPr>
        <w:tabs>
          <w:tab w:pos="822" w:val="left" w:leader="none"/>
        </w:tabs>
        <w:spacing w:line="355" w:lineRule="auto" w:before="8" w:after="0"/>
        <w:ind w:left="822" w:right="121" w:hanging="360"/>
        <w:jc w:val="both"/>
        <w:rPr>
          <w:sz w:val="24"/>
        </w:rPr>
      </w:pPr>
      <w:r>
        <w:rPr>
          <w:sz w:val="24"/>
        </w:rPr>
        <w:t>Las instituciones privadas y públicas ofrecerán a todos los grupos poblacionales de la entidad educación, cultura y arte con calidad, en sus diferentes variantes y manifestaciones.</w:t>
      </w:r>
    </w:p>
    <w:p>
      <w:pPr>
        <w:pStyle w:val="BodyText"/>
      </w:pPr>
    </w:p>
    <w:p>
      <w:pPr>
        <w:pStyle w:val="BodyText"/>
        <w:spacing w:before="11"/>
        <w:rPr>
          <w:sz w:val="18"/>
        </w:rPr>
      </w:pPr>
    </w:p>
    <w:p>
      <w:pPr>
        <w:pStyle w:val="Heading3"/>
        <w:numPr>
          <w:ilvl w:val="3"/>
          <w:numId w:val="52"/>
        </w:numPr>
        <w:tabs>
          <w:tab w:pos="882" w:val="left" w:leader="none"/>
        </w:tabs>
        <w:spacing w:line="240" w:lineRule="auto" w:before="0" w:after="0"/>
        <w:ind w:left="882" w:right="0" w:hanging="780"/>
        <w:jc w:val="both"/>
      </w:pPr>
      <w:bookmarkStart w:name="_bookmark38" w:id="70"/>
      <w:bookmarkEnd w:id="70"/>
      <w:r>
        <w:rPr>
          <w:b w:val="0"/>
        </w:rPr>
      </w:r>
      <w:bookmarkStart w:name="_bookmark38" w:id="71"/>
      <w:bookmarkEnd w:id="71"/>
      <w:r>
        <w:rPr/>
        <w:t>P</w:t>
      </w:r>
      <w:r>
        <w:rPr/>
        <w:t>lan de desarrollo estatal</w:t>
      </w:r>
      <w:r>
        <w:rPr>
          <w:spacing w:val="-8"/>
        </w:rPr>
        <w:t> </w:t>
      </w:r>
      <w:r>
        <w:rPr/>
        <w:t>(2005-2011)</w:t>
      </w:r>
    </w:p>
    <w:p>
      <w:pPr>
        <w:pStyle w:val="BodyText"/>
        <w:rPr>
          <w:b/>
        </w:rPr>
      </w:pPr>
    </w:p>
    <w:p>
      <w:pPr>
        <w:pStyle w:val="BodyText"/>
        <w:spacing w:line="360" w:lineRule="auto" w:before="175"/>
        <w:ind w:left="102" w:right="120"/>
        <w:jc w:val="both"/>
      </w:pPr>
      <w:r>
        <w:rPr/>
        <w:t>En la vertiente 1: Calidad de vida, en el apartado III se encuentran las estrategias para la educación en el Estado de México, ha dicho apartado se denominó “Educación para acrecentar el capital humano”.</w:t>
      </w:r>
    </w:p>
    <w:p>
      <w:pPr>
        <w:spacing w:after="0" w:line="360" w:lineRule="auto"/>
        <w:jc w:val="both"/>
        <w:sectPr>
          <w:pgSz w:w="12240" w:h="15840"/>
          <w:pgMar w:header="0" w:footer="1003" w:top="1360" w:bottom="1200" w:left="1600" w:right="1580"/>
        </w:sectPr>
      </w:pPr>
    </w:p>
    <w:p>
      <w:pPr>
        <w:pStyle w:val="Heading3"/>
        <w:ind w:left="102"/>
        <w:jc w:val="left"/>
      </w:pPr>
      <w:r>
        <w:rPr/>
        <w:t>III. Educación para Acrecentar el capital humano</w:t>
      </w:r>
    </w:p>
    <w:p>
      <w:pPr>
        <w:pStyle w:val="BodyText"/>
        <w:rPr>
          <w:b/>
        </w:rPr>
      </w:pPr>
    </w:p>
    <w:p>
      <w:pPr>
        <w:pStyle w:val="BodyText"/>
        <w:spacing w:before="6"/>
        <w:rPr>
          <w:b/>
          <w:sz w:val="23"/>
        </w:rPr>
      </w:pPr>
    </w:p>
    <w:p>
      <w:pPr>
        <w:pStyle w:val="BodyText"/>
        <w:ind w:left="102"/>
      </w:pPr>
      <w:r>
        <w:rPr/>
        <w:t>Objetivo: Brindar educación de calidad, equitativa, suficiente y participativa.</w:t>
      </w:r>
    </w:p>
    <w:p>
      <w:pPr>
        <w:pStyle w:val="BodyText"/>
      </w:pPr>
    </w:p>
    <w:p>
      <w:pPr>
        <w:pStyle w:val="BodyText"/>
        <w:spacing w:before="4"/>
      </w:pPr>
    </w:p>
    <w:p>
      <w:pPr>
        <w:pStyle w:val="Heading3"/>
        <w:spacing w:before="1"/>
        <w:ind w:left="102"/>
        <w:jc w:val="left"/>
      </w:pPr>
      <w:r>
        <w:rPr>
          <w:u w:val="thick"/>
        </w:rPr>
        <w:t>Estrategias y Líneas de Acción</w:t>
      </w:r>
    </w:p>
    <w:p>
      <w:pPr>
        <w:pStyle w:val="BodyText"/>
        <w:rPr>
          <w:b/>
          <w:sz w:val="20"/>
        </w:rPr>
      </w:pPr>
    </w:p>
    <w:p>
      <w:pPr>
        <w:pStyle w:val="BodyText"/>
        <w:rPr>
          <w:b/>
          <w:sz w:val="22"/>
        </w:rPr>
      </w:pPr>
    </w:p>
    <w:p>
      <w:pPr>
        <w:pStyle w:val="ListParagraph"/>
        <w:numPr>
          <w:ilvl w:val="0"/>
          <w:numId w:val="54"/>
        </w:numPr>
        <w:tabs>
          <w:tab w:pos="343" w:val="left" w:leader="none"/>
        </w:tabs>
        <w:spacing w:line="240" w:lineRule="auto" w:before="69" w:after="0"/>
        <w:ind w:left="342" w:right="0" w:hanging="240"/>
        <w:jc w:val="left"/>
        <w:rPr>
          <w:b/>
          <w:sz w:val="24"/>
        </w:rPr>
      </w:pPr>
      <w:r>
        <w:rPr>
          <w:b/>
          <w:sz w:val="24"/>
        </w:rPr>
        <w:t>Calidad en la educación y la</w:t>
      </w:r>
      <w:r>
        <w:rPr>
          <w:b/>
          <w:spacing w:val="-6"/>
          <w:sz w:val="24"/>
        </w:rPr>
        <w:t> </w:t>
      </w:r>
      <w:r>
        <w:rPr>
          <w:b/>
          <w:sz w:val="24"/>
        </w:rPr>
        <w:t>docencia.</w:t>
      </w:r>
    </w:p>
    <w:p>
      <w:pPr>
        <w:pStyle w:val="ListParagraph"/>
        <w:numPr>
          <w:ilvl w:val="1"/>
          <w:numId w:val="54"/>
        </w:numPr>
        <w:tabs>
          <w:tab w:pos="822" w:val="left" w:leader="none"/>
        </w:tabs>
        <w:spacing w:line="355" w:lineRule="auto" w:before="134" w:after="0"/>
        <w:ind w:left="822" w:right="120" w:hanging="360"/>
        <w:jc w:val="both"/>
        <w:rPr>
          <w:sz w:val="24"/>
        </w:rPr>
      </w:pPr>
      <w:r>
        <w:rPr>
          <w:sz w:val="24"/>
        </w:rPr>
        <w:t>Impulsar una educación integral a través del desarrollo de las competencias y habilidades intelectuales, sustentada en valores humanos y cívicos como la honestidad, la responsabilidad y la tolerancia, la cultura de la paz y la no</w:t>
      </w:r>
      <w:r>
        <w:rPr>
          <w:spacing w:val="-11"/>
          <w:sz w:val="24"/>
        </w:rPr>
        <w:t> </w:t>
      </w:r>
      <w:r>
        <w:rPr>
          <w:sz w:val="24"/>
        </w:rPr>
        <w:t>violencia.</w:t>
      </w:r>
    </w:p>
    <w:p>
      <w:pPr>
        <w:pStyle w:val="ListParagraph"/>
        <w:numPr>
          <w:ilvl w:val="1"/>
          <w:numId w:val="54"/>
        </w:numPr>
        <w:tabs>
          <w:tab w:pos="822" w:val="left" w:leader="none"/>
        </w:tabs>
        <w:spacing w:line="357" w:lineRule="auto" w:before="9" w:after="0"/>
        <w:ind w:left="822" w:right="123" w:hanging="360"/>
        <w:jc w:val="both"/>
        <w:rPr>
          <w:sz w:val="24"/>
        </w:rPr>
      </w:pPr>
      <w:r>
        <w:rPr>
          <w:sz w:val="24"/>
        </w:rPr>
        <w:t>Contar con planes y programas de estudio que aseguren la relevancia y la pertinencia del aprendizaje, la vigencia del conocimiento y la congruencia con el modelo</w:t>
      </w:r>
      <w:r>
        <w:rPr>
          <w:spacing w:val="-4"/>
          <w:sz w:val="24"/>
        </w:rPr>
        <w:t> </w:t>
      </w:r>
      <w:r>
        <w:rPr>
          <w:sz w:val="24"/>
        </w:rPr>
        <w:t>pedagógico.</w:t>
      </w:r>
    </w:p>
    <w:p>
      <w:pPr>
        <w:pStyle w:val="ListParagraph"/>
        <w:numPr>
          <w:ilvl w:val="1"/>
          <w:numId w:val="54"/>
        </w:numPr>
        <w:tabs>
          <w:tab w:pos="822" w:val="left" w:leader="none"/>
        </w:tabs>
        <w:spacing w:line="355" w:lineRule="auto" w:before="6" w:after="0"/>
        <w:ind w:left="822" w:right="122" w:hanging="360"/>
        <w:jc w:val="both"/>
        <w:rPr>
          <w:sz w:val="24"/>
        </w:rPr>
      </w:pPr>
      <w:r>
        <w:rPr>
          <w:sz w:val="24"/>
        </w:rPr>
        <w:t>Impulsar un programa estratégico para el mejoramiento del aprendizaje con énfasis en matemáticas, español y ciencias; así como para fomentar la lectura en la comunidad</w:t>
      </w:r>
      <w:r>
        <w:rPr>
          <w:spacing w:val="-4"/>
          <w:sz w:val="24"/>
        </w:rPr>
        <w:t> </w:t>
      </w:r>
      <w:r>
        <w:rPr>
          <w:sz w:val="24"/>
        </w:rPr>
        <w:t>educativa.</w:t>
      </w:r>
    </w:p>
    <w:p>
      <w:pPr>
        <w:pStyle w:val="ListParagraph"/>
        <w:numPr>
          <w:ilvl w:val="1"/>
          <w:numId w:val="54"/>
        </w:numPr>
        <w:tabs>
          <w:tab w:pos="822" w:val="left" w:leader="none"/>
        </w:tabs>
        <w:spacing w:line="357" w:lineRule="auto" w:before="11" w:after="0"/>
        <w:ind w:left="822" w:right="116" w:hanging="360"/>
        <w:jc w:val="both"/>
        <w:rPr>
          <w:sz w:val="24"/>
        </w:rPr>
      </w:pPr>
      <w:r>
        <w:rPr>
          <w:sz w:val="24"/>
        </w:rPr>
        <w:t>Promover el uso de tecnologías de información de punta y el aprendizaje del idioma inglés, como parte de los contenidos educativos de los diferentes niveles, así como fomentar la enseñanza de la lengua materna en escuelas asentadas en comunidades indígenas.</w:t>
      </w:r>
    </w:p>
    <w:p>
      <w:pPr>
        <w:pStyle w:val="ListParagraph"/>
        <w:numPr>
          <w:ilvl w:val="1"/>
          <w:numId w:val="54"/>
        </w:numPr>
        <w:tabs>
          <w:tab w:pos="821" w:val="left" w:leader="none"/>
          <w:tab w:pos="822" w:val="left" w:leader="none"/>
        </w:tabs>
        <w:spacing w:line="240" w:lineRule="auto" w:before="8" w:after="0"/>
        <w:ind w:left="822" w:right="0" w:hanging="360"/>
        <w:jc w:val="left"/>
        <w:rPr>
          <w:sz w:val="24"/>
        </w:rPr>
      </w:pPr>
      <w:r>
        <w:rPr>
          <w:sz w:val="24"/>
        </w:rPr>
        <w:t>Impulsar el Programa de Integración Educativa de</w:t>
      </w:r>
      <w:r>
        <w:rPr>
          <w:spacing w:val="-14"/>
          <w:sz w:val="24"/>
        </w:rPr>
        <w:t> </w:t>
      </w:r>
      <w:r>
        <w:rPr>
          <w:sz w:val="24"/>
        </w:rPr>
        <w:t>Calidad.</w:t>
      </w:r>
    </w:p>
    <w:p>
      <w:pPr>
        <w:pStyle w:val="ListParagraph"/>
        <w:numPr>
          <w:ilvl w:val="1"/>
          <w:numId w:val="54"/>
        </w:numPr>
        <w:tabs>
          <w:tab w:pos="822" w:val="left" w:leader="none"/>
        </w:tabs>
        <w:spacing w:line="357" w:lineRule="auto" w:before="135" w:after="0"/>
        <w:ind w:left="822" w:right="121" w:hanging="360"/>
        <w:jc w:val="both"/>
        <w:rPr>
          <w:sz w:val="24"/>
        </w:rPr>
      </w:pPr>
      <w:r>
        <w:rPr>
          <w:sz w:val="24"/>
        </w:rPr>
        <w:t>Mejorar la calidad de los procesos educativos y sus resultados, a través de un sistema integral de evaluación que involucre la participación de todos los actores</w:t>
      </w:r>
      <w:r>
        <w:rPr>
          <w:spacing w:val="-18"/>
          <w:sz w:val="24"/>
        </w:rPr>
        <w:t> </w:t>
      </w:r>
      <w:r>
        <w:rPr>
          <w:sz w:val="24"/>
        </w:rPr>
        <w:t>del quehacer</w:t>
      </w:r>
      <w:r>
        <w:rPr>
          <w:spacing w:val="-4"/>
          <w:sz w:val="24"/>
        </w:rPr>
        <w:t> </w:t>
      </w:r>
      <w:r>
        <w:rPr>
          <w:sz w:val="24"/>
        </w:rPr>
        <w:t>educativo.</w:t>
      </w:r>
    </w:p>
    <w:p>
      <w:pPr>
        <w:pStyle w:val="ListParagraph"/>
        <w:numPr>
          <w:ilvl w:val="1"/>
          <w:numId w:val="54"/>
        </w:numPr>
        <w:tabs>
          <w:tab w:pos="822" w:val="left" w:leader="none"/>
        </w:tabs>
        <w:spacing w:line="357" w:lineRule="auto" w:before="6" w:after="0"/>
        <w:ind w:left="822" w:right="117" w:hanging="360"/>
        <w:jc w:val="both"/>
        <w:rPr>
          <w:sz w:val="24"/>
        </w:rPr>
      </w:pPr>
      <w:r>
        <w:rPr>
          <w:sz w:val="24"/>
        </w:rPr>
        <w:t>Desarrollar el Sistema Estatal para la Formación, Actualización y  Profesionalización de los Docentes, que articule las actividades que realizan las instituciones formadoras de docentes y las instancias encargadas de la actualización y de la investigación</w:t>
      </w:r>
      <w:r>
        <w:rPr>
          <w:spacing w:val="-8"/>
          <w:sz w:val="24"/>
        </w:rPr>
        <w:t> </w:t>
      </w:r>
      <w:r>
        <w:rPr>
          <w:sz w:val="24"/>
        </w:rPr>
        <w:t>educativa.</w:t>
      </w:r>
    </w:p>
    <w:p>
      <w:pPr>
        <w:pStyle w:val="ListParagraph"/>
        <w:numPr>
          <w:ilvl w:val="1"/>
          <w:numId w:val="54"/>
        </w:numPr>
        <w:tabs>
          <w:tab w:pos="822" w:val="left" w:leader="none"/>
        </w:tabs>
        <w:spacing w:line="352" w:lineRule="auto" w:before="6" w:after="0"/>
        <w:ind w:left="822" w:right="119" w:hanging="360"/>
        <w:jc w:val="both"/>
        <w:rPr>
          <w:sz w:val="24"/>
        </w:rPr>
      </w:pPr>
      <w:r>
        <w:rPr>
          <w:sz w:val="24"/>
        </w:rPr>
        <w:t>Fomentar el desarrollo profesional de los docentes, a través de una formación continua, diversa, flexible y congruente con los objetivos</w:t>
      </w:r>
      <w:r>
        <w:rPr>
          <w:spacing w:val="-13"/>
          <w:sz w:val="24"/>
        </w:rPr>
        <w:t> </w:t>
      </w:r>
      <w:r>
        <w:rPr>
          <w:sz w:val="24"/>
        </w:rPr>
        <w:t>educativos.</w:t>
      </w:r>
    </w:p>
    <w:p>
      <w:pPr>
        <w:spacing w:after="0" w:line="352" w:lineRule="auto"/>
        <w:jc w:val="both"/>
        <w:rPr>
          <w:sz w:val="24"/>
        </w:rPr>
        <w:sectPr>
          <w:pgSz w:w="12240" w:h="15840"/>
          <w:pgMar w:header="0" w:footer="1003" w:top="1360" w:bottom="1200" w:left="1600" w:right="1580"/>
        </w:sectPr>
      </w:pPr>
    </w:p>
    <w:p>
      <w:pPr>
        <w:pStyle w:val="ListParagraph"/>
        <w:numPr>
          <w:ilvl w:val="1"/>
          <w:numId w:val="54"/>
        </w:numPr>
        <w:tabs>
          <w:tab w:pos="822" w:val="left" w:leader="none"/>
        </w:tabs>
        <w:spacing w:line="357" w:lineRule="auto" w:before="30" w:after="0"/>
        <w:ind w:left="822" w:right="124" w:hanging="360"/>
        <w:jc w:val="both"/>
        <w:rPr>
          <w:sz w:val="24"/>
        </w:rPr>
      </w:pPr>
      <w:r>
        <w:rPr>
          <w:sz w:val="24"/>
        </w:rPr>
        <w:t>Convenir con instituciones de educación superior, estatales y nacionales, programas de formación y actualización de los docentes en el uso de tecnologías de información y</w:t>
      </w:r>
      <w:r>
        <w:rPr>
          <w:spacing w:val="-2"/>
          <w:sz w:val="24"/>
        </w:rPr>
        <w:t> </w:t>
      </w:r>
      <w:r>
        <w:rPr>
          <w:sz w:val="24"/>
        </w:rPr>
        <w:t>comunicación.</w:t>
      </w:r>
    </w:p>
    <w:p>
      <w:pPr>
        <w:pStyle w:val="ListParagraph"/>
        <w:numPr>
          <w:ilvl w:val="1"/>
          <w:numId w:val="54"/>
        </w:numPr>
        <w:tabs>
          <w:tab w:pos="822" w:val="left" w:leader="none"/>
        </w:tabs>
        <w:spacing w:line="355" w:lineRule="auto" w:before="6" w:after="0"/>
        <w:ind w:left="822" w:right="118" w:hanging="360"/>
        <w:jc w:val="both"/>
        <w:rPr>
          <w:sz w:val="24"/>
        </w:rPr>
      </w:pPr>
      <w:r>
        <w:rPr>
          <w:sz w:val="24"/>
        </w:rPr>
        <w:t>Fortalecer los centros de capacitación y actualización docente, con programas y proyectos de investigación, y mediante el desarrollo de metodologías y de procedimientos que contribuyan a mejorar el proceso</w:t>
      </w:r>
      <w:r>
        <w:rPr>
          <w:spacing w:val="-11"/>
          <w:sz w:val="24"/>
        </w:rPr>
        <w:t> </w:t>
      </w:r>
      <w:r>
        <w:rPr>
          <w:sz w:val="24"/>
        </w:rPr>
        <w:t>educativo.</w:t>
      </w:r>
    </w:p>
    <w:p>
      <w:pPr>
        <w:pStyle w:val="ListParagraph"/>
        <w:numPr>
          <w:ilvl w:val="1"/>
          <w:numId w:val="54"/>
        </w:numPr>
        <w:tabs>
          <w:tab w:pos="822" w:val="left" w:leader="none"/>
        </w:tabs>
        <w:spacing w:line="350" w:lineRule="auto" w:before="11" w:after="0"/>
        <w:ind w:left="822" w:right="120" w:hanging="360"/>
        <w:jc w:val="both"/>
        <w:rPr>
          <w:sz w:val="24"/>
        </w:rPr>
      </w:pPr>
      <w:r>
        <w:rPr>
          <w:sz w:val="24"/>
        </w:rPr>
        <w:t>Dar atención prioritaria a los programas de posgrado orientados al desarrollo de la educación.</w:t>
      </w:r>
    </w:p>
    <w:p>
      <w:pPr>
        <w:pStyle w:val="ListParagraph"/>
        <w:numPr>
          <w:ilvl w:val="1"/>
          <w:numId w:val="54"/>
        </w:numPr>
        <w:tabs>
          <w:tab w:pos="822" w:val="left" w:leader="none"/>
        </w:tabs>
        <w:spacing w:line="350" w:lineRule="auto" w:before="17" w:after="0"/>
        <w:ind w:left="822" w:right="124" w:hanging="360"/>
        <w:jc w:val="both"/>
        <w:rPr>
          <w:sz w:val="24"/>
        </w:rPr>
      </w:pPr>
      <w:r>
        <w:rPr>
          <w:sz w:val="24"/>
        </w:rPr>
        <w:t>Fortalecer el equipamiento y mantenimiento de la infraestructura educativa con especial atención a escuelas ubicadas en zonas</w:t>
      </w:r>
      <w:r>
        <w:rPr>
          <w:spacing w:val="-13"/>
          <w:sz w:val="24"/>
        </w:rPr>
        <w:t> </w:t>
      </w:r>
      <w:r>
        <w:rPr>
          <w:sz w:val="24"/>
        </w:rPr>
        <w:t>marginadas.</w:t>
      </w:r>
    </w:p>
    <w:p>
      <w:pPr>
        <w:pStyle w:val="ListParagraph"/>
        <w:numPr>
          <w:ilvl w:val="1"/>
          <w:numId w:val="54"/>
        </w:numPr>
        <w:tabs>
          <w:tab w:pos="822" w:val="left" w:leader="none"/>
        </w:tabs>
        <w:spacing w:line="352" w:lineRule="auto" w:before="16" w:after="0"/>
        <w:ind w:left="822" w:right="119" w:hanging="360"/>
        <w:jc w:val="both"/>
        <w:rPr>
          <w:sz w:val="24"/>
        </w:rPr>
      </w:pPr>
      <w:r>
        <w:rPr>
          <w:sz w:val="24"/>
        </w:rPr>
        <w:t>Consolidar el Sistema Estatal de Planeación, Evaluación e Información Educativa, para articular y hacer más eficientes los servicios</w:t>
      </w:r>
      <w:r>
        <w:rPr>
          <w:spacing w:val="-13"/>
          <w:sz w:val="24"/>
        </w:rPr>
        <w:t> </w:t>
      </w:r>
      <w:r>
        <w:rPr>
          <w:sz w:val="24"/>
        </w:rPr>
        <w:t>educativos.</w:t>
      </w:r>
    </w:p>
    <w:p>
      <w:pPr>
        <w:pStyle w:val="BodyText"/>
      </w:pPr>
    </w:p>
    <w:p>
      <w:pPr>
        <w:pStyle w:val="Heading3"/>
        <w:numPr>
          <w:ilvl w:val="0"/>
          <w:numId w:val="54"/>
        </w:numPr>
        <w:tabs>
          <w:tab w:pos="343" w:val="left" w:leader="none"/>
        </w:tabs>
        <w:spacing w:line="240" w:lineRule="auto" w:before="156" w:after="0"/>
        <w:ind w:left="342" w:right="0" w:hanging="240"/>
        <w:jc w:val="left"/>
      </w:pPr>
      <w:r>
        <w:rPr/>
        <w:t>Equidad en el acceso a la</w:t>
      </w:r>
      <w:r>
        <w:rPr>
          <w:spacing w:val="-10"/>
        </w:rPr>
        <w:t> </w:t>
      </w:r>
      <w:r>
        <w:rPr/>
        <w:t>educación.</w:t>
      </w:r>
    </w:p>
    <w:p>
      <w:pPr>
        <w:pStyle w:val="ListParagraph"/>
        <w:numPr>
          <w:ilvl w:val="1"/>
          <w:numId w:val="54"/>
        </w:numPr>
        <w:tabs>
          <w:tab w:pos="822" w:val="left" w:leader="none"/>
        </w:tabs>
        <w:spacing w:line="352" w:lineRule="auto" w:before="131" w:after="0"/>
        <w:ind w:left="822" w:right="120" w:hanging="360"/>
        <w:jc w:val="both"/>
        <w:rPr>
          <w:sz w:val="24"/>
        </w:rPr>
      </w:pPr>
      <w:r>
        <w:rPr>
          <w:sz w:val="24"/>
        </w:rPr>
        <w:t>Ampliar, bajo criterios de equidad, la cobertura de los servicios educativos, atendiendo a las características y prioridades</w:t>
      </w:r>
      <w:r>
        <w:rPr>
          <w:spacing w:val="-9"/>
          <w:sz w:val="24"/>
        </w:rPr>
        <w:t> </w:t>
      </w:r>
      <w:r>
        <w:rPr>
          <w:sz w:val="24"/>
        </w:rPr>
        <w:t>regionales.</w:t>
      </w:r>
    </w:p>
    <w:p>
      <w:pPr>
        <w:pStyle w:val="ListParagraph"/>
        <w:numPr>
          <w:ilvl w:val="1"/>
          <w:numId w:val="54"/>
        </w:numPr>
        <w:tabs>
          <w:tab w:pos="822" w:val="left" w:leader="none"/>
        </w:tabs>
        <w:spacing w:line="355" w:lineRule="auto" w:before="12" w:after="0"/>
        <w:ind w:left="822" w:right="123" w:hanging="360"/>
        <w:jc w:val="both"/>
        <w:rPr>
          <w:sz w:val="24"/>
        </w:rPr>
      </w:pPr>
      <w:r>
        <w:rPr>
          <w:sz w:val="24"/>
        </w:rPr>
        <w:t>Impulsar los programas de becas con énfasis en los estudiantes de escasos recursos  y madres que estudian, para alentar la equidad de género </w:t>
      </w:r>
      <w:r>
        <w:rPr>
          <w:spacing w:val="-3"/>
          <w:sz w:val="24"/>
        </w:rPr>
        <w:t>y, </w:t>
      </w:r>
      <w:r>
        <w:rPr>
          <w:sz w:val="24"/>
        </w:rPr>
        <w:t>con ello, contribuir al acceso, permanencia y éxito</w:t>
      </w:r>
      <w:r>
        <w:rPr>
          <w:spacing w:val="-8"/>
          <w:sz w:val="24"/>
        </w:rPr>
        <w:t> </w:t>
      </w:r>
      <w:r>
        <w:rPr>
          <w:sz w:val="24"/>
        </w:rPr>
        <w:t>académico.</w:t>
      </w:r>
    </w:p>
    <w:p>
      <w:pPr>
        <w:pStyle w:val="ListParagraph"/>
        <w:numPr>
          <w:ilvl w:val="1"/>
          <w:numId w:val="54"/>
        </w:numPr>
        <w:tabs>
          <w:tab w:pos="822" w:val="left" w:leader="none"/>
        </w:tabs>
        <w:spacing w:line="352" w:lineRule="auto" w:before="11" w:after="0"/>
        <w:ind w:left="822" w:right="122" w:hanging="360"/>
        <w:jc w:val="both"/>
        <w:rPr>
          <w:sz w:val="24"/>
        </w:rPr>
      </w:pPr>
      <w:r>
        <w:rPr>
          <w:sz w:val="24"/>
        </w:rPr>
        <w:t>Impulsar programas que apoyen a los educandos para la continuidad y permanencia en sus estudios o, en su caso, para facilitar su ingreso al mercado de</w:t>
      </w:r>
      <w:r>
        <w:rPr>
          <w:spacing w:val="-12"/>
          <w:sz w:val="24"/>
        </w:rPr>
        <w:t> </w:t>
      </w:r>
      <w:r>
        <w:rPr>
          <w:sz w:val="24"/>
        </w:rPr>
        <w:t>trabajo.</w:t>
      </w:r>
    </w:p>
    <w:p>
      <w:pPr>
        <w:pStyle w:val="ListParagraph"/>
        <w:numPr>
          <w:ilvl w:val="1"/>
          <w:numId w:val="54"/>
        </w:numPr>
        <w:tabs>
          <w:tab w:pos="822" w:val="left" w:leader="none"/>
        </w:tabs>
        <w:spacing w:line="357" w:lineRule="auto" w:before="11" w:after="0"/>
        <w:ind w:left="822" w:right="118" w:hanging="360"/>
        <w:jc w:val="both"/>
        <w:rPr>
          <w:sz w:val="24"/>
        </w:rPr>
      </w:pPr>
      <w:r>
        <w:rPr>
          <w:sz w:val="24"/>
        </w:rPr>
        <w:t>Integrar a personas con necesidades educativas especiales a los servicios regulares a través de un sistema de atención y asistencia integral, así como incrementar los recursos para la educación especial, a fin de asegurar los apoyos técnicos y materiales para atender a estos</w:t>
      </w:r>
      <w:r>
        <w:rPr>
          <w:spacing w:val="-6"/>
          <w:sz w:val="24"/>
        </w:rPr>
        <w:t> </w:t>
      </w:r>
      <w:r>
        <w:rPr>
          <w:sz w:val="24"/>
        </w:rPr>
        <w:t>alumnos.</w:t>
      </w:r>
    </w:p>
    <w:p>
      <w:pPr>
        <w:pStyle w:val="ListParagraph"/>
        <w:numPr>
          <w:ilvl w:val="1"/>
          <w:numId w:val="54"/>
        </w:numPr>
        <w:tabs>
          <w:tab w:pos="822" w:val="left" w:leader="none"/>
        </w:tabs>
        <w:spacing w:line="352" w:lineRule="auto" w:before="6" w:after="0"/>
        <w:ind w:left="822" w:right="127" w:hanging="360"/>
        <w:jc w:val="both"/>
        <w:rPr>
          <w:sz w:val="24"/>
        </w:rPr>
      </w:pPr>
      <w:r>
        <w:rPr>
          <w:sz w:val="24"/>
        </w:rPr>
        <w:t>Reforzar los programas de educación abierta dirigidos a las personas mayores de 15 años que no han concluido la primaria, la secundaria o el</w:t>
      </w:r>
      <w:r>
        <w:rPr>
          <w:spacing w:val="-11"/>
          <w:sz w:val="24"/>
        </w:rPr>
        <w:t> </w:t>
      </w:r>
      <w:r>
        <w:rPr>
          <w:sz w:val="24"/>
        </w:rPr>
        <w:t>bachillerato.</w:t>
      </w:r>
    </w:p>
    <w:p>
      <w:pPr>
        <w:pStyle w:val="ListParagraph"/>
        <w:numPr>
          <w:ilvl w:val="1"/>
          <w:numId w:val="54"/>
        </w:numPr>
        <w:tabs>
          <w:tab w:pos="822" w:val="left" w:leader="none"/>
        </w:tabs>
        <w:spacing w:line="352" w:lineRule="auto" w:before="11" w:after="0"/>
        <w:ind w:left="822" w:right="125" w:hanging="360"/>
        <w:jc w:val="both"/>
        <w:rPr>
          <w:sz w:val="24"/>
        </w:rPr>
      </w:pPr>
      <w:r>
        <w:rPr>
          <w:sz w:val="24"/>
        </w:rPr>
        <w:t>Fortalecer la operación y expansión de los sistemas de telesecundaria y preparatoria abierta, para ampliar el acceso a los niveles educativos medio y medio</w:t>
      </w:r>
      <w:r>
        <w:rPr>
          <w:spacing w:val="-18"/>
          <w:sz w:val="24"/>
        </w:rPr>
        <w:t> </w:t>
      </w:r>
      <w:r>
        <w:rPr>
          <w:sz w:val="24"/>
        </w:rPr>
        <w:t>superior.</w:t>
      </w:r>
    </w:p>
    <w:p>
      <w:pPr>
        <w:spacing w:after="0" w:line="352" w:lineRule="auto"/>
        <w:jc w:val="both"/>
        <w:rPr>
          <w:sz w:val="24"/>
        </w:rPr>
        <w:sectPr>
          <w:pgSz w:w="12240" w:h="15840"/>
          <w:pgMar w:header="0" w:footer="1003" w:top="1380" w:bottom="1200" w:left="1600" w:right="1580"/>
        </w:sectPr>
      </w:pPr>
    </w:p>
    <w:p>
      <w:pPr>
        <w:pStyle w:val="ListParagraph"/>
        <w:numPr>
          <w:ilvl w:val="1"/>
          <w:numId w:val="54"/>
        </w:numPr>
        <w:tabs>
          <w:tab w:pos="822" w:val="left" w:leader="none"/>
        </w:tabs>
        <w:spacing w:line="357" w:lineRule="auto" w:before="30" w:after="0"/>
        <w:ind w:left="822" w:right="119" w:hanging="360"/>
        <w:jc w:val="both"/>
        <w:rPr>
          <w:sz w:val="24"/>
        </w:rPr>
      </w:pPr>
      <w:r>
        <w:rPr>
          <w:sz w:val="24"/>
        </w:rPr>
        <w:t>Apoyar la educación a distancia con medios tecnológicos que permitan a todos los grupos poblacionales acceder a los diversos programas educativos formales en</w:t>
      </w:r>
      <w:r>
        <w:rPr>
          <w:spacing w:val="-14"/>
          <w:sz w:val="24"/>
        </w:rPr>
        <w:t> </w:t>
      </w:r>
      <w:r>
        <w:rPr>
          <w:sz w:val="24"/>
        </w:rPr>
        <w:t>todos los</w:t>
      </w:r>
      <w:r>
        <w:rPr>
          <w:spacing w:val="-2"/>
          <w:sz w:val="24"/>
        </w:rPr>
        <w:t> </w:t>
      </w:r>
      <w:r>
        <w:rPr>
          <w:sz w:val="24"/>
        </w:rPr>
        <w:t>niveles.</w:t>
      </w:r>
    </w:p>
    <w:p>
      <w:pPr>
        <w:pStyle w:val="BodyText"/>
      </w:pPr>
    </w:p>
    <w:p>
      <w:pPr>
        <w:pStyle w:val="Heading3"/>
        <w:numPr>
          <w:ilvl w:val="0"/>
          <w:numId w:val="54"/>
        </w:numPr>
        <w:tabs>
          <w:tab w:pos="343" w:val="left" w:leader="none"/>
        </w:tabs>
        <w:spacing w:line="240" w:lineRule="auto" w:before="150" w:after="0"/>
        <w:ind w:left="342" w:right="0" w:hanging="240"/>
        <w:jc w:val="left"/>
      </w:pPr>
      <w:r>
        <w:rPr/>
        <w:t>Cobertura</w:t>
      </w:r>
      <w:r>
        <w:rPr>
          <w:spacing w:val="-6"/>
        </w:rPr>
        <w:t> </w:t>
      </w:r>
      <w:r>
        <w:rPr/>
        <w:t>educativa.</w:t>
      </w:r>
    </w:p>
    <w:p>
      <w:pPr>
        <w:pStyle w:val="ListParagraph"/>
        <w:numPr>
          <w:ilvl w:val="1"/>
          <w:numId w:val="54"/>
        </w:numPr>
        <w:tabs>
          <w:tab w:pos="822" w:val="left" w:leader="none"/>
        </w:tabs>
        <w:spacing w:line="355" w:lineRule="auto" w:before="131" w:after="0"/>
        <w:ind w:left="822" w:right="119" w:hanging="360"/>
        <w:jc w:val="both"/>
        <w:rPr>
          <w:sz w:val="24"/>
        </w:rPr>
      </w:pPr>
      <w:r>
        <w:rPr>
          <w:sz w:val="24"/>
        </w:rPr>
        <w:t>Impulsar un programa integral para la oferta educativa en todos los tipos, niveles y modalidades, que garantice un crecimiento ordenado y un mejor aprovechamiento de los recursos humanos, materiales y</w:t>
      </w:r>
      <w:r>
        <w:rPr>
          <w:spacing w:val="-12"/>
          <w:sz w:val="24"/>
        </w:rPr>
        <w:t> </w:t>
      </w:r>
      <w:r>
        <w:rPr>
          <w:sz w:val="24"/>
        </w:rPr>
        <w:t>financieros.</w:t>
      </w:r>
    </w:p>
    <w:p>
      <w:pPr>
        <w:pStyle w:val="ListParagraph"/>
        <w:numPr>
          <w:ilvl w:val="1"/>
          <w:numId w:val="54"/>
        </w:numPr>
        <w:tabs>
          <w:tab w:pos="822" w:val="left" w:leader="none"/>
        </w:tabs>
        <w:spacing w:line="355" w:lineRule="auto" w:before="12" w:after="0"/>
        <w:ind w:left="822" w:right="119" w:hanging="360"/>
        <w:jc w:val="both"/>
        <w:rPr>
          <w:sz w:val="24"/>
        </w:rPr>
      </w:pPr>
      <w:r>
        <w:rPr>
          <w:sz w:val="24"/>
        </w:rPr>
        <w:t>Fortalecer la educación media superior y superior estatal, y equilibrar la oferta por área de conocimiento en función de las necesidades económicas y sociales de la entidad.</w:t>
      </w:r>
    </w:p>
    <w:p>
      <w:pPr>
        <w:pStyle w:val="ListParagraph"/>
        <w:numPr>
          <w:ilvl w:val="1"/>
          <w:numId w:val="54"/>
        </w:numPr>
        <w:tabs>
          <w:tab w:pos="822" w:val="left" w:leader="none"/>
        </w:tabs>
        <w:spacing w:line="352" w:lineRule="auto" w:before="9" w:after="0"/>
        <w:ind w:left="822" w:right="124" w:hanging="360"/>
        <w:jc w:val="both"/>
        <w:rPr>
          <w:sz w:val="24"/>
        </w:rPr>
      </w:pPr>
      <w:r>
        <w:rPr>
          <w:sz w:val="24"/>
        </w:rPr>
        <w:t>Propiciar la coordinación entre dependencias y los tres niveles de gobierno que brindan alternativas educativas a la</w:t>
      </w:r>
      <w:r>
        <w:rPr>
          <w:spacing w:val="-11"/>
          <w:sz w:val="24"/>
        </w:rPr>
        <w:t> </w:t>
      </w:r>
      <w:r>
        <w:rPr>
          <w:sz w:val="24"/>
        </w:rPr>
        <w:t>población.</w:t>
      </w:r>
    </w:p>
    <w:p>
      <w:pPr>
        <w:pStyle w:val="ListParagraph"/>
        <w:numPr>
          <w:ilvl w:val="1"/>
          <w:numId w:val="54"/>
        </w:numPr>
        <w:tabs>
          <w:tab w:pos="822" w:val="left" w:leader="none"/>
        </w:tabs>
        <w:spacing w:line="352" w:lineRule="auto" w:before="11" w:after="0"/>
        <w:ind w:left="822" w:right="120" w:hanging="360"/>
        <w:jc w:val="both"/>
        <w:rPr>
          <w:sz w:val="24"/>
        </w:rPr>
      </w:pPr>
      <w:r>
        <w:rPr>
          <w:sz w:val="24"/>
        </w:rPr>
        <w:t>Promover la investigación científico-tecnológica aplicada a la innovación, la creatividad y el crecimiento de la</w:t>
      </w:r>
      <w:r>
        <w:rPr>
          <w:spacing w:val="-9"/>
          <w:sz w:val="24"/>
        </w:rPr>
        <w:t> </w:t>
      </w:r>
      <w:r>
        <w:rPr>
          <w:sz w:val="24"/>
        </w:rPr>
        <w:t>productividad.</w:t>
      </w:r>
    </w:p>
    <w:p>
      <w:pPr>
        <w:pStyle w:val="ListParagraph"/>
        <w:numPr>
          <w:ilvl w:val="1"/>
          <w:numId w:val="54"/>
        </w:numPr>
        <w:tabs>
          <w:tab w:pos="822" w:val="left" w:leader="none"/>
        </w:tabs>
        <w:spacing w:line="350" w:lineRule="auto" w:before="14" w:after="0"/>
        <w:ind w:left="822" w:right="120" w:hanging="360"/>
        <w:jc w:val="both"/>
        <w:rPr>
          <w:sz w:val="24"/>
        </w:rPr>
      </w:pPr>
      <w:r>
        <w:rPr>
          <w:sz w:val="24"/>
        </w:rPr>
        <w:t>Fortalecer las áreas de excelencia en las instituciones de educación superior y desarrollar nuevos campos del</w:t>
      </w:r>
      <w:r>
        <w:rPr>
          <w:spacing w:val="-9"/>
          <w:sz w:val="24"/>
        </w:rPr>
        <w:t> </w:t>
      </w:r>
      <w:r>
        <w:rPr>
          <w:sz w:val="24"/>
        </w:rPr>
        <w:t>conocimiento.</w:t>
      </w:r>
    </w:p>
    <w:p>
      <w:pPr>
        <w:pStyle w:val="ListParagraph"/>
        <w:numPr>
          <w:ilvl w:val="1"/>
          <w:numId w:val="54"/>
        </w:numPr>
        <w:tabs>
          <w:tab w:pos="822" w:val="left" w:leader="none"/>
        </w:tabs>
        <w:spacing w:line="350" w:lineRule="auto" w:before="16" w:after="0"/>
        <w:ind w:left="822" w:right="126" w:hanging="360"/>
        <w:jc w:val="both"/>
        <w:rPr>
          <w:sz w:val="24"/>
        </w:rPr>
      </w:pPr>
      <w:r>
        <w:rPr>
          <w:sz w:val="24"/>
        </w:rPr>
        <w:t>Ampliar los programas de intercambio académico y tecnológico a nivel nacional e internacional.</w:t>
      </w:r>
    </w:p>
    <w:p>
      <w:pPr>
        <w:pStyle w:val="ListParagraph"/>
        <w:numPr>
          <w:ilvl w:val="1"/>
          <w:numId w:val="54"/>
        </w:numPr>
        <w:tabs>
          <w:tab w:pos="822" w:val="left" w:leader="none"/>
        </w:tabs>
        <w:spacing w:line="352" w:lineRule="auto" w:before="16" w:after="0"/>
        <w:ind w:left="822" w:right="120" w:hanging="360"/>
        <w:jc w:val="both"/>
        <w:rPr>
          <w:sz w:val="24"/>
        </w:rPr>
      </w:pPr>
      <w:r>
        <w:rPr>
          <w:sz w:val="24"/>
        </w:rPr>
        <w:t>Propiciar convenios académicos que permitan introducir nuevas especialidades en los tecnológicos y distintos posgrados en las escuelas</w:t>
      </w:r>
      <w:r>
        <w:rPr>
          <w:spacing w:val="-10"/>
          <w:sz w:val="24"/>
        </w:rPr>
        <w:t> </w:t>
      </w:r>
      <w:r>
        <w:rPr>
          <w:sz w:val="24"/>
        </w:rPr>
        <w:t>normales.</w:t>
      </w:r>
    </w:p>
    <w:p>
      <w:pPr>
        <w:pStyle w:val="BodyText"/>
      </w:pPr>
    </w:p>
    <w:p>
      <w:pPr>
        <w:pStyle w:val="Heading3"/>
        <w:numPr>
          <w:ilvl w:val="0"/>
          <w:numId w:val="54"/>
        </w:numPr>
        <w:tabs>
          <w:tab w:pos="343" w:val="left" w:leader="none"/>
        </w:tabs>
        <w:spacing w:line="240" w:lineRule="auto" w:before="156" w:after="0"/>
        <w:ind w:left="342" w:right="0" w:hanging="240"/>
        <w:jc w:val="left"/>
      </w:pPr>
      <w:r>
        <w:rPr/>
        <w:t>Nuevo modelo educativo estatal con participación</w:t>
      </w:r>
      <w:r>
        <w:rPr>
          <w:spacing w:val="-11"/>
        </w:rPr>
        <w:t> </w:t>
      </w:r>
      <w:r>
        <w:rPr/>
        <w:t>social.</w:t>
      </w:r>
    </w:p>
    <w:p>
      <w:pPr>
        <w:pStyle w:val="ListParagraph"/>
        <w:numPr>
          <w:ilvl w:val="1"/>
          <w:numId w:val="54"/>
        </w:numPr>
        <w:tabs>
          <w:tab w:pos="822" w:val="left" w:leader="none"/>
        </w:tabs>
        <w:spacing w:line="352" w:lineRule="auto" w:before="131" w:after="0"/>
        <w:ind w:left="822" w:right="120" w:hanging="360"/>
        <w:jc w:val="both"/>
        <w:rPr>
          <w:sz w:val="24"/>
        </w:rPr>
      </w:pPr>
      <w:r>
        <w:rPr>
          <w:sz w:val="24"/>
        </w:rPr>
        <w:t>Diseñar una oferta educativa en función de las necesidades de la entidad y de las nuevas exigencias del cambio tecnológico y la economía</w:t>
      </w:r>
      <w:r>
        <w:rPr>
          <w:spacing w:val="-12"/>
          <w:sz w:val="24"/>
        </w:rPr>
        <w:t> </w:t>
      </w:r>
      <w:r>
        <w:rPr>
          <w:sz w:val="24"/>
        </w:rPr>
        <w:t>global.</w:t>
      </w:r>
    </w:p>
    <w:p>
      <w:pPr>
        <w:pStyle w:val="ListParagraph"/>
        <w:numPr>
          <w:ilvl w:val="1"/>
          <w:numId w:val="54"/>
        </w:numPr>
        <w:tabs>
          <w:tab w:pos="822" w:val="left" w:leader="none"/>
        </w:tabs>
        <w:spacing w:line="357" w:lineRule="auto" w:before="11" w:after="0"/>
        <w:ind w:left="822" w:right="118" w:hanging="360"/>
        <w:jc w:val="both"/>
        <w:rPr>
          <w:sz w:val="24"/>
        </w:rPr>
      </w:pPr>
      <w:r>
        <w:rPr>
          <w:sz w:val="24"/>
        </w:rPr>
        <w:t>Fortalecer las áreas de investigación básica, humanística, educativa y de desarrollo tecnológico en las instituciones orientadas al quehacer científico y a </w:t>
      </w:r>
      <w:r>
        <w:rPr>
          <w:spacing w:val="3"/>
          <w:sz w:val="24"/>
        </w:rPr>
        <w:t>la </w:t>
      </w:r>
      <w:r>
        <w:rPr>
          <w:sz w:val="24"/>
        </w:rPr>
        <w:t>educación superior, para que contribuyan a la solución de los problemas regionales y desarrollen actividades que impulsen la actividad social, productiva y económica de la</w:t>
      </w:r>
      <w:r>
        <w:rPr>
          <w:spacing w:val="-3"/>
          <w:sz w:val="24"/>
        </w:rPr>
        <w:t> </w:t>
      </w:r>
      <w:r>
        <w:rPr>
          <w:sz w:val="24"/>
        </w:rPr>
        <w:t>entidad.</w:t>
      </w:r>
    </w:p>
    <w:p>
      <w:pPr>
        <w:spacing w:after="0" w:line="357" w:lineRule="auto"/>
        <w:jc w:val="both"/>
        <w:rPr>
          <w:sz w:val="24"/>
        </w:rPr>
        <w:sectPr>
          <w:footerReference w:type="default" r:id="rId58"/>
          <w:pgSz w:w="12240" w:h="15840"/>
          <w:pgMar w:footer="1003" w:header="0" w:top="1380" w:bottom="1200" w:left="1600" w:right="1580"/>
        </w:sectPr>
      </w:pPr>
    </w:p>
    <w:p>
      <w:pPr>
        <w:pStyle w:val="ListParagraph"/>
        <w:numPr>
          <w:ilvl w:val="1"/>
          <w:numId w:val="54"/>
        </w:numPr>
        <w:tabs>
          <w:tab w:pos="842" w:val="left" w:leader="none"/>
        </w:tabs>
        <w:spacing w:line="352" w:lineRule="auto" w:before="30" w:after="0"/>
        <w:ind w:left="842" w:right="117" w:hanging="360"/>
        <w:jc w:val="both"/>
        <w:rPr>
          <w:sz w:val="24"/>
        </w:rPr>
      </w:pPr>
      <w:r>
        <w:rPr>
          <w:sz w:val="24"/>
        </w:rPr>
        <w:t>Desarrollar programas de posgrado en las instituciones de educación superior, inculcados con los sectores productivo y social de la</w:t>
      </w:r>
      <w:r>
        <w:rPr>
          <w:spacing w:val="-10"/>
          <w:sz w:val="24"/>
        </w:rPr>
        <w:t> </w:t>
      </w:r>
      <w:r>
        <w:rPr>
          <w:sz w:val="24"/>
        </w:rPr>
        <w:t>entidad.</w:t>
      </w:r>
    </w:p>
    <w:p>
      <w:pPr>
        <w:pStyle w:val="ListParagraph"/>
        <w:numPr>
          <w:ilvl w:val="1"/>
          <w:numId w:val="54"/>
        </w:numPr>
        <w:tabs>
          <w:tab w:pos="842" w:val="left" w:leader="none"/>
        </w:tabs>
        <w:spacing w:line="350" w:lineRule="auto" w:before="14" w:after="0"/>
        <w:ind w:left="842" w:right="124" w:hanging="360"/>
        <w:jc w:val="both"/>
        <w:rPr>
          <w:sz w:val="24"/>
        </w:rPr>
      </w:pPr>
      <w:r>
        <w:rPr>
          <w:sz w:val="24"/>
        </w:rPr>
        <w:t>Implantar un certificado técnico para los jóvenes que egresan de la preparatoria, que les permita acceder a un empleo digno de manera</w:t>
      </w:r>
      <w:r>
        <w:rPr>
          <w:spacing w:val="-9"/>
          <w:sz w:val="24"/>
        </w:rPr>
        <w:t> </w:t>
      </w:r>
      <w:r>
        <w:rPr>
          <w:sz w:val="24"/>
        </w:rPr>
        <w:t>inmediata.</w:t>
      </w:r>
    </w:p>
    <w:p>
      <w:pPr>
        <w:pStyle w:val="ListParagraph"/>
        <w:numPr>
          <w:ilvl w:val="1"/>
          <w:numId w:val="54"/>
        </w:numPr>
        <w:tabs>
          <w:tab w:pos="842" w:val="left" w:leader="none"/>
        </w:tabs>
        <w:spacing w:line="355" w:lineRule="auto" w:before="16" w:after="0"/>
        <w:ind w:left="842" w:right="119" w:hanging="360"/>
        <w:jc w:val="both"/>
        <w:rPr>
          <w:sz w:val="24"/>
        </w:rPr>
      </w:pPr>
      <w:r>
        <w:rPr>
          <w:sz w:val="24"/>
        </w:rPr>
        <w:t>Fortalecer la participación social en apoyo a las tareas educativas, promoviendo una estrecha vinculación entre la escuela, los padres de familia y la comunidad, en un marco de corresponsabilidad y compromiso</w:t>
      </w:r>
      <w:r>
        <w:rPr>
          <w:spacing w:val="-6"/>
          <w:sz w:val="24"/>
        </w:rPr>
        <w:t> </w:t>
      </w:r>
      <w:r>
        <w:rPr>
          <w:sz w:val="24"/>
        </w:rPr>
        <w:t>social.</w:t>
      </w:r>
    </w:p>
    <w:p>
      <w:pPr>
        <w:pStyle w:val="ListParagraph"/>
        <w:numPr>
          <w:ilvl w:val="1"/>
          <w:numId w:val="54"/>
        </w:numPr>
        <w:tabs>
          <w:tab w:pos="842" w:val="left" w:leader="none"/>
        </w:tabs>
        <w:spacing w:line="352" w:lineRule="auto" w:before="9" w:after="0"/>
        <w:ind w:left="842" w:right="124" w:hanging="360"/>
        <w:jc w:val="both"/>
        <w:rPr>
          <w:sz w:val="24"/>
        </w:rPr>
      </w:pPr>
      <w:r>
        <w:rPr>
          <w:sz w:val="24"/>
        </w:rPr>
        <w:t>Promover la participación comprometida de los gobiernos municipales en el mejoramiento físico y equipamiento de las</w:t>
      </w:r>
      <w:r>
        <w:rPr>
          <w:spacing w:val="-8"/>
          <w:sz w:val="24"/>
        </w:rPr>
        <w:t> </w:t>
      </w:r>
      <w:r>
        <w:rPr>
          <w:sz w:val="24"/>
        </w:rPr>
        <w:t>escuelas.</w:t>
      </w:r>
    </w:p>
    <w:p>
      <w:pPr>
        <w:pStyle w:val="ListParagraph"/>
        <w:numPr>
          <w:ilvl w:val="1"/>
          <w:numId w:val="54"/>
        </w:numPr>
        <w:tabs>
          <w:tab w:pos="842" w:val="left" w:leader="none"/>
        </w:tabs>
        <w:spacing w:line="352" w:lineRule="auto" w:before="11" w:after="0"/>
        <w:ind w:left="842" w:right="125" w:hanging="360"/>
        <w:jc w:val="both"/>
        <w:rPr>
          <w:sz w:val="24"/>
        </w:rPr>
      </w:pPr>
      <w:r>
        <w:rPr>
          <w:sz w:val="24"/>
        </w:rPr>
        <w:t>Fortalecer los mecanismos de participación, concertación y coordinación ciudadana, para la formulación, ejecución y evaluación de las políticas educativas y</w:t>
      </w:r>
      <w:r>
        <w:rPr>
          <w:spacing w:val="-20"/>
          <w:sz w:val="24"/>
        </w:rPr>
        <w:t> </w:t>
      </w:r>
      <w:r>
        <w:rPr>
          <w:sz w:val="24"/>
        </w:rPr>
        <w:t>científicas.</w:t>
      </w:r>
    </w:p>
    <w:p>
      <w:pPr>
        <w:pStyle w:val="ListParagraph"/>
        <w:numPr>
          <w:ilvl w:val="1"/>
          <w:numId w:val="54"/>
        </w:numPr>
        <w:tabs>
          <w:tab w:pos="842" w:val="left" w:leader="none"/>
        </w:tabs>
        <w:spacing w:line="355" w:lineRule="auto" w:before="14" w:after="0"/>
        <w:ind w:left="842" w:right="123" w:hanging="360"/>
        <w:jc w:val="both"/>
        <w:rPr>
          <w:sz w:val="24"/>
        </w:rPr>
      </w:pPr>
      <w:r>
        <w:rPr>
          <w:sz w:val="24"/>
        </w:rPr>
        <w:t>Mantener un diálogo permanente con las organizaciones de docentes y personal administrativo, así como fortalecer los espacios y formas de participación en la transformación de la</w:t>
      </w:r>
      <w:r>
        <w:rPr>
          <w:spacing w:val="-8"/>
          <w:sz w:val="24"/>
        </w:rPr>
        <w:t> </w:t>
      </w:r>
      <w:r>
        <w:rPr>
          <w:sz w:val="24"/>
        </w:rPr>
        <w:t>educación.</w:t>
      </w:r>
    </w:p>
    <w:p>
      <w:pPr>
        <w:pStyle w:val="BodyText"/>
      </w:pPr>
    </w:p>
    <w:p>
      <w:pPr>
        <w:pStyle w:val="Heading3"/>
        <w:numPr>
          <w:ilvl w:val="1"/>
          <w:numId w:val="55"/>
        </w:numPr>
        <w:tabs>
          <w:tab w:pos="542" w:val="left" w:leader="none"/>
        </w:tabs>
        <w:spacing w:line="240" w:lineRule="auto" w:before="153" w:after="0"/>
        <w:ind w:left="542" w:right="0" w:hanging="420"/>
        <w:jc w:val="both"/>
      </w:pPr>
      <w:bookmarkStart w:name="_bookmark39" w:id="72"/>
      <w:bookmarkEnd w:id="72"/>
      <w:r>
        <w:rPr>
          <w:b w:val="0"/>
        </w:rPr>
      </w:r>
      <w:bookmarkStart w:name="_bookmark39" w:id="73"/>
      <w:bookmarkEnd w:id="73"/>
      <w:r>
        <w:rPr/>
        <w:t>Diagnósti</w:t>
      </w:r>
      <w:r>
        <w:rPr/>
        <w:t>co de la educación en</w:t>
      </w:r>
      <w:r>
        <w:rPr>
          <w:spacing w:val="-7"/>
        </w:rPr>
        <w:t> </w:t>
      </w:r>
      <w:r>
        <w:rPr/>
        <w:t>México</w:t>
      </w:r>
    </w:p>
    <w:p>
      <w:pPr>
        <w:pStyle w:val="BodyText"/>
        <w:rPr>
          <w:b/>
        </w:rPr>
      </w:pPr>
    </w:p>
    <w:p>
      <w:pPr>
        <w:pStyle w:val="BodyText"/>
        <w:spacing w:line="360" w:lineRule="auto" w:before="173"/>
        <w:ind w:left="122" w:right="117"/>
        <w:jc w:val="both"/>
      </w:pPr>
      <w:r>
        <w:rPr/>
        <w:t>En este apartado se presentan las principales características de la educación mexicana, en donde se hace especial énfasis en la situación actual de la educación de nivel superior, por tratarse del nivel educativo en donde se encuentran los egresados de la Licenciatura de Economía de la UAEMéx, objeto de estudio de esta investigación.</w:t>
      </w:r>
    </w:p>
    <w:p>
      <w:pPr>
        <w:pStyle w:val="BodyText"/>
        <w:spacing w:before="5"/>
        <w:rPr>
          <w:sz w:val="28"/>
        </w:rPr>
      </w:pPr>
    </w:p>
    <w:p>
      <w:pPr>
        <w:pStyle w:val="Heading3"/>
        <w:numPr>
          <w:ilvl w:val="2"/>
          <w:numId w:val="55"/>
        </w:numPr>
        <w:tabs>
          <w:tab w:pos="722" w:val="left" w:leader="none"/>
        </w:tabs>
        <w:spacing w:line="240" w:lineRule="auto" w:before="1" w:after="0"/>
        <w:ind w:left="722" w:right="0" w:hanging="600"/>
        <w:jc w:val="both"/>
      </w:pPr>
      <w:bookmarkStart w:name="_bookmark40" w:id="74"/>
      <w:bookmarkEnd w:id="74"/>
      <w:r>
        <w:rPr>
          <w:b w:val="0"/>
        </w:rPr>
      </w:r>
      <w:bookmarkStart w:name="_bookmark40" w:id="75"/>
      <w:bookmarkEnd w:id="75"/>
      <w:r>
        <w:rPr/>
        <w:t>S</w:t>
      </w:r>
      <w:r>
        <w:rPr/>
        <w:t>istema educativo</w:t>
      </w:r>
      <w:r>
        <w:rPr>
          <w:spacing w:val="-7"/>
        </w:rPr>
        <w:t> </w:t>
      </w:r>
      <w:r>
        <w:rPr/>
        <w:t>mexicano.</w:t>
      </w:r>
    </w:p>
    <w:p>
      <w:pPr>
        <w:pStyle w:val="BodyText"/>
        <w:spacing w:before="11"/>
        <w:rPr>
          <w:b/>
          <w:sz w:val="35"/>
        </w:rPr>
      </w:pPr>
    </w:p>
    <w:p>
      <w:pPr>
        <w:pStyle w:val="BodyText"/>
        <w:spacing w:line="360" w:lineRule="auto"/>
        <w:ind w:left="122" w:right="116"/>
        <w:jc w:val="both"/>
      </w:pPr>
      <w:r>
        <w:rPr/>
        <w:t>El sistema educativo mexicano de todos los niveles educativos</w:t>
      </w:r>
      <w:r>
        <w:rPr>
          <w:position w:val="11"/>
          <w:sz w:val="16"/>
        </w:rPr>
        <w:t>13 </w:t>
      </w:r>
      <w:r>
        <w:rPr/>
        <w:t>en los últimos años ha presentado un incremento en el número de escuelas, matrícula y maestros que se requieren para atender la demanda. En la siguiente tabla se muestra como el incremento del número de alumnos aumentó en un 50% del ciclo 2000-2001 al ciclo</w:t>
      </w:r>
      <w:r>
        <w:rPr>
          <w:spacing w:val="-5"/>
        </w:rPr>
        <w:t> </w:t>
      </w:r>
      <w:r>
        <w:rPr/>
        <w:t>2009-2010.</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6"/>
        </w:rPr>
      </w:pPr>
      <w:r>
        <w:rPr/>
        <w:pict>
          <v:line style="position:absolute;mso-position-horizontal-relative:page;mso-position-vertical-relative:paragraph;z-index:1864;mso-wrap-distance-left:0;mso-wrap-distance-right:0" from="85.103996pt,17.599659pt" to="229.123996pt,17.599659pt" stroked="true" strokeweight=".72003pt" strokecolor="#000000">
            <w10:wrap type="topAndBottom"/>
          </v:line>
        </w:pict>
      </w:r>
    </w:p>
    <w:p>
      <w:pPr>
        <w:spacing w:before="42"/>
        <w:ind w:left="122" w:right="1552" w:firstLine="0"/>
        <w:jc w:val="left"/>
        <w:rPr>
          <w:sz w:val="20"/>
        </w:rPr>
      </w:pPr>
      <w:r>
        <w:rPr>
          <w:position w:val="9"/>
          <w:sz w:val="13"/>
        </w:rPr>
        <w:t>13 </w:t>
      </w:r>
      <w:r>
        <w:rPr>
          <w:sz w:val="20"/>
        </w:rPr>
        <w:t>Constituido por los niveles de educación: básica, media, media superior y superior.</w:t>
      </w:r>
    </w:p>
    <w:p>
      <w:pPr>
        <w:spacing w:after="0"/>
        <w:jc w:val="left"/>
        <w:rPr>
          <w:sz w:val="20"/>
        </w:rPr>
        <w:sectPr>
          <w:footerReference w:type="default" r:id="rId59"/>
          <w:pgSz w:w="12240" w:h="15840"/>
          <w:pgMar w:footer="1003" w:header="0" w:top="1380" w:bottom="1200" w:left="1580" w:right="1580"/>
          <w:pgNumType w:start="81"/>
        </w:sectPr>
      </w:pPr>
    </w:p>
    <w:p>
      <w:pPr>
        <w:pStyle w:val="Heading3"/>
        <w:spacing w:line="360" w:lineRule="auto" w:after="5"/>
        <w:ind w:left="4000" w:right="653" w:hanging="3363"/>
        <w:jc w:val="left"/>
      </w:pPr>
      <w:r>
        <w:rPr/>
        <w:t>Tabla 3.3. Alumnos y maestros de todos los niveles educativos en México de 2000-2010</w:t>
      </w:r>
    </w:p>
    <w:tbl>
      <w:tblPr>
        <w:tblW w:w="0" w:type="auto"/>
        <w:jc w:val="left"/>
        <w:tblInd w:w="26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4"/>
        <w:gridCol w:w="1200"/>
        <w:gridCol w:w="1200"/>
      </w:tblGrid>
      <w:tr>
        <w:trPr>
          <w:trHeight w:val="312" w:hRule="exact"/>
        </w:trPr>
        <w:tc>
          <w:tcPr>
            <w:tcW w:w="1274" w:type="dxa"/>
            <w:tcBorders>
              <w:left w:val="nil"/>
            </w:tcBorders>
          </w:tcPr>
          <w:p>
            <w:pPr>
              <w:pStyle w:val="TableParagraph"/>
              <w:ind w:left="120"/>
              <w:rPr>
                <w:b/>
                <w:sz w:val="20"/>
              </w:rPr>
            </w:pPr>
            <w:r>
              <w:rPr>
                <w:b/>
                <w:sz w:val="20"/>
              </w:rPr>
              <w:t>Ciclo</w:t>
            </w:r>
          </w:p>
        </w:tc>
        <w:tc>
          <w:tcPr>
            <w:tcW w:w="1200" w:type="dxa"/>
          </w:tcPr>
          <w:p>
            <w:pPr>
              <w:pStyle w:val="TableParagraph"/>
              <w:ind w:left="100"/>
              <w:rPr>
                <w:b/>
                <w:sz w:val="20"/>
              </w:rPr>
            </w:pPr>
            <w:r>
              <w:rPr>
                <w:b/>
                <w:sz w:val="20"/>
              </w:rPr>
              <w:t>Alumnos</w:t>
            </w:r>
          </w:p>
        </w:tc>
        <w:tc>
          <w:tcPr>
            <w:tcW w:w="1200" w:type="dxa"/>
            <w:tcBorders>
              <w:right w:val="nil"/>
            </w:tcBorders>
          </w:tcPr>
          <w:p>
            <w:pPr>
              <w:pStyle w:val="TableParagraph"/>
              <w:ind w:left="100"/>
              <w:rPr>
                <w:b/>
                <w:sz w:val="20"/>
              </w:rPr>
            </w:pPr>
            <w:r>
              <w:rPr>
                <w:b/>
                <w:sz w:val="20"/>
              </w:rPr>
              <w:t>Maestros</w:t>
            </w:r>
          </w:p>
        </w:tc>
      </w:tr>
      <w:tr>
        <w:trPr>
          <w:trHeight w:val="274" w:hRule="exact"/>
        </w:trPr>
        <w:tc>
          <w:tcPr>
            <w:tcW w:w="1274" w:type="dxa"/>
            <w:tcBorders>
              <w:left w:val="nil"/>
              <w:bottom w:val="nil"/>
            </w:tcBorders>
          </w:tcPr>
          <w:p>
            <w:pPr>
              <w:pStyle w:val="TableParagraph"/>
              <w:spacing w:line="223" w:lineRule="exact"/>
              <w:ind w:left="120"/>
              <w:rPr>
                <w:sz w:val="20"/>
              </w:rPr>
            </w:pPr>
            <w:r>
              <w:rPr>
                <w:sz w:val="20"/>
              </w:rPr>
              <w:t>2000-2001</w:t>
            </w:r>
          </w:p>
        </w:tc>
        <w:tc>
          <w:tcPr>
            <w:tcW w:w="1200" w:type="dxa"/>
            <w:tcBorders>
              <w:bottom w:val="nil"/>
            </w:tcBorders>
          </w:tcPr>
          <w:p>
            <w:pPr>
              <w:pStyle w:val="TableParagraph"/>
              <w:spacing w:line="223" w:lineRule="exact"/>
              <w:ind w:right="104"/>
              <w:jc w:val="right"/>
              <w:rPr>
                <w:sz w:val="20"/>
              </w:rPr>
            </w:pPr>
            <w:r>
              <w:rPr>
                <w:w w:val="95"/>
                <w:sz w:val="20"/>
              </w:rPr>
              <w:t>1,051,702</w:t>
            </w:r>
          </w:p>
        </w:tc>
        <w:tc>
          <w:tcPr>
            <w:tcW w:w="1200" w:type="dxa"/>
            <w:tcBorders>
              <w:bottom w:val="nil"/>
              <w:right w:val="nil"/>
            </w:tcBorders>
          </w:tcPr>
          <w:p>
            <w:pPr>
              <w:pStyle w:val="TableParagraph"/>
              <w:spacing w:line="223" w:lineRule="exact"/>
              <w:ind w:right="108"/>
              <w:jc w:val="right"/>
              <w:rPr>
                <w:sz w:val="20"/>
              </w:rPr>
            </w:pPr>
            <w:r>
              <w:rPr>
                <w:w w:val="95"/>
                <w:sz w:val="20"/>
              </w:rPr>
              <w:t>35,269</w:t>
            </w:r>
          </w:p>
        </w:tc>
      </w:tr>
      <w:tr>
        <w:trPr>
          <w:trHeight w:val="300" w:hRule="exact"/>
        </w:trPr>
        <w:tc>
          <w:tcPr>
            <w:tcW w:w="1274" w:type="dxa"/>
            <w:tcBorders>
              <w:top w:val="nil"/>
              <w:left w:val="nil"/>
              <w:bottom w:val="nil"/>
            </w:tcBorders>
          </w:tcPr>
          <w:p>
            <w:pPr>
              <w:pStyle w:val="TableParagraph"/>
              <w:spacing w:before="24"/>
              <w:ind w:left="120"/>
              <w:rPr>
                <w:sz w:val="20"/>
              </w:rPr>
            </w:pPr>
            <w:r>
              <w:rPr>
                <w:sz w:val="20"/>
              </w:rPr>
              <w:t>2001-2002</w:t>
            </w:r>
          </w:p>
        </w:tc>
        <w:tc>
          <w:tcPr>
            <w:tcW w:w="1200" w:type="dxa"/>
            <w:tcBorders>
              <w:top w:val="nil"/>
              <w:bottom w:val="nil"/>
            </w:tcBorders>
          </w:tcPr>
          <w:p>
            <w:pPr>
              <w:pStyle w:val="TableParagraph"/>
              <w:spacing w:before="24"/>
              <w:ind w:right="104"/>
              <w:jc w:val="right"/>
              <w:rPr>
                <w:sz w:val="20"/>
              </w:rPr>
            </w:pPr>
            <w:r>
              <w:rPr>
                <w:w w:val="95"/>
                <w:sz w:val="20"/>
              </w:rPr>
              <w:t>1,092,299</w:t>
            </w:r>
          </w:p>
        </w:tc>
        <w:tc>
          <w:tcPr>
            <w:tcW w:w="1200" w:type="dxa"/>
            <w:tcBorders>
              <w:top w:val="nil"/>
              <w:bottom w:val="nil"/>
              <w:right w:val="nil"/>
            </w:tcBorders>
          </w:tcPr>
          <w:p>
            <w:pPr>
              <w:pStyle w:val="TableParagraph"/>
              <w:spacing w:before="24"/>
              <w:ind w:right="108"/>
              <w:jc w:val="right"/>
              <w:rPr>
                <w:sz w:val="20"/>
              </w:rPr>
            </w:pPr>
            <w:r>
              <w:rPr>
                <w:w w:val="95"/>
                <w:sz w:val="20"/>
              </w:rPr>
              <w:t>34,798</w:t>
            </w:r>
          </w:p>
        </w:tc>
      </w:tr>
      <w:tr>
        <w:trPr>
          <w:trHeight w:val="300" w:hRule="exact"/>
        </w:trPr>
        <w:tc>
          <w:tcPr>
            <w:tcW w:w="1274" w:type="dxa"/>
            <w:tcBorders>
              <w:top w:val="nil"/>
              <w:left w:val="nil"/>
              <w:bottom w:val="nil"/>
            </w:tcBorders>
          </w:tcPr>
          <w:p>
            <w:pPr>
              <w:pStyle w:val="TableParagraph"/>
              <w:spacing w:before="24"/>
              <w:ind w:left="120"/>
              <w:rPr>
                <w:sz w:val="20"/>
              </w:rPr>
            </w:pPr>
            <w:r>
              <w:rPr>
                <w:sz w:val="20"/>
              </w:rPr>
              <w:t>2002-2003</w:t>
            </w:r>
          </w:p>
        </w:tc>
        <w:tc>
          <w:tcPr>
            <w:tcW w:w="1200" w:type="dxa"/>
            <w:tcBorders>
              <w:top w:val="nil"/>
              <w:bottom w:val="nil"/>
            </w:tcBorders>
          </w:tcPr>
          <w:p>
            <w:pPr>
              <w:pStyle w:val="TableParagraph"/>
              <w:spacing w:before="24"/>
              <w:ind w:right="104"/>
              <w:jc w:val="right"/>
              <w:rPr>
                <w:sz w:val="20"/>
              </w:rPr>
            </w:pPr>
            <w:r>
              <w:rPr>
                <w:w w:val="95"/>
                <w:sz w:val="20"/>
              </w:rPr>
              <w:t>1,232,843</w:t>
            </w:r>
          </w:p>
        </w:tc>
        <w:tc>
          <w:tcPr>
            <w:tcW w:w="1200" w:type="dxa"/>
            <w:tcBorders>
              <w:top w:val="nil"/>
              <w:bottom w:val="nil"/>
              <w:right w:val="nil"/>
            </w:tcBorders>
          </w:tcPr>
          <w:p>
            <w:pPr>
              <w:pStyle w:val="TableParagraph"/>
              <w:spacing w:before="24"/>
              <w:ind w:right="108"/>
              <w:jc w:val="right"/>
              <w:rPr>
                <w:sz w:val="20"/>
              </w:rPr>
            </w:pPr>
            <w:r>
              <w:rPr>
                <w:w w:val="95"/>
                <w:sz w:val="20"/>
              </w:rPr>
              <w:t>35,311</w:t>
            </w:r>
          </w:p>
        </w:tc>
      </w:tr>
      <w:tr>
        <w:trPr>
          <w:trHeight w:val="300" w:hRule="exact"/>
        </w:trPr>
        <w:tc>
          <w:tcPr>
            <w:tcW w:w="1274" w:type="dxa"/>
            <w:tcBorders>
              <w:top w:val="nil"/>
              <w:left w:val="nil"/>
              <w:bottom w:val="nil"/>
            </w:tcBorders>
          </w:tcPr>
          <w:p>
            <w:pPr>
              <w:pStyle w:val="TableParagraph"/>
              <w:spacing w:before="24"/>
              <w:ind w:left="120"/>
              <w:rPr>
                <w:sz w:val="20"/>
              </w:rPr>
            </w:pPr>
            <w:r>
              <w:rPr>
                <w:sz w:val="20"/>
              </w:rPr>
              <w:t>2003-2004</w:t>
            </w:r>
          </w:p>
        </w:tc>
        <w:tc>
          <w:tcPr>
            <w:tcW w:w="1200" w:type="dxa"/>
            <w:tcBorders>
              <w:top w:val="nil"/>
              <w:bottom w:val="nil"/>
            </w:tcBorders>
          </w:tcPr>
          <w:p>
            <w:pPr>
              <w:pStyle w:val="TableParagraph"/>
              <w:spacing w:before="24"/>
              <w:ind w:right="104"/>
              <w:jc w:val="right"/>
              <w:rPr>
                <w:sz w:val="20"/>
              </w:rPr>
            </w:pPr>
            <w:r>
              <w:rPr>
                <w:w w:val="95"/>
                <w:sz w:val="20"/>
              </w:rPr>
              <w:t>1,179,676</w:t>
            </w:r>
          </w:p>
        </w:tc>
        <w:tc>
          <w:tcPr>
            <w:tcW w:w="1200" w:type="dxa"/>
            <w:tcBorders>
              <w:top w:val="nil"/>
              <w:bottom w:val="nil"/>
              <w:right w:val="nil"/>
            </w:tcBorders>
          </w:tcPr>
          <w:p>
            <w:pPr>
              <w:pStyle w:val="TableParagraph"/>
              <w:spacing w:before="24"/>
              <w:ind w:right="108"/>
              <w:jc w:val="right"/>
              <w:rPr>
                <w:sz w:val="20"/>
              </w:rPr>
            </w:pPr>
            <w:r>
              <w:rPr>
                <w:w w:val="95"/>
                <w:sz w:val="20"/>
              </w:rPr>
              <w:t>34,453</w:t>
            </w:r>
          </w:p>
        </w:tc>
      </w:tr>
      <w:tr>
        <w:trPr>
          <w:trHeight w:val="300" w:hRule="exact"/>
        </w:trPr>
        <w:tc>
          <w:tcPr>
            <w:tcW w:w="1274" w:type="dxa"/>
            <w:tcBorders>
              <w:top w:val="nil"/>
              <w:left w:val="nil"/>
              <w:bottom w:val="nil"/>
            </w:tcBorders>
          </w:tcPr>
          <w:p>
            <w:pPr>
              <w:pStyle w:val="TableParagraph"/>
              <w:spacing w:before="24"/>
              <w:ind w:left="120"/>
              <w:rPr>
                <w:sz w:val="20"/>
              </w:rPr>
            </w:pPr>
            <w:r>
              <w:rPr>
                <w:sz w:val="20"/>
              </w:rPr>
              <w:t>2004-2005</w:t>
            </w:r>
          </w:p>
        </w:tc>
        <w:tc>
          <w:tcPr>
            <w:tcW w:w="1200" w:type="dxa"/>
            <w:tcBorders>
              <w:top w:val="nil"/>
              <w:bottom w:val="nil"/>
            </w:tcBorders>
          </w:tcPr>
          <w:p>
            <w:pPr>
              <w:pStyle w:val="TableParagraph"/>
              <w:spacing w:before="24"/>
              <w:ind w:right="104"/>
              <w:jc w:val="right"/>
              <w:rPr>
                <w:sz w:val="20"/>
              </w:rPr>
            </w:pPr>
            <w:r>
              <w:rPr>
                <w:w w:val="95"/>
                <w:sz w:val="20"/>
              </w:rPr>
              <w:t>1,121,275</w:t>
            </w:r>
          </w:p>
        </w:tc>
        <w:tc>
          <w:tcPr>
            <w:tcW w:w="1200" w:type="dxa"/>
            <w:tcBorders>
              <w:top w:val="nil"/>
              <w:bottom w:val="nil"/>
              <w:right w:val="nil"/>
            </w:tcBorders>
          </w:tcPr>
          <w:p>
            <w:pPr>
              <w:pStyle w:val="TableParagraph"/>
              <w:spacing w:before="24"/>
              <w:ind w:right="108"/>
              <w:jc w:val="right"/>
              <w:rPr>
                <w:sz w:val="20"/>
              </w:rPr>
            </w:pPr>
            <w:r>
              <w:rPr>
                <w:w w:val="95"/>
                <w:sz w:val="20"/>
              </w:rPr>
              <w:t>34,026</w:t>
            </w:r>
          </w:p>
        </w:tc>
      </w:tr>
      <w:tr>
        <w:trPr>
          <w:trHeight w:val="300" w:hRule="exact"/>
        </w:trPr>
        <w:tc>
          <w:tcPr>
            <w:tcW w:w="1274" w:type="dxa"/>
            <w:tcBorders>
              <w:top w:val="nil"/>
              <w:left w:val="nil"/>
              <w:bottom w:val="nil"/>
            </w:tcBorders>
          </w:tcPr>
          <w:p>
            <w:pPr>
              <w:pStyle w:val="TableParagraph"/>
              <w:spacing w:before="24"/>
              <w:ind w:left="120"/>
              <w:rPr>
                <w:sz w:val="20"/>
              </w:rPr>
            </w:pPr>
            <w:r>
              <w:rPr>
                <w:sz w:val="20"/>
              </w:rPr>
              <w:t>2005-2006</w:t>
            </w:r>
          </w:p>
        </w:tc>
        <w:tc>
          <w:tcPr>
            <w:tcW w:w="1200" w:type="dxa"/>
            <w:tcBorders>
              <w:top w:val="nil"/>
              <w:bottom w:val="nil"/>
            </w:tcBorders>
          </w:tcPr>
          <w:p>
            <w:pPr>
              <w:pStyle w:val="TableParagraph"/>
              <w:spacing w:before="24"/>
              <w:ind w:right="104"/>
              <w:jc w:val="right"/>
              <w:rPr>
                <w:sz w:val="20"/>
              </w:rPr>
            </w:pPr>
            <w:r>
              <w:rPr>
                <w:w w:val="95"/>
                <w:sz w:val="20"/>
              </w:rPr>
              <w:t>1,227,288</w:t>
            </w:r>
          </w:p>
        </w:tc>
        <w:tc>
          <w:tcPr>
            <w:tcW w:w="1200" w:type="dxa"/>
            <w:tcBorders>
              <w:top w:val="nil"/>
              <w:bottom w:val="nil"/>
              <w:right w:val="nil"/>
            </w:tcBorders>
          </w:tcPr>
          <w:p>
            <w:pPr>
              <w:pStyle w:val="TableParagraph"/>
              <w:spacing w:before="24"/>
              <w:ind w:right="108"/>
              <w:jc w:val="right"/>
              <w:rPr>
                <w:sz w:val="20"/>
              </w:rPr>
            </w:pPr>
            <w:r>
              <w:rPr>
                <w:w w:val="95"/>
                <w:sz w:val="20"/>
              </w:rPr>
              <w:t>35,248</w:t>
            </w:r>
          </w:p>
        </w:tc>
      </w:tr>
      <w:tr>
        <w:trPr>
          <w:trHeight w:val="300" w:hRule="exact"/>
        </w:trPr>
        <w:tc>
          <w:tcPr>
            <w:tcW w:w="1274" w:type="dxa"/>
            <w:tcBorders>
              <w:top w:val="nil"/>
              <w:left w:val="nil"/>
              <w:bottom w:val="nil"/>
            </w:tcBorders>
          </w:tcPr>
          <w:p>
            <w:pPr>
              <w:pStyle w:val="TableParagraph"/>
              <w:spacing w:before="24"/>
              <w:ind w:left="120"/>
              <w:rPr>
                <w:sz w:val="20"/>
              </w:rPr>
            </w:pPr>
            <w:r>
              <w:rPr>
                <w:sz w:val="20"/>
              </w:rPr>
              <w:t>2006-2007</w:t>
            </w:r>
          </w:p>
        </w:tc>
        <w:tc>
          <w:tcPr>
            <w:tcW w:w="1200" w:type="dxa"/>
            <w:tcBorders>
              <w:top w:val="nil"/>
              <w:bottom w:val="nil"/>
            </w:tcBorders>
          </w:tcPr>
          <w:p>
            <w:pPr>
              <w:pStyle w:val="TableParagraph"/>
              <w:spacing w:before="24"/>
              <w:ind w:right="104"/>
              <w:jc w:val="right"/>
              <w:rPr>
                <w:sz w:val="20"/>
              </w:rPr>
            </w:pPr>
            <w:r>
              <w:rPr>
                <w:w w:val="95"/>
                <w:sz w:val="20"/>
              </w:rPr>
              <w:t>1,304,471</w:t>
            </w:r>
          </w:p>
        </w:tc>
        <w:tc>
          <w:tcPr>
            <w:tcW w:w="1200" w:type="dxa"/>
            <w:tcBorders>
              <w:top w:val="nil"/>
              <w:bottom w:val="nil"/>
              <w:right w:val="nil"/>
            </w:tcBorders>
          </w:tcPr>
          <w:p>
            <w:pPr>
              <w:pStyle w:val="TableParagraph"/>
              <w:spacing w:before="24"/>
              <w:ind w:right="108"/>
              <w:jc w:val="right"/>
              <w:rPr>
                <w:sz w:val="20"/>
              </w:rPr>
            </w:pPr>
            <w:r>
              <w:rPr>
                <w:w w:val="95"/>
                <w:sz w:val="20"/>
              </w:rPr>
              <w:t>34,819</w:t>
            </w:r>
          </w:p>
        </w:tc>
      </w:tr>
      <w:tr>
        <w:trPr>
          <w:trHeight w:val="300" w:hRule="exact"/>
        </w:trPr>
        <w:tc>
          <w:tcPr>
            <w:tcW w:w="1274" w:type="dxa"/>
            <w:tcBorders>
              <w:top w:val="nil"/>
              <w:left w:val="nil"/>
              <w:bottom w:val="nil"/>
            </w:tcBorders>
          </w:tcPr>
          <w:p>
            <w:pPr>
              <w:pStyle w:val="TableParagraph"/>
              <w:spacing w:before="24"/>
              <w:ind w:left="120"/>
              <w:rPr>
                <w:sz w:val="20"/>
              </w:rPr>
            </w:pPr>
            <w:r>
              <w:rPr>
                <w:sz w:val="20"/>
              </w:rPr>
              <w:t>2007-2008</w:t>
            </w:r>
          </w:p>
        </w:tc>
        <w:tc>
          <w:tcPr>
            <w:tcW w:w="1200" w:type="dxa"/>
            <w:tcBorders>
              <w:top w:val="nil"/>
              <w:bottom w:val="nil"/>
            </w:tcBorders>
          </w:tcPr>
          <w:p>
            <w:pPr>
              <w:pStyle w:val="TableParagraph"/>
              <w:spacing w:before="24"/>
              <w:ind w:right="104"/>
              <w:jc w:val="right"/>
              <w:rPr>
                <w:sz w:val="20"/>
              </w:rPr>
            </w:pPr>
            <w:r>
              <w:rPr>
                <w:w w:val="95"/>
                <w:sz w:val="20"/>
              </w:rPr>
              <w:t>1,477,884</w:t>
            </w:r>
          </w:p>
        </w:tc>
        <w:tc>
          <w:tcPr>
            <w:tcW w:w="1200" w:type="dxa"/>
            <w:tcBorders>
              <w:top w:val="nil"/>
              <w:bottom w:val="nil"/>
              <w:right w:val="nil"/>
            </w:tcBorders>
          </w:tcPr>
          <w:p>
            <w:pPr>
              <w:pStyle w:val="TableParagraph"/>
              <w:spacing w:before="24"/>
              <w:ind w:right="108"/>
              <w:jc w:val="right"/>
              <w:rPr>
                <w:sz w:val="20"/>
              </w:rPr>
            </w:pPr>
            <w:r>
              <w:rPr>
                <w:w w:val="95"/>
                <w:sz w:val="20"/>
              </w:rPr>
              <w:t>36,401</w:t>
            </w:r>
          </w:p>
        </w:tc>
      </w:tr>
      <w:tr>
        <w:trPr>
          <w:trHeight w:val="300" w:hRule="exact"/>
        </w:trPr>
        <w:tc>
          <w:tcPr>
            <w:tcW w:w="1274" w:type="dxa"/>
            <w:tcBorders>
              <w:top w:val="nil"/>
              <w:left w:val="nil"/>
              <w:bottom w:val="nil"/>
            </w:tcBorders>
          </w:tcPr>
          <w:p>
            <w:pPr>
              <w:pStyle w:val="TableParagraph"/>
              <w:spacing w:before="24"/>
              <w:ind w:left="120"/>
              <w:rPr>
                <w:sz w:val="20"/>
              </w:rPr>
            </w:pPr>
            <w:r>
              <w:rPr>
                <w:sz w:val="20"/>
              </w:rPr>
              <w:t>2008-2009</w:t>
            </w:r>
          </w:p>
        </w:tc>
        <w:tc>
          <w:tcPr>
            <w:tcW w:w="1200" w:type="dxa"/>
            <w:tcBorders>
              <w:top w:val="nil"/>
              <w:bottom w:val="nil"/>
            </w:tcBorders>
          </w:tcPr>
          <w:p>
            <w:pPr>
              <w:pStyle w:val="TableParagraph"/>
              <w:spacing w:before="24"/>
              <w:ind w:right="104"/>
              <w:jc w:val="right"/>
              <w:rPr>
                <w:sz w:val="20"/>
              </w:rPr>
            </w:pPr>
            <w:r>
              <w:rPr>
                <w:w w:val="95"/>
                <w:sz w:val="20"/>
              </w:rPr>
              <w:t>1,376,739</w:t>
            </w:r>
          </w:p>
        </w:tc>
        <w:tc>
          <w:tcPr>
            <w:tcW w:w="1200" w:type="dxa"/>
            <w:tcBorders>
              <w:top w:val="nil"/>
              <w:bottom w:val="nil"/>
              <w:right w:val="nil"/>
            </w:tcBorders>
          </w:tcPr>
          <w:p>
            <w:pPr>
              <w:pStyle w:val="TableParagraph"/>
              <w:spacing w:before="24"/>
              <w:ind w:right="108"/>
              <w:jc w:val="right"/>
              <w:rPr>
                <w:sz w:val="20"/>
              </w:rPr>
            </w:pPr>
            <w:r>
              <w:rPr>
                <w:w w:val="95"/>
                <w:sz w:val="20"/>
              </w:rPr>
              <w:t>38,050</w:t>
            </w:r>
          </w:p>
        </w:tc>
      </w:tr>
      <w:tr>
        <w:trPr>
          <w:trHeight w:val="335" w:hRule="exact"/>
        </w:trPr>
        <w:tc>
          <w:tcPr>
            <w:tcW w:w="1274" w:type="dxa"/>
            <w:tcBorders>
              <w:top w:val="nil"/>
              <w:left w:val="nil"/>
            </w:tcBorders>
          </w:tcPr>
          <w:p>
            <w:pPr>
              <w:pStyle w:val="TableParagraph"/>
              <w:spacing w:before="24"/>
              <w:ind w:left="120"/>
              <w:rPr>
                <w:sz w:val="20"/>
              </w:rPr>
            </w:pPr>
            <w:r>
              <w:rPr>
                <w:sz w:val="20"/>
              </w:rPr>
              <w:t>2009-2010</w:t>
            </w:r>
          </w:p>
        </w:tc>
        <w:tc>
          <w:tcPr>
            <w:tcW w:w="1200" w:type="dxa"/>
            <w:tcBorders>
              <w:top w:val="nil"/>
            </w:tcBorders>
          </w:tcPr>
          <w:p>
            <w:pPr>
              <w:pStyle w:val="TableParagraph"/>
              <w:spacing w:before="24"/>
              <w:ind w:right="104"/>
              <w:jc w:val="right"/>
              <w:rPr>
                <w:sz w:val="20"/>
              </w:rPr>
            </w:pPr>
            <w:r>
              <w:rPr>
                <w:w w:val="95"/>
                <w:sz w:val="20"/>
              </w:rPr>
              <w:t>1,477,315</w:t>
            </w:r>
          </w:p>
        </w:tc>
        <w:tc>
          <w:tcPr>
            <w:tcW w:w="1200" w:type="dxa"/>
            <w:tcBorders>
              <w:top w:val="nil"/>
              <w:right w:val="nil"/>
            </w:tcBorders>
          </w:tcPr>
          <w:p>
            <w:pPr>
              <w:pStyle w:val="TableParagraph"/>
              <w:spacing w:before="24"/>
              <w:ind w:right="108"/>
              <w:jc w:val="right"/>
              <w:rPr>
                <w:sz w:val="20"/>
              </w:rPr>
            </w:pPr>
            <w:r>
              <w:rPr>
                <w:w w:val="95"/>
                <w:sz w:val="20"/>
              </w:rPr>
              <w:t>39,300</w:t>
            </w:r>
          </w:p>
        </w:tc>
      </w:tr>
    </w:tbl>
    <w:p>
      <w:pPr>
        <w:spacing w:line="226" w:lineRule="exact" w:before="0"/>
        <w:ind w:left="0" w:right="18" w:firstLine="0"/>
        <w:jc w:val="center"/>
        <w:rPr>
          <w:sz w:val="20"/>
        </w:rPr>
      </w:pPr>
      <w:r>
        <w:rPr>
          <w:sz w:val="20"/>
        </w:rPr>
        <w:t>Fuente: SEP, 2013</w:t>
      </w:r>
    </w:p>
    <w:p>
      <w:pPr>
        <w:pStyle w:val="BodyText"/>
        <w:rPr>
          <w:sz w:val="20"/>
        </w:rPr>
      </w:pPr>
    </w:p>
    <w:p>
      <w:pPr>
        <w:pStyle w:val="BodyText"/>
        <w:rPr>
          <w:sz w:val="20"/>
        </w:rPr>
      </w:pPr>
    </w:p>
    <w:p>
      <w:pPr>
        <w:pStyle w:val="BodyText"/>
        <w:rPr>
          <w:sz w:val="20"/>
        </w:rPr>
      </w:pPr>
    </w:p>
    <w:p>
      <w:pPr>
        <w:pStyle w:val="BodyText"/>
        <w:spacing w:before="7"/>
        <w:rPr>
          <w:sz w:val="20"/>
        </w:rPr>
      </w:pPr>
    </w:p>
    <w:p>
      <w:pPr>
        <w:pStyle w:val="BodyText"/>
        <w:spacing w:line="360" w:lineRule="auto" w:before="1"/>
        <w:ind w:left="102" w:right="114"/>
        <w:jc w:val="both"/>
      </w:pPr>
      <w:r>
        <w:rPr/>
        <w:t>La distribución respecto al incremento del número de docentes por sostenimiento público y privado se muestra en la gráfica 3.2.,y en la gráfica 3.3, la relación que guarda respecto a la matrícula total mexicana (alumnos inscritos de todos los niveles educativos) y  su asignación entre sostenimiento público y privado.</w:t>
      </w:r>
    </w:p>
    <w:p>
      <w:pPr>
        <w:pStyle w:val="BodyText"/>
        <w:spacing w:line="360" w:lineRule="auto" w:before="206"/>
        <w:ind w:left="102" w:right="120"/>
        <w:jc w:val="both"/>
      </w:pPr>
      <w:r>
        <w:rPr/>
        <w:t>Es importante destacar que se cuentan con un número mayor de escuelas privadas sin embargo, en el periodo de estudio (2000-2010) no se ha tenido un incremento en cuanto al número de docentes que laboran en ellas, por lo tanto siguen siendo las escuelas públicas las que tienen el mayor número de puestos de trabajo y son las que año tras año han incrementado el número de docentes que</w:t>
      </w:r>
      <w:r>
        <w:rPr>
          <w:spacing w:val="-7"/>
        </w:rPr>
        <w:t> </w:t>
      </w:r>
      <w:r>
        <w:rPr/>
        <w:t>emplean.</w:t>
      </w:r>
    </w:p>
    <w:p>
      <w:pPr>
        <w:spacing w:after="0" w:line="360" w:lineRule="auto"/>
        <w:jc w:val="both"/>
        <w:sectPr>
          <w:pgSz w:w="12240" w:h="15840"/>
          <w:pgMar w:header="0" w:footer="1003" w:top="1360" w:bottom="1200" w:left="1600" w:right="1580"/>
        </w:sectPr>
      </w:pPr>
    </w:p>
    <w:p>
      <w:pPr>
        <w:pStyle w:val="Heading3"/>
        <w:spacing w:line="360" w:lineRule="auto"/>
        <w:ind w:left="205" w:right="1169"/>
        <w:jc w:val="center"/>
      </w:pPr>
      <w:r>
        <w:rPr/>
        <w:pict>
          <v:group style="position:absolute;margin-left:109.885002pt;margin-top:43.848145pt;width:391.6pt;height:156.65pt;mso-position-horizontal-relative:page;mso-position-vertical-relative:paragraph;z-index:-400696" coordorigin="2198,877" coordsize="7832,3133">
            <v:shape style="position:absolute;left:3331;top:1990;width:5266;height:442" coordorigin="3331,1990" coordsize="5266,442" path="m8503,2431l8597,2431m7975,2431l8162,2431m7450,2431l7637,2431m6924,2431l7109,2431m6396,2431l6583,2431m5870,2431l6058,2431m5342,2431l5530,2431m4817,2431l5004,2431m4291,2431l4476,2431m3763,2431l3950,2431m3331,2431l3425,2431m3763,1990l3950,1990m3331,1990l3425,1990e" filled="false" stroked="true" strokeweight=".72pt" strokecolor="#858585">
              <v:path arrowok="t"/>
            </v:shape>
            <v:rect style="position:absolute;left:3425;top:1815;width:338;height:1058" filled="true" fillcolor="#4f81bc" stroked="false">
              <v:fill type="solid"/>
            </v:rect>
            <v:line style="position:absolute" from="4291,1990" to="4476,1990" stroked="true" strokeweight=".72pt" strokecolor="#858585"/>
            <v:rect style="position:absolute;left:3950;top:1798;width:341;height:1075" filled="true" fillcolor="#4f81bc" stroked="false">
              <v:fill type="solid"/>
            </v:rect>
            <v:line style="position:absolute" from="4817,1990" to="5004,1990" stroked="true" strokeweight=".72pt" strokecolor="#858585"/>
            <v:rect style="position:absolute;left:4476;top:1771;width:341;height:1102" filled="true" fillcolor="#4f81bc" stroked="false">
              <v:fill type="solid"/>
            </v:rect>
            <v:line style="position:absolute" from="5342,1990" to="5530,1990" stroked="true" strokeweight=".72pt" strokecolor="#858585"/>
            <v:rect style="position:absolute;left:5004;top:1757;width:338;height:1116" filled="true" fillcolor="#4f81bc" stroked="false">
              <v:fill type="solid"/>
            </v:rect>
            <v:line style="position:absolute" from="5870,1990" to="6058,1990" stroked="true" strokeweight=".72pt" strokecolor="#858585"/>
            <v:rect style="position:absolute;left:5530;top:1738;width:341;height:1135" filled="true" fillcolor="#4f81bc" stroked="false">
              <v:fill type="solid"/>
            </v:rect>
            <v:line style="position:absolute" from="6396,1990" to="6583,1990" stroked="true" strokeweight=".72pt" strokecolor="#858585"/>
            <v:rect style="position:absolute;left:6058;top:1714;width:338;height:1159" filled="true" fillcolor="#4f81bc" stroked="false">
              <v:fill type="solid"/>
            </v:rect>
            <v:line style="position:absolute" from="6924,1990" to="7109,1990" stroked="true" strokeweight=".72pt" strokecolor="#858585"/>
            <v:rect style="position:absolute;left:6583;top:1697;width:341;height:1176" filled="true" fillcolor="#4f81bc" stroked="false">
              <v:fill type="solid"/>
            </v:rect>
            <v:line style="position:absolute" from="7450,1990" to="7637,1990" stroked="true" strokeweight=".72pt" strokecolor="#858585"/>
            <v:rect style="position:absolute;left:7109;top:1668;width:341;height:1205" filled="true" fillcolor="#4f81bc" stroked="false">
              <v:fill type="solid"/>
            </v:rect>
            <v:line style="position:absolute" from="7975,1990" to="8162,1990" stroked="true" strokeweight=".72pt" strokecolor="#858585"/>
            <v:rect style="position:absolute;left:7637;top:1649;width:338;height:1224" filled="true" fillcolor="#4f81bc" stroked="false">
              <v:fill type="solid"/>
            </v:rect>
            <v:line style="position:absolute" from="8503,1990" to="8597,1990" stroked="true" strokeweight=".72pt" strokecolor="#858585"/>
            <v:rect style="position:absolute;left:8162;top:1635;width:341;height:1238" filled="true" fillcolor="#4f81bc" stroked="false">
              <v:fill type="solid"/>
            </v:rect>
            <v:line style="position:absolute" from="3331,1548" to="4476,1548" stroked="true" strokeweight=".72pt" strokecolor="#858585"/>
            <v:shape style="position:absolute;left:3425;top:1546;width:867;height:269" coordorigin="3425,1546" coordsize="867,269" path="m3763,1575l3425,1575,3425,1815,3763,1815,3763,1575m4291,1546l3950,1546,3950,1798,4291,1798,4291,1546e" filled="true" fillcolor="#aab9d6" stroked="false">
              <v:path arrowok="t"/>
              <v:fill type="solid"/>
            </v:shape>
            <v:line style="position:absolute" from="4817,1548" to="5004,1548" stroked="true" strokeweight=".72pt" strokecolor="#858585"/>
            <v:rect style="position:absolute;left:4476;top:1505;width:341;height:266" filled="true" fillcolor="#aab9d6" stroked="false">
              <v:fill type="solid"/>
            </v:rect>
            <v:line style="position:absolute" from="5342,1548" to="5530,1548" stroked="true" strokeweight=".72pt" strokecolor="#858585"/>
            <v:rect style="position:absolute;left:5004;top:1479;width:338;height:278" filled="true" fillcolor="#aab9d6" stroked="false">
              <v:fill type="solid"/>
            </v:rect>
            <v:line style="position:absolute" from="5870,1548" to="6058,1548" stroked="true" strokeweight=".72pt" strokecolor="#858585"/>
            <v:rect style="position:absolute;left:5530;top:1447;width:341;height:290" filled="true" fillcolor="#aab9d6" stroked="false">
              <v:fill type="solid"/>
            </v:rect>
            <v:line style="position:absolute" from="6396,1548" to="6583,1548" stroked="true" strokeweight=".72pt" strokecolor="#858585"/>
            <v:rect style="position:absolute;left:6058;top:1404;width:338;height:310" filled="true" fillcolor="#aab9d6" stroked="false">
              <v:fill type="solid"/>
            </v:rect>
            <v:line style="position:absolute" from="6924,1548" to="7109,1548" stroked="true" strokeweight=".72pt" strokecolor="#858585"/>
            <v:rect style="position:absolute;left:6583;top:1375;width:341;height:322" filled="true" fillcolor="#aab9d6" stroked="false">
              <v:fill type="solid"/>
            </v:rect>
            <v:line style="position:absolute" from="7450,1548" to="7637,1548" stroked="true" strokeweight=".72pt" strokecolor="#858585"/>
            <v:rect style="position:absolute;left:7109;top:1344;width:341;height:324" filled="true" fillcolor="#aab9d6" stroked="false">
              <v:fill type="solid"/>
            </v:rect>
            <v:line style="position:absolute" from="7975,1548" to="8162,1548" stroked="true" strokeweight=".72pt" strokecolor="#858585"/>
            <v:rect style="position:absolute;left:7637;top:1318;width:338;height:331" filled="true" fillcolor="#aab9d6" stroked="false">
              <v:fill type="solid"/>
            </v:rect>
            <v:line style="position:absolute" from="8503,1548" to="8597,1548" stroked="true" strokeweight=".72pt" strokecolor="#858585"/>
            <v:rect style="position:absolute;left:8162;top:1296;width:341;height:338" filled="true" fillcolor="#aab9d6" stroked="false">
              <v:fill type="solid"/>
            </v:rect>
            <v:shape style="position:absolute;left:3331;top:1107;width:5266;height:1767" coordorigin="3331,1107" coordsize="5266,1767" path="m3331,1107l8597,1107m3331,2873l3331,1107m3331,2873l8597,2873e" filled="false" stroked="true" strokeweight=".72pt" strokecolor="#858585">
              <v:path arrowok="t"/>
            </v:shape>
            <v:rect style="position:absolute;left:8916;top:2206;width:110;height:110" filled="true" fillcolor="#aab9d6" stroked="false">
              <v:fill type="solid"/>
            </v:rect>
            <v:rect style="position:absolute;left:8916;top:2568;width:110;height:110" filled="true" fillcolor="#4f81bc" stroked="false">
              <v:fill type="solid"/>
            </v:rect>
            <v:shape style="position:absolute;left:2205;top:884;width:7817;height:3118" coordorigin="2205,884" coordsize="7817,3118" path="m2205,1084l2221,1007,2264,943,2327,900,2405,884,9822,884,9900,900,9964,943,10007,1007,10022,1084,10022,3802,10007,3880,9964,3944,9900,3987,9822,4002,2405,4002,2327,3987,2264,3944,2221,3880,2205,3802,2205,1084xe" filled="false" stroked="true" strokeweight=".75pt" strokecolor="#858585">
              <v:path arrowok="t"/>
            </v:shape>
            <v:shape style="position:absolute;left:2336;top:1014;width:809;height:1525" type="#_x0000_t202" filled="false" stroked="false">
              <v:textbox inset="0,0,0,0">
                <w:txbxContent>
                  <w:p>
                    <w:pPr>
                      <w:spacing w:line="203" w:lineRule="exact" w:before="0"/>
                      <w:ind w:left="-1" w:right="0" w:firstLine="0"/>
                      <w:jc w:val="center"/>
                      <w:rPr>
                        <w:rFonts w:ascii="Calibri"/>
                        <w:sz w:val="20"/>
                      </w:rPr>
                    </w:pPr>
                    <w:r>
                      <w:rPr>
                        <w:rFonts w:ascii="Calibri"/>
                        <w:w w:val="95"/>
                        <w:sz w:val="20"/>
                      </w:rPr>
                      <w:t>2,000,000</w:t>
                    </w:r>
                  </w:p>
                  <w:p>
                    <w:pPr>
                      <w:spacing w:line="240" w:lineRule="auto" w:before="1"/>
                      <w:rPr>
                        <w:sz w:val="17"/>
                      </w:rPr>
                    </w:pPr>
                  </w:p>
                  <w:p>
                    <w:pPr>
                      <w:spacing w:before="1"/>
                      <w:ind w:left="-1" w:right="0" w:firstLine="0"/>
                      <w:jc w:val="center"/>
                      <w:rPr>
                        <w:rFonts w:ascii="Calibri"/>
                        <w:sz w:val="20"/>
                      </w:rPr>
                    </w:pPr>
                    <w:r>
                      <w:rPr>
                        <w:rFonts w:ascii="Calibri"/>
                        <w:w w:val="95"/>
                        <w:sz w:val="20"/>
                      </w:rPr>
                      <w:t>1,500,000</w:t>
                    </w:r>
                  </w:p>
                  <w:p>
                    <w:pPr>
                      <w:spacing w:line="240" w:lineRule="auto" w:before="2"/>
                      <w:rPr>
                        <w:sz w:val="17"/>
                      </w:rPr>
                    </w:pPr>
                  </w:p>
                  <w:p>
                    <w:pPr>
                      <w:spacing w:before="0"/>
                      <w:ind w:left="-1" w:right="0" w:firstLine="0"/>
                      <w:jc w:val="center"/>
                      <w:rPr>
                        <w:rFonts w:ascii="Calibri"/>
                        <w:sz w:val="20"/>
                      </w:rPr>
                    </w:pPr>
                    <w:r>
                      <w:rPr>
                        <w:rFonts w:ascii="Calibri"/>
                        <w:w w:val="95"/>
                        <w:sz w:val="20"/>
                      </w:rPr>
                      <w:t>1,000,000</w:t>
                    </w:r>
                  </w:p>
                  <w:p>
                    <w:pPr>
                      <w:spacing w:line="240" w:lineRule="auto" w:before="1"/>
                      <w:rPr>
                        <w:sz w:val="17"/>
                      </w:rPr>
                    </w:pPr>
                  </w:p>
                  <w:p>
                    <w:pPr>
                      <w:spacing w:line="240" w:lineRule="exact" w:before="1"/>
                      <w:ind w:left="151" w:right="0" w:firstLine="0"/>
                      <w:jc w:val="center"/>
                      <w:rPr>
                        <w:rFonts w:ascii="Calibri"/>
                        <w:sz w:val="20"/>
                      </w:rPr>
                    </w:pPr>
                    <w:r>
                      <w:rPr>
                        <w:rFonts w:ascii="Calibri"/>
                        <w:w w:val="95"/>
                        <w:sz w:val="20"/>
                      </w:rPr>
                      <w:t>500,000</w:t>
                    </w:r>
                  </w:p>
                </w:txbxContent>
              </v:textbox>
              <w10:wrap type="none"/>
            </v:shape>
            <v:shape style="position:absolute;left:9074;top:2170;width:747;height:561" type="#_x0000_t202" filled="false" stroked="false">
              <v:textbox inset="0,0,0,0">
                <w:txbxContent>
                  <w:p>
                    <w:pPr>
                      <w:spacing w:line="203" w:lineRule="exact" w:before="0"/>
                      <w:ind w:left="0" w:right="0" w:firstLine="0"/>
                      <w:jc w:val="left"/>
                      <w:rPr>
                        <w:rFonts w:ascii="Calibri"/>
                        <w:sz w:val="20"/>
                      </w:rPr>
                    </w:pPr>
                    <w:r>
                      <w:rPr>
                        <w:rFonts w:ascii="Calibri"/>
                        <w:w w:val="95"/>
                        <w:sz w:val="20"/>
                      </w:rPr>
                      <w:t>PRIVADO</w:t>
                    </w:r>
                  </w:p>
                  <w:p>
                    <w:pPr>
                      <w:spacing w:line="240" w:lineRule="exact" w:before="117"/>
                      <w:ind w:left="0" w:right="0" w:firstLine="0"/>
                      <w:jc w:val="left"/>
                      <w:rPr>
                        <w:rFonts w:ascii="Calibri" w:hAnsi="Calibri"/>
                        <w:sz w:val="20"/>
                      </w:rPr>
                    </w:pPr>
                    <w:r>
                      <w:rPr>
                        <w:rFonts w:ascii="Calibri" w:hAnsi="Calibri"/>
                        <w:sz w:val="20"/>
                      </w:rPr>
                      <w:t>PÚBLICO</w:t>
                    </w:r>
                  </w:p>
                </w:txbxContent>
              </v:textbox>
              <w10:wrap type="none"/>
            </v:shape>
            <v:shape style="position:absolute;left:3044;top:278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w10:wrap type="none"/>
          </v:group>
        </w:pict>
      </w:r>
      <w:r>
        <w:rPr/>
        <w:t>Gráfica 3.2. Personal Docente por sector público y privado de 2000 a 2010 (todos los niveles educativos mexicanos)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3"/>
        <w:rPr>
          <w:b/>
          <w:sz w:val="19"/>
        </w:rPr>
      </w:pPr>
    </w:p>
    <w:p>
      <w:pPr>
        <w:spacing w:before="0"/>
        <w:ind w:left="205" w:right="1161" w:firstLine="0"/>
        <w:jc w:val="center"/>
        <w:rPr>
          <w:sz w:val="20"/>
        </w:rPr>
      </w:pPr>
      <w:r>
        <w:rPr/>
        <w:pict>
          <v:shape style="position:absolute;margin-left:174.630005pt;margin-top:-57.749058pt;width:12pt;height:45.6pt;mso-position-horizontal-relative:page;mso-position-vertical-relative:paragraph;z-index:2056"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00-2001</w:t>
                  </w:r>
                </w:p>
              </w:txbxContent>
            </v:textbox>
            <w10:wrap type="none"/>
          </v:shape>
        </w:pict>
      </w:r>
      <w:r>
        <w:rPr/>
        <w:pict>
          <v:shape style="position:absolute;margin-left:200.949997pt;margin-top:-57.749058pt;width:12pt;height:45.6pt;mso-position-horizontal-relative:page;mso-position-vertical-relative:paragraph;z-index:2104"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01-2002</w:t>
                  </w:r>
                </w:p>
              </w:txbxContent>
            </v:textbox>
            <w10:wrap type="none"/>
          </v:shape>
        </w:pict>
      </w:r>
      <w:r>
        <w:rPr/>
        <w:pict>
          <v:shape style="position:absolute;margin-left:227.279999pt;margin-top:-57.749058pt;width:12pt;height:45.6pt;mso-position-horizontal-relative:page;mso-position-vertical-relative:paragraph;z-index:2152"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02-2003</w:t>
                  </w:r>
                </w:p>
              </w:txbxContent>
            </v:textbox>
            <w10:wrap type="none"/>
          </v:shape>
        </w:pict>
      </w:r>
      <w:r>
        <w:rPr/>
        <w:pict>
          <v:shape style="position:absolute;margin-left:253.610001pt;margin-top:-57.749058pt;width:12pt;height:45.6pt;mso-position-horizontal-relative:page;mso-position-vertical-relative:paragraph;z-index:2200"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03-2004</w:t>
                  </w:r>
                </w:p>
              </w:txbxContent>
            </v:textbox>
            <w10:wrap type="none"/>
          </v:shape>
        </w:pict>
      </w:r>
      <w:r>
        <w:rPr/>
        <w:pict>
          <v:shape style="position:absolute;margin-left:279.940002pt;margin-top:-57.749058pt;width:12pt;height:45.6pt;mso-position-horizontal-relative:page;mso-position-vertical-relative:paragraph;z-index:2272"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04-2005</w:t>
                  </w:r>
                </w:p>
              </w:txbxContent>
            </v:textbox>
            <w10:wrap type="none"/>
          </v:shape>
        </w:pict>
      </w:r>
      <w:r>
        <w:rPr/>
        <w:pict>
          <v:shape style="position:absolute;margin-left:306.290009pt;margin-top:-57.749058pt;width:12pt;height:45.6pt;mso-position-horizontal-relative:page;mso-position-vertical-relative:paragraph;z-index:2320"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05-2006</w:t>
                  </w:r>
                </w:p>
              </w:txbxContent>
            </v:textbox>
            <w10:wrap type="none"/>
          </v:shape>
        </w:pict>
      </w:r>
      <w:r>
        <w:rPr/>
        <w:pict>
          <v:shape style="position:absolute;margin-left:332.619995pt;margin-top:-57.749058pt;width:12pt;height:45.6pt;mso-position-horizontal-relative:page;mso-position-vertical-relative:paragraph;z-index:2368"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06-2007</w:t>
                  </w:r>
                </w:p>
              </w:txbxContent>
            </v:textbox>
            <w10:wrap type="none"/>
          </v:shape>
        </w:pict>
      </w:r>
      <w:r>
        <w:rPr/>
        <w:pict>
          <v:shape style="position:absolute;margin-left:358.950012pt;margin-top:-57.749058pt;width:12pt;height:45.6pt;mso-position-horizontal-relative:page;mso-position-vertical-relative:paragraph;z-index:2416"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07-2008</w:t>
                  </w:r>
                </w:p>
              </w:txbxContent>
            </v:textbox>
            <w10:wrap type="none"/>
          </v:shape>
        </w:pict>
      </w:r>
      <w:r>
        <w:rPr/>
        <w:pict>
          <v:shape style="position:absolute;margin-left:385.269989pt;margin-top:-57.749058pt;width:12pt;height:45.6pt;mso-position-horizontal-relative:page;mso-position-vertical-relative:paragraph;z-index:2464"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08-2009</w:t>
                  </w:r>
                </w:p>
              </w:txbxContent>
            </v:textbox>
            <w10:wrap type="none"/>
          </v:shape>
        </w:pict>
      </w:r>
      <w:r>
        <w:rPr/>
        <w:pict>
          <v:shape style="position:absolute;margin-left:411.600006pt;margin-top:-57.749058pt;width:12pt;height:45.6pt;mso-position-horizontal-relative:page;mso-position-vertical-relative:paragraph;z-index:2512"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09-2010</w:t>
                  </w:r>
                </w:p>
              </w:txbxContent>
            </v:textbox>
            <w10:wrap type="none"/>
          </v:shape>
        </w:pict>
      </w:r>
      <w:r>
        <w:rPr>
          <w:sz w:val="20"/>
        </w:rPr>
        <w:t>Fuente: SEP, 2012.</w:t>
      </w:r>
    </w:p>
    <w:p>
      <w:pPr>
        <w:pStyle w:val="Heading3"/>
        <w:spacing w:line="360" w:lineRule="auto" w:before="121"/>
        <w:ind w:left="205" w:right="1162"/>
        <w:jc w:val="center"/>
      </w:pPr>
      <w:r>
        <w:rPr/>
        <w:pict>
          <v:group style="position:absolute;margin-left:124.135002pt;margin-top:57.018131pt;width:364.15pt;height:156.65pt;mso-position-horizontal-relative:page;mso-position-vertical-relative:paragraph;z-index:2032" coordorigin="2483,1140" coordsize="7283,3133">
            <v:shape style="position:absolute;left:3718;top:2034;width:4344;height:884" coordorigin="3718,2034" coordsize="4344,884" path="m7985,2917l8062,2917m7550,2917l7704,2917m7116,2917l7270,2917m6682,2917l6835,2917m6247,2917l6401,2917m5813,2917l5966,2917m5378,2917l5532,2917m4944,2917l5098,2917m4510,2917l4663,2917m4075,2917l4229,2917m3718,2917l3794,2917m4075,2696l4229,2696m3718,2696l3794,2696m4075,2475l4229,2475m3718,2475l3794,2475m4075,2254l4229,2254m3718,2254l3794,2254m4075,2034l4229,2034m3718,2034l3794,2034e" filled="false" stroked="true" strokeweight=".72pt" strokecolor="#858585">
              <v:path arrowok="t"/>
            </v:shape>
            <v:rect style="position:absolute;left:3794;top:1990;width:281;height:1147" filled="true" fillcolor="#4571a7" stroked="false">
              <v:fill type="solid"/>
            </v:rect>
            <v:shape style="position:absolute;left:4510;top:2034;width:154;height:663" coordorigin="4510,2034" coordsize="154,663" path="m4510,2696l4663,2696m4510,2475l4663,2475m4510,2254l4663,2254m4510,2034l4663,2034e" filled="false" stroked="true" strokeweight=".72pt" strokecolor="#858585">
              <v:path arrowok="t"/>
            </v:shape>
            <v:rect style="position:absolute;left:4229;top:1974;width:281;height:1164" filled="true" fillcolor="#4571a7" stroked="false">
              <v:fill type="solid"/>
            </v:rect>
            <v:shape style="position:absolute;left:4944;top:2034;width:154;height:663" coordorigin="4944,2034" coordsize="154,663" path="m4944,2696l5098,2696m4944,2475l5098,2475m4944,2254l5098,2254m4944,2034l5098,2034e" filled="false" stroked="true" strokeweight=".72pt" strokecolor="#858585">
              <v:path arrowok="t"/>
            </v:shape>
            <v:rect style="position:absolute;left:4663;top:1942;width:281;height:1195" filled="true" fillcolor="#4571a7" stroked="false">
              <v:fill type="solid"/>
            </v:rect>
            <v:shape style="position:absolute;left:5378;top:2034;width:154;height:663" coordorigin="5378,2034" coordsize="154,663" path="m5378,2696l5532,2696m5378,2475l5532,2475m5378,2254l5532,2254m5378,2034l5532,2034e" filled="false" stroked="true" strokeweight=".72pt" strokecolor="#858585">
              <v:path arrowok="t"/>
            </v:shape>
            <v:rect style="position:absolute;left:5098;top:1930;width:281;height:1207" filled="true" fillcolor="#4571a7" stroked="false">
              <v:fill type="solid"/>
            </v:rect>
            <v:shape style="position:absolute;left:5813;top:2034;width:154;height:663" coordorigin="5813,2034" coordsize="154,663" path="m5813,2696l5966,2696m5813,2475l5966,2475m5813,2254l5966,2254m5813,2034l5966,2034e" filled="false" stroked="true" strokeweight=".72pt" strokecolor="#858585">
              <v:path arrowok="t"/>
            </v:shape>
            <v:rect style="position:absolute;left:5532;top:1916;width:281;height:1222" filled="true" fillcolor="#4571a7" stroked="false">
              <v:fill type="solid"/>
            </v:rect>
            <v:shape style="position:absolute;left:6247;top:2034;width:154;height:663" coordorigin="6247,2034" coordsize="154,663" path="m6247,2696l6401,2696m6247,2475l6401,2475m6247,2254l6401,2254m6247,2034l6401,2034e" filled="false" stroked="true" strokeweight=".72pt" strokecolor="#858585">
              <v:path arrowok="t"/>
            </v:shape>
            <v:rect style="position:absolute;left:5966;top:1897;width:281;height:1241" filled="true" fillcolor="#4571a7" stroked="false">
              <v:fill type="solid"/>
            </v:rect>
            <v:shape style="position:absolute;left:6247;top:1813;width:588;height:884" coordorigin="6247,1813" coordsize="588,884" path="m6682,2696l6835,2696m6682,2475l6835,2475m6682,2254l6835,2254m6682,2034l6835,2034m6682,1813l6835,1813m6247,1813l6401,1813e" filled="false" stroked="true" strokeweight=".72pt" strokecolor="#858585">
              <v:path arrowok="t"/>
            </v:shape>
            <v:rect style="position:absolute;left:6401;top:1878;width:281;height:1260" filled="true" fillcolor="#4571a7" stroked="false">
              <v:fill type="solid"/>
            </v:rect>
            <v:shape style="position:absolute;left:7116;top:1813;width:154;height:884" coordorigin="7116,1813" coordsize="154,884" path="m7116,2696l7270,2696m7116,2475l7270,2475m7116,2254l7270,2254m7116,2034l7270,2034m7116,1813l7270,1813e" filled="false" stroked="true" strokeweight=".72pt" strokecolor="#858585">
              <v:path arrowok="t"/>
            </v:shape>
            <v:rect style="position:absolute;left:6835;top:1861;width:281;height:1277" filled="true" fillcolor="#4571a7" stroked="false">
              <v:fill type="solid"/>
            </v:rect>
            <v:shape style="position:absolute;left:7550;top:1813;width:512;height:884" coordorigin="7550,1813" coordsize="512,884" path="m7550,2696l7704,2696m7550,2475l7704,2475m7550,2254l7704,2254m7550,2034l7704,2034m7550,1813l8062,1813e" filled="false" stroked="true" strokeweight=".72pt" strokecolor="#858585">
              <v:path arrowok="t"/>
            </v:shape>
            <v:rect style="position:absolute;left:7270;top:1846;width:281;height:1291" filled="true" fillcolor="#4571a7" stroked="false">
              <v:fill type="solid"/>
            </v:rect>
            <v:shape style="position:absolute;left:7985;top:2034;width:77;height:663" coordorigin="7985,2034" coordsize="77,663" path="m7985,2696l8062,2696m7985,2475l8062,2475m7985,2254l8062,2254m7985,2034l8062,2034e" filled="false" stroked="true" strokeweight=".72pt" strokecolor="#858585">
              <v:path arrowok="t"/>
            </v:shape>
            <v:rect style="position:absolute;left:7704;top:1830;width:281;height:1308" filled="true" fillcolor="#4571a7" stroked="false">
              <v:fill type="solid"/>
            </v:rect>
            <v:line style="position:absolute" from="3718,1813" to="4663,1813" stroked="true" strokeweight=".72pt" strokecolor="#858585"/>
            <v:shape style="position:absolute;left:3794;top:1806;width:716;height:185" coordorigin="3794,1806" coordsize="716,185" path="m4075,1830l3794,1830,3794,1990,4075,1990,4075,1830m4510,1806l4229,1806,4229,1974,4510,1974,4510,1806e" filled="true" fillcolor="#92a9cf" stroked="false">
              <v:path arrowok="t"/>
              <v:fill type="solid"/>
            </v:shape>
            <v:line style="position:absolute" from="4944,1813" to="5098,1813" stroked="true" strokeweight=".72pt" strokecolor="#858585"/>
            <v:rect style="position:absolute;left:4663;top:1772;width:281;height:170" filled="true" fillcolor="#92a9cf" stroked="false">
              <v:fill type="solid"/>
            </v:rect>
            <v:line style="position:absolute" from="5378,1813" to="5532,1813" stroked="true" strokeweight=".72pt" strokecolor="#858585"/>
            <v:rect style="position:absolute;left:5098;top:1758;width:281;height:173" filled="true" fillcolor="#92a9cf" stroked="false">
              <v:fill type="solid"/>
            </v:rect>
            <v:line style="position:absolute" from="5813,1813" to="5966,1813" stroked="true" strokeweight=".72pt" strokecolor="#858585"/>
            <v:shape style="position:absolute;left:5532;top:1681;width:1150;height:236" coordorigin="5532,1681" coordsize="1150,236" path="m5813,1736l5532,1736,5532,1916,5813,1916,5813,1736m6247,1710l5966,1710,5966,1897,6247,1897,6247,1710m6682,1681l6401,1681,6401,1878,6682,1878,6682,1681e" filled="true" fillcolor="#92a9cf" stroked="false">
              <v:path arrowok="t"/>
              <v:fill type="solid"/>
            </v:shape>
            <v:line style="position:absolute" from="3718,1592" to="8062,1592" stroked="true" strokeweight=".72pt" strokecolor="#858585"/>
            <v:shape style="position:absolute;left:6835;top:1635;width:1150;height:226" coordorigin="6835,1635" coordsize="1150,226" path="m7116,1659l6835,1659,6835,1861,7116,1861,7116,1659m7550,1652l7270,1652,7270,1846,7550,1846,7550,1652m7985,1635l7704,1635,7704,1830,7985,1830,7985,1635e" filled="true" fillcolor="#92a9cf" stroked="false">
              <v:path arrowok="t"/>
              <v:fill type="solid"/>
            </v:shape>
            <v:shape style="position:absolute;left:3718;top:1371;width:4344;height:1767" coordorigin="3718,1371" coordsize="4344,1767" path="m3718,1371l8062,1371m3718,3138l3718,1371m3718,3138l8062,3138e" filled="false" stroked="true" strokeweight=".72pt" strokecolor="#858585">
              <v:path arrowok="t"/>
            </v:shape>
            <v:rect style="position:absolute;left:8381;top:2470;width:110;height:110" filled="true" fillcolor="#92a9cf" stroked="false">
              <v:fill type="solid"/>
            </v:rect>
            <v:rect style="position:absolute;left:8381;top:2833;width:110;height:110" filled="true" fillcolor="#4571a7" stroked="false">
              <v:fill type="solid"/>
            </v:rect>
            <v:shape style="position:absolute;left:2490;top:1148;width:7268;height:3118" coordorigin="2490,1148" coordsize="7268,3118" path="m2490,1348l2506,1270,2549,1206,2612,1164,2690,1148,9558,1148,9636,1164,9700,1206,9742,1270,9758,1348,9758,4066,9742,4144,9700,4207,9636,4250,9558,4266,2690,4266,2612,4250,2549,4207,2506,4144,2490,4066,2490,1348xe" filled="false" stroked="true" strokeweight=".75pt" strokecolor="#858585">
              <v:path arrowok="t"/>
            </v:shape>
            <v:shape style="position:absolute;left:2621;top:1278;width:911;height:1966" type="#_x0000_t202" filled="false" stroked="false">
              <v:textbox inset="0,0,0,0">
                <w:txbxContent>
                  <w:p>
                    <w:pPr>
                      <w:spacing w:line="191" w:lineRule="exact" w:before="0"/>
                      <w:ind w:left="0" w:right="1" w:firstLine="0"/>
                      <w:jc w:val="center"/>
                      <w:rPr>
                        <w:rFonts w:ascii="Calibri"/>
                        <w:sz w:val="20"/>
                      </w:rPr>
                    </w:pPr>
                    <w:r>
                      <w:rPr>
                        <w:rFonts w:ascii="Calibri"/>
                        <w:w w:val="95"/>
                        <w:sz w:val="20"/>
                      </w:rPr>
                      <w:t>40,000,000</w:t>
                    </w:r>
                  </w:p>
                  <w:p>
                    <w:pPr>
                      <w:spacing w:line="221" w:lineRule="exact" w:before="0"/>
                      <w:ind w:left="0" w:right="1" w:firstLine="0"/>
                      <w:jc w:val="center"/>
                      <w:rPr>
                        <w:rFonts w:ascii="Calibri"/>
                        <w:sz w:val="20"/>
                      </w:rPr>
                    </w:pPr>
                    <w:r>
                      <w:rPr>
                        <w:rFonts w:ascii="Calibri"/>
                        <w:w w:val="95"/>
                        <w:sz w:val="20"/>
                      </w:rPr>
                      <w:t>35,000,000</w:t>
                    </w:r>
                  </w:p>
                  <w:p>
                    <w:pPr>
                      <w:spacing w:line="221" w:lineRule="exact" w:before="0"/>
                      <w:ind w:left="0" w:right="1" w:firstLine="0"/>
                      <w:jc w:val="center"/>
                      <w:rPr>
                        <w:rFonts w:ascii="Calibri"/>
                        <w:sz w:val="20"/>
                      </w:rPr>
                    </w:pPr>
                    <w:r>
                      <w:rPr>
                        <w:rFonts w:ascii="Calibri"/>
                        <w:w w:val="95"/>
                        <w:sz w:val="20"/>
                      </w:rPr>
                      <w:t>30,000,000</w:t>
                    </w:r>
                  </w:p>
                  <w:p>
                    <w:pPr>
                      <w:spacing w:line="221" w:lineRule="exact" w:before="0"/>
                      <w:ind w:left="0" w:right="1" w:firstLine="0"/>
                      <w:jc w:val="center"/>
                      <w:rPr>
                        <w:rFonts w:ascii="Calibri"/>
                        <w:sz w:val="20"/>
                      </w:rPr>
                    </w:pPr>
                    <w:r>
                      <w:rPr>
                        <w:rFonts w:ascii="Calibri"/>
                        <w:w w:val="95"/>
                        <w:sz w:val="20"/>
                      </w:rPr>
                      <w:t>25,000,000</w:t>
                    </w:r>
                  </w:p>
                  <w:p>
                    <w:pPr>
                      <w:spacing w:line="221" w:lineRule="exact" w:before="0"/>
                      <w:ind w:left="0" w:right="1" w:firstLine="0"/>
                      <w:jc w:val="center"/>
                      <w:rPr>
                        <w:rFonts w:ascii="Calibri"/>
                        <w:sz w:val="20"/>
                      </w:rPr>
                    </w:pPr>
                    <w:r>
                      <w:rPr>
                        <w:rFonts w:ascii="Calibri"/>
                        <w:w w:val="95"/>
                        <w:sz w:val="20"/>
                      </w:rPr>
                      <w:t>20,000,000</w:t>
                    </w:r>
                  </w:p>
                  <w:p>
                    <w:pPr>
                      <w:spacing w:line="221" w:lineRule="exact" w:before="0"/>
                      <w:ind w:left="0" w:right="1" w:firstLine="0"/>
                      <w:jc w:val="center"/>
                      <w:rPr>
                        <w:rFonts w:ascii="Calibri"/>
                        <w:sz w:val="20"/>
                      </w:rPr>
                    </w:pPr>
                    <w:r>
                      <w:rPr>
                        <w:rFonts w:ascii="Calibri"/>
                        <w:w w:val="95"/>
                        <w:sz w:val="20"/>
                      </w:rPr>
                      <w:t>15,000,000</w:t>
                    </w:r>
                  </w:p>
                  <w:p>
                    <w:pPr>
                      <w:spacing w:line="221" w:lineRule="exact" w:before="0"/>
                      <w:ind w:left="0" w:right="1" w:firstLine="0"/>
                      <w:jc w:val="center"/>
                      <w:rPr>
                        <w:rFonts w:ascii="Calibri"/>
                        <w:sz w:val="20"/>
                      </w:rPr>
                    </w:pPr>
                    <w:r>
                      <w:rPr>
                        <w:rFonts w:ascii="Calibri"/>
                        <w:w w:val="95"/>
                        <w:sz w:val="20"/>
                      </w:rPr>
                      <w:t>10,000,000</w:t>
                    </w:r>
                  </w:p>
                  <w:p>
                    <w:pPr>
                      <w:spacing w:line="221" w:lineRule="exact" w:before="0"/>
                      <w:ind w:left="101" w:right="1" w:firstLine="0"/>
                      <w:jc w:val="center"/>
                      <w:rPr>
                        <w:rFonts w:ascii="Calibri"/>
                        <w:sz w:val="20"/>
                      </w:rPr>
                    </w:pPr>
                    <w:r>
                      <w:rPr>
                        <w:rFonts w:ascii="Calibri"/>
                        <w:w w:val="95"/>
                        <w:sz w:val="20"/>
                      </w:rPr>
                      <w:t>5,000,000</w:t>
                    </w:r>
                  </w:p>
                  <w:p>
                    <w:pPr>
                      <w:spacing w:line="229" w:lineRule="exact" w:before="0"/>
                      <w:ind w:left="0" w:right="0" w:firstLine="0"/>
                      <w:jc w:val="right"/>
                      <w:rPr>
                        <w:rFonts w:ascii="Calibri"/>
                        <w:sz w:val="20"/>
                      </w:rPr>
                    </w:pPr>
                    <w:r>
                      <w:rPr>
                        <w:rFonts w:ascii="Calibri"/>
                        <w:w w:val="99"/>
                        <w:sz w:val="20"/>
                      </w:rPr>
                      <w:t>0</w:t>
                    </w:r>
                  </w:p>
                </w:txbxContent>
              </v:textbox>
              <w10:wrap type="none"/>
            </v:shape>
            <v:shape style="position:absolute;left:8538;top:2434;width:1018;height:561" type="#_x0000_t202" filled="false" stroked="false">
              <v:textbox inset="0,0,0,0">
                <w:txbxContent>
                  <w:p>
                    <w:pPr>
                      <w:spacing w:line="203" w:lineRule="exact" w:before="0"/>
                      <w:ind w:left="0" w:right="0" w:firstLine="0"/>
                      <w:jc w:val="left"/>
                      <w:rPr>
                        <w:rFonts w:ascii="Calibri"/>
                        <w:sz w:val="20"/>
                      </w:rPr>
                    </w:pPr>
                    <w:r>
                      <w:rPr>
                        <w:rFonts w:ascii="Calibri"/>
                        <w:w w:val="95"/>
                        <w:sz w:val="20"/>
                      </w:rPr>
                      <w:t>PARTICULAR</w:t>
                    </w:r>
                  </w:p>
                  <w:p>
                    <w:pPr>
                      <w:spacing w:line="240" w:lineRule="exact" w:before="117"/>
                      <w:ind w:left="0" w:right="0" w:firstLine="0"/>
                      <w:jc w:val="left"/>
                      <w:rPr>
                        <w:rFonts w:ascii="Calibri" w:hAnsi="Calibri"/>
                        <w:sz w:val="20"/>
                      </w:rPr>
                    </w:pPr>
                    <w:r>
                      <w:rPr>
                        <w:rFonts w:ascii="Calibri" w:hAnsi="Calibri"/>
                        <w:sz w:val="20"/>
                      </w:rPr>
                      <w:t>PÚBLICO</w:t>
                    </w:r>
                  </w:p>
                </w:txbxContent>
              </v:textbox>
              <w10:wrap type="none"/>
            </v:shape>
            <w10:wrap type="none"/>
          </v:group>
        </w:pict>
      </w:r>
      <w:r>
        <w:rPr/>
        <w:t>Gráfica 3.3. Matrícula por sector público y privado de 2000 a 2010 (todos los niveles educativos mexicanos)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before="145"/>
        <w:ind w:left="205" w:right="1161" w:firstLine="0"/>
        <w:jc w:val="center"/>
        <w:rPr>
          <w:sz w:val="20"/>
        </w:rPr>
      </w:pPr>
      <w:r>
        <w:rPr/>
        <w:pict>
          <v:shape style="position:absolute;margin-left:191.639999pt;margin-top:-50.449055pt;width:12pt;height:45.6pt;mso-position-horizontal-relative:page;mso-position-vertical-relative:paragraph;z-index:2080"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00-2001</w:t>
                  </w:r>
                </w:p>
              </w:txbxContent>
            </v:textbox>
            <w10:wrap type="none"/>
          </v:shape>
        </w:pict>
      </w:r>
      <w:r>
        <w:rPr/>
        <w:pict>
          <v:shape style="position:absolute;margin-left:213.360001pt;margin-top:-50.449055pt;width:12pt;height:45.6pt;mso-position-horizontal-relative:page;mso-position-vertical-relative:paragraph;z-index:2128"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01-2002</w:t>
                  </w:r>
                </w:p>
              </w:txbxContent>
            </v:textbox>
            <w10:wrap type="none"/>
          </v:shape>
        </w:pict>
      </w:r>
      <w:r>
        <w:rPr/>
        <w:pict>
          <v:shape style="position:absolute;margin-left:235.061996pt;margin-top:-50.474182pt;width:12pt;height:45.6pt;mso-position-horizontal-relative:page;mso-position-vertical-relative:paragraph;z-index:2176" type="#_x0000_t202" filled="false" stroked="false">
            <v:textbox inset="0,0,0,0" style="layout-flow:vertical;mso-layout-flow-alt:bottom-to-top">
              <w:txbxContent>
                <w:p>
                  <w:pPr>
                    <w:spacing w:line="223" w:lineRule="exact" w:before="0"/>
                    <w:ind w:left="20" w:right="-671" w:firstLine="0"/>
                    <w:jc w:val="left"/>
                    <w:rPr>
                      <w:rFonts w:ascii="Calibri"/>
                      <w:sz w:val="20"/>
                    </w:rPr>
                  </w:pPr>
                  <w:r>
                    <w:rPr>
                      <w:rFonts w:ascii="Calibri"/>
                      <w:w w:val="99"/>
                      <w:sz w:val="20"/>
                    </w:rPr>
                    <w:t>2</w:t>
                  </w:r>
                  <w:r>
                    <w:rPr>
                      <w:rFonts w:ascii="Calibri"/>
                      <w:spacing w:val="1"/>
                      <w:w w:val="99"/>
                      <w:sz w:val="20"/>
                    </w:rPr>
                    <w:t>0</w:t>
                  </w:r>
                  <w:r>
                    <w:rPr>
                      <w:rFonts w:ascii="Calibri"/>
                      <w:w w:val="99"/>
                      <w:sz w:val="20"/>
                    </w:rPr>
                    <w:t>0</w:t>
                  </w:r>
                  <w:r>
                    <w:rPr>
                      <w:rFonts w:ascii="Calibri"/>
                      <w:spacing w:val="-1"/>
                      <w:w w:val="99"/>
                      <w:sz w:val="20"/>
                    </w:rPr>
                    <w:t>2</w:t>
                  </w:r>
                  <w:r>
                    <w:rPr>
                      <w:rFonts w:ascii="Calibri"/>
                      <w:spacing w:val="1"/>
                      <w:w w:val="99"/>
                      <w:sz w:val="20"/>
                    </w:rPr>
                    <w:t>-</w:t>
                  </w:r>
                  <w:r>
                    <w:rPr>
                      <w:rFonts w:ascii="Calibri"/>
                      <w:w w:val="99"/>
                      <w:sz w:val="20"/>
                    </w:rPr>
                    <w:t>2</w:t>
                  </w:r>
                  <w:r>
                    <w:rPr>
                      <w:rFonts w:ascii="Calibri"/>
                      <w:spacing w:val="-1"/>
                      <w:w w:val="99"/>
                      <w:sz w:val="20"/>
                    </w:rPr>
                    <w:t>0</w:t>
                  </w:r>
                  <w:r>
                    <w:rPr>
                      <w:rFonts w:ascii="Calibri"/>
                      <w:w w:val="99"/>
                      <w:sz w:val="20"/>
                    </w:rPr>
                    <w:t>03</w:t>
                  </w:r>
                </w:p>
              </w:txbxContent>
            </v:textbox>
            <w10:wrap type="none"/>
          </v:shape>
        </w:pict>
      </w:r>
      <w:r>
        <w:rPr/>
        <w:pict>
          <v:shape style="position:absolute;margin-left:256.782013pt;margin-top:-50.474182pt;width:12pt;height:45.6pt;mso-position-horizontal-relative:page;mso-position-vertical-relative:paragraph;z-index:2224" type="#_x0000_t202" filled="false" stroked="false">
            <v:textbox inset="0,0,0,0" style="layout-flow:vertical;mso-layout-flow-alt:bottom-to-top">
              <w:txbxContent>
                <w:p>
                  <w:pPr>
                    <w:spacing w:line="223" w:lineRule="exact" w:before="0"/>
                    <w:ind w:left="20" w:right="-671" w:firstLine="0"/>
                    <w:jc w:val="left"/>
                    <w:rPr>
                      <w:rFonts w:ascii="Calibri"/>
                      <w:sz w:val="20"/>
                    </w:rPr>
                  </w:pPr>
                  <w:r>
                    <w:rPr>
                      <w:rFonts w:ascii="Calibri"/>
                      <w:w w:val="99"/>
                      <w:sz w:val="20"/>
                    </w:rPr>
                    <w:t>2</w:t>
                  </w:r>
                  <w:r>
                    <w:rPr>
                      <w:rFonts w:ascii="Calibri"/>
                      <w:spacing w:val="1"/>
                      <w:w w:val="99"/>
                      <w:sz w:val="20"/>
                    </w:rPr>
                    <w:t>0</w:t>
                  </w:r>
                  <w:r>
                    <w:rPr>
                      <w:rFonts w:ascii="Calibri"/>
                      <w:w w:val="99"/>
                      <w:sz w:val="20"/>
                    </w:rPr>
                    <w:t>0</w:t>
                  </w:r>
                  <w:r>
                    <w:rPr>
                      <w:rFonts w:ascii="Calibri"/>
                      <w:spacing w:val="-1"/>
                      <w:w w:val="99"/>
                      <w:sz w:val="20"/>
                    </w:rPr>
                    <w:t>3</w:t>
                  </w:r>
                  <w:r>
                    <w:rPr>
                      <w:rFonts w:ascii="Calibri"/>
                      <w:spacing w:val="1"/>
                      <w:w w:val="99"/>
                      <w:sz w:val="20"/>
                    </w:rPr>
                    <w:t>-</w:t>
                  </w:r>
                  <w:r>
                    <w:rPr>
                      <w:rFonts w:ascii="Calibri"/>
                      <w:w w:val="99"/>
                      <w:sz w:val="20"/>
                    </w:rPr>
                    <w:t>2</w:t>
                  </w:r>
                  <w:r>
                    <w:rPr>
                      <w:rFonts w:ascii="Calibri"/>
                      <w:spacing w:val="-1"/>
                      <w:w w:val="99"/>
                      <w:sz w:val="20"/>
                    </w:rPr>
                    <w:t>0</w:t>
                  </w:r>
                  <w:r>
                    <w:rPr>
                      <w:rFonts w:ascii="Calibri"/>
                      <w:w w:val="99"/>
                      <w:sz w:val="20"/>
                    </w:rPr>
                    <w:t>04</w:t>
                  </w:r>
                </w:p>
              </w:txbxContent>
            </v:textbox>
            <w10:wrap type="none"/>
          </v:shape>
        </w:pict>
      </w:r>
      <w:r>
        <w:rPr/>
        <w:pict>
          <v:shape style="position:absolute;margin-left:278.5pt;margin-top:-50.449055pt;width:12pt;height:45.6pt;mso-position-horizontal-relative:page;mso-position-vertical-relative:paragraph;z-index:2248"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04-2005</w:t>
                  </w:r>
                </w:p>
              </w:txbxContent>
            </v:textbox>
            <w10:wrap type="none"/>
          </v:shape>
        </w:pict>
      </w:r>
      <w:r>
        <w:rPr/>
        <w:pict>
          <v:shape style="position:absolute;margin-left:300.220001pt;margin-top:-50.449055pt;width:12pt;height:45.6pt;mso-position-horizontal-relative:page;mso-position-vertical-relative:paragraph;z-index:2296"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05-2006</w:t>
                  </w:r>
                </w:p>
              </w:txbxContent>
            </v:textbox>
            <w10:wrap type="none"/>
          </v:shape>
        </w:pict>
      </w:r>
      <w:r>
        <w:rPr/>
        <w:pict>
          <v:shape style="position:absolute;margin-left:321.940002pt;margin-top:-50.449055pt;width:12pt;height:45.6pt;mso-position-horizontal-relative:page;mso-position-vertical-relative:paragraph;z-index:2344"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06-2007</w:t>
                  </w:r>
                </w:p>
              </w:txbxContent>
            </v:textbox>
            <w10:wrap type="none"/>
          </v:shape>
        </w:pict>
      </w:r>
      <w:r>
        <w:rPr/>
        <w:pict>
          <v:shape style="position:absolute;margin-left:343.660004pt;margin-top:-50.449055pt;width:12pt;height:45.6pt;mso-position-horizontal-relative:page;mso-position-vertical-relative:paragraph;z-index:2392"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07-2008</w:t>
                  </w:r>
                </w:p>
              </w:txbxContent>
            </v:textbox>
            <w10:wrap type="none"/>
          </v:shape>
        </w:pict>
      </w:r>
      <w:r>
        <w:rPr/>
        <w:pict>
          <v:shape style="position:absolute;margin-left:365.380005pt;margin-top:-50.449055pt;width:12pt;height:45.6pt;mso-position-horizontal-relative:page;mso-position-vertical-relative:paragraph;z-index:2440"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08-2009</w:t>
                  </w:r>
                </w:p>
              </w:txbxContent>
            </v:textbox>
            <w10:wrap type="none"/>
          </v:shape>
        </w:pict>
      </w:r>
      <w:r>
        <w:rPr/>
        <w:pict>
          <v:shape style="position:absolute;margin-left:387.100006pt;margin-top:-50.449055pt;width:12pt;height:45.6pt;mso-position-horizontal-relative:page;mso-position-vertical-relative:paragraph;z-index:2488"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09-2010</w:t>
                  </w:r>
                </w:p>
              </w:txbxContent>
            </v:textbox>
            <w10:wrap type="none"/>
          </v:shape>
        </w:pict>
      </w:r>
      <w:r>
        <w:rPr>
          <w:sz w:val="20"/>
        </w:rPr>
        <w:t>Fuente: SEP, 2012.</w:t>
      </w:r>
    </w:p>
    <w:p>
      <w:pPr>
        <w:pStyle w:val="BodyText"/>
        <w:rPr>
          <w:sz w:val="20"/>
        </w:rPr>
      </w:pPr>
    </w:p>
    <w:p>
      <w:pPr>
        <w:pStyle w:val="BodyText"/>
        <w:spacing w:before="2"/>
        <w:rPr>
          <w:sz w:val="26"/>
        </w:rPr>
      </w:pPr>
    </w:p>
    <w:p>
      <w:pPr>
        <w:pStyle w:val="BodyText"/>
        <w:spacing w:line="360" w:lineRule="auto" w:before="1"/>
        <w:ind w:left="102" w:right="1057"/>
        <w:jc w:val="both"/>
      </w:pPr>
      <w:r>
        <w:rPr/>
        <w:t>En cuanto a la cobertura educativa total del país, se presenta la serie histórica de indicadores del sistema educativo nacional. Destacan cifras como la atención en el nivel preescolar en donde en el ciclo escolar de 2000-2001 se tenía una cobertura de 50.2%  contra 82.8% para el ciclo de 2011-2012. Caso contrario para la absorción en licenciatura en donde de un valor de 82.1% en el ciclo 2000-2001, se redujo a 77.6% en</w:t>
      </w:r>
      <w:r>
        <w:rPr>
          <w:spacing w:val="-5"/>
        </w:rPr>
        <w:t> </w:t>
      </w:r>
      <w:r>
        <w:rPr/>
        <w:t>2011-2012.</w:t>
      </w:r>
    </w:p>
    <w:p>
      <w:pPr>
        <w:spacing w:after="0" w:line="360" w:lineRule="auto"/>
        <w:jc w:val="both"/>
        <w:sectPr>
          <w:pgSz w:w="12240" w:h="15840"/>
          <w:pgMar w:header="0" w:footer="1003" w:top="1360" w:bottom="1200" w:left="1600" w:right="640"/>
        </w:sectPr>
      </w:pPr>
    </w:p>
    <w:p>
      <w:pPr>
        <w:pStyle w:val="Heading3"/>
        <w:ind w:left="149"/>
        <w:jc w:val="left"/>
      </w:pPr>
      <w:r>
        <w:rPr/>
        <w:t>Tabla 3.4. Serie histórica de indicadores del sistema educativo nacional 2000-2010 (%)</w:t>
      </w:r>
    </w:p>
    <w:p>
      <w:pPr>
        <w:pStyle w:val="BodyText"/>
        <w:spacing w:before="5" w:after="1"/>
        <w:rPr>
          <w:b/>
          <w:sz w:val="29"/>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32"/>
        <w:gridCol w:w="1137"/>
        <w:gridCol w:w="1134"/>
        <w:gridCol w:w="1134"/>
        <w:gridCol w:w="1134"/>
        <w:gridCol w:w="1135"/>
        <w:gridCol w:w="1133"/>
      </w:tblGrid>
      <w:tr>
        <w:trPr>
          <w:trHeight w:val="310" w:hRule="exact"/>
        </w:trPr>
        <w:tc>
          <w:tcPr>
            <w:tcW w:w="2432" w:type="dxa"/>
            <w:tcBorders>
              <w:left w:val="nil"/>
              <w:right w:val="nil"/>
            </w:tcBorders>
          </w:tcPr>
          <w:p>
            <w:pPr>
              <w:pStyle w:val="TableParagraph"/>
              <w:spacing w:before="46"/>
              <w:ind w:left="84" w:right="-50"/>
              <w:rPr>
                <w:b/>
                <w:sz w:val="22"/>
              </w:rPr>
            </w:pPr>
            <w:r>
              <w:rPr>
                <w:b/>
                <w:sz w:val="22"/>
              </w:rPr>
              <w:t>Indicador educativo</w:t>
            </w:r>
          </w:p>
        </w:tc>
        <w:tc>
          <w:tcPr>
            <w:tcW w:w="1137" w:type="dxa"/>
            <w:tcBorders>
              <w:left w:val="nil"/>
              <w:right w:val="nil"/>
            </w:tcBorders>
          </w:tcPr>
          <w:p>
            <w:pPr>
              <w:pStyle w:val="TableParagraph"/>
              <w:spacing w:before="46"/>
              <w:ind w:right="108"/>
              <w:jc w:val="right"/>
              <w:rPr>
                <w:b/>
                <w:sz w:val="22"/>
              </w:rPr>
            </w:pPr>
            <w:r>
              <w:rPr>
                <w:b/>
                <w:sz w:val="22"/>
              </w:rPr>
              <w:t>2000-2001</w:t>
            </w:r>
          </w:p>
        </w:tc>
        <w:tc>
          <w:tcPr>
            <w:tcW w:w="1134" w:type="dxa"/>
            <w:tcBorders>
              <w:left w:val="nil"/>
              <w:right w:val="nil"/>
            </w:tcBorders>
          </w:tcPr>
          <w:p>
            <w:pPr>
              <w:pStyle w:val="TableParagraph"/>
              <w:spacing w:before="46"/>
              <w:ind w:right="107"/>
              <w:jc w:val="right"/>
              <w:rPr>
                <w:b/>
                <w:sz w:val="22"/>
              </w:rPr>
            </w:pPr>
            <w:r>
              <w:rPr>
                <w:b/>
                <w:sz w:val="22"/>
              </w:rPr>
              <w:t>2005-2006</w:t>
            </w:r>
          </w:p>
        </w:tc>
        <w:tc>
          <w:tcPr>
            <w:tcW w:w="1134" w:type="dxa"/>
            <w:tcBorders>
              <w:left w:val="nil"/>
              <w:right w:val="nil"/>
            </w:tcBorders>
          </w:tcPr>
          <w:p>
            <w:pPr>
              <w:pStyle w:val="TableParagraph"/>
              <w:spacing w:before="46"/>
              <w:ind w:right="108"/>
              <w:jc w:val="right"/>
              <w:rPr>
                <w:b/>
                <w:sz w:val="22"/>
              </w:rPr>
            </w:pPr>
            <w:r>
              <w:rPr>
                <w:b/>
                <w:sz w:val="22"/>
              </w:rPr>
              <w:t>2008-2009</w:t>
            </w:r>
          </w:p>
        </w:tc>
        <w:tc>
          <w:tcPr>
            <w:tcW w:w="1134" w:type="dxa"/>
            <w:tcBorders>
              <w:left w:val="nil"/>
              <w:right w:val="nil"/>
            </w:tcBorders>
          </w:tcPr>
          <w:p>
            <w:pPr>
              <w:pStyle w:val="TableParagraph"/>
              <w:spacing w:before="46"/>
              <w:ind w:right="107"/>
              <w:jc w:val="right"/>
              <w:rPr>
                <w:b/>
                <w:sz w:val="22"/>
              </w:rPr>
            </w:pPr>
            <w:r>
              <w:rPr>
                <w:b/>
                <w:sz w:val="22"/>
              </w:rPr>
              <w:t>2009-2010</w:t>
            </w:r>
          </w:p>
        </w:tc>
        <w:tc>
          <w:tcPr>
            <w:tcW w:w="1135" w:type="dxa"/>
            <w:tcBorders>
              <w:left w:val="nil"/>
              <w:right w:val="nil"/>
            </w:tcBorders>
          </w:tcPr>
          <w:p>
            <w:pPr>
              <w:pStyle w:val="TableParagraph"/>
              <w:spacing w:before="46"/>
              <w:ind w:right="108"/>
              <w:jc w:val="right"/>
              <w:rPr>
                <w:b/>
                <w:sz w:val="22"/>
              </w:rPr>
            </w:pPr>
            <w:r>
              <w:rPr>
                <w:b/>
                <w:sz w:val="22"/>
              </w:rPr>
              <w:t>2010-2011</w:t>
            </w:r>
          </w:p>
        </w:tc>
        <w:tc>
          <w:tcPr>
            <w:tcW w:w="1133" w:type="dxa"/>
            <w:tcBorders>
              <w:left w:val="nil"/>
              <w:right w:val="nil"/>
            </w:tcBorders>
          </w:tcPr>
          <w:p>
            <w:pPr>
              <w:pStyle w:val="TableParagraph"/>
              <w:spacing w:before="46"/>
              <w:ind w:right="106"/>
              <w:jc w:val="right"/>
              <w:rPr>
                <w:b/>
                <w:sz w:val="22"/>
              </w:rPr>
            </w:pPr>
            <w:r>
              <w:rPr>
                <w:b/>
                <w:sz w:val="22"/>
              </w:rPr>
              <w:t>2011-2012</w:t>
            </w:r>
          </w:p>
        </w:tc>
      </w:tr>
      <w:tr>
        <w:trPr>
          <w:trHeight w:val="335" w:hRule="exact"/>
        </w:trPr>
        <w:tc>
          <w:tcPr>
            <w:tcW w:w="2432" w:type="dxa"/>
            <w:tcBorders>
              <w:left w:val="nil"/>
              <w:bottom w:val="nil"/>
              <w:right w:val="nil"/>
            </w:tcBorders>
          </w:tcPr>
          <w:p>
            <w:pPr>
              <w:pStyle w:val="TableParagraph"/>
              <w:spacing w:before="42"/>
              <w:ind w:left="84" w:right="-50"/>
              <w:rPr>
                <w:i/>
                <w:sz w:val="22"/>
              </w:rPr>
            </w:pPr>
            <w:r>
              <w:rPr>
                <w:i/>
                <w:sz w:val="22"/>
              </w:rPr>
              <w:t>Educación preescolar</w:t>
            </w:r>
          </w:p>
        </w:tc>
        <w:tc>
          <w:tcPr>
            <w:tcW w:w="1137" w:type="dxa"/>
            <w:tcBorders>
              <w:left w:val="nil"/>
              <w:bottom w:val="nil"/>
              <w:right w:val="nil"/>
            </w:tcBorders>
          </w:tcPr>
          <w:p>
            <w:pPr/>
          </w:p>
        </w:tc>
        <w:tc>
          <w:tcPr>
            <w:tcW w:w="1134" w:type="dxa"/>
            <w:tcBorders>
              <w:left w:val="nil"/>
              <w:bottom w:val="nil"/>
              <w:right w:val="nil"/>
            </w:tcBorders>
          </w:tcPr>
          <w:p>
            <w:pPr/>
          </w:p>
        </w:tc>
        <w:tc>
          <w:tcPr>
            <w:tcW w:w="1134" w:type="dxa"/>
            <w:tcBorders>
              <w:left w:val="nil"/>
              <w:bottom w:val="nil"/>
              <w:right w:val="nil"/>
            </w:tcBorders>
          </w:tcPr>
          <w:p>
            <w:pPr/>
          </w:p>
        </w:tc>
        <w:tc>
          <w:tcPr>
            <w:tcW w:w="1134" w:type="dxa"/>
            <w:tcBorders>
              <w:left w:val="nil"/>
              <w:bottom w:val="nil"/>
              <w:right w:val="nil"/>
            </w:tcBorders>
          </w:tcPr>
          <w:p>
            <w:pPr/>
          </w:p>
        </w:tc>
        <w:tc>
          <w:tcPr>
            <w:tcW w:w="1135" w:type="dxa"/>
            <w:tcBorders>
              <w:left w:val="nil"/>
              <w:bottom w:val="nil"/>
              <w:right w:val="nil"/>
            </w:tcBorders>
          </w:tcPr>
          <w:p>
            <w:pPr/>
          </w:p>
        </w:tc>
        <w:tc>
          <w:tcPr>
            <w:tcW w:w="1133" w:type="dxa"/>
            <w:tcBorders>
              <w:left w:val="nil"/>
              <w:bottom w:val="nil"/>
              <w:right w:val="nil"/>
            </w:tcBorders>
          </w:tcPr>
          <w:p>
            <w:pPr/>
          </w:p>
        </w:tc>
      </w:tr>
      <w:tr>
        <w:trPr>
          <w:trHeight w:val="300" w:hRule="exact"/>
        </w:trPr>
        <w:tc>
          <w:tcPr>
            <w:tcW w:w="2432" w:type="dxa"/>
            <w:tcBorders>
              <w:top w:val="nil"/>
              <w:left w:val="nil"/>
              <w:bottom w:val="nil"/>
              <w:right w:val="nil"/>
            </w:tcBorders>
          </w:tcPr>
          <w:p>
            <w:pPr>
              <w:pStyle w:val="TableParagraph"/>
              <w:spacing w:before="12"/>
              <w:ind w:left="307" w:right="-50"/>
              <w:rPr>
                <w:sz w:val="22"/>
              </w:rPr>
            </w:pPr>
            <w:r>
              <w:rPr>
                <w:sz w:val="22"/>
              </w:rPr>
              <w:t>Atención de 3 años</w:t>
            </w:r>
          </w:p>
        </w:tc>
        <w:tc>
          <w:tcPr>
            <w:tcW w:w="1137" w:type="dxa"/>
            <w:tcBorders>
              <w:top w:val="nil"/>
              <w:left w:val="nil"/>
              <w:bottom w:val="nil"/>
              <w:right w:val="nil"/>
            </w:tcBorders>
          </w:tcPr>
          <w:p>
            <w:pPr>
              <w:pStyle w:val="TableParagraph"/>
              <w:spacing w:before="12"/>
              <w:ind w:right="67"/>
              <w:jc w:val="right"/>
              <w:rPr>
                <w:sz w:val="22"/>
              </w:rPr>
            </w:pPr>
            <w:r>
              <w:rPr>
                <w:sz w:val="22"/>
              </w:rPr>
              <w:t>15.1</w:t>
            </w:r>
          </w:p>
        </w:tc>
        <w:tc>
          <w:tcPr>
            <w:tcW w:w="1134" w:type="dxa"/>
            <w:tcBorders>
              <w:top w:val="nil"/>
              <w:left w:val="nil"/>
              <w:bottom w:val="nil"/>
              <w:right w:val="nil"/>
            </w:tcBorders>
          </w:tcPr>
          <w:p>
            <w:pPr>
              <w:pStyle w:val="TableParagraph"/>
              <w:spacing w:before="12"/>
              <w:ind w:right="66"/>
              <w:jc w:val="right"/>
              <w:rPr>
                <w:sz w:val="22"/>
              </w:rPr>
            </w:pPr>
            <w:r>
              <w:rPr>
                <w:sz w:val="22"/>
              </w:rPr>
              <w:t>24.7</w:t>
            </w:r>
          </w:p>
        </w:tc>
        <w:tc>
          <w:tcPr>
            <w:tcW w:w="1134" w:type="dxa"/>
            <w:tcBorders>
              <w:top w:val="nil"/>
              <w:left w:val="nil"/>
              <w:bottom w:val="nil"/>
              <w:right w:val="nil"/>
            </w:tcBorders>
          </w:tcPr>
          <w:p>
            <w:pPr>
              <w:pStyle w:val="TableParagraph"/>
              <w:spacing w:before="12"/>
              <w:ind w:right="67"/>
              <w:jc w:val="right"/>
              <w:rPr>
                <w:sz w:val="22"/>
              </w:rPr>
            </w:pPr>
            <w:r>
              <w:rPr>
                <w:sz w:val="22"/>
              </w:rPr>
              <w:t>38.3</w:t>
            </w:r>
          </w:p>
        </w:tc>
        <w:tc>
          <w:tcPr>
            <w:tcW w:w="1134" w:type="dxa"/>
            <w:tcBorders>
              <w:top w:val="nil"/>
              <w:left w:val="nil"/>
              <w:bottom w:val="nil"/>
              <w:right w:val="nil"/>
            </w:tcBorders>
          </w:tcPr>
          <w:p>
            <w:pPr>
              <w:pStyle w:val="TableParagraph"/>
              <w:spacing w:before="12"/>
              <w:ind w:right="66"/>
              <w:jc w:val="right"/>
              <w:rPr>
                <w:sz w:val="22"/>
              </w:rPr>
            </w:pPr>
            <w:r>
              <w:rPr>
                <w:sz w:val="22"/>
              </w:rPr>
              <w:t>39.5</w:t>
            </w:r>
          </w:p>
        </w:tc>
        <w:tc>
          <w:tcPr>
            <w:tcW w:w="1135" w:type="dxa"/>
            <w:tcBorders>
              <w:top w:val="nil"/>
              <w:left w:val="nil"/>
              <w:bottom w:val="nil"/>
              <w:right w:val="nil"/>
            </w:tcBorders>
          </w:tcPr>
          <w:p>
            <w:pPr>
              <w:pStyle w:val="TableParagraph"/>
              <w:spacing w:before="12"/>
              <w:ind w:right="67"/>
              <w:jc w:val="right"/>
              <w:rPr>
                <w:sz w:val="22"/>
              </w:rPr>
            </w:pPr>
            <w:r>
              <w:rPr>
                <w:sz w:val="22"/>
              </w:rPr>
              <w:t>43.4</w:t>
            </w:r>
          </w:p>
        </w:tc>
        <w:tc>
          <w:tcPr>
            <w:tcW w:w="1133" w:type="dxa"/>
            <w:tcBorders>
              <w:top w:val="nil"/>
              <w:left w:val="nil"/>
              <w:bottom w:val="nil"/>
              <w:right w:val="nil"/>
            </w:tcBorders>
          </w:tcPr>
          <w:p>
            <w:pPr>
              <w:pStyle w:val="TableParagraph"/>
              <w:spacing w:before="12"/>
              <w:ind w:right="65"/>
              <w:jc w:val="right"/>
              <w:rPr>
                <w:sz w:val="22"/>
              </w:rPr>
            </w:pPr>
            <w:r>
              <w:rPr>
                <w:sz w:val="22"/>
              </w:rPr>
              <w:t>46.5</w:t>
            </w:r>
          </w:p>
        </w:tc>
      </w:tr>
      <w:tr>
        <w:trPr>
          <w:trHeight w:val="300" w:hRule="exact"/>
        </w:trPr>
        <w:tc>
          <w:tcPr>
            <w:tcW w:w="2432" w:type="dxa"/>
            <w:tcBorders>
              <w:top w:val="nil"/>
              <w:left w:val="nil"/>
              <w:bottom w:val="nil"/>
              <w:right w:val="nil"/>
            </w:tcBorders>
          </w:tcPr>
          <w:p>
            <w:pPr>
              <w:pStyle w:val="TableParagraph"/>
              <w:spacing w:before="12"/>
              <w:ind w:left="307" w:right="-50"/>
              <w:rPr>
                <w:sz w:val="22"/>
              </w:rPr>
            </w:pPr>
            <w:r>
              <w:rPr>
                <w:sz w:val="22"/>
              </w:rPr>
              <w:t>Atención de 4 años</w:t>
            </w:r>
          </w:p>
        </w:tc>
        <w:tc>
          <w:tcPr>
            <w:tcW w:w="1137" w:type="dxa"/>
            <w:tcBorders>
              <w:top w:val="nil"/>
              <w:left w:val="nil"/>
              <w:bottom w:val="nil"/>
              <w:right w:val="nil"/>
            </w:tcBorders>
          </w:tcPr>
          <w:p>
            <w:pPr>
              <w:pStyle w:val="TableParagraph"/>
              <w:spacing w:before="12"/>
              <w:ind w:right="67"/>
              <w:jc w:val="right"/>
              <w:rPr>
                <w:sz w:val="22"/>
              </w:rPr>
            </w:pPr>
            <w:r>
              <w:rPr>
                <w:sz w:val="22"/>
              </w:rPr>
              <w:t>55.0</w:t>
            </w:r>
          </w:p>
        </w:tc>
        <w:tc>
          <w:tcPr>
            <w:tcW w:w="1134" w:type="dxa"/>
            <w:tcBorders>
              <w:top w:val="nil"/>
              <w:left w:val="nil"/>
              <w:bottom w:val="nil"/>
              <w:right w:val="nil"/>
            </w:tcBorders>
          </w:tcPr>
          <w:p>
            <w:pPr>
              <w:pStyle w:val="TableParagraph"/>
              <w:spacing w:before="12"/>
              <w:ind w:right="70"/>
              <w:jc w:val="right"/>
              <w:rPr>
                <w:sz w:val="22"/>
              </w:rPr>
            </w:pPr>
            <w:r>
              <w:rPr>
                <w:sz w:val="22"/>
              </w:rPr>
              <w:t>80</w:t>
            </w:r>
          </w:p>
        </w:tc>
        <w:tc>
          <w:tcPr>
            <w:tcW w:w="1134" w:type="dxa"/>
            <w:tcBorders>
              <w:top w:val="nil"/>
              <w:left w:val="nil"/>
              <w:bottom w:val="nil"/>
              <w:right w:val="nil"/>
            </w:tcBorders>
          </w:tcPr>
          <w:p>
            <w:pPr>
              <w:pStyle w:val="TableParagraph"/>
              <w:spacing w:before="12"/>
              <w:ind w:right="67"/>
              <w:jc w:val="right"/>
              <w:rPr>
                <w:sz w:val="22"/>
              </w:rPr>
            </w:pPr>
            <w:r>
              <w:rPr>
                <w:sz w:val="22"/>
              </w:rPr>
              <w:t>97.2</w:t>
            </w:r>
          </w:p>
        </w:tc>
        <w:tc>
          <w:tcPr>
            <w:tcW w:w="1134" w:type="dxa"/>
            <w:tcBorders>
              <w:top w:val="nil"/>
              <w:left w:val="nil"/>
              <w:bottom w:val="nil"/>
              <w:right w:val="nil"/>
            </w:tcBorders>
          </w:tcPr>
          <w:p>
            <w:pPr>
              <w:pStyle w:val="TableParagraph"/>
              <w:spacing w:before="12"/>
              <w:ind w:right="66"/>
              <w:jc w:val="right"/>
              <w:rPr>
                <w:sz w:val="22"/>
              </w:rPr>
            </w:pPr>
            <w:r>
              <w:rPr>
                <w:sz w:val="22"/>
              </w:rPr>
              <w:t>98.9</w:t>
            </w:r>
          </w:p>
        </w:tc>
        <w:tc>
          <w:tcPr>
            <w:tcW w:w="1135" w:type="dxa"/>
            <w:tcBorders>
              <w:top w:val="nil"/>
              <w:left w:val="nil"/>
              <w:bottom w:val="nil"/>
              <w:right w:val="nil"/>
            </w:tcBorders>
          </w:tcPr>
          <w:p>
            <w:pPr>
              <w:pStyle w:val="TableParagraph"/>
              <w:spacing w:before="12"/>
              <w:ind w:right="67"/>
              <w:jc w:val="right"/>
              <w:rPr>
                <w:sz w:val="22"/>
              </w:rPr>
            </w:pPr>
            <w:r>
              <w:rPr>
                <w:sz w:val="22"/>
              </w:rPr>
              <w:t>101.1</w:t>
            </w:r>
          </w:p>
        </w:tc>
        <w:tc>
          <w:tcPr>
            <w:tcW w:w="1133" w:type="dxa"/>
            <w:tcBorders>
              <w:top w:val="nil"/>
              <w:left w:val="nil"/>
              <w:bottom w:val="nil"/>
              <w:right w:val="nil"/>
            </w:tcBorders>
          </w:tcPr>
          <w:p>
            <w:pPr>
              <w:pStyle w:val="TableParagraph"/>
              <w:spacing w:before="12"/>
              <w:ind w:right="65"/>
              <w:jc w:val="right"/>
              <w:rPr>
                <w:sz w:val="22"/>
              </w:rPr>
            </w:pPr>
            <w:r>
              <w:rPr>
                <w:sz w:val="22"/>
              </w:rPr>
              <w:t>103.8</w:t>
            </w:r>
          </w:p>
        </w:tc>
      </w:tr>
      <w:tr>
        <w:trPr>
          <w:trHeight w:val="277" w:hRule="exact"/>
        </w:trPr>
        <w:tc>
          <w:tcPr>
            <w:tcW w:w="2432" w:type="dxa"/>
            <w:tcBorders>
              <w:top w:val="nil"/>
              <w:left w:val="nil"/>
              <w:bottom w:val="nil"/>
              <w:right w:val="nil"/>
            </w:tcBorders>
          </w:tcPr>
          <w:p>
            <w:pPr>
              <w:pStyle w:val="TableParagraph"/>
              <w:spacing w:before="12"/>
              <w:ind w:left="307" w:right="-50"/>
              <w:rPr>
                <w:sz w:val="22"/>
              </w:rPr>
            </w:pPr>
            <w:r>
              <w:rPr>
                <w:sz w:val="22"/>
              </w:rPr>
              <w:t>Atención de 5 años</w:t>
            </w:r>
          </w:p>
        </w:tc>
        <w:tc>
          <w:tcPr>
            <w:tcW w:w="1137" w:type="dxa"/>
            <w:tcBorders>
              <w:top w:val="nil"/>
              <w:left w:val="nil"/>
              <w:bottom w:val="nil"/>
              <w:right w:val="nil"/>
            </w:tcBorders>
          </w:tcPr>
          <w:p>
            <w:pPr>
              <w:pStyle w:val="TableParagraph"/>
              <w:spacing w:before="12"/>
              <w:ind w:right="67"/>
              <w:jc w:val="right"/>
              <w:rPr>
                <w:sz w:val="22"/>
              </w:rPr>
            </w:pPr>
            <w:r>
              <w:rPr>
                <w:sz w:val="22"/>
              </w:rPr>
              <w:t>80.7</w:t>
            </w:r>
          </w:p>
        </w:tc>
        <w:tc>
          <w:tcPr>
            <w:tcW w:w="1134" w:type="dxa"/>
            <w:tcBorders>
              <w:top w:val="nil"/>
              <w:left w:val="nil"/>
              <w:bottom w:val="nil"/>
              <w:right w:val="nil"/>
            </w:tcBorders>
          </w:tcPr>
          <w:p>
            <w:pPr>
              <w:pStyle w:val="TableParagraph"/>
              <w:spacing w:before="12"/>
              <w:ind w:right="66"/>
              <w:jc w:val="right"/>
              <w:rPr>
                <w:sz w:val="22"/>
              </w:rPr>
            </w:pPr>
            <w:r>
              <w:rPr>
                <w:sz w:val="22"/>
              </w:rPr>
              <w:t>92.8</w:t>
            </w:r>
          </w:p>
        </w:tc>
        <w:tc>
          <w:tcPr>
            <w:tcW w:w="1134" w:type="dxa"/>
            <w:tcBorders>
              <w:top w:val="nil"/>
              <w:left w:val="nil"/>
              <w:bottom w:val="nil"/>
              <w:right w:val="nil"/>
            </w:tcBorders>
          </w:tcPr>
          <w:p>
            <w:pPr>
              <w:pStyle w:val="TableParagraph"/>
              <w:spacing w:before="12"/>
              <w:ind w:right="67"/>
              <w:jc w:val="right"/>
              <w:rPr>
                <w:sz w:val="22"/>
              </w:rPr>
            </w:pPr>
            <w:r>
              <w:rPr>
                <w:sz w:val="22"/>
              </w:rPr>
              <w:t>96.2</w:t>
            </w:r>
          </w:p>
        </w:tc>
        <w:tc>
          <w:tcPr>
            <w:tcW w:w="1134" w:type="dxa"/>
            <w:tcBorders>
              <w:top w:val="nil"/>
              <w:left w:val="nil"/>
              <w:bottom w:val="nil"/>
              <w:right w:val="nil"/>
            </w:tcBorders>
          </w:tcPr>
          <w:p>
            <w:pPr>
              <w:pStyle w:val="TableParagraph"/>
              <w:spacing w:before="12"/>
              <w:ind w:right="66"/>
              <w:jc w:val="right"/>
              <w:rPr>
                <w:sz w:val="22"/>
              </w:rPr>
            </w:pPr>
            <w:r>
              <w:rPr>
                <w:sz w:val="22"/>
              </w:rPr>
              <w:t>98.4</w:t>
            </w:r>
          </w:p>
        </w:tc>
        <w:tc>
          <w:tcPr>
            <w:tcW w:w="1135" w:type="dxa"/>
            <w:tcBorders>
              <w:top w:val="nil"/>
              <w:left w:val="nil"/>
              <w:bottom w:val="nil"/>
              <w:right w:val="nil"/>
            </w:tcBorders>
          </w:tcPr>
          <w:p>
            <w:pPr>
              <w:pStyle w:val="TableParagraph"/>
              <w:spacing w:before="12"/>
              <w:ind w:right="67"/>
              <w:jc w:val="right"/>
              <w:rPr>
                <w:sz w:val="22"/>
              </w:rPr>
            </w:pPr>
            <w:r>
              <w:rPr>
                <w:sz w:val="22"/>
              </w:rPr>
              <w:t>97.7</w:t>
            </w:r>
          </w:p>
        </w:tc>
        <w:tc>
          <w:tcPr>
            <w:tcW w:w="1133" w:type="dxa"/>
            <w:tcBorders>
              <w:top w:val="nil"/>
              <w:left w:val="nil"/>
              <w:bottom w:val="nil"/>
              <w:right w:val="nil"/>
            </w:tcBorders>
          </w:tcPr>
          <w:p>
            <w:pPr>
              <w:pStyle w:val="TableParagraph"/>
              <w:spacing w:before="12"/>
              <w:ind w:right="67"/>
              <w:jc w:val="right"/>
              <w:rPr>
                <w:sz w:val="22"/>
              </w:rPr>
            </w:pPr>
            <w:r>
              <w:rPr>
                <w:sz w:val="22"/>
              </w:rPr>
              <w:t>98</w:t>
            </w:r>
          </w:p>
        </w:tc>
      </w:tr>
      <w:tr>
        <w:trPr>
          <w:trHeight w:val="504" w:hRule="exact"/>
        </w:trPr>
        <w:tc>
          <w:tcPr>
            <w:tcW w:w="2432" w:type="dxa"/>
            <w:tcBorders>
              <w:top w:val="nil"/>
              <w:left w:val="nil"/>
              <w:right w:val="nil"/>
            </w:tcBorders>
          </w:tcPr>
          <w:p>
            <w:pPr>
              <w:pStyle w:val="TableParagraph"/>
              <w:ind w:left="307" w:right="376"/>
              <w:rPr>
                <w:sz w:val="22"/>
              </w:rPr>
            </w:pPr>
            <w:r>
              <w:rPr>
                <w:sz w:val="22"/>
              </w:rPr>
              <w:t>Atención de 3.4 y 5 años</w:t>
            </w:r>
          </w:p>
        </w:tc>
        <w:tc>
          <w:tcPr>
            <w:tcW w:w="1137" w:type="dxa"/>
            <w:tcBorders>
              <w:top w:val="nil"/>
              <w:left w:val="nil"/>
              <w:right w:val="nil"/>
            </w:tcBorders>
          </w:tcPr>
          <w:p>
            <w:pPr>
              <w:pStyle w:val="TableParagraph"/>
              <w:spacing w:before="11"/>
              <w:rPr>
                <w:b/>
                <w:sz w:val="20"/>
              </w:rPr>
            </w:pPr>
          </w:p>
          <w:p>
            <w:pPr>
              <w:pStyle w:val="TableParagraph"/>
              <w:ind w:right="67"/>
              <w:jc w:val="right"/>
              <w:rPr>
                <w:sz w:val="22"/>
              </w:rPr>
            </w:pPr>
            <w:r>
              <w:rPr>
                <w:sz w:val="22"/>
              </w:rPr>
              <w:t>50.2</w:t>
            </w:r>
          </w:p>
        </w:tc>
        <w:tc>
          <w:tcPr>
            <w:tcW w:w="1134" w:type="dxa"/>
            <w:tcBorders>
              <w:top w:val="nil"/>
              <w:left w:val="nil"/>
              <w:right w:val="nil"/>
            </w:tcBorders>
          </w:tcPr>
          <w:p>
            <w:pPr>
              <w:pStyle w:val="TableParagraph"/>
              <w:spacing w:before="11"/>
              <w:rPr>
                <w:b/>
                <w:sz w:val="20"/>
              </w:rPr>
            </w:pPr>
          </w:p>
          <w:p>
            <w:pPr>
              <w:pStyle w:val="TableParagraph"/>
              <w:ind w:right="66"/>
              <w:jc w:val="right"/>
              <w:rPr>
                <w:sz w:val="22"/>
              </w:rPr>
            </w:pPr>
            <w:r>
              <w:rPr>
                <w:sz w:val="22"/>
              </w:rPr>
              <w:t>66.6</w:t>
            </w:r>
          </w:p>
        </w:tc>
        <w:tc>
          <w:tcPr>
            <w:tcW w:w="1134" w:type="dxa"/>
            <w:tcBorders>
              <w:top w:val="nil"/>
              <w:left w:val="nil"/>
              <w:right w:val="nil"/>
            </w:tcBorders>
          </w:tcPr>
          <w:p>
            <w:pPr>
              <w:pStyle w:val="TableParagraph"/>
              <w:spacing w:before="11"/>
              <w:rPr>
                <w:b/>
                <w:sz w:val="20"/>
              </w:rPr>
            </w:pPr>
          </w:p>
          <w:p>
            <w:pPr>
              <w:pStyle w:val="TableParagraph"/>
              <w:ind w:right="67"/>
              <w:jc w:val="right"/>
              <w:rPr>
                <w:sz w:val="22"/>
              </w:rPr>
            </w:pPr>
            <w:r>
              <w:rPr>
                <w:sz w:val="22"/>
              </w:rPr>
              <w:t>77.6</w:t>
            </w:r>
          </w:p>
        </w:tc>
        <w:tc>
          <w:tcPr>
            <w:tcW w:w="1134" w:type="dxa"/>
            <w:tcBorders>
              <w:top w:val="nil"/>
              <w:left w:val="nil"/>
              <w:right w:val="nil"/>
            </w:tcBorders>
          </w:tcPr>
          <w:p>
            <w:pPr>
              <w:pStyle w:val="TableParagraph"/>
              <w:spacing w:before="11"/>
              <w:rPr>
                <w:b/>
                <w:sz w:val="20"/>
              </w:rPr>
            </w:pPr>
          </w:p>
          <w:p>
            <w:pPr>
              <w:pStyle w:val="TableParagraph"/>
              <w:ind w:right="66"/>
              <w:jc w:val="right"/>
              <w:rPr>
                <w:sz w:val="22"/>
              </w:rPr>
            </w:pPr>
            <w:r>
              <w:rPr>
                <w:sz w:val="22"/>
              </w:rPr>
              <w:t>79.1</w:t>
            </w:r>
          </w:p>
        </w:tc>
        <w:tc>
          <w:tcPr>
            <w:tcW w:w="1135" w:type="dxa"/>
            <w:tcBorders>
              <w:top w:val="nil"/>
              <w:left w:val="nil"/>
              <w:right w:val="nil"/>
            </w:tcBorders>
          </w:tcPr>
          <w:p>
            <w:pPr>
              <w:pStyle w:val="TableParagraph"/>
              <w:spacing w:before="11"/>
              <w:rPr>
                <w:b/>
                <w:sz w:val="20"/>
              </w:rPr>
            </w:pPr>
          </w:p>
          <w:p>
            <w:pPr>
              <w:pStyle w:val="TableParagraph"/>
              <w:ind w:right="67"/>
              <w:jc w:val="right"/>
              <w:rPr>
                <w:sz w:val="22"/>
              </w:rPr>
            </w:pPr>
            <w:r>
              <w:rPr>
                <w:sz w:val="22"/>
              </w:rPr>
              <w:t>80.9</w:t>
            </w:r>
          </w:p>
        </w:tc>
        <w:tc>
          <w:tcPr>
            <w:tcW w:w="1133" w:type="dxa"/>
            <w:tcBorders>
              <w:top w:val="nil"/>
              <w:left w:val="nil"/>
              <w:right w:val="nil"/>
            </w:tcBorders>
          </w:tcPr>
          <w:p>
            <w:pPr>
              <w:pStyle w:val="TableParagraph"/>
              <w:spacing w:before="11"/>
              <w:rPr>
                <w:b/>
                <w:sz w:val="20"/>
              </w:rPr>
            </w:pPr>
          </w:p>
          <w:p>
            <w:pPr>
              <w:pStyle w:val="TableParagraph"/>
              <w:ind w:right="65"/>
              <w:jc w:val="right"/>
              <w:rPr>
                <w:sz w:val="22"/>
              </w:rPr>
            </w:pPr>
            <w:r>
              <w:rPr>
                <w:sz w:val="22"/>
              </w:rPr>
              <w:t>82.8</w:t>
            </w:r>
          </w:p>
        </w:tc>
      </w:tr>
      <w:tr>
        <w:trPr>
          <w:trHeight w:val="335" w:hRule="exact"/>
        </w:trPr>
        <w:tc>
          <w:tcPr>
            <w:tcW w:w="2432" w:type="dxa"/>
            <w:tcBorders>
              <w:left w:val="nil"/>
              <w:bottom w:val="nil"/>
              <w:right w:val="nil"/>
            </w:tcBorders>
          </w:tcPr>
          <w:p>
            <w:pPr>
              <w:pStyle w:val="TableParagraph"/>
              <w:spacing w:before="42"/>
              <w:ind w:left="84" w:right="-50"/>
              <w:rPr>
                <w:i/>
                <w:sz w:val="22"/>
              </w:rPr>
            </w:pPr>
            <w:r>
              <w:rPr>
                <w:i/>
                <w:sz w:val="22"/>
              </w:rPr>
              <w:t>Educación primaria</w:t>
            </w:r>
          </w:p>
        </w:tc>
        <w:tc>
          <w:tcPr>
            <w:tcW w:w="1137" w:type="dxa"/>
            <w:tcBorders>
              <w:left w:val="nil"/>
              <w:bottom w:val="nil"/>
              <w:right w:val="nil"/>
            </w:tcBorders>
          </w:tcPr>
          <w:p>
            <w:pPr/>
          </w:p>
        </w:tc>
        <w:tc>
          <w:tcPr>
            <w:tcW w:w="1134" w:type="dxa"/>
            <w:tcBorders>
              <w:left w:val="nil"/>
              <w:bottom w:val="nil"/>
              <w:right w:val="nil"/>
            </w:tcBorders>
          </w:tcPr>
          <w:p>
            <w:pPr/>
          </w:p>
        </w:tc>
        <w:tc>
          <w:tcPr>
            <w:tcW w:w="1134" w:type="dxa"/>
            <w:tcBorders>
              <w:left w:val="nil"/>
              <w:bottom w:val="nil"/>
              <w:right w:val="nil"/>
            </w:tcBorders>
          </w:tcPr>
          <w:p>
            <w:pPr/>
          </w:p>
        </w:tc>
        <w:tc>
          <w:tcPr>
            <w:tcW w:w="1134" w:type="dxa"/>
            <w:tcBorders>
              <w:left w:val="nil"/>
              <w:bottom w:val="nil"/>
              <w:right w:val="nil"/>
            </w:tcBorders>
          </w:tcPr>
          <w:p>
            <w:pPr/>
          </w:p>
        </w:tc>
        <w:tc>
          <w:tcPr>
            <w:tcW w:w="1135" w:type="dxa"/>
            <w:tcBorders>
              <w:left w:val="nil"/>
              <w:bottom w:val="nil"/>
              <w:right w:val="nil"/>
            </w:tcBorders>
          </w:tcPr>
          <w:p>
            <w:pPr/>
          </w:p>
        </w:tc>
        <w:tc>
          <w:tcPr>
            <w:tcW w:w="1133" w:type="dxa"/>
            <w:tcBorders>
              <w:left w:val="nil"/>
              <w:bottom w:val="nil"/>
              <w:right w:val="nil"/>
            </w:tcBorders>
          </w:tcPr>
          <w:p>
            <w:pPr/>
          </w:p>
        </w:tc>
      </w:tr>
      <w:tr>
        <w:trPr>
          <w:trHeight w:val="300" w:hRule="exact"/>
        </w:trPr>
        <w:tc>
          <w:tcPr>
            <w:tcW w:w="2432" w:type="dxa"/>
            <w:tcBorders>
              <w:top w:val="nil"/>
              <w:left w:val="nil"/>
              <w:bottom w:val="nil"/>
              <w:right w:val="nil"/>
            </w:tcBorders>
          </w:tcPr>
          <w:p>
            <w:pPr>
              <w:pStyle w:val="TableParagraph"/>
              <w:spacing w:before="12"/>
              <w:ind w:left="307" w:right="-50"/>
              <w:rPr>
                <w:sz w:val="22"/>
              </w:rPr>
            </w:pPr>
            <w:r>
              <w:rPr>
                <w:sz w:val="22"/>
              </w:rPr>
              <w:t>Cobertura (6-12 años)</w:t>
            </w:r>
          </w:p>
        </w:tc>
        <w:tc>
          <w:tcPr>
            <w:tcW w:w="1137" w:type="dxa"/>
            <w:tcBorders>
              <w:top w:val="nil"/>
              <w:left w:val="nil"/>
              <w:bottom w:val="nil"/>
              <w:right w:val="nil"/>
            </w:tcBorders>
          </w:tcPr>
          <w:p>
            <w:pPr>
              <w:pStyle w:val="TableParagraph"/>
              <w:spacing w:before="12"/>
              <w:ind w:right="67"/>
              <w:jc w:val="right"/>
              <w:rPr>
                <w:sz w:val="22"/>
              </w:rPr>
            </w:pPr>
            <w:r>
              <w:rPr>
                <w:sz w:val="22"/>
              </w:rPr>
              <w:t>94.8</w:t>
            </w:r>
          </w:p>
        </w:tc>
        <w:tc>
          <w:tcPr>
            <w:tcW w:w="1134" w:type="dxa"/>
            <w:tcBorders>
              <w:top w:val="nil"/>
              <w:left w:val="nil"/>
              <w:bottom w:val="nil"/>
              <w:right w:val="nil"/>
            </w:tcBorders>
          </w:tcPr>
          <w:p>
            <w:pPr>
              <w:pStyle w:val="TableParagraph"/>
              <w:spacing w:before="12"/>
              <w:ind w:right="66"/>
              <w:jc w:val="right"/>
              <w:rPr>
                <w:sz w:val="22"/>
              </w:rPr>
            </w:pPr>
            <w:r>
              <w:rPr>
                <w:sz w:val="22"/>
              </w:rPr>
              <w:t>94.1</w:t>
            </w:r>
          </w:p>
        </w:tc>
        <w:tc>
          <w:tcPr>
            <w:tcW w:w="1134" w:type="dxa"/>
            <w:tcBorders>
              <w:top w:val="nil"/>
              <w:left w:val="nil"/>
              <w:bottom w:val="nil"/>
              <w:right w:val="nil"/>
            </w:tcBorders>
          </w:tcPr>
          <w:p>
            <w:pPr>
              <w:pStyle w:val="TableParagraph"/>
              <w:spacing w:before="12"/>
              <w:ind w:right="67"/>
              <w:jc w:val="right"/>
              <w:rPr>
                <w:sz w:val="22"/>
              </w:rPr>
            </w:pPr>
            <w:r>
              <w:rPr>
                <w:sz w:val="22"/>
              </w:rPr>
              <w:t>97.0</w:t>
            </w:r>
          </w:p>
        </w:tc>
        <w:tc>
          <w:tcPr>
            <w:tcW w:w="1134" w:type="dxa"/>
            <w:tcBorders>
              <w:top w:val="nil"/>
              <w:left w:val="nil"/>
              <w:bottom w:val="nil"/>
              <w:right w:val="nil"/>
            </w:tcBorders>
          </w:tcPr>
          <w:p>
            <w:pPr>
              <w:pStyle w:val="TableParagraph"/>
              <w:spacing w:before="12"/>
              <w:ind w:right="66"/>
              <w:jc w:val="right"/>
              <w:rPr>
                <w:sz w:val="22"/>
              </w:rPr>
            </w:pPr>
            <w:r>
              <w:rPr>
                <w:sz w:val="22"/>
              </w:rPr>
              <w:t>98.6</w:t>
            </w:r>
          </w:p>
        </w:tc>
        <w:tc>
          <w:tcPr>
            <w:tcW w:w="1135" w:type="dxa"/>
            <w:tcBorders>
              <w:top w:val="nil"/>
              <w:left w:val="nil"/>
              <w:bottom w:val="nil"/>
              <w:right w:val="nil"/>
            </w:tcBorders>
          </w:tcPr>
          <w:p>
            <w:pPr>
              <w:pStyle w:val="TableParagraph"/>
              <w:spacing w:before="12"/>
              <w:ind w:right="67"/>
              <w:jc w:val="right"/>
              <w:rPr>
                <w:sz w:val="22"/>
              </w:rPr>
            </w:pPr>
            <w:r>
              <w:rPr>
                <w:sz w:val="22"/>
              </w:rPr>
              <w:t>100.6</w:t>
            </w:r>
          </w:p>
        </w:tc>
        <w:tc>
          <w:tcPr>
            <w:tcW w:w="1133" w:type="dxa"/>
            <w:tcBorders>
              <w:top w:val="nil"/>
              <w:left w:val="nil"/>
              <w:bottom w:val="nil"/>
              <w:right w:val="nil"/>
            </w:tcBorders>
          </w:tcPr>
          <w:p>
            <w:pPr>
              <w:pStyle w:val="TableParagraph"/>
              <w:spacing w:before="12"/>
              <w:ind w:right="65"/>
              <w:jc w:val="right"/>
              <w:rPr>
                <w:sz w:val="22"/>
              </w:rPr>
            </w:pPr>
            <w:r>
              <w:rPr>
                <w:sz w:val="22"/>
              </w:rPr>
              <w:t>102.8</w:t>
            </w:r>
          </w:p>
        </w:tc>
      </w:tr>
      <w:tr>
        <w:trPr>
          <w:trHeight w:val="300" w:hRule="exact"/>
        </w:trPr>
        <w:tc>
          <w:tcPr>
            <w:tcW w:w="2432" w:type="dxa"/>
            <w:tcBorders>
              <w:top w:val="nil"/>
              <w:left w:val="nil"/>
              <w:bottom w:val="nil"/>
              <w:right w:val="nil"/>
            </w:tcBorders>
          </w:tcPr>
          <w:p>
            <w:pPr>
              <w:pStyle w:val="TableParagraph"/>
              <w:spacing w:before="12"/>
              <w:ind w:left="307" w:right="-50"/>
              <w:rPr>
                <w:sz w:val="22"/>
              </w:rPr>
            </w:pPr>
            <w:r>
              <w:rPr>
                <w:sz w:val="22"/>
              </w:rPr>
              <w:t>Deserción</w:t>
            </w:r>
          </w:p>
        </w:tc>
        <w:tc>
          <w:tcPr>
            <w:tcW w:w="1137" w:type="dxa"/>
            <w:tcBorders>
              <w:top w:val="nil"/>
              <w:left w:val="nil"/>
              <w:bottom w:val="nil"/>
              <w:right w:val="nil"/>
            </w:tcBorders>
          </w:tcPr>
          <w:p>
            <w:pPr>
              <w:pStyle w:val="TableParagraph"/>
              <w:spacing w:before="12"/>
              <w:ind w:right="71"/>
              <w:jc w:val="right"/>
              <w:rPr>
                <w:sz w:val="22"/>
              </w:rPr>
            </w:pPr>
            <w:r>
              <w:rPr>
                <w:sz w:val="22"/>
              </w:rPr>
              <w:t>1.9</w:t>
            </w:r>
          </w:p>
        </w:tc>
        <w:tc>
          <w:tcPr>
            <w:tcW w:w="1134" w:type="dxa"/>
            <w:tcBorders>
              <w:top w:val="nil"/>
              <w:left w:val="nil"/>
              <w:bottom w:val="nil"/>
              <w:right w:val="nil"/>
            </w:tcBorders>
          </w:tcPr>
          <w:p>
            <w:pPr>
              <w:pStyle w:val="TableParagraph"/>
              <w:spacing w:before="12"/>
              <w:ind w:right="70"/>
              <w:jc w:val="right"/>
              <w:rPr>
                <w:sz w:val="22"/>
              </w:rPr>
            </w:pPr>
            <w:r>
              <w:rPr>
                <w:sz w:val="22"/>
              </w:rPr>
              <w:t>1.3</w:t>
            </w:r>
          </w:p>
        </w:tc>
        <w:tc>
          <w:tcPr>
            <w:tcW w:w="1134" w:type="dxa"/>
            <w:tcBorders>
              <w:top w:val="nil"/>
              <w:left w:val="nil"/>
              <w:bottom w:val="nil"/>
              <w:right w:val="nil"/>
            </w:tcBorders>
          </w:tcPr>
          <w:p>
            <w:pPr>
              <w:pStyle w:val="TableParagraph"/>
              <w:spacing w:before="12"/>
              <w:ind w:right="71"/>
              <w:jc w:val="right"/>
              <w:rPr>
                <w:sz w:val="22"/>
              </w:rPr>
            </w:pPr>
            <w:r>
              <w:rPr>
                <w:sz w:val="22"/>
              </w:rPr>
              <w:t>1.0</w:t>
            </w:r>
          </w:p>
        </w:tc>
        <w:tc>
          <w:tcPr>
            <w:tcW w:w="1134" w:type="dxa"/>
            <w:tcBorders>
              <w:top w:val="nil"/>
              <w:left w:val="nil"/>
              <w:bottom w:val="nil"/>
              <w:right w:val="nil"/>
            </w:tcBorders>
          </w:tcPr>
          <w:p>
            <w:pPr>
              <w:pStyle w:val="TableParagraph"/>
              <w:spacing w:before="12"/>
              <w:ind w:right="68"/>
              <w:jc w:val="right"/>
              <w:rPr>
                <w:sz w:val="22"/>
              </w:rPr>
            </w:pPr>
            <w:r>
              <w:rPr>
                <w:sz w:val="22"/>
              </w:rPr>
              <w:t>0.8</w:t>
            </w:r>
          </w:p>
        </w:tc>
        <w:tc>
          <w:tcPr>
            <w:tcW w:w="1135" w:type="dxa"/>
            <w:tcBorders>
              <w:top w:val="nil"/>
              <w:left w:val="nil"/>
              <w:bottom w:val="nil"/>
              <w:right w:val="nil"/>
            </w:tcBorders>
          </w:tcPr>
          <w:p>
            <w:pPr>
              <w:pStyle w:val="TableParagraph"/>
              <w:spacing w:before="12"/>
              <w:ind w:right="71"/>
              <w:jc w:val="right"/>
              <w:rPr>
                <w:sz w:val="22"/>
              </w:rPr>
            </w:pPr>
            <w:r>
              <w:rPr>
                <w:sz w:val="22"/>
              </w:rPr>
              <w:t>0.7</w:t>
            </w:r>
          </w:p>
        </w:tc>
        <w:tc>
          <w:tcPr>
            <w:tcW w:w="1133" w:type="dxa"/>
            <w:tcBorders>
              <w:top w:val="nil"/>
              <w:left w:val="nil"/>
              <w:bottom w:val="nil"/>
              <w:right w:val="nil"/>
            </w:tcBorders>
          </w:tcPr>
          <w:p>
            <w:pPr>
              <w:pStyle w:val="TableParagraph"/>
              <w:spacing w:before="12"/>
              <w:ind w:right="67"/>
              <w:jc w:val="right"/>
              <w:rPr>
                <w:sz w:val="22"/>
              </w:rPr>
            </w:pPr>
            <w:r>
              <w:rPr>
                <w:sz w:val="22"/>
              </w:rPr>
              <w:t>0.7</w:t>
            </w:r>
          </w:p>
        </w:tc>
      </w:tr>
      <w:tr>
        <w:trPr>
          <w:trHeight w:val="300" w:hRule="exact"/>
        </w:trPr>
        <w:tc>
          <w:tcPr>
            <w:tcW w:w="2432" w:type="dxa"/>
            <w:tcBorders>
              <w:top w:val="nil"/>
              <w:left w:val="nil"/>
              <w:bottom w:val="nil"/>
              <w:right w:val="nil"/>
            </w:tcBorders>
          </w:tcPr>
          <w:p>
            <w:pPr>
              <w:pStyle w:val="TableParagraph"/>
              <w:spacing w:before="12"/>
              <w:ind w:left="307" w:right="-50"/>
              <w:rPr>
                <w:sz w:val="22"/>
              </w:rPr>
            </w:pPr>
            <w:r>
              <w:rPr>
                <w:sz w:val="22"/>
              </w:rPr>
              <w:t>Reprobación</w:t>
            </w:r>
          </w:p>
        </w:tc>
        <w:tc>
          <w:tcPr>
            <w:tcW w:w="1137" w:type="dxa"/>
            <w:tcBorders>
              <w:top w:val="nil"/>
              <w:left w:val="nil"/>
              <w:bottom w:val="nil"/>
              <w:right w:val="nil"/>
            </w:tcBorders>
          </w:tcPr>
          <w:p>
            <w:pPr>
              <w:pStyle w:val="TableParagraph"/>
              <w:spacing w:before="12"/>
              <w:ind w:right="71"/>
              <w:jc w:val="right"/>
              <w:rPr>
                <w:sz w:val="22"/>
              </w:rPr>
            </w:pPr>
            <w:r>
              <w:rPr>
                <w:sz w:val="22"/>
              </w:rPr>
              <w:t>6.0</w:t>
            </w:r>
          </w:p>
        </w:tc>
        <w:tc>
          <w:tcPr>
            <w:tcW w:w="1134" w:type="dxa"/>
            <w:tcBorders>
              <w:top w:val="nil"/>
              <w:left w:val="nil"/>
              <w:bottom w:val="nil"/>
              <w:right w:val="nil"/>
            </w:tcBorders>
          </w:tcPr>
          <w:p>
            <w:pPr>
              <w:pStyle w:val="TableParagraph"/>
              <w:spacing w:before="12"/>
              <w:ind w:right="70"/>
              <w:jc w:val="right"/>
              <w:rPr>
                <w:sz w:val="22"/>
              </w:rPr>
            </w:pPr>
            <w:r>
              <w:rPr>
                <w:sz w:val="22"/>
              </w:rPr>
              <w:t>4.3</w:t>
            </w:r>
          </w:p>
        </w:tc>
        <w:tc>
          <w:tcPr>
            <w:tcW w:w="1134" w:type="dxa"/>
            <w:tcBorders>
              <w:top w:val="nil"/>
              <w:left w:val="nil"/>
              <w:bottom w:val="nil"/>
              <w:right w:val="nil"/>
            </w:tcBorders>
          </w:tcPr>
          <w:p>
            <w:pPr>
              <w:pStyle w:val="TableParagraph"/>
              <w:spacing w:before="12"/>
              <w:ind w:right="71"/>
              <w:jc w:val="right"/>
              <w:rPr>
                <w:sz w:val="22"/>
              </w:rPr>
            </w:pPr>
            <w:r>
              <w:rPr>
                <w:sz w:val="22"/>
              </w:rPr>
              <w:t>3.8</w:t>
            </w:r>
          </w:p>
        </w:tc>
        <w:tc>
          <w:tcPr>
            <w:tcW w:w="1134" w:type="dxa"/>
            <w:tcBorders>
              <w:top w:val="nil"/>
              <w:left w:val="nil"/>
              <w:bottom w:val="nil"/>
              <w:right w:val="nil"/>
            </w:tcBorders>
          </w:tcPr>
          <w:p>
            <w:pPr>
              <w:pStyle w:val="TableParagraph"/>
              <w:spacing w:before="12"/>
              <w:ind w:right="68"/>
              <w:jc w:val="right"/>
              <w:rPr>
                <w:sz w:val="22"/>
              </w:rPr>
            </w:pPr>
            <w:r>
              <w:rPr>
                <w:sz w:val="22"/>
              </w:rPr>
              <w:t>3.5</w:t>
            </w:r>
          </w:p>
        </w:tc>
        <w:tc>
          <w:tcPr>
            <w:tcW w:w="1135" w:type="dxa"/>
            <w:tcBorders>
              <w:top w:val="nil"/>
              <w:left w:val="nil"/>
              <w:bottom w:val="nil"/>
              <w:right w:val="nil"/>
            </w:tcBorders>
          </w:tcPr>
          <w:p>
            <w:pPr>
              <w:pStyle w:val="TableParagraph"/>
              <w:spacing w:before="12"/>
              <w:ind w:right="71"/>
              <w:jc w:val="right"/>
              <w:rPr>
                <w:sz w:val="22"/>
              </w:rPr>
            </w:pPr>
            <w:r>
              <w:rPr>
                <w:sz w:val="22"/>
              </w:rPr>
              <w:t>3.2</w:t>
            </w:r>
          </w:p>
        </w:tc>
        <w:tc>
          <w:tcPr>
            <w:tcW w:w="1133" w:type="dxa"/>
            <w:tcBorders>
              <w:top w:val="nil"/>
              <w:left w:val="nil"/>
              <w:bottom w:val="nil"/>
              <w:right w:val="nil"/>
            </w:tcBorders>
          </w:tcPr>
          <w:p>
            <w:pPr>
              <w:pStyle w:val="TableParagraph"/>
              <w:spacing w:before="12"/>
              <w:ind w:right="67"/>
              <w:jc w:val="right"/>
              <w:rPr>
                <w:sz w:val="22"/>
              </w:rPr>
            </w:pPr>
            <w:r>
              <w:rPr>
                <w:sz w:val="22"/>
              </w:rPr>
              <w:t>3.2</w:t>
            </w:r>
          </w:p>
        </w:tc>
      </w:tr>
      <w:tr>
        <w:trPr>
          <w:trHeight w:val="277" w:hRule="exact"/>
        </w:trPr>
        <w:tc>
          <w:tcPr>
            <w:tcW w:w="2432" w:type="dxa"/>
            <w:tcBorders>
              <w:top w:val="nil"/>
              <w:left w:val="nil"/>
              <w:right w:val="nil"/>
            </w:tcBorders>
          </w:tcPr>
          <w:p>
            <w:pPr>
              <w:pStyle w:val="TableParagraph"/>
              <w:spacing w:before="12"/>
              <w:ind w:left="307" w:right="-50"/>
              <w:rPr>
                <w:sz w:val="22"/>
              </w:rPr>
            </w:pPr>
            <w:r>
              <w:rPr>
                <w:sz w:val="22"/>
              </w:rPr>
              <w:t>Eficiencia terminal</w:t>
            </w:r>
          </w:p>
        </w:tc>
        <w:tc>
          <w:tcPr>
            <w:tcW w:w="1137" w:type="dxa"/>
            <w:tcBorders>
              <w:top w:val="nil"/>
              <w:left w:val="nil"/>
              <w:right w:val="nil"/>
            </w:tcBorders>
          </w:tcPr>
          <w:p>
            <w:pPr>
              <w:pStyle w:val="TableParagraph"/>
              <w:spacing w:before="12"/>
              <w:ind w:right="67"/>
              <w:jc w:val="right"/>
              <w:rPr>
                <w:sz w:val="22"/>
              </w:rPr>
            </w:pPr>
            <w:r>
              <w:rPr>
                <w:sz w:val="22"/>
              </w:rPr>
              <w:t>88.3</w:t>
            </w:r>
          </w:p>
        </w:tc>
        <w:tc>
          <w:tcPr>
            <w:tcW w:w="1134" w:type="dxa"/>
            <w:tcBorders>
              <w:top w:val="nil"/>
              <w:left w:val="nil"/>
              <w:right w:val="nil"/>
            </w:tcBorders>
          </w:tcPr>
          <w:p>
            <w:pPr>
              <w:pStyle w:val="TableParagraph"/>
              <w:spacing w:before="12"/>
              <w:ind w:right="66"/>
              <w:jc w:val="right"/>
              <w:rPr>
                <w:sz w:val="22"/>
              </w:rPr>
            </w:pPr>
            <w:r>
              <w:rPr>
                <w:sz w:val="22"/>
              </w:rPr>
              <w:t>91.8</w:t>
            </w:r>
          </w:p>
        </w:tc>
        <w:tc>
          <w:tcPr>
            <w:tcW w:w="1134" w:type="dxa"/>
            <w:tcBorders>
              <w:top w:val="nil"/>
              <w:left w:val="nil"/>
              <w:right w:val="nil"/>
            </w:tcBorders>
          </w:tcPr>
          <w:p>
            <w:pPr>
              <w:pStyle w:val="TableParagraph"/>
              <w:spacing w:before="12"/>
              <w:ind w:right="67"/>
              <w:jc w:val="right"/>
              <w:rPr>
                <w:sz w:val="22"/>
              </w:rPr>
            </w:pPr>
            <w:r>
              <w:rPr>
                <w:sz w:val="22"/>
              </w:rPr>
              <w:t>94.0</w:t>
            </w:r>
          </w:p>
        </w:tc>
        <w:tc>
          <w:tcPr>
            <w:tcW w:w="1134" w:type="dxa"/>
            <w:tcBorders>
              <w:top w:val="nil"/>
              <w:left w:val="nil"/>
              <w:right w:val="nil"/>
            </w:tcBorders>
          </w:tcPr>
          <w:p>
            <w:pPr>
              <w:pStyle w:val="TableParagraph"/>
              <w:spacing w:before="12"/>
              <w:ind w:right="66"/>
              <w:jc w:val="right"/>
              <w:rPr>
                <w:sz w:val="22"/>
              </w:rPr>
            </w:pPr>
            <w:r>
              <w:rPr>
                <w:sz w:val="22"/>
              </w:rPr>
              <w:t>94.5</w:t>
            </w:r>
          </w:p>
        </w:tc>
        <w:tc>
          <w:tcPr>
            <w:tcW w:w="1135" w:type="dxa"/>
            <w:tcBorders>
              <w:top w:val="nil"/>
              <w:left w:val="nil"/>
              <w:right w:val="nil"/>
            </w:tcBorders>
          </w:tcPr>
          <w:p>
            <w:pPr>
              <w:pStyle w:val="TableParagraph"/>
              <w:spacing w:before="12"/>
              <w:ind w:right="67"/>
              <w:jc w:val="right"/>
              <w:rPr>
                <w:sz w:val="22"/>
              </w:rPr>
            </w:pPr>
            <w:r>
              <w:rPr>
                <w:sz w:val="22"/>
              </w:rPr>
              <w:t>94.9</w:t>
            </w:r>
          </w:p>
        </w:tc>
        <w:tc>
          <w:tcPr>
            <w:tcW w:w="1133" w:type="dxa"/>
            <w:tcBorders>
              <w:top w:val="nil"/>
              <w:left w:val="nil"/>
              <w:right w:val="nil"/>
            </w:tcBorders>
          </w:tcPr>
          <w:p>
            <w:pPr>
              <w:pStyle w:val="TableParagraph"/>
              <w:spacing w:before="12"/>
              <w:ind w:right="65"/>
              <w:jc w:val="right"/>
              <w:rPr>
                <w:sz w:val="22"/>
              </w:rPr>
            </w:pPr>
            <w:r>
              <w:rPr>
                <w:sz w:val="22"/>
              </w:rPr>
              <w:t>95.1</w:t>
            </w:r>
          </w:p>
        </w:tc>
      </w:tr>
      <w:tr>
        <w:trPr>
          <w:trHeight w:val="332" w:hRule="exact"/>
        </w:trPr>
        <w:tc>
          <w:tcPr>
            <w:tcW w:w="2432" w:type="dxa"/>
            <w:tcBorders>
              <w:left w:val="nil"/>
              <w:bottom w:val="nil"/>
              <w:right w:val="nil"/>
            </w:tcBorders>
          </w:tcPr>
          <w:p>
            <w:pPr>
              <w:pStyle w:val="TableParagraph"/>
              <w:spacing w:before="39"/>
              <w:ind w:left="84" w:right="-50"/>
              <w:rPr>
                <w:i/>
                <w:sz w:val="22"/>
              </w:rPr>
            </w:pPr>
            <w:r>
              <w:rPr>
                <w:i/>
                <w:sz w:val="22"/>
              </w:rPr>
              <w:t>Educación Secundaria</w:t>
            </w:r>
          </w:p>
        </w:tc>
        <w:tc>
          <w:tcPr>
            <w:tcW w:w="1137" w:type="dxa"/>
            <w:tcBorders>
              <w:left w:val="nil"/>
              <w:bottom w:val="nil"/>
              <w:right w:val="nil"/>
            </w:tcBorders>
          </w:tcPr>
          <w:p>
            <w:pPr/>
          </w:p>
        </w:tc>
        <w:tc>
          <w:tcPr>
            <w:tcW w:w="1134" w:type="dxa"/>
            <w:tcBorders>
              <w:left w:val="nil"/>
              <w:bottom w:val="nil"/>
              <w:right w:val="nil"/>
            </w:tcBorders>
          </w:tcPr>
          <w:p>
            <w:pPr/>
          </w:p>
        </w:tc>
        <w:tc>
          <w:tcPr>
            <w:tcW w:w="1134" w:type="dxa"/>
            <w:tcBorders>
              <w:left w:val="nil"/>
              <w:bottom w:val="nil"/>
              <w:right w:val="nil"/>
            </w:tcBorders>
          </w:tcPr>
          <w:p>
            <w:pPr/>
          </w:p>
        </w:tc>
        <w:tc>
          <w:tcPr>
            <w:tcW w:w="1134" w:type="dxa"/>
            <w:tcBorders>
              <w:left w:val="nil"/>
              <w:bottom w:val="nil"/>
              <w:right w:val="nil"/>
            </w:tcBorders>
          </w:tcPr>
          <w:p>
            <w:pPr/>
          </w:p>
        </w:tc>
        <w:tc>
          <w:tcPr>
            <w:tcW w:w="1135" w:type="dxa"/>
            <w:tcBorders>
              <w:left w:val="nil"/>
              <w:bottom w:val="nil"/>
              <w:right w:val="nil"/>
            </w:tcBorders>
          </w:tcPr>
          <w:p>
            <w:pPr/>
          </w:p>
        </w:tc>
        <w:tc>
          <w:tcPr>
            <w:tcW w:w="1133" w:type="dxa"/>
            <w:tcBorders>
              <w:left w:val="nil"/>
              <w:bottom w:val="nil"/>
              <w:right w:val="nil"/>
            </w:tcBorders>
          </w:tcPr>
          <w:p>
            <w:pPr/>
          </w:p>
        </w:tc>
      </w:tr>
      <w:tr>
        <w:trPr>
          <w:trHeight w:val="300" w:hRule="exact"/>
        </w:trPr>
        <w:tc>
          <w:tcPr>
            <w:tcW w:w="2432" w:type="dxa"/>
            <w:tcBorders>
              <w:top w:val="nil"/>
              <w:left w:val="nil"/>
              <w:bottom w:val="nil"/>
              <w:right w:val="nil"/>
            </w:tcBorders>
          </w:tcPr>
          <w:p>
            <w:pPr>
              <w:pStyle w:val="TableParagraph"/>
              <w:spacing w:before="12"/>
              <w:ind w:left="307" w:right="-50"/>
              <w:rPr>
                <w:sz w:val="22"/>
              </w:rPr>
            </w:pPr>
            <w:r>
              <w:rPr>
                <w:sz w:val="22"/>
              </w:rPr>
              <w:t>Absorción</w:t>
            </w:r>
          </w:p>
        </w:tc>
        <w:tc>
          <w:tcPr>
            <w:tcW w:w="1137" w:type="dxa"/>
            <w:tcBorders>
              <w:top w:val="nil"/>
              <w:left w:val="nil"/>
              <w:bottom w:val="nil"/>
              <w:right w:val="nil"/>
            </w:tcBorders>
          </w:tcPr>
          <w:p>
            <w:pPr>
              <w:pStyle w:val="TableParagraph"/>
              <w:spacing w:before="12"/>
              <w:ind w:right="67"/>
              <w:jc w:val="right"/>
              <w:rPr>
                <w:sz w:val="22"/>
              </w:rPr>
            </w:pPr>
            <w:r>
              <w:rPr>
                <w:sz w:val="22"/>
              </w:rPr>
              <w:t>91.8</w:t>
            </w:r>
          </w:p>
        </w:tc>
        <w:tc>
          <w:tcPr>
            <w:tcW w:w="1134" w:type="dxa"/>
            <w:tcBorders>
              <w:top w:val="nil"/>
              <w:left w:val="nil"/>
              <w:bottom w:val="nil"/>
              <w:right w:val="nil"/>
            </w:tcBorders>
          </w:tcPr>
          <w:p>
            <w:pPr>
              <w:pStyle w:val="TableParagraph"/>
              <w:spacing w:before="12"/>
              <w:ind w:right="66"/>
              <w:jc w:val="right"/>
              <w:rPr>
                <w:sz w:val="22"/>
              </w:rPr>
            </w:pPr>
            <w:r>
              <w:rPr>
                <w:sz w:val="22"/>
              </w:rPr>
              <w:t>94.9</w:t>
            </w:r>
          </w:p>
        </w:tc>
        <w:tc>
          <w:tcPr>
            <w:tcW w:w="1134" w:type="dxa"/>
            <w:tcBorders>
              <w:top w:val="nil"/>
              <w:left w:val="nil"/>
              <w:bottom w:val="nil"/>
              <w:right w:val="nil"/>
            </w:tcBorders>
          </w:tcPr>
          <w:p>
            <w:pPr>
              <w:pStyle w:val="TableParagraph"/>
              <w:spacing w:before="12"/>
              <w:ind w:right="67"/>
              <w:jc w:val="right"/>
              <w:rPr>
                <w:sz w:val="22"/>
              </w:rPr>
            </w:pPr>
            <w:r>
              <w:rPr>
                <w:sz w:val="22"/>
              </w:rPr>
              <w:t>95.5</w:t>
            </w:r>
          </w:p>
        </w:tc>
        <w:tc>
          <w:tcPr>
            <w:tcW w:w="1134" w:type="dxa"/>
            <w:tcBorders>
              <w:top w:val="nil"/>
              <w:left w:val="nil"/>
              <w:bottom w:val="nil"/>
              <w:right w:val="nil"/>
            </w:tcBorders>
          </w:tcPr>
          <w:p>
            <w:pPr>
              <w:pStyle w:val="TableParagraph"/>
              <w:spacing w:before="12"/>
              <w:ind w:right="66"/>
              <w:jc w:val="right"/>
              <w:rPr>
                <w:sz w:val="22"/>
              </w:rPr>
            </w:pPr>
            <w:r>
              <w:rPr>
                <w:sz w:val="22"/>
              </w:rPr>
              <w:t>95.7</w:t>
            </w:r>
          </w:p>
        </w:tc>
        <w:tc>
          <w:tcPr>
            <w:tcW w:w="1135" w:type="dxa"/>
            <w:tcBorders>
              <w:top w:val="nil"/>
              <w:left w:val="nil"/>
              <w:bottom w:val="nil"/>
              <w:right w:val="nil"/>
            </w:tcBorders>
          </w:tcPr>
          <w:p>
            <w:pPr>
              <w:pStyle w:val="TableParagraph"/>
              <w:spacing w:before="12"/>
              <w:ind w:right="67"/>
              <w:jc w:val="right"/>
              <w:rPr>
                <w:sz w:val="22"/>
              </w:rPr>
            </w:pPr>
            <w:r>
              <w:rPr>
                <w:sz w:val="22"/>
              </w:rPr>
              <w:t>96.5</w:t>
            </w:r>
          </w:p>
        </w:tc>
        <w:tc>
          <w:tcPr>
            <w:tcW w:w="1133" w:type="dxa"/>
            <w:tcBorders>
              <w:top w:val="nil"/>
              <w:left w:val="nil"/>
              <w:bottom w:val="nil"/>
              <w:right w:val="nil"/>
            </w:tcBorders>
          </w:tcPr>
          <w:p>
            <w:pPr>
              <w:pStyle w:val="TableParagraph"/>
              <w:spacing w:before="12"/>
              <w:ind w:right="67"/>
              <w:jc w:val="right"/>
              <w:rPr>
                <w:sz w:val="22"/>
              </w:rPr>
            </w:pPr>
            <w:r>
              <w:rPr>
                <w:sz w:val="22"/>
              </w:rPr>
              <w:t>97</w:t>
            </w:r>
          </w:p>
        </w:tc>
      </w:tr>
      <w:tr>
        <w:trPr>
          <w:trHeight w:val="300" w:hRule="exact"/>
        </w:trPr>
        <w:tc>
          <w:tcPr>
            <w:tcW w:w="2432" w:type="dxa"/>
            <w:tcBorders>
              <w:top w:val="nil"/>
              <w:left w:val="nil"/>
              <w:bottom w:val="nil"/>
              <w:right w:val="nil"/>
            </w:tcBorders>
          </w:tcPr>
          <w:p>
            <w:pPr>
              <w:pStyle w:val="TableParagraph"/>
              <w:spacing w:before="12"/>
              <w:ind w:left="307" w:right="-50"/>
              <w:rPr>
                <w:sz w:val="22"/>
              </w:rPr>
            </w:pPr>
            <w:r>
              <w:rPr>
                <w:sz w:val="22"/>
              </w:rPr>
              <w:t>Cobertura (13-15 años)</w:t>
            </w:r>
          </w:p>
        </w:tc>
        <w:tc>
          <w:tcPr>
            <w:tcW w:w="1137" w:type="dxa"/>
            <w:tcBorders>
              <w:top w:val="nil"/>
              <w:left w:val="nil"/>
              <w:bottom w:val="nil"/>
              <w:right w:val="nil"/>
            </w:tcBorders>
          </w:tcPr>
          <w:p>
            <w:pPr>
              <w:pStyle w:val="TableParagraph"/>
              <w:spacing w:before="12"/>
              <w:ind w:right="67"/>
              <w:jc w:val="right"/>
              <w:rPr>
                <w:sz w:val="22"/>
              </w:rPr>
            </w:pPr>
            <w:r>
              <w:rPr>
                <w:sz w:val="22"/>
              </w:rPr>
              <w:t>83.8</w:t>
            </w:r>
          </w:p>
        </w:tc>
        <w:tc>
          <w:tcPr>
            <w:tcW w:w="1134" w:type="dxa"/>
            <w:tcBorders>
              <w:top w:val="nil"/>
              <w:left w:val="nil"/>
              <w:bottom w:val="nil"/>
              <w:right w:val="nil"/>
            </w:tcBorders>
          </w:tcPr>
          <w:p>
            <w:pPr>
              <w:pStyle w:val="TableParagraph"/>
              <w:spacing w:before="12"/>
              <w:ind w:right="66"/>
              <w:jc w:val="right"/>
              <w:rPr>
                <w:sz w:val="22"/>
              </w:rPr>
            </w:pPr>
            <w:r>
              <w:rPr>
                <w:sz w:val="22"/>
              </w:rPr>
              <w:t>91.8</w:t>
            </w:r>
          </w:p>
        </w:tc>
        <w:tc>
          <w:tcPr>
            <w:tcW w:w="1134" w:type="dxa"/>
            <w:tcBorders>
              <w:top w:val="nil"/>
              <w:left w:val="nil"/>
              <w:bottom w:val="nil"/>
              <w:right w:val="nil"/>
            </w:tcBorders>
          </w:tcPr>
          <w:p>
            <w:pPr>
              <w:pStyle w:val="TableParagraph"/>
              <w:spacing w:before="12"/>
              <w:ind w:right="67"/>
              <w:jc w:val="right"/>
              <w:rPr>
                <w:sz w:val="22"/>
              </w:rPr>
            </w:pPr>
            <w:r>
              <w:rPr>
                <w:sz w:val="22"/>
              </w:rPr>
              <w:t>95.2</w:t>
            </w:r>
          </w:p>
        </w:tc>
        <w:tc>
          <w:tcPr>
            <w:tcW w:w="1134" w:type="dxa"/>
            <w:tcBorders>
              <w:top w:val="nil"/>
              <w:left w:val="nil"/>
              <w:bottom w:val="nil"/>
              <w:right w:val="nil"/>
            </w:tcBorders>
          </w:tcPr>
          <w:p>
            <w:pPr>
              <w:pStyle w:val="TableParagraph"/>
              <w:spacing w:before="12"/>
              <w:ind w:right="66"/>
              <w:jc w:val="right"/>
              <w:rPr>
                <w:sz w:val="22"/>
              </w:rPr>
            </w:pPr>
            <w:r>
              <w:rPr>
                <w:sz w:val="22"/>
              </w:rPr>
              <w:t>95.3</w:t>
            </w:r>
          </w:p>
        </w:tc>
        <w:tc>
          <w:tcPr>
            <w:tcW w:w="1135" w:type="dxa"/>
            <w:tcBorders>
              <w:top w:val="nil"/>
              <w:left w:val="nil"/>
              <w:bottom w:val="nil"/>
              <w:right w:val="nil"/>
            </w:tcBorders>
          </w:tcPr>
          <w:p>
            <w:pPr>
              <w:pStyle w:val="TableParagraph"/>
              <w:spacing w:before="12"/>
              <w:ind w:right="67"/>
              <w:jc w:val="right"/>
              <w:rPr>
                <w:sz w:val="22"/>
              </w:rPr>
            </w:pPr>
            <w:r>
              <w:rPr>
                <w:sz w:val="22"/>
              </w:rPr>
              <w:t>95.9</w:t>
            </w:r>
          </w:p>
        </w:tc>
        <w:tc>
          <w:tcPr>
            <w:tcW w:w="1133" w:type="dxa"/>
            <w:tcBorders>
              <w:top w:val="nil"/>
              <w:left w:val="nil"/>
              <w:bottom w:val="nil"/>
              <w:right w:val="nil"/>
            </w:tcBorders>
          </w:tcPr>
          <w:p>
            <w:pPr>
              <w:pStyle w:val="TableParagraph"/>
              <w:spacing w:before="12"/>
              <w:ind w:right="65"/>
              <w:jc w:val="right"/>
              <w:rPr>
                <w:sz w:val="22"/>
              </w:rPr>
            </w:pPr>
            <w:r>
              <w:rPr>
                <w:sz w:val="22"/>
              </w:rPr>
              <w:t>96.8</w:t>
            </w:r>
          </w:p>
        </w:tc>
      </w:tr>
      <w:tr>
        <w:trPr>
          <w:trHeight w:val="300" w:hRule="exact"/>
        </w:trPr>
        <w:tc>
          <w:tcPr>
            <w:tcW w:w="2432" w:type="dxa"/>
            <w:tcBorders>
              <w:top w:val="nil"/>
              <w:left w:val="nil"/>
              <w:bottom w:val="nil"/>
              <w:right w:val="nil"/>
            </w:tcBorders>
          </w:tcPr>
          <w:p>
            <w:pPr>
              <w:pStyle w:val="TableParagraph"/>
              <w:spacing w:before="12"/>
              <w:ind w:left="307" w:right="-50"/>
              <w:rPr>
                <w:sz w:val="22"/>
              </w:rPr>
            </w:pPr>
            <w:r>
              <w:rPr>
                <w:sz w:val="22"/>
              </w:rPr>
              <w:t>Deserción</w:t>
            </w:r>
          </w:p>
        </w:tc>
        <w:tc>
          <w:tcPr>
            <w:tcW w:w="1137" w:type="dxa"/>
            <w:tcBorders>
              <w:top w:val="nil"/>
              <w:left w:val="nil"/>
              <w:bottom w:val="nil"/>
              <w:right w:val="nil"/>
            </w:tcBorders>
          </w:tcPr>
          <w:p>
            <w:pPr>
              <w:pStyle w:val="TableParagraph"/>
              <w:spacing w:before="12"/>
              <w:ind w:right="71"/>
              <w:jc w:val="right"/>
              <w:rPr>
                <w:sz w:val="22"/>
              </w:rPr>
            </w:pPr>
            <w:r>
              <w:rPr>
                <w:sz w:val="22"/>
              </w:rPr>
              <w:t>8.3</w:t>
            </w:r>
          </w:p>
        </w:tc>
        <w:tc>
          <w:tcPr>
            <w:tcW w:w="1134" w:type="dxa"/>
            <w:tcBorders>
              <w:top w:val="nil"/>
              <w:left w:val="nil"/>
              <w:bottom w:val="nil"/>
              <w:right w:val="nil"/>
            </w:tcBorders>
          </w:tcPr>
          <w:p>
            <w:pPr>
              <w:pStyle w:val="TableParagraph"/>
              <w:spacing w:before="12"/>
              <w:ind w:right="70"/>
              <w:jc w:val="right"/>
              <w:rPr>
                <w:sz w:val="22"/>
              </w:rPr>
            </w:pPr>
            <w:r>
              <w:rPr>
                <w:sz w:val="22"/>
              </w:rPr>
              <w:t>7.7</w:t>
            </w:r>
          </w:p>
        </w:tc>
        <w:tc>
          <w:tcPr>
            <w:tcW w:w="1134" w:type="dxa"/>
            <w:tcBorders>
              <w:top w:val="nil"/>
              <w:left w:val="nil"/>
              <w:bottom w:val="nil"/>
              <w:right w:val="nil"/>
            </w:tcBorders>
          </w:tcPr>
          <w:p>
            <w:pPr>
              <w:pStyle w:val="TableParagraph"/>
              <w:spacing w:before="12"/>
              <w:ind w:right="71"/>
              <w:jc w:val="right"/>
              <w:rPr>
                <w:sz w:val="22"/>
              </w:rPr>
            </w:pPr>
            <w:r>
              <w:rPr>
                <w:sz w:val="22"/>
              </w:rPr>
              <w:t>6.4</w:t>
            </w:r>
          </w:p>
        </w:tc>
        <w:tc>
          <w:tcPr>
            <w:tcW w:w="1134" w:type="dxa"/>
            <w:tcBorders>
              <w:top w:val="nil"/>
              <w:left w:val="nil"/>
              <w:bottom w:val="nil"/>
              <w:right w:val="nil"/>
            </w:tcBorders>
          </w:tcPr>
          <w:p>
            <w:pPr>
              <w:pStyle w:val="TableParagraph"/>
              <w:spacing w:before="12"/>
              <w:ind w:right="68"/>
              <w:jc w:val="right"/>
              <w:rPr>
                <w:sz w:val="22"/>
              </w:rPr>
            </w:pPr>
            <w:r>
              <w:rPr>
                <w:w w:val="100"/>
                <w:sz w:val="22"/>
              </w:rPr>
              <w:t>6</w:t>
            </w:r>
          </w:p>
        </w:tc>
        <w:tc>
          <w:tcPr>
            <w:tcW w:w="1135" w:type="dxa"/>
            <w:tcBorders>
              <w:top w:val="nil"/>
              <w:left w:val="nil"/>
              <w:bottom w:val="nil"/>
              <w:right w:val="nil"/>
            </w:tcBorders>
          </w:tcPr>
          <w:p>
            <w:pPr>
              <w:pStyle w:val="TableParagraph"/>
              <w:spacing w:before="12"/>
              <w:ind w:right="71"/>
              <w:jc w:val="right"/>
              <w:rPr>
                <w:sz w:val="22"/>
              </w:rPr>
            </w:pPr>
            <w:r>
              <w:rPr>
                <w:sz w:val="22"/>
              </w:rPr>
              <w:t>5.6</w:t>
            </w:r>
          </w:p>
        </w:tc>
        <w:tc>
          <w:tcPr>
            <w:tcW w:w="1133" w:type="dxa"/>
            <w:tcBorders>
              <w:top w:val="nil"/>
              <w:left w:val="nil"/>
              <w:bottom w:val="nil"/>
              <w:right w:val="nil"/>
            </w:tcBorders>
          </w:tcPr>
          <w:p>
            <w:pPr>
              <w:pStyle w:val="TableParagraph"/>
              <w:spacing w:before="12"/>
              <w:ind w:right="67"/>
              <w:jc w:val="right"/>
              <w:rPr>
                <w:sz w:val="22"/>
              </w:rPr>
            </w:pPr>
            <w:r>
              <w:rPr>
                <w:sz w:val="22"/>
              </w:rPr>
              <w:t>5.3</w:t>
            </w:r>
          </w:p>
        </w:tc>
      </w:tr>
      <w:tr>
        <w:trPr>
          <w:trHeight w:val="277" w:hRule="exact"/>
        </w:trPr>
        <w:tc>
          <w:tcPr>
            <w:tcW w:w="2432" w:type="dxa"/>
            <w:tcBorders>
              <w:top w:val="nil"/>
              <w:left w:val="nil"/>
              <w:right w:val="nil"/>
            </w:tcBorders>
          </w:tcPr>
          <w:p>
            <w:pPr>
              <w:pStyle w:val="TableParagraph"/>
              <w:spacing w:before="12"/>
              <w:ind w:left="307" w:right="-50"/>
              <w:rPr>
                <w:sz w:val="22"/>
              </w:rPr>
            </w:pPr>
            <w:r>
              <w:rPr>
                <w:sz w:val="22"/>
              </w:rPr>
              <w:t>Eficiencia terminal</w:t>
            </w:r>
          </w:p>
        </w:tc>
        <w:tc>
          <w:tcPr>
            <w:tcW w:w="1137" w:type="dxa"/>
            <w:tcBorders>
              <w:top w:val="nil"/>
              <w:left w:val="nil"/>
              <w:right w:val="nil"/>
            </w:tcBorders>
          </w:tcPr>
          <w:p>
            <w:pPr>
              <w:pStyle w:val="TableParagraph"/>
              <w:spacing w:before="12"/>
              <w:ind w:right="67"/>
              <w:jc w:val="right"/>
              <w:rPr>
                <w:sz w:val="22"/>
              </w:rPr>
            </w:pPr>
            <w:r>
              <w:rPr>
                <w:sz w:val="22"/>
              </w:rPr>
              <w:t>74.9</w:t>
            </w:r>
          </w:p>
        </w:tc>
        <w:tc>
          <w:tcPr>
            <w:tcW w:w="1134" w:type="dxa"/>
            <w:tcBorders>
              <w:top w:val="nil"/>
              <w:left w:val="nil"/>
              <w:right w:val="nil"/>
            </w:tcBorders>
          </w:tcPr>
          <w:p>
            <w:pPr>
              <w:pStyle w:val="TableParagraph"/>
              <w:spacing w:before="12"/>
              <w:ind w:right="66"/>
              <w:jc w:val="right"/>
              <w:rPr>
                <w:sz w:val="22"/>
              </w:rPr>
            </w:pPr>
            <w:r>
              <w:rPr>
                <w:sz w:val="22"/>
              </w:rPr>
              <w:t>78.2</w:t>
            </w:r>
          </w:p>
        </w:tc>
        <w:tc>
          <w:tcPr>
            <w:tcW w:w="1134" w:type="dxa"/>
            <w:tcBorders>
              <w:top w:val="nil"/>
              <w:left w:val="nil"/>
              <w:right w:val="nil"/>
            </w:tcBorders>
          </w:tcPr>
          <w:p>
            <w:pPr>
              <w:pStyle w:val="TableParagraph"/>
              <w:spacing w:before="12"/>
              <w:ind w:right="67"/>
              <w:jc w:val="right"/>
              <w:rPr>
                <w:sz w:val="22"/>
              </w:rPr>
            </w:pPr>
            <w:r>
              <w:rPr>
                <w:sz w:val="22"/>
              </w:rPr>
              <w:t>81.4</w:t>
            </w:r>
          </w:p>
        </w:tc>
        <w:tc>
          <w:tcPr>
            <w:tcW w:w="1134" w:type="dxa"/>
            <w:tcBorders>
              <w:top w:val="nil"/>
              <w:left w:val="nil"/>
              <w:right w:val="nil"/>
            </w:tcBorders>
          </w:tcPr>
          <w:p>
            <w:pPr>
              <w:pStyle w:val="TableParagraph"/>
              <w:spacing w:before="12"/>
              <w:ind w:right="66"/>
              <w:jc w:val="right"/>
              <w:rPr>
                <w:sz w:val="22"/>
              </w:rPr>
            </w:pPr>
            <w:r>
              <w:rPr>
                <w:sz w:val="22"/>
              </w:rPr>
              <w:t>82.2</w:t>
            </w:r>
          </w:p>
        </w:tc>
        <w:tc>
          <w:tcPr>
            <w:tcW w:w="1135" w:type="dxa"/>
            <w:tcBorders>
              <w:top w:val="nil"/>
              <w:left w:val="nil"/>
              <w:right w:val="nil"/>
            </w:tcBorders>
          </w:tcPr>
          <w:p>
            <w:pPr>
              <w:pStyle w:val="TableParagraph"/>
              <w:spacing w:before="12"/>
              <w:ind w:right="67"/>
              <w:jc w:val="right"/>
              <w:rPr>
                <w:sz w:val="22"/>
              </w:rPr>
            </w:pPr>
            <w:r>
              <w:rPr>
                <w:sz w:val="22"/>
              </w:rPr>
              <w:t>83.3</w:t>
            </w:r>
          </w:p>
        </w:tc>
        <w:tc>
          <w:tcPr>
            <w:tcW w:w="1133" w:type="dxa"/>
            <w:tcBorders>
              <w:top w:val="nil"/>
              <w:left w:val="nil"/>
              <w:right w:val="nil"/>
            </w:tcBorders>
          </w:tcPr>
          <w:p>
            <w:pPr>
              <w:pStyle w:val="TableParagraph"/>
              <w:spacing w:before="12"/>
              <w:ind w:right="65"/>
              <w:jc w:val="right"/>
              <w:rPr>
                <w:sz w:val="22"/>
              </w:rPr>
            </w:pPr>
            <w:r>
              <w:rPr>
                <w:sz w:val="22"/>
              </w:rPr>
              <w:t>84.2</w:t>
            </w:r>
          </w:p>
        </w:tc>
      </w:tr>
      <w:tr>
        <w:trPr>
          <w:trHeight w:val="332" w:hRule="exact"/>
        </w:trPr>
        <w:tc>
          <w:tcPr>
            <w:tcW w:w="2432" w:type="dxa"/>
            <w:tcBorders>
              <w:left w:val="nil"/>
              <w:bottom w:val="nil"/>
              <w:right w:val="nil"/>
            </w:tcBorders>
          </w:tcPr>
          <w:p>
            <w:pPr>
              <w:pStyle w:val="TableParagraph"/>
              <w:spacing w:before="39"/>
              <w:ind w:left="84" w:right="-50"/>
              <w:rPr>
                <w:i/>
                <w:sz w:val="22"/>
              </w:rPr>
            </w:pPr>
            <w:r>
              <w:rPr>
                <w:i/>
                <w:sz w:val="22"/>
              </w:rPr>
              <w:t>Educación Media</w:t>
            </w:r>
            <w:r>
              <w:rPr>
                <w:i/>
                <w:spacing w:val="-5"/>
                <w:sz w:val="22"/>
              </w:rPr>
              <w:t> </w:t>
            </w:r>
            <w:r>
              <w:rPr>
                <w:i/>
                <w:sz w:val="22"/>
              </w:rPr>
              <w:t>Superior</w:t>
            </w:r>
          </w:p>
        </w:tc>
        <w:tc>
          <w:tcPr>
            <w:tcW w:w="1137" w:type="dxa"/>
            <w:tcBorders>
              <w:left w:val="nil"/>
              <w:bottom w:val="nil"/>
              <w:right w:val="nil"/>
            </w:tcBorders>
          </w:tcPr>
          <w:p>
            <w:pPr/>
          </w:p>
        </w:tc>
        <w:tc>
          <w:tcPr>
            <w:tcW w:w="1134" w:type="dxa"/>
            <w:tcBorders>
              <w:left w:val="nil"/>
              <w:bottom w:val="nil"/>
              <w:right w:val="nil"/>
            </w:tcBorders>
          </w:tcPr>
          <w:p>
            <w:pPr/>
          </w:p>
        </w:tc>
        <w:tc>
          <w:tcPr>
            <w:tcW w:w="1134" w:type="dxa"/>
            <w:tcBorders>
              <w:left w:val="nil"/>
              <w:bottom w:val="nil"/>
              <w:right w:val="nil"/>
            </w:tcBorders>
          </w:tcPr>
          <w:p>
            <w:pPr/>
          </w:p>
        </w:tc>
        <w:tc>
          <w:tcPr>
            <w:tcW w:w="1134" w:type="dxa"/>
            <w:tcBorders>
              <w:left w:val="nil"/>
              <w:bottom w:val="nil"/>
              <w:right w:val="nil"/>
            </w:tcBorders>
          </w:tcPr>
          <w:p>
            <w:pPr/>
          </w:p>
        </w:tc>
        <w:tc>
          <w:tcPr>
            <w:tcW w:w="1135" w:type="dxa"/>
            <w:tcBorders>
              <w:left w:val="nil"/>
              <w:bottom w:val="nil"/>
              <w:right w:val="nil"/>
            </w:tcBorders>
          </w:tcPr>
          <w:p>
            <w:pPr/>
          </w:p>
        </w:tc>
        <w:tc>
          <w:tcPr>
            <w:tcW w:w="1133" w:type="dxa"/>
            <w:tcBorders>
              <w:left w:val="nil"/>
              <w:bottom w:val="nil"/>
              <w:right w:val="nil"/>
            </w:tcBorders>
          </w:tcPr>
          <w:p>
            <w:pPr/>
          </w:p>
        </w:tc>
      </w:tr>
      <w:tr>
        <w:trPr>
          <w:trHeight w:val="300" w:hRule="exact"/>
        </w:trPr>
        <w:tc>
          <w:tcPr>
            <w:tcW w:w="2432" w:type="dxa"/>
            <w:tcBorders>
              <w:top w:val="nil"/>
              <w:left w:val="nil"/>
              <w:bottom w:val="nil"/>
              <w:right w:val="nil"/>
            </w:tcBorders>
          </w:tcPr>
          <w:p>
            <w:pPr>
              <w:pStyle w:val="TableParagraph"/>
              <w:spacing w:before="12"/>
              <w:ind w:left="307" w:right="-50"/>
              <w:rPr>
                <w:sz w:val="22"/>
              </w:rPr>
            </w:pPr>
            <w:r>
              <w:rPr>
                <w:sz w:val="22"/>
              </w:rPr>
              <w:t>Absorción</w:t>
            </w:r>
          </w:p>
        </w:tc>
        <w:tc>
          <w:tcPr>
            <w:tcW w:w="1137" w:type="dxa"/>
            <w:tcBorders>
              <w:top w:val="nil"/>
              <w:left w:val="nil"/>
              <w:bottom w:val="nil"/>
              <w:right w:val="nil"/>
            </w:tcBorders>
          </w:tcPr>
          <w:p>
            <w:pPr>
              <w:pStyle w:val="TableParagraph"/>
              <w:spacing w:before="12"/>
              <w:ind w:right="67"/>
              <w:jc w:val="right"/>
              <w:rPr>
                <w:sz w:val="22"/>
              </w:rPr>
            </w:pPr>
            <w:r>
              <w:rPr>
                <w:sz w:val="22"/>
              </w:rPr>
              <w:t>93.3</w:t>
            </w:r>
          </w:p>
        </w:tc>
        <w:tc>
          <w:tcPr>
            <w:tcW w:w="1134" w:type="dxa"/>
            <w:tcBorders>
              <w:top w:val="nil"/>
              <w:left w:val="nil"/>
              <w:bottom w:val="nil"/>
              <w:right w:val="nil"/>
            </w:tcBorders>
          </w:tcPr>
          <w:p>
            <w:pPr>
              <w:pStyle w:val="TableParagraph"/>
              <w:spacing w:before="12"/>
              <w:ind w:right="66"/>
              <w:jc w:val="right"/>
              <w:rPr>
                <w:sz w:val="22"/>
              </w:rPr>
            </w:pPr>
            <w:r>
              <w:rPr>
                <w:sz w:val="22"/>
              </w:rPr>
              <w:t>95.3</w:t>
            </w:r>
          </w:p>
        </w:tc>
        <w:tc>
          <w:tcPr>
            <w:tcW w:w="1134" w:type="dxa"/>
            <w:tcBorders>
              <w:top w:val="nil"/>
              <w:left w:val="nil"/>
              <w:bottom w:val="nil"/>
              <w:right w:val="nil"/>
            </w:tcBorders>
          </w:tcPr>
          <w:p>
            <w:pPr>
              <w:pStyle w:val="TableParagraph"/>
              <w:spacing w:before="12"/>
              <w:ind w:right="67"/>
              <w:jc w:val="right"/>
              <w:rPr>
                <w:sz w:val="22"/>
              </w:rPr>
            </w:pPr>
            <w:r>
              <w:rPr>
                <w:sz w:val="22"/>
              </w:rPr>
              <w:t>96.9</w:t>
            </w:r>
          </w:p>
        </w:tc>
        <w:tc>
          <w:tcPr>
            <w:tcW w:w="1134" w:type="dxa"/>
            <w:tcBorders>
              <w:top w:val="nil"/>
              <w:left w:val="nil"/>
              <w:bottom w:val="nil"/>
              <w:right w:val="nil"/>
            </w:tcBorders>
          </w:tcPr>
          <w:p>
            <w:pPr>
              <w:pStyle w:val="TableParagraph"/>
              <w:spacing w:before="12"/>
              <w:ind w:right="66"/>
              <w:jc w:val="right"/>
              <w:rPr>
                <w:sz w:val="22"/>
              </w:rPr>
            </w:pPr>
            <w:r>
              <w:rPr>
                <w:sz w:val="22"/>
              </w:rPr>
              <w:t>96.4</w:t>
            </w:r>
          </w:p>
        </w:tc>
        <w:tc>
          <w:tcPr>
            <w:tcW w:w="1135" w:type="dxa"/>
            <w:tcBorders>
              <w:top w:val="nil"/>
              <w:left w:val="nil"/>
              <w:bottom w:val="nil"/>
              <w:right w:val="nil"/>
            </w:tcBorders>
          </w:tcPr>
          <w:p>
            <w:pPr>
              <w:pStyle w:val="TableParagraph"/>
              <w:spacing w:before="12"/>
              <w:ind w:right="67"/>
              <w:jc w:val="right"/>
              <w:rPr>
                <w:sz w:val="22"/>
              </w:rPr>
            </w:pPr>
            <w:r>
              <w:rPr>
                <w:sz w:val="22"/>
              </w:rPr>
              <w:t>96.7</w:t>
            </w:r>
          </w:p>
        </w:tc>
        <w:tc>
          <w:tcPr>
            <w:tcW w:w="1133" w:type="dxa"/>
            <w:tcBorders>
              <w:top w:val="nil"/>
              <w:left w:val="nil"/>
              <w:bottom w:val="nil"/>
              <w:right w:val="nil"/>
            </w:tcBorders>
          </w:tcPr>
          <w:p>
            <w:pPr>
              <w:pStyle w:val="TableParagraph"/>
              <w:spacing w:before="12"/>
              <w:ind w:right="65"/>
              <w:jc w:val="right"/>
              <w:rPr>
                <w:sz w:val="22"/>
              </w:rPr>
            </w:pPr>
            <w:r>
              <w:rPr>
                <w:sz w:val="22"/>
              </w:rPr>
              <w:t>99.5</w:t>
            </w:r>
          </w:p>
        </w:tc>
      </w:tr>
      <w:tr>
        <w:trPr>
          <w:trHeight w:val="300" w:hRule="exact"/>
        </w:trPr>
        <w:tc>
          <w:tcPr>
            <w:tcW w:w="2432" w:type="dxa"/>
            <w:tcBorders>
              <w:top w:val="nil"/>
              <w:left w:val="nil"/>
              <w:bottom w:val="nil"/>
              <w:right w:val="nil"/>
            </w:tcBorders>
          </w:tcPr>
          <w:p>
            <w:pPr>
              <w:pStyle w:val="TableParagraph"/>
              <w:spacing w:before="12"/>
              <w:ind w:left="307" w:right="-50"/>
              <w:rPr>
                <w:sz w:val="22"/>
              </w:rPr>
            </w:pPr>
            <w:r>
              <w:rPr>
                <w:sz w:val="22"/>
              </w:rPr>
              <w:t>Cobertura (16-18 años)</w:t>
            </w:r>
          </w:p>
        </w:tc>
        <w:tc>
          <w:tcPr>
            <w:tcW w:w="1137" w:type="dxa"/>
            <w:tcBorders>
              <w:top w:val="nil"/>
              <w:left w:val="nil"/>
              <w:bottom w:val="nil"/>
              <w:right w:val="nil"/>
            </w:tcBorders>
          </w:tcPr>
          <w:p>
            <w:pPr>
              <w:pStyle w:val="TableParagraph"/>
              <w:spacing w:before="12"/>
              <w:ind w:right="67"/>
              <w:jc w:val="right"/>
              <w:rPr>
                <w:sz w:val="22"/>
              </w:rPr>
            </w:pPr>
            <w:r>
              <w:rPr>
                <w:sz w:val="22"/>
              </w:rPr>
              <w:t>48.4</w:t>
            </w:r>
          </w:p>
        </w:tc>
        <w:tc>
          <w:tcPr>
            <w:tcW w:w="1134" w:type="dxa"/>
            <w:tcBorders>
              <w:top w:val="nil"/>
              <w:left w:val="nil"/>
              <w:bottom w:val="nil"/>
              <w:right w:val="nil"/>
            </w:tcBorders>
          </w:tcPr>
          <w:p>
            <w:pPr>
              <w:pStyle w:val="TableParagraph"/>
              <w:spacing w:before="12"/>
              <w:ind w:right="66"/>
              <w:jc w:val="right"/>
              <w:rPr>
                <w:sz w:val="22"/>
              </w:rPr>
            </w:pPr>
            <w:r>
              <w:rPr>
                <w:sz w:val="22"/>
              </w:rPr>
              <w:t>58.6</w:t>
            </w:r>
          </w:p>
        </w:tc>
        <w:tc>
          <w:tcPr>
            <w:tcW w:w="1134" w:type="dxa"/>
            <w:tcBorders>
              <w:top w:val="nil"/>
              <w:left w:val="nil"/>
              <w:bottom w:val="nil"/>
              <w:right w:val="nil"/>
            </w:tcBorders>
          </w:tcPr>
          <w:p>
            <w:pPr>
              <w:pStyle w:val="TableParagraph"/>
              <w:spacing w:before="12"/>
              <w:ind w:right="67"/>
              <w:jc w:val="right"/>
              <w:rPr>
                <w:sz w:val="22"/>
              </w:rPr>
            </w:pPr>
            <w:r>
              <w:rPr>
                <w:sz w:val="22"/>
              </w:rPr>
              <w:t>62.3</w:t>
            </w:r>
          </w:p>
        </w:tc>
        <w:tc>
          <w:tcPr>
            <w:tcW w:w="1134" w:type="dxa"/>
            <w:tcBorders>
              <w:top w:val="nil"/>
              <w:left w:val="nil"/>
              <w:bottom w:val="nil"/>
              <w:right w:val="nil"/>
            </w:tcBorders>
          </w:tcPr>
          <w:p>
            <w:pPr>
              <w:pStyle w:val="TableParagraph"/>
              <w:spacing w:before="12"/>
              <w:ind w:right="66"/>
              <w:jc w:val="right"/>
              <w:rPr>
                <w:sz w:val="22"/>
              </w:rPr>
            </w:pPr>
            <w:r>
              <w:rPr>
                <w:sz w:val="22"/>
              </w:rPr>
              <w:t>64.4</w:t>
            </w:r>
          </w:p>
        </w:tc>
        <w:tc>
          <w:tcPr>
            <w:tcW w:w="1135" w:type="dxa"/>
            <w:tcBorders>
              <w:top w:val="nil"/>
              <w:left w:val="nil"/>
              <w:bottom w:val="nil"/>
              <w:right w:val="nil"/>
            </w:tcBorders>
          </w:tcPr>
          <w:p>
            <w:pPr>
              <w:pStyle w:val="TableParagraph"/>
              <w:spacing w:before="12"/>
              <w:ind w:right="67"/>
              <w:jc w:val="right"/>
              <w:rPr>
                <w:sz w:val="22"/>
              </w:rPr>
            </w:pPr>
            <w:r>
              <w:rPr>
                <w:sz w:val="22"/>
              </w:rPr>
              <w:t>66.7</w:t>
            </w:r>
          </w:p>
        </w:tc>
        <w:tc>
          <w:tcPr>
            <w:tcW w:w="1133" w:type="dxa"/>
            <w:tcBorders>
              <w:top w:val="nil"/>
              <w:left w:val="nil"/>
              <w:bottom w:val="nil"/>
              <w:right w:val="nil"/>
            </w:tcBorders>
          </w:tcPr>
          <w:p>
            <w:pPr>
              <w:pStyle w:val="TableParagraph"/>
              <w:spacing w:before="12"/>
              <w:ind w:right="65"/>
              <w:jc w:val="right"/>
              <w:rPr>
                <w:sz w:val="22"/>
              </w:rPr>
            </w:pPr>
            <w:r>
              <w:rPr>
                <w:sz w:val="22"/>
              </w:rPr>
              <w:t>69.3</w:t>
            </w:r>
          </w:p>
        </w:tc>
      </w:tr>
      <w:tr>
        <w:trPr>
          <w:trHeight w:val="300" w:hRule="exact"/>
        </w:trPr>
        <w:tc>
          <w:tcPr>
            <w:tcW w:w="2432" w:type="dxa"/>
            <w:tcBorders>
              <w:top w:val="nil"/>
              <w:left w:val="nil"/>
              <w:bottom w:val="nil"/>
              <w:right w:val="nil"/>
            </w:tcBorders>
          </w:tcPr>
          <w:p>
            <w:pPr>
              <w:pStyle w:val="TableParagraph"/>
              <w:spacing w:before="12"/>
              <w:ind w:left="307" w:right="-50"/>
              <w:rPr>
                <w:sz w:val="22"/>
              </w:rPr>
            </w:pPr>
            <w:r>
              <w:rPr>
                <w:sz w:val="22"/>
              </w:rPr>
              <w:t>Deserción</w:t>
            </w:r>
          </w:p>
        </w:tc>
        <w:tc>
          <w:tcPr>
            <w:tcW w:w="1137" w:type="dxa"/>
            <w:tcBorders>
              <w:top w:val="nil"/>
              <w:left w:val="nil"/>
              <w:bottom w:val="nil"/>
              <w:right w:val="nil"/>
            </w:tcBorders>
          </w:tcPr>
          <w:p>
            <w:pPr>
              <w:pStyle w:val="TableParagraph"/>
              <w:spacing w:before="12"/>
              <w:ind w:right="67"/>
              <w:jc w:val="right"/>
              <w:rPr>
                <w:sz w:val="22"/>
              </w:rPr>
            </w:pPr>
            <w:r>
              <w:rPr>
                <w:sz w:val="22"/>
              </w:rPr>
              <w:t>17.5</w:t>
            </w:r>
          </w:p>
        </w:tc>
        <w:tc>
          <w:tcPr>
            <w:tcW w:w="1134" w:type="dxa"/>
            <w:tcBorders>
              <w:top w:val="nil"/>
              <w:left w:val="nil"/>
              <w:bottom w:val="nil"/>
              <w:right w:val="nil"/>
            </w:tcBorders>
          </w:tcPr>
          <w:p>
            <w:pPr>
              <w:pStyle w:val="TableParagraph"/>
              <w:spacing w:before="12"/>
              <w:ind w:right="66"/>
              <w:jc w:val="right"/>
              <w:rPr>
                <w:sz w:val="22"/>
              </w:rPr>
            </w:pPr>
            <w:r>
              <w:rPr>
                <w:sz w:val="22"/>
              </w:rPr>
              <w:t>16.5</w:t>
            </w:r>
          </w:p>
        </w:tc>
        <w:tc>
          <w:tcPr>
            <w:tcW w:w="1134" w:type="dxa"/>
            <w:tcBorders>
              <w:top w:val="nil"/>
              <w:left w:val="nil"/>
              <w:bottom w:val="nil"/>
              <w:right w:val="nil"/>
            </w:tcBorders>
          </w:tcPr>
          <w:p>
            <w:pPr>
              <w:pStyle w:val="TableParagraph"/>
              <w:spacing w:before="12"/>
              <w:ind w:right="67"/>
              <w:jc w:val="right"/>
              <w:rPr>
                <w:sz w:val="22"/>
              </w:rPr>
            </w:pPr>
            <w:r>
              <w:rPr>
                <w:sz w:val="22"/>
              </w:rPr>
              <w:t>15.9</w:t>
            </w:r>
          </w:p>
        </w:tc>
        <w:tc>
          <w:tcPr>
            <w:tcW w:w="1134" w:type="dxa"/>
            <w:tcBorders>
              <w:top w:val="nil"/>
              <w:left w:val="nil"/>
              <w:bottom w:val="nil"/>
              <w:right w:val="nil"/>
            </w:tcBorders>
          </w:tcPr>
          <w:p>
            <w:pPr>
              <w:pStyle w:val="TableParagraph"/>
              <w:spacing w:before="12"/>
              <w:ind w:right="66"/>
              <w:jc w:val="right"/>
              <w:rPr>
                <w:sz w:val="22"/>
              </w:rPr>
            </w:pPr>
            <w:r>
              <w:rPr>
                <w:sz w:val="22"/>
              </w:rPr>
              <w:t>14.9</w:t>
            </w:r>
          </w:p>
        </w:tc>
        <w:tc>
          <w:tcPr>
            <w:tcW w:w="1135" w:type="dxa"/>
            <w:tcBorders>
              <w:top w:val="nil"/>
              <w:left w:val="nil"/>
              <w:bottom w:val="nil"/>
              <w:right w:val="nil"/>
            </w:tcBorders>
          </w:tcPr>
          <w:p>
            <w:pPr>
              <w:pStyle w:val="TableParagraph"/>
              <w:spacing w:before="12"/>
              <w:ind w:right="67"/>
              <w:jc w:val="right"/>
              <w:rPr>
                <w:sz w:val="22"/>
              </w:rPr>
            </w:pPr>
            <w:r>
              <w:rPr>
                <w:sz w:val="22"/>
              </w:rPr>
              <w:t>14.9</w:t>
            </w:r>
          </w:p>
        </w:tc>
        <w:tc>
          <w:tcPr>
            <w:tcW w:w="1133" w:type="dxa"/>
            <w:tcBorders>
              <w:top w:val="nil"/>
              <w:left w:val="nil"/>
              <w:bottom w:val="nil"/>
              <w:right w:val="nil"/>
            </w:tcBorders>
          </w:tcPr>
          <w:p>
            <w:pPr>
              <w:pStyle w:val="TableParagraph"/>
              <w:spacing w:before="12"/>
              <w:ind w:right="65"/>
              <w:jc w:val="right"/>
              <w:rPr>
                <w:sz w:val="22"/>
              </w:rPr>
            </w:pPr>
            <w:r>
              <w:rPr>
                <w:sz w:val="22"/>
              </w:rPr>
              <w:t>14.4</w:t>
            </w:r>
          </w:p>
        </w:tc>
      </w:tr>
      <w:tr>
        <w:trPr>
          <w:trHeight w:val="300" w:hRule="exact"/>
        </w:trPr>
        <w:tc>
          <w:tcPr>
            <w:tcW w:w="2432" w:type="dxa"/>
            <w:tcBorders>
              <w:top w:val="nil"/>
              <w:left w:val="nil"/>
              <w:bottom w:val="nil"/>
              <w:right w:val="nil"/>
            </w:tcBorders>
          </w:tcPr>
          <w:p>
            <w:pPr>
              <w:pStyle w:val="TableParagraph"/>
              <w:spacing w:before="12"/>
              <w:ind w:left="307" w:right="-50"/>
              <w:rPr>
                <w:sz w:val="22"/>
              </w:rPr>
            </w:pPr>
            <w:r>
              <w:rPr>
                <w:sz w:val="22"/>
              </w:rPr>
              <w:t>Reprobación</w:t>
            </w:r>
          </w:p>
        </w:tc>
        <w:tc>
          <w:tcPr>
            <w:tcW w:w="1137" w:type="dxa"/>
            <w:tcBorders>
              <w:top w:val="nil"/>
              <w:left w:val="nil"/>
              <w:bottom w:val="nil"/>
              <w:right w:val="nil"/>
            </w:tcBorders>
          </w:tcPr>
          <w:p>
            <w:pPr>
              <w:pStyle w:val="TableParagraph"/>
              <w:spacing w:before="12"/>
              <w:ind w:right="67"/>
              <w:jc w:val="right"/>
              <w:rPr>
                <w:sz w:val="22"/>
              </w:rPr>
            </w:pPr>
            <w:r>
              <w:rPr>
                <w:sz w:val="22"/>
              </w:rPr>
              <w:t>37.4</w:t>
            </w:r>
          </w:p>
        </w:tc>
        <w:tc>
          <w:tcPr>
            <w:tcW w:w="1134" w:type="dxa"/>
            <w:tcBorders>
              <w:top w:val="nil"/>
              <w:left w:val="nil"/>
              <w:bottom w:val="nil"/>
              <w:right w:val="nil"/>
            </w:tcBorders>
          </w:tcPr>
          <w:p>
            <w:pPr>
              <w:pStyle w:val="TableParagraph"/>
              <w:spacing w:before="12"/>
              <w:ind w:right="66"/>
              <w:jc w:val="right"/>
              <w:rPr>
                <w:sz w:val="22"/>
              </w:rPr>
            </w:pPr>
            <w:r>
              <w:rPr>
                <w:sz w:val="22"/>
              </w:rPr>
              <w:t>34.7</w:t>
            </w:r>
          </w:p>
        </w:tc>
        <w:tc>
          <w:tcPr>
            <w:tcW w:w="1134" w:type="dxa"/>
            <w:tcBorders>
              <w:top w:val="nil"/>
              <w:left w:val="nil"/>
              <w:bottom w:val="nil"/>
              <w:right w:val="nil"/>
            </w:tcBorders>
          </w:tcPr>
          <w:p>
            <w:pPr>
              <w:pStyle w:val="TableParagraph"/>
              <w:spacing w:before="12"/>
              <w:ind w:right="71"/>
              <w:jc w:val="right"/>
              <w:rPr>
                <w:sz w:val="22"/>
              </w:rPr>
            </w:pPr>
            <w:r>
              <w:rPr>
                <w:sz w:val="22"/>
              </w:rPr>
              <w:t>35</w:t>
            </w:r>
          </w:p>
        </w:tc>
        <w:tc>
          <w:tcPr>
            <w:tcW w:w="1134" w:type="dxa"/>
            <w:tcBorders>
              <w:top w:val="nil"/>
              <w:left w:val="nil"/>
              <w:bottom w:val="nil"/>
              <w:right w:val="nil"/>
            </w:tcBorders>
          </w:tcPr>
          <w:p>
            <w:pPr>
              <w:pStyle w:val="TableParagraph"/>
              <w:spacing w:before="12"/>
              <w:ind w:right="66"/>
              <w:jc w:val="right"/>
              <w:rPr>
                <w:sz w:val="22"/>
              </w:rPr>
            </w:pPr>
            <w:r>
              <w:rPr>
                <w:sz w:val="22"/>
              </w:rPr>
              <w:t>33.6</w:t>
            </w:r>
          </w:p>
        </w:tc>
        <w:tc>
          <w:tcPr>
            <w:tcW w:w="1135" w:type="dxa"/>
            <w:tcBorders>
              <w:top w:val="nil"/>
              <w:left w:val="nil"/>
              <w:bottom w:val="nil"/>
              <w:right w:val="nil"/>
            </w:tcBorders>
          </w:tcPr>
          <w:p>
            <w:pPr>
              <w:pStyle w:val="TableParagraph"/>
              <w:spacing w:before="12"/>
              <w:ind w:right="67"/>
              <w:jc w:val="right"/>
              <w:rPr>
                <w:sz w:val="22"/>
              </w:rPr>
            </w:pPr>
            <w:r>
              <w:rPr>
                <w:sz w:val="22"/>
              </w:rPr>
              <w:t>32.7</w:t>
            </w:r>
          </w:p>
        </w:tc>
        <w:tc>
          <w:tcPr>
            <w:tcW w:w="1133" w:type="dxa"/>
            <w:tcBorders>
              <w:top w:val="nil"/>
              <w:left w:val="nil"/>
              <w:bottom w:val="nil"/>
              <w:right w:val="nil"/>
            </w:tcBorders>
          </w:tcPr>
          <w:p>
            <w:pPr>
              <w:pStyle w:val="TableParagraph"/>
              <w:spacing w:before="12"/>
              <w:ind w:right="65"/>
              <w:jc w:val="right"/>
              <w:rPr>
                <w:sz w:val="22"/>
              </w:rPr>
            </w:pPr>
            <w:r>
              <w:rPr>
                <w:sz w:val="22"/>
              </w:rPr>
              <w:t>32.5</w:t>
            </w:r>
          </w:p>
        </w:tc>
      </w:tr>
      <w:tr>
        <w:trPr>
          <w:trHeight w:val="277" w:hRule="exact"/>
        </w:trPr>
        <w:tc>
          <w:tcPr>
            <w:tcW w:w="2432" w:type="dxa"/>
            <w:tcBorders>
              <w:top w:val="nil"/>
              <w:left w:val="nil"/>
              <w:right w:val="nil"/>
            </w:tcBorders>
          </w:tcPr>
          <w:p>
            <w:pPr>
              <w:pStyle w:val="TableParagraph"/>
              <w:spacing w:before="12"/>
              <w:ind w:left="307" w:right="-50"/>
              <w:rPr>
                <w:sz w:val="22"/>
              </w:rPr>
            </w:pPr>
            <w:r>
              <w:rPr>
                <w:sz w:val="22"/>
              </w:rPr>
              <w:t>Eficiencia terminal</w:t>
            </w:r>
          </w:p>
        </w:tc>
        <w:tc>
          <w:tcPr>
            <w:tcW w:w="1137" w:type="dxa"/>
            <w:tcBorders>
              <w:top w:val="nil"/>
              <w:left w:val="nil"/>
              <w:right w:val="nil"/>
            </w:tcBorders>
          </w:tcPr>
          <w:p>
            <w:pPr>
              <w:pStyle w:val="TableParagraph"/>
              <w:spacing w:before="12"/>
              <w:ind w:right="67"/>
              <w:jc w:val="right"/>
              <w:rPr>
                <w:sz w:val="22"/>
              </w:rPr>
            </w:pPr>
            <w:r>
              <w:rPr>
                <w:sz w:val="22"/>
              </w:rPr>
              <w:t>57.0</w:t>
            </w:r>
          </w:p>
        </w:tc>
        <w:tc>
          <w:tcPr>
            <w:tcW w:w="1134" w:type="dxa"/>
            <w:tcBorders>
              <w:top w:val="nil"/>
              <w:left w:val="nil"/>
              <w:right w:val="nil"/>
            </w:tcBorders>
          </w:tcPr>
          <w:p>
            <w:pPr>
              <w:pStyle w:val="TableParagraph"/>
              <w:spacing w:before="12"/>
              <w:ind w:right="66"/>
              <w:jc w:val="right"/>
              <w:rPr>
                <w:sz w:val="22"/>
              </w:rPr>
            </w:pPr>
            <w:r>
              <w:rPr>
                <w:sz w:val="22"/>
              </w:rPr>
              <w:t>58.3</w:t>
            </w:r>
          </w:p>
        </w:tc>
        <w:tc>
          <w:tcPr>
            <w:tcW w:w="1134" w:type="dxa"/>
            <w:tcBorders>
              <w:top w:val="nil"/>
              <w:left w:val="nil"/>
              <w:right w:val="nil"/>
            </w:tcBorders>
          </w:tcPr>
          <w:p>
            <w:pPr>
              <w:pStyle w:val="TableParagraph"/>
              <w:spacing w:before="12"/>
              <w:ind w:right="67"/>
              <w:jc w:val="right"/>
              <w:rPr>
                <w:sz w:val="22"/>
              </w:rPr>
            </w:pPr>
            <w:r>
              <w:rPr>
                <w:sz w:val="22"/>
              </w:rPr>
              <w:t>60.9</w:t>
            </w:r>
          </w:p>
        </w:tc>
        <w:tc>
          <w:tcPr>
            <w:tcW w:w="1134" w:type="dxa"/>
            <w:tcBorders>
              <w:top w:val="nil"/>
              <w:left w:val="nil"/>
              <w:right w:val="nil"/>
            </w:tcBorders>
          </w:tcPr>
          <w:p>
            <w:pPr>
              <w:pStyle w:val="TableParagraph"/>
              <w:spacing w:before="12"/>
              <w:ind w:right="68"/>
              <w:jc w:val="right"/>
              <w:rPr>
                <w:sz w:val="22"/>
              </w:rPr>
            </w:pPr>
            <w:r>
              <w:rPr>
                <w:sz w:val="22"/>
              </w:rPr>
              <w:t>62</w:t>
            </w:r>
          </w:p>
        </w:tc>
        <w:tc>
          <w:tcPr>
            <w:tcW w:w="1135" w:type="dxa"/>
            <w:tcBorders>
              <w:top w:val="nil"/>
              <w:left w:val="nil"/>
              <w:right w:val="nil"/>
            </w:tcBorders>
          </w:tcPr>
          <w:p>
            <w:pPr>
              <w:pStyle w:val="TableParagraph"/>
              <w:spacing w:before="12"/>
              <w:ind w:right="67"/>
              <w:jc w:val="right"/>
              <w:rPr>
                <w:sz w:val="22"/>
              </w:rPr>
            </w:pPr>
            <w:r>
              <w:rPr>
                <w:sz w:val="22"/>
              </w:rPr>
              <w:t>62.2</w:t>
            </w:r>
          </w:p>
        </w:tc>
        <w:tc>
          <w:tcPr>
            <w:tcW w:w="1133" w:type="dxa"/>
            <w:tcBorders>
              <w:top w:val="nil"/>
              <w:left w:val="nil"/>
              <w:right w:val="nil"/>
            </w:tcBorders>
          </w:tcPr>
          <w:p>
            <w:pPr>
              <w:pStyle w:val="TableParagraph"/>
              <w:spacing w:before="12"/>
              <w:ind w:right="65"/>
              <w:jc w:val="right"/>
              <w:rPr>
                <w:sz w:val="22"/>
              </w:rPr>
            </w:pPr>
            <w:r>
              <w:rPr>
                <w:sz w:val="22"/>
              </w:rPr>
              <w:t>61.8</w:t>
            </w:r>
          </w:p>
        </w:tc>
      </w:tr>
      <w:tr>
        <w:trPr>
          <w:trHeight w:val="311" w:hRule="exact"/>
        </w:trPr>
        <w:tc>
          <w:tcPr>
            <w:tcW w:w="2432" w:type="dxa"/>
            <w:tcBorders>
              <w:left w:val="nil"/>
              <w:bottom w:val="nil"/>
              <w:right w:val="nil"/>
            </w:tcBorders>
          </w:tcPr>
          <w:p>
            <w:pPr>
              <w:pStyle w:val="TableParagraph"/>
              <w:spacing w:before="42"/>
              <w:ind w:left="84" w:right="-50"/>
              <w:rPr>
                <w:i/>
                <w:sz w:val="22"/>
              </w:rPr>
            </w:pPr>
            <w:r>
              <w:rPr>
                <w:i/>
                <w:sz w:val="22"/>
              </w:rPr>
              <w:t>Educación Superior</w:t>
            </w:r>
          </w:p>
        </w:tc>
        <w:tc>
          <w:tcPr>
            <w:tcW w:w="1137" w:type="dxa"/>
            <w:tcBorders>
              <w:left w:val="nil"/>
              <w:bottom w:val="nil"/>
              <w:right w:val="nil"/>
            </w:tcBorders>
          </w:tcPr>
          <w:p>
            <w:pPr/>
          </w:p>
        </w:tc>
        <w:tc>
          <w:tcPr>
            <w:tcW w:w="1134" w:type="dxa"/>
            <w:tcBorders>
              <w:left w:val="nil"/>
              <w:bottom w:val="nil"/>
              <w:right w:val="nil"/>
            </w:tcBorders>
          </w:tcPr>
          <w:p>
            <w:pPr/>
          </w:p>
        </w:tc>
        <w:tc>
          <w:tcPr>
            <w:tcW w:w="1134" w:type="dxa"/>
            <w:tcBorders>
              <w:left w:val="nil"/>
              <w:bottom w:val="nil"/>
              <w:right w:val="nil"/>
            </w:tcBorders>
          </w:tcPr>
          <w:p>
            <w:pPr/>
          </w:p>
        </w:tc>
        <w:tc>
          <w:tcPr>
            <w:tcW w:w="1134" w:type="dxa"/>
            <w:tcBorders>
              <w:left w:val="nil"/>
              <w:bottom w:val="nil"/>
              <w:right w:val="nil"/>
            </w:tcBorders>
          </w:tcPr>
          <w:p>
            <w:pPr/>
          </w:p>
        </w:tc>
        <w:tc>
          <w:tcPr>
            <w:tcW w:w="1135" w:type="dxa"/>
            <w:tcBorders>
              <w:left w:val="nil"/>
              <w:bottom w:val="nil"/>
              <w:right w:val="nil"/>
            </w:tcBorders>
          </w:tcPr>
          <w:p>
            <w:pPr/>
          </w:p>
        </w:tc>
        <w:tc>
          <w:tcPr>
            <w:tcW w:w="1133" w:type="dxa"/>
            <w:tcBorders>
              <w:left w:val="nil"/>
              <w:bottom w:val="nil"/>
              <w:right w:val="nil"/>
            </w:tcBorders>
          </w:tcPr>
          <w:p>
            <w:pPr/>
          </w:p>
        </w:tc>
      </w:tr>
      <w:tr>
        <w:trPr>
          <w:trHeight w:val="505" w:hRule="exact"/>
        </w:trPr>
        <w:tc>
          <w:tcPr>
            <w:tcW w:w="2432" w:type="dxa"/>
            <w:tcBorders>
              <w:top w:val="nil"/>
              <w:left w:val="nil"/>
              <w:right w:val="nil"/>
            </w:tcBorders>
          </w:tcPr>
          <w:p>
            <w:pPr>
              <w:pStyle w:val="TableParagraph"/>
              <w:ind w:left="307" w:right="926"/>
              <w:rPr>
                <w:sz w:val="22"/>
              </w:rPr>
            </w:pPr>
            <w:r>
              <w:rPr>
                <w:sz w:val="22"/>
              </w:rPr>
              <w:t>Absorción en licenciatura</w:t>
            </w:r>
          </w:p>
        </w:tc>
        <w:tc>
          <w:tcPr>
            <w:tcW w:w="1137" w:type="dxa"/>
            <w:tcBorders>
              <w:top w:val="nil"/>
              <w:left w:val="nil"/>
              <w:right w:val="nil"/>
            </w:tcBorders>
          </w:tcPr>
          <w:p>
            <w:pPr>
              <w:pStyle w:val="TableParagraph"/>
              <w:spacing w:before="9"/>
              <w:rPr>
                <w:b/>
                <w:sz w:val="20"/>
              </w:rPr>
            </w:pPr>
          </w:p>
          <w:p>
            <w:pPr>
              <w:pStyle w:val="TableParagraph"/>
              <w:spacing w:before="1"/>
              <w:ind w:right="67"/>
              <w:jc w:val="right"/>
              <w:rPr>
                <w:sz w:val="22"/>
              </w:rPr>
            </w:pPr>
            <w:r>
              <w:rPr>
                <w:sz w:val="22"/>
              </w:rPr>
              <w:t>82.1</w:t>
            </w:r>
          </w:p>
        </w:tc>
        <w:tc>
          <w:tcPr>
            <w:tcW w:w="1134" w:type="dxa"/>
            <w:tcBorders>
              <w:top w:val="nil"/>
              <w:left w:val="nil"/>
              <w:right w:val="nil"/>
            </w:tcBorders>
          </w:tcPr>
          <w:p>
            <w:pPr>
              <w:pStyle w:val="TableParagraph"/>
              <w:spacing w:before="9"/>
              <w:rPr>
                <w:b/>
                <w:sz w:val="20"/>
              </w:rPr>
            </w:pPr>
          </w:p>
          <w:p>
            <w:pPr>
              <w:pStyle w:val="TableParagraph"/>
              <w:spacing w:before="1"/>
              <w:ind w:right="66"/>
              <w:jc w:val="right"/>
              <w:rPr>
                <w:sz w:val="22"/>
              </w:rPr>
            </w:pPr>
            <w:r>
              <w:rPr>
                <w:sz w:val="22"/>
              </w:rPr>
              <w:t>74.6</w:t>
            </w:r>
          </w:p>
        </w:tc>
        <w:tc>
          <w:tcPr>
            <w:tcW w:w="1134" w:type="dxa"/>
            <w:tcBorders>
              <w:top w:val="nil"/>
              <w:left w:val="nil"/>
              <w:right w:val="nil"/>
            </w:tcBorders>
          </w:tcPr>
          <w:p>
            <w:pPr>
              <w:pStyle w:val="TableParagraph"/>
              <w:spacing w:before="9"/>
              <w:rPr>
                <w:b/>
                <w:sz w:val="20"/>
              </w:rPr>
            </w:pPr>
          </w:p>
          <w:p>
            <w:pPr>
              <w:pStyle w:val="TableParagraph"/>
              <w:spacing w:before="1"/>
              <w:ind w:right="67"/>
              <w:jc w:val="right"/>
              <w:rPr>
                <w:sz w:val="22"/>
              </w:rPr>
            </w:pPr>
            <w:r>
              <w:rPr>
                <w:sz w:val="22"/>
              </w:rPr>
              <w:t>73.7</w:t>
            </w:r>
          </w:p>
        </w:tc>
        <w:tc>
          <w:tcPr>
            <w:tcW w:w="1134" w:type="dxa"/>
            <w:tcBorders>
              <w:top w:val="nil"/>
              <w:left w:val="nil"/>
              <w:right w:val="nil"/>
            </w:tcBorders>
          </w:tcPr>
          <w:p>
            <w:pPr>
              <w:pStyle w:val="TableParagraph"/>
              <w:spacing w:before="9"/>
              <w:rPr>
                <w:b/>
                <w:sz w:val="20"/>
              </w:rPr>
            </w:pPr>
          </w:p>
          <w:p>
            <w:pPr>
              <w:pStyle w:val="TableParagraph"/>
              <w:spacing w:before="1"/>
              <w:ind w:right="66"/>
              <w:jc w:val="right"/>
              <w:rPr>
                <w:sz w:val="22"/>
              </w:rPr>
            </w:pPr>
            <w:r>
              <w:rPr>
                <w:sz w:val="22"/>
              </w:rPr>
              <w:t>76.1</w:t>
            </w:r>
          </w:p>
        </w:tc>
        <w:tc>
          <w:tcPr>
            <w:tcW w:w="1135" w:type="dxa"/>
            <w:tcBorders>
              <w:top w:val="nil"/>
              <w:left w:val="nil"/>
              <w:right w:val="nil"/>
            </w:tcBorders>
          </w:tcPr>
          <w:p>
            <w:pPr>
              <w:pStyle w:val="TableParagraph"/>
              <w:spacing w:before="9"/>
              <w:rPr>
                <w:b/>
                <w:sz w:val="20"/>
              </w:rPr>
            </w:pPr>
          </w:p>
          <w:p>
            <w:pPr>
              <w:pStyle w:val="TableParagraph"/>
              <w:spacing w:before="1"/>
              <w:ind w:right="67"/>
              <w:jc w:val="right"/>
              <w:rPr>
                <w:sz w:val="22"/>
              </w:rPr>
            </w:pPr>
            <w:r>
              <w:rPr>
                <w:sz w:val="22"/>
              </w:rPr>
              <w:t>76.5</w:t>
            </w:r>
          </w:p>
        </w:tc>
        <w:tc>
          <w:tcPr>
            <w:tcW w:w="1133" w:type="dxa"/>
            <w:tcBorders>
              <w:top w:val="nil"/>
              <w:left w:val="nil"/>
              <w:right w:val="nil"/>
            </w:tcBorders>
          </w:tcPr>
          <w:p>
            <w:pPr>
              <w:pStyle w:val="TableParagraph"/>
              <w:spacing w:before="9"/>
              <w:rPr>
                <w:b/>
                <w:sz w:val="20"/>
              </w:rPr>
            </w:pPr>
          </w:p>
          <w:p>
            <w:pPr>
              <w:pStyle w:val="TableParagraph"/>
              <w:spacing w:before="1"/>
              <w:ind w:right="65"/>
              <w:jc w:val="right"/>
              <w:rPr>
                <w:sz w:val="22"/>
              </w:rPr>
            </w:pPr>
            <w:r>
              <w:rPr>
                <w:sz w:val="22"/>
              </w:rPr>
              <w:t>77.6</w:t>
            </w:r>
          </w:p>
        </w:tc>
      </w:tr>
    </w:tbl>
    <w:p>
      <w:pPr>
        <w:spacing w:line="223" w:lineRule="exact" w:before="0"/>
        <w:ind w:left="3795" w:right="4130" w:firstLine="0"/>
        <w:jc w:val="center"/>
        <w:rPr>
          <w:sz w:val="20"/>
        </w:rPr>
      </w:pPr>
      <w:r>
        <w:rPr>
          <w:sz w:val="20"/>
        </w:rPr>
        <w:t>Fuente: SEP, 2012</w:t>
      </w:r>
    </w:p>
    <w:p>
      <w:pPr>
        <w:spacing w:before="0"/>
        <w:ind w:left="142" w:right="711" w:firstLine="0"/>
        <w:jc w:val="both"/>
        <w:rPr>
          <w:sz w:val="20"/>
        </w:rPr>
      </w:pPr>
      <w:r>
        <w:rPr>
          <w:sz w:val="20"/>
        </w:rPr>
        <w:t>Nota: Para el cálculo de los indicadores de atención y cobertura se utilizaron las proyecciones de población CONAPO, Febrero 2007. Para los indicadores de eficiencia terminal, deserción y reprobación las cifras son estimadas para el ciclo 2011-2012.</w:t>
      </w:r>
    </w:p>
    <w:p>
      <w:pPr>
        <w:pStyle w:val="BodyText"/>
        <w:rPr>
          <w:sz w:val="20"/>
        </w:rPr>
      </w:pPr>
    </w:p>
    <w:p>
      <w:pPr>
        <w:pStyle w:val="BodyText"/>
        <w:rPr>
          <w:sz w:val="20"/>
        </w:rPr>
      </w:pPr>
    </w:p>
    <w:p>
      <w:pPr>
        <w:pStyle w:val="BodyText"/>
        <w:spacing w:line="360" w:lineRule="auto" w:before="153"/>
        <w:ind w:left="142" w:right="476"/>
        <w:jc w:val="both"/>
      </w:pPr>
      <w:r>
        <w:rPr/>
        <w:t>La tasa bruta de cobertura educativa nivel superior en el ciclo 2012-2013 se situó en el 34.6%, representó un icremento de 13 puntos porcentuales con respecto al periodo 200- 2001. </w:t>
      </w:r>
      <w:r>
        <w:rPr>
          <w:spacing w:val="-3"/>
        </w:rPr>
        <w:t>Lo </w:t>
      </w:r>
      <w:r>
        <w:rPr/>
        <w:t>que indica que se ha tenido un incremento signficativo periodo lectivo tras  periodo lectivo (tabla</w:t>
      </w:r>
      <w:r>
        <w:rPr>
          <w:spacing w:val="-4"/>
        </w:rPr>
        <w:t> </w:t>
      </w:r>
      <w:r>
        <w:rPr/>
        <w:t>3.5.).</w:t>
      </w:r>
    </w:p>
    <w:p>
      <w:pPr>
        <w:spacing w:after="0" w:line="360" w:lineRule="auto"/>
        <w:jc w:val="both"/>
        <w:sectPr>
          <w:pgSz w:w="12240" w:h="15840"/>
          <w:pgMar w:header="0" w:footer="1003" w:top="1360" w:bottom="1200" w:left="1560" w:right="1220"/>
        </w:sectPr>
      </w:pPr>
    </w:p>
    <w:p>
      <w:pPr>
        <w:pStyle w:val="Heading3"/>
        <w:ind w:left="363"/>
        <w:jc w:val="left"/>
      </w:pPr>
      <w:r>
        <w:rPr/>
        <w:t>Tabla 3.5. Tasa bruta de cobertura educativa nivel superior en México 2000-2013</w:t>
      </w:r>
    </w:p>
    <w:p>
      <w:pPr>
        <w:pStyle w:val="BodyText"/>
        <w:spacing w:before="5" w:after="1"/>
        <w:rPr>
          <w:b/>
          <w:sz w:val="29"/>
        </w:rPr>
      </w:pPr>
    </w:p>
    <w:tbl>
      <w:tblPr>
        <w:tblW w:w="0" w:type="auto"/>
        <w:jc w:val="left"/>
        <w:tblInd w:w="19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5"/>
        <w:gridCol w:w="1672"/>
        <w:gridCol w:w="1359"/>
      </w:tblGrid>
      <w:tr>
        <w:trPr>
          <w:trHeight w:val="264" w:hRule="exact"/>
        </w:trPr>
        <w:tc>
          <w:tcPr>
            <w:tcW w:w="3797" w:type="dxa"/>
            <w:gridSpan w:val="2"/>
            <w:tcBorders>
              <w:left w:val="nil"/>
              <w:right w:val="nil"/>
            </w:tcBorders>
          </w:tcPr>
          <w:p>
            <w:pPr>
              <w:pStyle w:val="TableParagraph"/>
              <w:spacing w:line="252" w:lineRule="exact"/>
              <w:ind w:left="1337"/>
              <w:rPr>
                <w:b/>
                <w:sz w:val="22"/>
              </w:rPr>
            </w:pPr>
            <w:r>
              <w:rPr>
                <w:b/>
                <w:sz w:val="22"/>
              </w:rPr>
              <w:t>Total educación superior</w:t>
            </w:r>
          </w:p>
        </w:tc>
        <w:tc>
          <w:tcPr>
            <w:tcW w:w="1359" w:type="dxa"/>
            <w:tcBorders>
              <w:left w:val="nil"/>
              <w:right w:val="nil"/>
            </w:tcBorders>
          </w:tcPr>
          <w:p>
            <w:pPr>
              <w:pStyle w:val="TableParagraph"/>
              <w:spacing w:line="252" w:lineRule="exact"/>
              <w:ind w:right="157"/>
              <w:jc w:val="right"/>
              <w:rPr>
                <w:b/>
                <w:sz w:val="22"/>
              </w:rPr>
            </w:pPr>
            <w:r>
              <w:rPr>
                <w:b/>
                <w:sz w:val="22"/>
              </w:rPr>
              <w:t>Incremento</w:t>
            </w:r>
          </w:p>
        </w:tc>
      </w:tr>
      <w:tr>
        <w:trPr>
          <w:trHeight w:val="310" w:hRule="exact"/>
        </w:trPr>
        <w:tc>
          <w:tcPr>
            <w:tcW w:w="2125" w:type="dxa"/>
            <w:tcBorders>
              <w:left w:val="nil"/>
              <w:right w:val="nil"/>
            </w:tcBorders>
          </w:tcPr>
          <w:p>
            <w:pPr>
              <w:pStyle w:val="TableParagraph"/>
              <w:spacing w:line="247" w:lineRule="exact"/>
              <w:ind w:left="122"/>
              <w:rPr>
                <w:sz w:val="22"/>
              </w:rPr>
            </w:pPr>
            <w:r>
              <w:rPr>
                <w:sz w:val="22"/>
              </w:rPr>
              <w:t>2000-2001</w:t>
            </w:r>
          </w:p>
        </w:tc>
        <w:tc>
          <w:tcPr>
            <w:tcW w:w="1672" w:type="dxa"/>
            <w:tcBorders>
              <w:left w:val="nil"/>
              <w:right w:val="nil"/>
            </w:tcBorders>
          </w:tcPr>
          <w:p>
            <w:pPr>
              <w:pStyle w:val="TableParagraph"/>
              <w:spacing w:line="247" w:lineRule="exact"/>
              <w:ind w:right="234"/>
              <w:jc w:val="right"/>
              <w:rPr>
                <w:sz w:val="22"/>
              </w:rPr>
            </w:pPr>
            <w:r>
              <w:rPr>
                <w:sz w:val="22"/>
              </w:rPr>
              <w:t>21.6</w:t>
            </w:r>
          </w:p>
        </w:tc>
        <w:tc>
          <w:tcPr>
            <w:tcW w:w="1359" w:type="dxa"/>
            <w:tcBorders>
              <w:left w:val="nil"/>
              <w:right w:val="nil"/>
            </w:tcBorders>
          </w:tcPr>
          <w:p>
            <w:pPr/>
          </w:p>
        </w:tc>
      </w:tr>
      <w:tr>
        <w:trPr>
          <w:trHeight w:val="310" w:hRule="exact"/>
        </w:trPr>
        <w:tc>
          <w:tcPr>
            <w:tcW w:w="2125" w:type="dxa"/>
            <w:tcBorders>
              <w:left w:val="nil"/>
              <w:right w:val="nil"/>
            </w:tcBorders>
          </w:tcPr>
          <w:p>
            <w:pPr>
              <w:pStyle w:val="TableParagraph"/>
              <w:spacing w:line="247" w:lineRule="exact"/>
              <w:ind w:left="122"/>
              <w:rPr>
                <w:sz w:val="22"/>
              </w:rPr>
            </w:pPr>
            <w:r>
              <w:rPr>
                <w:sz w:val="22"/>
              </w:rPr>
              <w:t>2005-2006</w:t>
            </w:r>
          </w:p>
        </w:tc>
        <w:tc>
          <w:tcPr>
            <w:tcW w:w="1672" w:type="dxa"/>
            <w:tcBorders>
              <w:left w:val="nil"/>
              <w:right w:val="nil"/>
            </w:tcBorders>
          </w:tcPr>
          <w:p>
            <w:pPr>
              <w:pStyle w:val="TableParagraph"/>
              <w:spacing w:line="247" w:lineRule="exact"/>
              <w:ind w:right="234"/>
              <w:jc w:val="right"/>
              <w:rPr>
                <w:sz w:val="22"/>
              </w:rPr>
            </w:pPr>
            <w:r>
              <w:rPr>
                <w:sz w:val="22"/>
              </w:rPr>
              <w:t>25.2</w:t>
            </w:r>
          </w:p>
        </w:tc>
        <w:tc>
          <w:tcPr>
            <w:tcW w:w="1359" w:type="dxa"/>
            <w:tcBorders>
              <w:left w:val="nil"/>
              <w:right w:val="nil"/>
            </w:tcBorders>
          </w:tcPr>
          <w:p>
            <w:pPr>
              <w:pStyle w:val="TableParagraph"/>
              <w:spacing w:before="28"/>
              <w:ind w:right="238"/>
              <w:jc w:val="right"/>
              <w:rPr>
                <w:rFonts w:ascii="Calibri"/>
                <w:sz w:val="22"/>
              </w:rPr>
            </w:pPr>
            <w:r>
              <w:rPr>
                <w:rFonts w:ascii="Calibri"/>
                <w:sz w:val="22"/>
              </w:rPr>
              <w:t>3.6</w:t>
            </w:r>
          </w:p>
        </w:tc>
      </w:tr>
      <w:tr>
        <w:trPr>
          <w:trHeight w:val="310" w:hRule="exact"/>
        </w:trPr>
        <w:tc>
          <w:tcPr>
            <w:tcW w:w="2125" w:type="dxa"/>
            <w:tcBorders>
              <w:left w:val="nil"/>
              <w:right w:val="nil"/>
            </w:tcBorders>
          </w:tcPr>
          <w:p>
            <w:pPr>
              <w:pStyle w:val="TableParagraph"/>
              <w:spacing w:line="247" w:lineRule="exact"/>
              <w:ind w:left="122"/>
              <w:rPr>
                <w:sz w:val="22"/>
              </w:rPr>
            </w:pPr>
            <w:r>
              <w:rPr>
                <w:sz w:val="22"/>
              </w:rPr>
              <w:t>2006-2007</w:t>
            </w:r>
          </w:p>
        </w:tc>
        <w:tc>
          <w:tcPr>
            <w:tcW w:w="1672" w:type="dxa"/>
            <w:tcBorders>
              <w:left w:val="nil"/>
              <w:right w:val="nil"/>
            </w:tcBorders>
          </w:tcPr>
          <w:p>
            <w:pPr>
              <w:pStyle w:val="TableParagraph"/>
              <w:spacing w:line="247" w:lineRule="exact"/>
              <w:ind w:right="234"/>
              <w:jc w:val="right"/>
              <w:rPr>
                <w:sz w:val="22"/>
              </w:rPr>
            </w:pPr>
            <w:r>
              <w:rPr>
                <w:sz w:val="22"/>
              </w:rPr>
              <w:t>25.9</w:t>
            </w:r>
          </w:p>
        </w:tc>
        <w:tc>
          <w:tcPr>
            <w:tcW w:w="1359" w:type="dxa"/>
            <w:tcBorders>
              <w:left w:val="nil"/>
              <w:right w:val="nil"/>
            </w:tcBorders>
          </w:tcPr>
          <w:p>
            <w:pPr>
              <w:pStyle w:val="TableParagraph"/>
              <w:spacing w:before="28"/>
              <w:ind w:right="238"/>
              <w:jc w:val="right"/>
              <w:rPr>
                <w:rFonts w:ascii="Calibri"/>
                <w:sz w:val="22"/>
              </w:rPr>
            </w:pPr>
            <w:r>
              <w:rPr>
                <w:rFonts w:ascii="Calibri"/>
                <w:sz w:val="22"/>
              </w:rPr>
              <w:t>0.7</w:t>
            </w:r>
          </w:p>
        </w:tc>
      </w:tr>
      <w:tr>
        <w:trPr>
          <w:trHeight w:val="310" w:hRule="exact"/>
        </w:trPr>
        <w:tc>
          <w:tcPr>
            <w:tcW w:w="2125" w:type="dxa"/>
            <w:tcBorders>
              <w:left w:val="nil"/>
              <w:right w:val="nil"/>
            </w:tcBorders>
          </w:tcPr>
          <w:p>
            <w:pPr>
              <w:pStyle w:val="TableParagraph"/>
              <w:spacing w:line="247" w:lineRule="exact"/>
              <w:ind w:left="122"/>
              <w:rPr>
                <w:sz w:val="22"/>
              </w:rPr>
            </w:pPr>
            <w:r>
              <w:rPr>
                <w:sz w:val="22"/>
              </w:rPr>
              <w:t>2007-2008</w:t>
            </w:r>
          </w:p>
        </w:tc>
        <w:tc>
          <w:tcPr>
            <w:tcW w:w="1672" w:type="dxa"/>
            <w:tcBorders>
              <w:left w:val="nil"/>
              <w:right w:val="nil"/>
            </w:tcBorders>
          </w:tcPr>
          <w:p>
            <w:pPr>
              <w:pStyle w:val="TableParagraph"/>
              <w:spacing w:line="247" w:lineRule="exact"/>
              <w:ind w:right="234"/>
              <w:jc w:val="right"/>
              <w:rPr>
                <w:sz w:val="22"/>
              </w:rPr>
            </w:pPr>
            <w:r>
              <w:rPr>
                <w:sz w:val="22"/>
              </w:rPr>
              <w:t>26.7</w:t>
            </w:r>
          </w:p>
        </w:tc>
        <w:tc>
          <w:tcPr>
            <w:tcW w:w="1359" w:type="dxa"/>
            <w:tcBorders>
              <w:left w:val="nil"/>
              <w:right w:val="nil"/>
            </w:tcBorders>
          </w:tcPr>
          <w:p>
            <w:pPr>
              <w:pStyle w:val="TableParagraph"/>
              <w:spacing w:before="30"/>
              <w:ind w:right="238"/>
              <w:jc w:val="right"/>
              <w:rPr>
                <w:rFonts w:ascii="Calibri"/>
                <w:sz w:val="22"/>
              </w:rPr>
            </w:pPr>
            <w:r>
              <w:rPr>
                <w:rFonts w:ascii="Calibri"/>
                <w:sz w:val="22"/>
              </w:rPr>
              <w:t>0.8</w:t>
            </w:r>
          </w:p>
        </w:tc>
      </w:tr>
      <w:tr>
        <w:trPr>
          <w:trHeight w:val="312" w:hRule="exact"/>
        </w:trPr>
        <w:tc>
          <w:tcPr>
            <w:tcW w:w="2125" w:type="dxa"/>
            <w:tcBorders>
              <w:left w:val="nil"/>
              <w:right w:val="nil"/>
            </w:tcBorders>
          </w:tcPr>
          <w:p>
            <w:pPr>
              <w:pStyle w:val="TableParagraph"/>
              <w:spacing w:line="249" w:lineRule="exact"/>
              <w:ind w:left="122"/>
              <w:rPr>
                <w:sz w:val="22"/>
              </w:rPr>
            </w:pPr>
            <w:r>
              <w:rPr>
                <w:sz w:val="22"/>
              </w:rPr>
              <w:t>2008-2009</w:t>
            </w:r>
          </w:p>
        </w:tc>
        <w:tc>
          <w:tcPr>
            <w:tcW w:w="1672" w:type="dxa"/>
            <w:tcBorders>
              <w:left w:val="nil"/>
              <w:right w:val="nil"/>
            </w:tcBorders>
          </w:tcPr>
          <w:p>
            <w:pPr>
              <w:pStyle w:val="TableParagraph"/>
              <w:spacing w:line="249" w:lineRule="exact"/>
              <w:ind w:right="234"/>
              <w:jc w:val="right"/>
              <w:rPr>
                <w:sz w:val="22"/>
              </w:rPr>
            </w:pPr>
            <w:r>
              <w:rPr>
                <w:sz w:val="22"/>
              </w:rPr>
              <w:t>27.6</w:t>
            </w:r>
          </w:p>
        </w:tc>
        <w:tc>
          <w:tcPr>
            <w:tcW w:w="1359" w:type="dxa"/>
            <w:tcBorders>
              <w:left w:val="nil"/>
              <w:right w:val="nil"/>
            </w:tcBorders>
          </w:tcPr>
          <w:p>
            <w:pPr>
              <w:pStyle w:val="TableParagraph"/>
              <w:spacing w:before="30"/>
              <w:ind w:right="238"/>
              <w:jc w:val="right"/>
              <w:rPr>
                <w:rFonts w:ascii="Calibri"/>
                <w:sz w:val="22"/>
              </w:rPr>
            </w:pPr>
            <w:r>
              <w:rPr>
                <w:rFonts w:ascii="Calibri"/>
                <w:sz w:val="22"/>
              </w:rPr>
              <w:t>0.9</w:t>
            </w:r>
          </w:p>
        </w:tc>
      </w:tr>
      <w:tr>
        <w:trPr>
          <w:trHeight w:val="310" w:hRule="exact"/>
        </w:trPr>
        <w:tc>
          <w:tcPr>
            <w:tcW w:w="2125" w:type="dxa"/>
            <w:tcBorders>
              <w:left w:val="nil"/>
              <w:right w:val="nil"/>
            </w:tcBorders>
          </w:tcPr>
          <w:p>
            <w:pPr>
              <w:pStyle w:val="TableParagraph"/>
              <w:spacing w:line="247" w:lineRule="exact"/>
              <w:ind w:left="122"/>
              <w:rPr>
                <w:sz w:val="22"/>
              </w:rPr>
            </w:pPr>
            <w:r>
              <w:rPr>
                <w:sz w:val="22"/>
              </w:rPr>
              <w:t>2009-2010</w:t>
            </w:r>
          </w:p>
        </w:tc>
        <w:tc>
          <w:tcPr>
            <w:tcW w:w="1672" w:type="dxa"/>
            <w:tcBorders>
              <w:left w:val="nil"/>
              <w:right w:val="nil"/>
            </w:tcBorders>
          </w:tcPr>
          <w:p>
            <w:pPr>
              <w:pStyle w:val="TableParagraph"/>
              <w:spacing w:line="247" w:lineRule="exact"/>
              <w:ind w:right="234"/>
              <w:jc w:val="right"/>
              <w:rPr>
                <w:sz w:val="22"/>
              </w:rPr>
            </w:pPr>
            <w:r>
              <w:rPr>
                <w:sz w:val="22"/>
              </w:rPr>
              <w:t>29.1</w:t>
            </w:r>
          </w:p>
        </w:tc>
        <w:tc>
          <w:tcPr>
            <w:tcW w:w="1359" w:type="dxa"/>
            <w:tcBorders>
              <w:left w:val="nil"/>
              <w:right w:val="nil"/>
            </w:tcBorders>
          </w:tcPr>
          <w:p>
            <w:pPr>
              <w:pStyle w:val="TableParagraph"/>
              <w:spacing w:before="28"/>
              <w:ind w:right="238"/>
              <w:jc w:val="right"/>
              <w:rPr>
                <w:rFonts w:ascii="Calibri"/>
                <w:sz w:val="22"/>
              </w:rPr>
            </w:pPr>
            <w:r>
              <w:rPr>
                <w:rFonts w:ascii="Calibri"/>
                <w:sz w:val="22"/>
              </w:rPr>
              <w:t>1.5</w:t>
            </w:r>
          </w:p>
        </w:tc>
      </w:tr>
      <w:tr>
        <w:trPr>
          <w:trHeight w:val="310" w:hRule="exact"/>
        </w:trPr>
        <w:tc>
          <w:tcPr>
            <w:tcW w:w="2125" w:type="dxa"/>
            <w:tcBorders>
              <w:left w:val="nil"/>
              <w:right w:val="nil"/>
            </w:tcBorders>
          </w:tcPr>
          <w:p>
            <w:pPr>
              <w:pStyle w:val="TableParagraph"/>
              <w:spacing w:line="247" w:lineRule="exact"/>
              <w:ind w:left="122"/>
              <w:rPr>
                <w:sz w:val="22"/>
              </w:rPr>
            </w:pPr>
            <w:r>
              <w:rPr>
                <w:sz w:val="22"/>
              </w:rPr>
              <w:t>2010-2011</w:t>
            </w:r>
          </w:p>
        </w:tc>
        <w:tc>
          <w:tcPr>
            <w:tcW w:w="1672" w:type="dxa"/>
            <w:tcBorders>
              <w:left w:val="nil"/>
              <w:right w:val="nil"/>
            </w:tcBorders>
          </w:tcPr>
          <w:p>
            <w:pPr>
              <w:pStyle w:val="TableParagraph"/>
              <w:spacing w:line="247" w:lineRule="exact"/>
              <w:ind w:right="234"/>
              <w:jc w:val="right"/>
              <w:rPr>
                <w:sz w:val="22"/>
              </w:rPr>
            </w:pPr>
            <w:r>
              <w:rPr>
                <w:sz w:val="22"/>
              </w:rPr>
              <w:t>30.9</w:t>
            </w:r>
          </w:p>
        </w:tc>
        <w:tc>
          <w:tcPr>
            <w:tcW w:w="1359" w:type="dxa"/>
            <w:tcBorders>
              <w:left w:val="nil"/>
              <w:right w:val="nil"/>
            </w:tcBorders>
          </w:tcPr>
          <w:p>
            <w:pPr>
              <w:pStyle w:val="TableParagraph"/>
              <w:spacing w:before="28"/>
              <w:ind w:right="238"/>
              <w:jc w:val="right"/>
              <w:rPr>
                <w:rFonts w:ascii="Calibri"/>
                <w:sz w:val="22"/>
              </w:rPr>
            </w:pPr>
            <w:r>
              <w:rPr>
                <w:rFonts w:ascii="Calibri"/>
                <w:sz w:val="22"/>
              </w:rPr>
              <w:t>1.8</w:t>
            </w:r>
          </w:p>
        </w:tc>
      </w:tr>
      <w:tr>
        <w:trPr>
          <w:trHeight w:val="310" w:hRule="exact"/>
        </w:trPr>
        <w:tc>
          <w:tcPr>
            <w:tcW w:w="2125" w:type="dxa"/>
            <w:tcBorders>
              <w:left w:val="nil"/>
              <w:right w:val="nil"/>
            </w:tcBorders>
          </w:tcPr>
          <w:p>
            <w:pPr>
              <w:pStyle w:val="TableParagraph"/>
              <w:spacing w:line="247" w:lineRule="exact"/>
              <w:ind w:left="122"/>
              <w:rPr>
                <w:sz w:val="22"/>
              </w:rPr>
            </w:pPr>
            <w:r>
              <w:rPr>
                <w:sz w:val="22"/>
              </w:rPr>
              <w:t>2011-2012</w:t>
            </w:r>
          </w:p>
        </w:tc>
        <w:tc>
          <w:tcPr>
            <w:tcW w:w="1672" w:type="dxa"/>
            <w:tcBorders>
              <w:left w:val="nil"/>
              <w:right w:val="nil"/>
            </w:tcBorders>
          </w:tcPr>
          <w:p>
            <w:pPr>
              <w:pStyle w:val="TableParagraph"/>
              <w:spacing w:line="247" w:lineRule="exact"/>
              <w:ind w:right="234"/>
              <w:jc w:val="right"/>
              <w:rPr>
                <w:sz w:val="22"/>
              </w:rPr>
            </w:pPr>
            <w:r>
              <w:rPr>
                <w:sz w:val="22"/>
              </w:rPr>
              <w:t>32.8</w:t>
            </w:r>
          </w:p>
        </w:tc>
        <w:tc>
          <w:tcPr>
            <w:tcW w:w="1359" w:type="dxa"/>
            <w:tcBorders>
              <w:left w:val="nil"/>
              <w:right w:val="nil"/>
            </w:tcBorders>
          </w:tcPr>
          <w:p>
            <w:pPr>
              <w:pStyle w:val="TableParagraph"/>
              <w:spacing w:before="28"/>
              <w:ind w:right="238"/>
              <w:jc w:val="right"/>
              <w:rPr>
                <w:rFonts w:ascii="Calibri"/>
                <w:sz w:val="22"/>
              </w:rPr>
            </w:pPr>
            <w:r>
              <w:rPr>
                <w:rFonts w:ascii="Calibri"/>
                <w:sz w:val="22"/>
              </w:rPr>
              <w:t>1.9</w:t>
            </w:r>
          </w:p>
        </w:tc>
      </w:tr>
      <w:tr>
        <w:trPr>
          <w:trHeight w:val="310" w:hRule="exact"/>
        </w:trPr>
        <w:tc>
          <w:tcPr>
            <w:tcW w:w="2125" w:type="dxa"/>
            <w:tcBorders>
              <w:left w:val="nil"/>
              <w:right w:val="nil"/>
            </w:tcBorders>
          </w:tcPr>
          <w:p>
            <w:pPr>
              <w:pStyle w:val="TableParagraph"/>
              <w:spacing w:line="247" w:lineRule="exact"/>
              <w:ind w:left="122"/>
              <w:rPr>
                <w:sz w:val="22"/>
              </w:rPr>
            </w:pPr>
            <w:r>
              <w:rPr>
                <w:sz w:val="22"/>
              </w:rPr>
              <w:t>2012-2013</w:t>
            </w:r>
          </w:p>
        </w:tc>
        <w:tc>
          <w:tcPr>
            <w:tcW w:w="1672" w:type="dxa"/>
            <w:tcBorders>
              <w:left w:val="nil"/>
              <w:right w:val="nil"/>
            </w:tcBorders>
          </w:tcPr>
          <w:p>
            <w:pPr>
              <w:pStyle w:val="TableParagraph"/>
              <w:spacing w:line="247" w:lineRule="exact"/>
              <w:ind w:right="234"/>
              <w:jc w:val="right"/>
              <w:rPr>
                <w:sz w:val="22"/>
              </w:rPr>
            </w:pPr>
            <w:r>
              <w:rPr>
                <w:sz w:val="22"/>
              </w:rPr>
              <w:t>34.6</w:t>
            </w:r>
          </w:p>
        </w:tc>
        <w:tc>
          <w:tcPr>
            <w:tcW w:w="1359" w:type="dxa"/>
            <w:tcBorders>
              <w:left w:val="nil"/>
              <w:right w:val="nil"/>
            </w:tcBorders>
          </w:tcPr>
          <w:p>
            <w:pPr>
              <w:pStyle w:val="TableParagraph"/>
              <w:spacing w:before="28"/>
              <w:ind w:right="238"/>
              <w:jc w:val="right"/>
              <w:rPr>
                <w:rFonts w:ascii="Calibri"/>
                <w:sz w:val="22"/>
              </w:rPr>
            </w:pPr>
            <w:r>
              <w:rPr>
                <w:rFonts w:ascii="Calibri"/>
                <w:sz w:val="22"/>
              </w:rPr>
              <w:t>1.8</w:t>
            </w:r>
          </w:p>
        </w:tc>
      </w:tr>
    </w:tbl>
    <w:p>
      <w:pPr>
        <w:spacing w:line="223" w:lineRule="exact" w:before="0"/>
        <w:ind w:left="0" w:right="25" w:firstLine="0"/>
        <w:jc w:val="center"/>
        <w:rPr>
          <w:sz w:val="20"/>
        </w:rPr>
      </w:pPr>
      <w:r>
        <w:rPr>
          <w:sz w:val="20"/>
        </w:rPr>
        <w:t>Fuente: Presidencia de la República, 2012, Sexto Informe de Gobierno, Anexo Estadístico.</w:t>
      </w:r>
    </w:p>
    <w:p>
      <w:pPr>
        <w:spacing w:before="0"/>
        <w:ind w:left="130" w:right="151" w:firstLine="0"/>
        <w:jc w:val="center"/>
        <w:rPr>
          <w:sz w:val="20"/>
        </w:rPr>
      </w:pPr>
      <w:r>
        <w:rPr>
          <w:sz w:val="20"/>
        </w:rPr>
        <w:t>Notas: Los datos del ciclo 2012-2013 son estimados. Considera la matrícula de técnico superior universitario, educación normal y licenciatura universitaria y tecnológica. Incluye los sistemas de educación superior abierta y a distancia. No incluye posgrado.</w:t>
      </w:r>
    </w:p>
    <w:p>
      <w:pPr>
        <w:pStyle w:val="BodyText"/>
        <w:rPr>
          <w:sz w:val="20"/>
        </w:rPr>
      </w:pPr>
    </w:p>
    <w:p>
      <w:pPr>
        <w:pStyle w:val="BodyText"/>
        <w:spacing w:before="9"/>
      </w:pPr>
    </w:p>
    <w:p>
      <w:pPr>
        <w:pStyle w:val="Heading3"/>
        <w:numPr>
          <w:ilvl w:val="2"/>
          <w:numId w:val="55"/>
        </w:numPr>
        <w:tabs>
          <w:tab w:pos="702" w:val="left" w:leader="none"/>
        </w:tabs>
        <w:spacing w:line="240" w:lineRule="auto" w:before="0" w:after="0"/>
        <w:ind w:left="702" w:right="0" w:hanging="600"/>
        <w:jc w:val="both"/>
      </w:pPr>
      <w:bookmarkStart w:name="_bookmark41" w:id="76"/>
      <w:bookmarkEnd w:id="76"/>
      <w:r>
        <w:rPr>
          <w:b w:val="0"/>
        </w:rPr>
      </w:r>
      <w:bookmarkStart w:name="_bookmark41" w:id="77"/>
      <w:bookmarkEnd w:id="77"/>
      <w:r>
        <w:rPr/>
        <w:t>E</w:t>
      </w:r>
      <w:r>
        <w:rPr/>
        <w:t>ducación</w:t>
      </w:r>
      <w:r>
        <w:rPr>
          <w:spacing w:val="-6"/>
        </w:rPr>
        <w:t> </w:t>
      </w:r>
      <w:r>
        <w:rPr/>
        <w:t>superior</w:t>
      </w:r>
    </w:p>
    <w:p>
      <w:pPr>
        <w:pStyle w:val="BodyText"/>
        <w:rPr>
          <w:b/>
        </w:rPr>
      </w:pPr>
    </w:p>
    <w:p>
      <w:pPr>
        <w:pStyle w:val="BodyText"/>
        <w:spacing w:before="4"/>
        <w:rPr>
          <w:b/>
          <w:sz w:val="23"/>
        </w:rPr>
      </w:pPr>
    </w:p>
    <w:p>
      <w:pPr>
        <w:pStyle w:val="BodyText"/>
        <w:spacing w:line="360" w:lineRule="auto"/>
        <w:ind w:left="102" w:right="115"/>
        <w:jc w:val="both"/>
      </w:pPr>
      <w:r>
        <w:rPr/>
        <w:t>La definición que la SEP emitió respecto a la educación superior es: niveles académicos posteriores al nivel 4 de la clasificación internacional de UNESCO, comprende los niveles  5 (licenciatura o pregrado) 6,7 y 8 (especialidad, maestría y doctorado –posgrado-) (SEP, 2013).</w:t>
      </w:r>
    </w:p>
    <w:p>
      <w:pPr>
        <w:pStyle w:val="BodyText"/>
        <w:spacing w:line="360" w:lineRule="auto" w:before="203"/>
        <w:ind w:left="102" w:right="117"/>
        <w:jc w:val="both"/>
      </w:pPr>
      <w:r>
        <w:rPr/>
        <w:t>De acuerdo a la Asociación Nacional de Universidades e Instituciones de Educación Superior (ANUIES, 2013) en México en el 2012 se tenían registradas 2,931 IES mismas que se presentan por estado en la tabla</w:t>
      </w:r>
      <w:r>
        <w:rPr>
          <w:spacing w:val="-5"/>
        </w:rPr>
        <w:t> </w:t>
      </w:r>
      <w:r>
        <w:rPr/>
        <w:t>3.6.</w:t>
      </w:r>
    </w:p>
    <w:p>
      <w:pPr>
        <w:spacing w:after="0" w:line="360" w:lineRule="auto"/>
        <w:jc w:val="both"/>
        <w:sectPr>
          <w:pgSz w:w="12240" w:h="15840"/>
          <w:pgMar w:header="0" w:footer="1003" w:top="1360" w:bottom="1200" w:left="1600" w:right="1580"/>
        </w:sectPr>
      </w:pPr>
    </w:p>
    <w:p>
      <w:pPr>
        <w:pStyle w:val="Heading3"/>
        <w:ind w:left="1714"/>
        <w:jc w:val="left"/>
      </w:pPr>
      <w:r>
        <w:rPr/>
        <w:t>Tabla 3.6. Número de IES por estado en México (2012)</w:t>
      </w:r>
    </w:p>
    <w:p>
      <w:pPr>
        <w:pStyle w:val="BodyText"/>
        <w:spacing w:after="1"/>
        <w:rPr>
          <w:b/>
          <w:sz w:val="12"/>
        </w:rPr>
      </w:pPr>
    </w:p>
    <w:tbl>
      <w:tblPr>
        <w:tblW w:w="0" w:type="auto"/>
        <w:jc w:val="left"/>
        <w:tblInd w:w="2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3"/>
        <w:gridCol w:w="2201"/>
        <w:gridCol w:w="737"/>
        <w:gridCol w:w="1056"/>
        <w:gridCol w:w="356"/>
        <w:gridCol w:w="398"/>
        <w:gridCol w:w="1474"/>
        <w:gridCol w:w="826"/>
        <w:gridCol w:w="1057"/>
      </w:tblGrid>
      <w:tr>
        <w:trPr>
          <w:trHeight w:val="472" w:hRule="exact"/>
        </w:trPr>
        <w:tc>
          <w:tcPr>
            <w:tcW w:w="343" w:type="dxa"/>
            <w:tcBorders>
              <w:right w:val="single" w:sz="4" w:space="0" w:color="000000"/>
            </w:tcBorders>
          </w:tcPr>
          <w:p>
            <w:pPr/>
          </w:p>
        </w:tc>
        <w:tc>
          <w:tcPr>
            <w:tcW w:w="2201" w:type="dxa"/>
            <w:tcBorders>
              <w:top w:val="single" w:sz="4" w:space="0" w:color="000000"/>
              <w:left w:val="single" w:sz="4" w:space="0" w:color="000000"/>
              <w:bottom w:val="single" w:sz="4" w:space="0" w:color="000000"/>
              <w:right w:val="single" w:sz="4" w:space="0" w:color="000000"/>
            </w:tcBorders>
          </w:tcPr>
          <w:p>
            <w:pPr>
              <w:pStyle w:val="TableParagraph"/>
              <w:spacing w:before="10"/>
              <w:rPr>
                <w:b/>
                <w:sz w:val="19"/>
              </w:rPr>
            </w:pPr>
          </w:p>
          <w:p>
            <w:pPr>
              <w:pStyle w:val="TableParagraph"/>
              <w:ind w:left="780" w:right="781"/>
              <w:jc w:val="center"/>
              <w:rPr>
                <w:b/>
                <w:sz w:val="20"/>
              </w:rPr>
            </w:pPr>
            <w:r>
              <w:rPr>
                <w:b/>
                <w:sz w:val="20"/>
              </w:rPr>
              <w:t>Estado</w:t>
            </w:r>
          </w:p>
        </w:tc>
        <w:tc>
          <w:tcPr>
            <w:tcW w:w="737" w:type="dxa"/>
            <w:tcBorders>
              <w:top w:val="single" w:sz="4" w:space="0" w:color="000000"/>
              <w:left w:val="single" w:sz="4" w:space="0" w:color="000000"/>
              <w:bottom w:val="single" w:sz="4" w:space="0" w:color="000000"/>
              <w:right w:val="single" w:sz="4" w:space="0" w:color="000000"/>
            </w:tcBorders>
          </w:tcPr>
          <w:p>
            <w:pPr>
              <w:pStyle w:val="TableParagraph"/>
              <w:spacing w:before="10"/>
              <w:rPr>
                <w:b/>
                <w:sz w:val="19"/>
              </w:rPr>
            </w:pPr>
          </w:p>
          <w:p>
            <w:pPr>
              <w:pStyle w:val="TableParagraph"/>
              <w:ind w:left="201"/>
              <w:rPr>
                <w:b/>
                <w:sz w:val="20"/>
              </w:rPr>
            </w:pPr>
            <w:r>
              <w:rPr>
                <w:b/>
                <w:sz w:val="20"/>
              </w:rPr>
              <w:t>IES</w:t>
            </w:r>
          </w:p>
        </w:tc>
        <w:tc>
          <w:tcPr>
            <w:tcW w:w="1056" w:type="dxa"/>
            <w:tcBorders>
              <w:top w:val="single" w:sz="4" w:space="0" w:color="000000"/>
              <w:left w:val="single" w:sz="4" w:space="0" w:color="000000"/>
              <w:bottom w:val="single" w:sz="4" w:space="0" w:color="000000"/>
              <w:right w:val="single" w:sz="4" w:space="0" w:color="000000"/>
            </w:tcBorders>
          </w:tcPr>
          <w:p>
            <w:pPr>
              <w:pStyle w:val="TableParagraph"/>
              <w:spacing w:line="228" w:lineRule="exact"/>
              <w:jc w:val="center"/>
              <w:rPr>
                <w:b/>
                <w:sz w:val="20"/>
              </w:rPr>
            </w:pPr>
            <w:r>
              <w:rPr>
                <w:b/>
                <w:w w:val="99"/>
                <w:sz w:val="20"/>
              </w:rPr>
              <w:t>%</w:t>
            </w:r>
          </w:p>
          <w:p>
            <w:pPr>
              <w:pStyle w:val="TableParagraph"/>
              <w:ind w:left="125" w:right="125"/>
              <w:jc w:val="center"/>
              <w:rPr>
                <w:b/>
                <w:sz w:val="20"/>
              </w:rPr>
            </w:pPr>
            <w:r>
              <w:rPr>
                <w:b/>
                <w:sz w:val="20"/>
              </w:rPr>
              <w:t>Nacional</w:t>
            </w:r>
          </w:p>
        </w:tc>
        <w:tc>
          <w:tcPr>
            <w:tcW w:w="754" w:type="dxa"/>
            <w:gridSpan w:val="2"/>
            <w:tcBorders>
              <w:left w:val="single" w:sz="4" w:space="0" w:color="000000"/>
              <w:right w:val="single" w:sz="4" w:space="0" w:color="000000"/>
            </w:tcBorders>
          </w:tcPr>
          <w:p>
            <w:pPr/>
          </w:p>
        </w:tc>
        <w:tc>
          <w:tcPr>
            <w:tcW w:w="1474" w:type="dxa"/>
            <w:tcBorders>
              <w:top w:val="single" w:sz="4" w:space="0" w:color="000000"/>
              <w:left w:val="single" w:sz="4" w:space="0" w:color="000000"/>
              <w:bottom w:val="single" w:sz="4" w:space="0" w:color="000000"/>
              <w:right w:val="single" w:sz="4" w:space="0" w:color="000000"/>
            </w:tcBorders>
          </w:tcPr>
          <w:p>
            <w:pPr>
              <w:pStyle w:val="TableParagraph"/>
              <w:spacing w:before="10"/>
              <w:rPr>
                <w:b/>
                <w:sz w:val="19"/>
              </w:rPr>
            </w:pPr>
          </w:p>
          <w:p>
            <w:pPr>
              <w:pStyle w:val="TableParagraph"/>
              <w:ind w:left="436"/>
              <w:rPr>
                <w:b/>
                <w:sz w:val="20"/>
              </w:rPr>
            </w:pPr>
            <w:r>
              <w:rPr>
                <w:b/>
                <w:sz w:val="20"/>
              </w:rPr>
              <w:t>Estado</w:t>
            </w:r>
          </w:p>
        </w:tc>
        <w:tc>
          <w:tcPr>
            <w:tcW w:w="826" w:type="dxa"/>
            <w:tcBorders>
              <w:top w:val="single" w:sz="4" w:space="0" w:color="000000"/>
              <w:left w:val="single" w:sz="4" w:space="0" w:color="000000"/>
              <w:bottom w:val="single" w:sz="4" w:space="0" w:color="000000"/>
              <w:right w:val="single" w:sz="4" w:space="0" w:color="000000"/>
            </w:tcBorders>
          </w:tcPr>
          <w:p>
            <w:pPr>
              <w:pStyle w:val="TableParagraph"/>
              <w:spacing w:before="10"/>
              <w:rPr>
                <w:b/>
                <w:sz w:val="19"/>
              </w:rPr>
            </w:pPr>
          </w:p>
          <w:p>
            <w:pPr>
              <w:pStyle w:val="TableParagraph"/>
              <w:ind w:left="247"/>
              <w:rPr>
                <w:b/>
                <w:sz w:val="20"/>
              </w:rPr>
            </w:pPr>
            <w:r>
              <w:rPr>
                <w:b/>
                <w:sz w:val="20"/>
              </w:rPr>
              <w:t>IES</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line="228" w:lineRule="exact"/>
              <w:ind w:right="1"/>
              <w:jc w:val="center"/>
              <w:rPr>
                <w:b/>
                <w:sz w:val="20"/>
              </w:rPr>
            </w:pPr>
            <w:r>
              <w:rPr>
                <w:b/>
                <w:w w:val="99"/>
                <w:sz w:val="20"/>
              </w:rPr>
              <w:t>%</w:t>
            </w:r>
          </w:p>
          <w:p>
            <w:pPr>
              <w:pStyle w:val="TableParagraph"/>
              <w:ind w:left="125" w:right="127"/>
              <w:jc w:val="center"/>
              <w:rPr>
                <w:b/>
                <w:sz w:val="20"/>
              </w:rPr>
            </w:pPr>
            <w:r>
              <w:rPr>
                <w:b/>
                <w:sz w:val="20"/>
              </w:rPr>
              <w:t>Nacional</w:t>
            </w:r>
          </w:p>
        </w:tc>
      </w:tr>
      <w:tr>
        <w:trPr>
          <w:trHeight w:val="310" w:hRule="exact"/>
        </w:trPr>
        <w:tc>
          <w:tcPr>
            <w:tcW w:w="8448" w:type="dxa"/>
            <w:gridSpan w:val="9"/>
          </w:tcPr>
          <w:p>
            <w:pPr/>
          </w:p>
        </w:tc>
      </w:tr>
      <w:tr>
        <w:trPr>
          <w:trHeight w:val="367" w:hRule="exact"/>
        </w:trPr>
        <w:tc>
          <w:tcPr>
            <w:tcW w:w="343" w:type="dxa"/>
            <w:tcBorders>
              <w:top w:val="single" w:sz="4" w:space="0" w:color="000000"/>
              <w:left w:val="single" w:sz="4" w:space="0" w:color="000000"/>
              <w:bottom w:val="single" w:sz="4" w:space="0" w:color="000000"/>
              <w:right w:val="single" w:sz="4" w:space="0" w:color="000000"/>
            </w:tcBorders>
          </w:tcPr>
          <w:p>
            <w:pPr>
              <w:pStyle w:val="TableParagraph"/>
              <w:spacing w:before="120"/>
              <w:ind w:left="92"/>
              <w:jc w:val="center"/>
              <w:rPr>
                <w:sz w:val="20"/>
              </w:rPr>
            </w:pPr>
            <w:r>
              <w:rPr>
                <w:w w:val="99"/>
                <w:sz w:val="20"/>
              </w:rPr>
              <w:t>1</w:t>
            </w:r>
          </w:p>
        </w:tc>
        <w:tc>
          <w:tcPr>
            <w:tcW w:w="2201" w:type="dxa"/>
            <w:tcBorders>
              <w:top w:val="single" w:sz="4" w:space="0" w:color="000000"/>
              <w:left w:val="single" w:sz="4" w:space="0" w:color="000000"/>
              <w:bottom w:val="single" w:sz="4" w:space="0" w:color="000000"/>
              <w:right w:val="single" w:sz="4" w:space="0" w:color="000000"/>
            </w:tcBorders>
          </w:tcPr>
          <w:p>
            <w:pPr>
              <w:pStyle w:val="TableParagraph"/>
              <w:spacing w:before="120"/>
              <w:ind w:left="64"/>
              <w:rPr>
                <w:sz w:val="20"/>
              </w:rPr>
            </w:pPr>
            <w:r>
              <w:rPr>
                <w:sz w:val="20"/>
              </w:rPr>
              <w:t>AGUASCALIENTES</w:t>
            </w:r>
          </w:p>
        </w:tc>
        <w:tc>
          <w:tcPr>
            <w:tcW w:w="737" w:type="dxa"/>
            <w:tcBorders>
              <w:top w:val="single" w:sz="4" w:space="0" w:color="000000"/>
              <w:left w:val="single" w:sz="4" w:space="0" w:color="000000"/>
              <w:bottom w:val="single" w:sz="4" w:space="0" w:color="000000"/>
              <w:right w:val="single" w:sz="4" w:space="0" w:color="000000"/>
            </w:tcBorders>
          </w:tcPr>
          <w:p>
            <w:pPr>
              <w:pStyle w:val="TableParagraph"/>
              <w:spacing w:before="120"/>
              <w:ind w:right="62"/>
              <w:jc w:val="right"/>
              <w:rPr>
                <w:sz w:val="20"/>
              </w:rPr>
            </w:pPr>
            <w:r>
              <w:rPr>
                <w:sz w:val="20"/>
              </w:rPr>
              <w:t>41</w:t>
            </w:r>
          </w:p>
        </w:tc>
        <w:tc>
          <w:tcPr>
            <w:tcW w:w="1056" w:type="dxa"/>
            <w:tcBorders>
              <w:top w:val="single" w:sz="4" w:space="0" w:color="000000"/>
              <w:left w:val="single" w:sz="4" w:space="0" w:color="000000"/>
              <w:bottom w:val="single" w:sz="4" w:space="0" w:color="000000"/>
              <w:right w:val="single" w:sz="4" w:space="0" w:color="000000"/>
            </w:tcBorders>
          </w:tcPr>
          <w:p>
            <w:pPr>
              <w:pStyle w:val="TableParagraph"/>
              <w:spacing w:before="120"/>
              <w:ind w:right="64"/>
              <w:jc w:val="right"/>
              <w:rPr>
                <w:sz w:val="20"/>
              </w:rPr>
            </w:pPr>
            <w:r>
              <w:rPr>
                <w:sz w:val="20"/>
              </w:rPr>
              <w:t>1.40</w:t>
            </w:r>
          </w:p>
        </w:tc>
        <w:tc>
          <w:tcPr>
            <w:tcW w:w="356" w:type="dxa"/>
            <w:vMerge w:val="restart"/>
            <w:tcBorders>
              <w:left w:val="single" w:sz="4" w:space="0" w:color="000000"/>
              <w:right w:val="single" w:sz="4" w:space="0" w:color="000000"/>
            </w:tcBorders>
          </w:tcPr>
          <w:p>
            <w:pPr/>
          </w:p>
        </w:tc>
        <w:tc>
          <w:tcPr>
            <w:tcW w:w="398" w:type="dxa"/>
            <w:tcBorders>
              <w:top w:val="single" w:sz="4" w:space="0" w:color="000000"/>
              <w:left w:val="single" w:sz="4" w:space="0" w:color="000000"/>
              <w:bottom w:val="single" w:sz="4" w:space="0" w:color="000000"/>
              <w:right w:val="single" w:sz="4" w:space="0" w:color="000000"/>
            </w:tcBorders>
          </w:tcPr>
          <w:p>
            <w:pPr>
              <w:pStyle w:val="TableParagraph"/>
              <w:spacing w:before="120"/>
              <w:ind w:right="60"/>
              <w:jc w:val="right"/>
              <w:rPr>
                <w:sz w:val="20"/>
              </w:rPr>
            </w:pPr>
            <w:r>
              <w:rPr>
                <w:sz w:val="20"/>
              </w:rPr>
              <w:t>17</w:t>
            </w:r>
          </w:p>
        </w:tc>
        <w:tc>
          <w:tcPr>
            <w:tcW w:w="1474" w:type="dxa"/>
            <w:tcBorders>
              <w:top w:val="single" w:sz="4" w:space="0" w:color="000000"/>
              <w:left w:val="single" w:sz="4" w:space="0" w:color="000000"/>
              <w:bottom w:val="single" w:sz="4" w:space="0" w:color="000000"/>
              <w:right w:val="single" w:sz="4" w:space="0" w:color="000000"/>
            </w:tcBorders>
          </w:tcPr>
          <w:p>
            <w:pPr>
              <w:pStyle w:val="TableParagraph"/>
              <w:spacing w:before="120"/>
              <w:ind w:left="64"/>
              <w:rPr>
                <w:sz w:val="20"/>
              </w:rPr>
            </w:pPr>
            <w:r>
              <w:rPr>
                <w:sz w:val="20"/>
              </w:rPr>
              <w:t>MORELOS</w:t>
            </w:r>
          </w:p>
        </w:tc>
        <w:tc>
          <w:tcPr>
            <w:tcW w:w="826" w:type="dxa"/>
            <w:tcBorders>
              <w:top w:val="single" w:sz="4" w:space="0" w:color="000000"/>
              <w:left w:val="single" w:sz="4" w:space="0" w:color="000000"/>
              <w:bottom w:val="single" w:sz="4" w:space="0" w:color="000000"/>
              <w:right w:val="single" w:sz="4" w:space="0" w:color="000000"/>
            </w:tcBorders>
          </w:tcPr>
          <w:p>
            <w:pPr>
              <w:pStyle w:val="TableParagraph"/>
              <w:spacing w:before="120"/>
              <w:ind w:right="60"/>
              <w:jc w:val="right"/>
              <w:rPr>
                <w:sz w:val="20"/>
              </w:rPr>
            </w:pPr>
            <w:r>
              <w:rPr>
                <w:sz w:val="20"/>
              </w:rPr>
              <w:t>67</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120"/>
              <w:ind w:right="64"/>
              <w:jc w:val="right"/>
              <w:rPr>
                <w:sz w:val="20"/>
              </w:rPr>
            </w:pPr>
            <w:r>
              <w:rPr>
                <w:sz w:val="20"/>
              </w:rPr>
              <w:t>2.29</w:t>
            </w:r>
          </w:p>
        </w:tc>
      </w:tr>
      <w:tr>
        <w:trPr>
          <w:trHeight w:val="470" w:hRule="exact"/>
        </w:trPr>
        <w:tc>
          <w:tcPr>
            <w:tcW w:w="343"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left="92"/>
              <w:jc w:val="center"/>
              <w:rPr>
                <w:sz w:val="20"/>
              </w:rPr>
            </w:pPr>
            <w:r>
              <w:rPr>
                <w:w w:val="99"/>
                <w:sz w:val="20"/>
              </w:rPr>
              <w:t>2</w:t>
            </w:r>
          </w:p>
        </w:tc>
        <w:tc>
          <w:tcPr>
            <w:tcW w:w="2201" w:type="dxa"/>
            <w:tcBorders>
              <w:top w:val="single" w:sz="4" w:space="0" w:color="000000"/>
              <w:left w:val="single" w:sz="4" w:space="0" w:color="000000"/>
              <w:bottom w:val="single" w:sz="4" w:space="0" w:color="000000"/>
              <w:right w:val="single" w:sz="4" w:space="0" w:color="000000"/>
            </w:tcBorders>
          </w:tcPr>
          <w:p>
            <w:pPr>
              <w:pStyle w:val="TableParagraph"/>
              <w:ind w:left="64" w:right="346"/>
              <w:rPr>
                <w:sz w:val="20"/>
              </w:rPr>
            </w:pPr>
            <w:r>
              <w:rPr>
                <w:sz w:val="20"/>
              </w:rPr>
              <w:t>BAJA CALIFORNIA NORTE</w:t>
            </w:r>
          </w:p>
        </w:tc>
        <w:tc>
          <w:tcPr>
            <w:tcW w:w="737"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2"/>
              <w:jc w:val="right"/>
              <w:rPr>
                <w:sz w:val="20"/>
              </w:rPr>
            </w:pPr>
            <w:r>
              <w:rPr>
                <w:sz w:val="20"/>
              </w:rPr>
              <w:t>81</w:t>
            </w:r>
          </w:p>
        </w:tc>
        <w:tc>
          <w:tcPr>
            <w:tcW w:w="1056"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4"/>
              <w:jc w:val="right"/>
              <w:rPr>
                <w:sz w:val="20"/>
              </w:rPr>
            </w:pPr>
            <w:r>
              <w:rPr>
                <w:sz w:val="20"/>
              </w:rPr>
              <w:t>2.76</w:t>
            </w:r>
          </w:p>
        </w:tc>
        <w:tc>
          <w:tcPr>
            <w:tcW w:w="356" w:type="dxa"/>
            <w:vMerge/>
            <w:tcBorders>
              <w:left w:val="single" w:sz="4" w:space="0" w:color="000000"/>
              <w:right w:val="single" w:sz="4" w:space="0" w:color="000000"/>
            </w:tcBorders>
          </w:tcPr>
          <w:p>
            <w:pPr/>
          </w:p>
        </w:tc>
        <w:tc>
          <w:tcPr>
            <w:tcW w:w="398"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0"/>
              <w:jc w:val="right"/>
              <w:rPr>
                <w:sz w:val="20"/>
              </w:rPr>
            </w:pPr>
            <w:r>
              <w:rPr>
                <w:sz w:val="20"/>
              </w:rPr>
              <w:t>18</w:t>
            </w:r>
          </w:p>
        </w:tc>
        <w:tc>
          <w:tcPr>
            <w:tcW w:w="1474"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left="64"/>
              <w:rPr>
                <w:sz w:val="20"/>
              </w:rPr>
            </w:pPr>
            <w:r>
              <w:rPr>
                <w:sz w:val="20"/>
              </w:rPr>
              <w:t>NAYARIT</w:t>
            </w:r>
          </w:p>
        </w:tc>
        <w:tc>
          <w:tcPr>
            <w:tcW w:w="826"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0"/>
              <w:jc w:val="right"/>
              <w:rPr>
                <w:sz w:val="20"/>
              </w:rPr>
            </w:pPr>
            <w:r>
              <w:rPr>
                <w:sz w:val="20"/>
              </w:rPr>
              <w:t>26</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4"/>
              <w:jc w:val="right"/>
              <w:rPr>
                <w:sz w:val="20"/>
              </w:rPr>
            </w:pPr>
            <w:r>
              <w:rPr>
                <w:sz w:val="20"/>
              </w:rPr>
              <w:t>0.89</w:t>
            </w:r>
          </w:p>
        </w:tc>
      </w:tr>
      <w:tr>
        <w:trPr>
          <w:trHeight w:val="468" w:hRule="exact"/>
        </w:trPr>
        <w:tc>
          <w:tcPr>
            <w:tcW w:w="343"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left="92"/>
              <w:jc w:val="center"/>
              <w:rPr>
                <w:sz w:val="20"/>
              </w:rPr>
            </w:pPr>
            <w:r>
              <w:rPr>
                <w:w w:val="99"/>
                <w:sz w:val="20"/>
              </w:rPr>
              <w:t>3</w:t>
            </w:r>
          </w:p>
        </w:tc>
        <w:tc>
          <w:tcPr>
            <w:tcW w:w="2201" w:type="dxa"/>
            <w:tcBorders>
              <w:top w:val="single" w:sz="4" w:space="0" w:color="000000"/>
              <w:left w:val="single" w:sz="4" w:space="0" w:color="000000"/>
              <w:bottom w:val="single" w:sz="4" w:space="0" w:color="000000"/>
              <w:right w:val="single" w:sz="4" w:space="0" w:color="000000"/>
            </w:tcBorders>
          </w:tcPr>
          <w:p>
            <w:pPr>
              <w:pStyle w:val="TableParagraph"/>
              <w:ind w:left="64" w:right="346"/>
              <w:rPr>
                <w:sz w:val="20"/>
              </w:rPr>
            </w:pPr>
            <w:r>
              <w:rPr>
                <w:sz w:val="20"/>
              </w:rPr>
              <w:t>BAJA CALIFORNIA SUR</w:t>
            </w:r>
          </w:p>
        </w:tc>
        <w:tc>
          <w:tcPr>
            <w:tcW w:w="737"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2"/>
              <w:jc w:val="right"/>
              <w:rPr>
                <w:sz w:val="20"/>
              </w:rPr>
            </w:pPr>
            <w:r>
              <w:rPr>
                <w:sz w:val="20"/>
              </w:rPr>
              <w:t>22</w:t>
            </w:r>
          </w:p>
        </w:tc>
        <w:tc>
          <w:tcPr>
            <w:tcW w:w="1056"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4"/>
              <w:jc w:val="right"/>
              <w:rPr>
                <w:sz w:val="20"/>
              </w:rPr>
            </w:pPr>
            <w:r>
              <w:rPr>
                <w:sz w:val="20"/>
              </w:rPr>
              <w:t>0.75</w:t>
            </w:r>
          </w:p>
        </w:tc>
        <w:tc>
          <w:tcPr>
            <w:tcW w:w="356" w:type="dxa"/>
            <w:vMerge/>
            <w:tcBorders>
              <w:left w:val="single" w:sz="4" w:space="0" w:color="000000"/>
              <w:right w:val="single" w:sz="4" w:space="0" w:color="000000"/>
            </w:tcBorders>
          </w:tcPr>
          <w:p>
            <w:pPr/>
          </w:p>
        </w:tc>
        <w:tc>
          <w:tcPr>
            <w:tcW w:w="398"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0"/>
              <w:jc w:val="right"/>
              <w:rPr>
                <w:sz w:val="20"/>
              </w:rPr>
            </w:pPr>
            <w:r>
              <w:rPr>
                <w:sz w:val="20"/>
              </w:rPr>
              <w:t>19</w:t>
            </w:r>
          </w:p>
        </w:tc>
        <w:tc>
          <w:tcPr>
            <w:tcW w:w="1474"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left="64"/>
              <w:rPr>
                <w:sz w:val="20"/>
              </w:rPr>
            </w:pPr>
            <w:r>
              <w:rPr>
                <w:sz w:val="20"/>
              </w:rPr>
              <w:t>NUEVO LEÓN</w:t>
            </w:r>
          </w:p>
        </w:tc>
        <w:tc>
          <w:tcPr>
            <w:tcW w:w="826"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2"/>
              <w:jc w:val="right"/>
              <w:rPr>
                <w:sz w:val="20"/>
              </w:rPr>
            </w:pPr>
            <w:r>
              <w:rPr>
                <w:sz w:val="20"/>
              </w:rPr>
              <w:t>108</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4"/>
              <w:jc w:val="right"/>
              <w:rPr>
                <w:sz w:val="20"/>
              </w:rPr>
            </w:pPr>
            <w:r>
              <w:rPr>
                <w:sz w:val="20"/>
              </w:rPr>
              <w:t>3.68</w:t>
            </w:r>
          </w:p>
        </w:tc>
      </w:tr>
      <w:tr>
        <w:trPr>
          <w:trHeight w:val="312" w:hRule="exact"/>
        </w:trPr>
        <w:tc>
          <w:tcPr>
            <w:tcW w:w="343" w:type="dxa"/>
            <w:tcBorders>
              <w:top w:val="single" w:sz="4" w:space="0" w:color="000000"/>
              <w:left w:val="single" w:sz="4" w:space="0" w:color="000000"/>
              <w:bottom w:val="single" w:sz="4" w:space="0" w:color="000000"/>
              <w:right w:val="single" w:sz="4" w:space="0" w:color="000000"/>
            </w:tcBorders>
          </w:tcPr>
          <w:p>
            <w:pPr>
              <w:pStyle w:val="TableParagraph"/>
              <w:spacing w:before="65"/>
              <w:ind w:left="92"/>
              <w:jc w:val="center"/>
              <w:rPr>
                <w:sz w:val="20"/>
              </w:rPr>
            </w:pPr>
            <w:r>
              <w:rPr>
                <w:w w:val="99"/>
                <w:sz w:val="20"/>
              </w:rPr>
              <w:t>4</w:t>
            </w:r>
          </w:p>
        </w:tc>
        <w:tc>
          <w:tcPr>
            <w:tcW w:w="2201" w:type="dxa"/>
            <w:tcBorders>
              <w:top w:val="single" w:sz="4" w:space="0" w:color="000000"/>
              <w:left w:val="single" w:sz="4" w:space="0" w:color="000000"/>
              <w:bottom w:val="single" w:sz="4" w:space="0" w:color="000000"/>
              <w:right w:val="single" w:sz="4" w:space="0" w:color="000000"/>
            </w:tcBorders>
          </w:tcPr>
          <w:p>
            <w:pPr>
              <w:pStyle w:val="TableParagraph"/>
              <w:spacing w:before="65"/>
              <w:ind w:left="64"/>
              <w:rPr>
                <w:sz w:val="20"/>
              </w:rPr>
            </w:pPr>
            <w:r>
              <w:rPr>
                <w:sz w:val="20"/>
              </w:rPr>
              <w:t>CAMPECHE</w:t>
            </w:r>
          </w:p>
        </w:tc>
        <w:tc>
          <w:tcPr>
            <w:tcW w:w="737" w:type="dxa"/>
            <w:tcBorders>
              <w:top w:val="single" w:sz="4" w:space="0" w:color="000000"/>
              <w:left w:val="single" w:sz="4" w:space="0" w:color="000000"/>
              <w:bottom w:val="single" w:sz="4" w:space="0" w:color="000000"/>
              <w:right w:val="single" w:sz="4" w:space="0" w:color="000000"/>
            </w:tcBorders>
          </w:tcPr>
          <w:p>
            <w:pPr>
              <w:pStyle w:val="TableParagraph"/>
              <w:spacing w:before="65"/>
              <w:ind w:right="62"/>
              <w:jc w:val="right"/>
              <w:rPr>
                <w:sz w:val="20"/>
              </w:rPr>
            </w:pPr>
            <w:r>
              <w:rPr>
                <w:sz w:val="20"/>
              </w:rPr>
              <w:t>40</w:t>
            </w:r>
          </w:p>
        </w:tc>
        <w:tc>
          <w:tcPr>
            <w:tcW w:w="1056" w:type="dxa"/>
            <w:tcBorders>
              <w:top w:val="single" w:sz="4" w:space="0" w:color="000000"/>
              <w:left w:val="single" w:sz="4" w:space="0" w:color="000000"/>
              <w:bottom w:val="single" w:sz="4" w:space="0" w:color="000000"/>
              <w:right w:val="single" w:sz="4" w:space="0" w:color="000000"/>
            </w:tcBorders>
          </w:tcPr>
          <w:p>
            <w:pPr>
              <w:pStyle w:val="TableParagraph"/>
              <w:spacing w:before="65"/>
              <w:ind w:right="64"/>
              <w:jc w:val="right"/>
              <w:rPr>
                <w:sz w:val="20"/>
              </w:rPr>
            </w:pPr>
            <w:r>
              <w:rPr>
                <w:sz w:val="20"/>
              </w:rPr>
              <w:t>1.36</w:t>
            </w:r>
          </w:p>
        </w:tc>
        <w:tc>
          <w:tcPr>
            <w:tcW w:w="356" w:type="dxa"/>
            <w:vMerge/>
            <w:tcBorders>
              <w:left w:val="single" w:sz="4" w:space="0" w:color="000000"/>
              <w:right w:val="single" w:sz="4" w:space="0" w:color="000000"/>
            </w:tcBorders>
          </w:tcPr>
          <w:p>
            <w:pPr/>
          </w:p>
        </w:tc>
        <w:tc>
          <w:tcPr>
            <w:tcW w:w="398" w:type="dxa"/>
            <w:tcBorders>
              <w:top w:val="single" w:sz="4" w:space="0" w:color="000000"/>
              <w:left w:val="single" w:sz="4" w:space="0" w:color="000000"/>
              <w:bottom w:val="single" w:sz="4" w:space="0" w:color="000000"/>
              <w:right w:val="single" w:sz="4" w:space="0" w:color="000000"/>
            </w:tcBorders>
          </w:tcPr>
          <w:p>
            <w:pPr>
              <w:pStyle w:val="TableParagraph"/>
              <w:spacing w:before="65"/>
              <w:ind w:right="60"/>
              <w:jc w:val="right"/>
              <w:rPr>
                <w:sz w:val="20"/>
              </w:rPr>
            </w:pPr>
            <w:r>
              <w:rPr>
                <w:sz w:val="20"/>
              </w:rPr>
              <w:t>20</w:t>
            </w:r>
          </w:p>
        </w:tc>
        <w:tc>
          <w:tcPr>
            <w:tcW w:w="1474" w:type="dxa"/>
            <w:tcBorders>
              <w:top w:val="single" w:sz="4" w:space="0" w:color="000000"/>
              <w:left w:val="single" w:sz="4" w:space="0" w:color="000000"/>
              <w:bottom w:val="single" w:sz="4" w:space="0" w:color="000000"/>
              <w:right w:val="single" w:sz="4" w:space="0" w:color="000000"/>
            </w:tcBorders>
          </w:tcPr>
          <w:p>
            <w:pPr>
              <w:pStyle w:val="TableParagraph"/>
              <w:spacing w:before="65"/>
              <w:ind w:left="64"/>
              <w:rPr>
                <w:sz w:val="20"/>
              </w:rPr>
            </w:pPr>
            <w:r>
              <w:rPr>
                <w:sz w:val="20"/>
              </w:rPr>
              <w:t>OAXACA</w:t>
            </w:r>
          </w:p>
        </w:tc>
        <w:tc>
          <w:tcPr>
            <w:tcW w:w="826" w:type="dxa"/>
            <w:tcBorders>
              <w:top w:val="single" w:sz="4" w:space="0" w:color="000000"/>
              <w:left w:val="single" w:sz="4" w:space="0" w:color="000000"/>
              <w:bottom w:val="single" w:sz="4" w:space="0" w:color="000000"/>
              <w:right w:val="single" w:sz="4" w:space="0" w:color="000000"/>
            </w:tcBorders>
          </w:tcPr>
          <w:p>
            <w:pPr>
              <w:pStyle w:val="TableParagraph"/>
              <w:spacing w:before="65"/>
              <w:ind w:right="60"/>
              <w:jc w:val="right"/>
              <w:rPr>
                <w:sz w:val="20"/>
              </w:rPr>
            </w:pPr>
            <w:r>
              <w:rPr>
                <w:sz w:val="20"/>
              </w:rPr>
              <w:t>68</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65"/>
              <w:ind w:right="64"/>
              <w:jc w:val="right"/>
              <w:rPr>
                <w:sz w:val="20"/>
              </w:rPr>
            </w:pPr>
            <w:r>
              <w:rPr>
                <w:sz w:val="20"/>
              </w:rPr>
              <w:t>2.32</w:t>
            </w:r>
          </w:p>
        </w:tc>
      </w:tr>
      <w:tr>
        <w:trPr>
          <w:trHeight w:val="310" w:hRule="exact"/>
        </w:trPr>
        <w:tc>
          <w:tcPr>
            <w:tcW w:w="343" w:type="dxa"/>
            <w:tcBorders>
              <w:top w:val="single" w:sz="4" w:space="0" w:color="000000"/>
              <w:left w:val="single" w:sz="4" w:space="0" w:color="000000"/>
              <w:bottom w:val="single" w:sz="4" w:space="0" w:color="000000"/>
              <w:right w:val="single" w:sz="4" w:space="0" w:color="000000"/>
            </w:tcBorders>
          </w:tcPr>
          <w:p>
            <w:pPr>
              <w:pStyle w:val="TableParagraph"/>
              <w:spacing w:before="63"/>
              <w:ind w:left="92"/>
              <w:jc w:val="center"/>
              <w:rPr>
                <w:sz w:val="20"/>
              </w:rPr>
            </w:pPr>
            <w:r>
              <w:rPr>
                <w:w w:val="99"/>
                <w:sz w:val="20"/>
              </w:rPr>
              <w:t>5</w:t>
            </w:r>
          </w:p>
        </w:tc>
        <w:tc>
          <w:tcPr>
            <w:tcW w:w="2201" w:type="dxa"/>
            <w:tcBorders>
              <w:top w:val="single" w:sz="4" w:space="0" w:color="000000"/>
              <w:left w:val="single" w:sz="4" w:space="0" w:color="000000"/>
              <w:bottom w:val="single" w:sz="4" w:space="0" w:color="000000"/>
              <w:right w:val="single" w:sz="4" w:space="0" w:color="000000"/>
            </w:tcBorders>
          </w:tcPr>
          <w:p>
            <w:pPr>
              <w:pStyle w:val="TableParagraph"/>
              <w:spacing w:before="63"/>
              <w:ind w:left="64"/>
              <w:rPr>
                <w:sz w:val="20"/>
              </w:rPr>
            </w:pPr>
            <w:r>
              <w:rPr>
                <w:sz w:val="20"/>
              </w:rPr>
              <w:t>CHIAPAS</w:t>
            </w:r>
          </w:p>
        </w:tc>
        <w:tc>
          <w:tcPr>
            <w:tcW w:w="737" w:type="dxa"/>
            <w:tcBorders>
              <w:top w:val="single" w:sz="4" w:space="0" w:color="000000"/>
              <w:left w:val="single" w:sz="4" w:space="0" w:color="000000"/>
              <w:bottom w:val="single" w:sz="4" w:space="0" w:color="000000"/>
              <w:right w:val="single" w:sz="4" w:space="0" w:color="000000"/>
            </w:tcBorders>
          </w:tcPr>
          <w:p>
            <w:pPr>
              <w:pStyle w:val="TableParagraph"/>
              <w:spacing w:before="63"/>
              <w:ind w:right="62"/>
              <w:jc w:val="right"/>
              <w:rPr>
                <w:sz w:val="20"/>
              </w:rPr>
            </w:pPr>
            <w:r>
              <w:rPr>
                <w:sz w:val="20"/>
              </w:rPr>
              <w:t>92</w:t>
            </w:r>
          </w:p>
        </w:tc>
        <w:tc>
          <w:tcPr>
            <w:tcW w:w="1056" w:type="dxa"/>
            <w:tcBorders>
              <w:top w:val="single" w:sz="4" w:space="0" w:color="000000"/>
              <w:left w:val="single" w:sz="4" w:space="0" w:color="000000"/>
              <w:bottom w:val="single" w:sz="4" w:space="0" w:color="000000"/>
              <w:right w:val="single" w:sz="4" w:space="0" w:color="000000"/>
            </w:tcBorders>
          </w:tcPr>
          <w:p>
            <w:pPr>
              <w:pStyle w:val="TableParagraph"/>
              <w:spacing w:before="63"/>
              <w:ind w:right="64"/>
              <w:jc w:val="right"/>
              <w:rPr>
                <w:sz w:val="20"/>
              </w:rPr>
            </w:pPr>
            <w:r>
              <w:rPr>
                <w:sz w:val="20"/>
              </w:rPr>
              <w:t>3.14</w:t>
            </w:r>
          </w:p>
        </w:tc>
        <w:tc>
          <w:tcPr>
            <w:tcW w:w="356" w:type="dxa"/>
            <w:vMerge/>
            <w:tcBorders>
              <w:left w:val="single" w:sz="4" w:space="0" w:color="000000"/>
              <w:right w:val="single" w:sz="4" w:space="0" w:color="000000"/>
            </w:tcBorders>
          </w:tcPr>
          <w:p>
            <w:pPr/>
          </w:p>
        </w:tc>
        <w:tc>
          <w:tcPr>
            <w:tcW w:w="398" w:type="dxa"/>
            <w:tcBorders>
              <w:top w:val="single" w:sz="4" w:space="0" w:color="000000"/>
              <w:left w:val="single" w:sz="4" w:space="0" w:color="000000"/>
              <w:bottom w:val="single" w:sz="4" w:space="0" w:color="000000"/>
              <w:right w:val="single" w:sz="4" w:space="0" w:color="000000"/>
            </w:tcBorders>
          </w:tcPr>
          <w:p>
            <w:pPr>
              <w:pStyle w:val="TableParagraph"/>
              <w:spacing w:before="63"/>
              <w:ind w:right="60"/>
              <w:jc w:val="right"/>
              <w:rPr>
                <w:sz w:val="20"/>
              </w:rPr>
            </w:pPr>
            <w:r>
              <w:rPr>
                <w:sz w:val="20"/>
              </w:rPr>
              <w:t>21</w:t>
            </w:r>
          </w:p>
        </w:tc>
        <w:tc>
          <w:tcPr>
            <w:tcW w:w="1474" w:type="dxa"/>
            <w:tcBorders>
              <w:top w:val="single" w:sz="4" w:space="0" w:color="000000"/>
              <w:left w:val="single" w:sz="4" w:space="0" w:color="000000"/>
              <w:bottom w:val="single" w:sz="4" w:space="0" w:color="000000"/>
              <w:right w:val="single" w:sz="4" w:space="0" w:color="000000"/>
            </w:tcBorders>
          </w:tcPr>
          <w:p>
            <w:pPr>
              <w:pStyle w:val="TableParagraph"/>
              <w:spacing w:before="63"/>
              <w:ind w:left="64"/>
              <w:rPr>
                <w:sz w:val="20"/>
              </w:rPr>
            </w:pPr>
            <w:r>
              <w:rPr>
                <w:sz w:val="20"/>
              </w:rPr>
              <w:t>PUEBLA</w:t>
            </w:r>
          </w:p>
        </w:tc>
        <w:tc>
          <w:tcPr>
            <w:tcW w:w="826" w:type="dxa"/>
            <w:tcBorders>
              <w:top w:val="single" w:sz="4" w:space="0" w:color="000000"/>
              <w:left w:val="single" w:sz="4" w:space="0" w:color="000000"/>
              <w:bottom w:val="single" w:sz="4" w:space="0" w:color="000000"/>
              <w:right w:val="single" w:sz="4" w:space="0" w:color="000000"/>
            </w:tcBorders>
          </w:tcPr>
          <w:p>
            <w:pPr>
              <w:pStyle w:val="TableParagraph"/>
              <w:spacing w:before="63"/>
              <w:ind w:right="62"/>
              <w:jc w:val="right"/>
              <w:rPr>
                <w:sz w:val="20"/>
              </w:rPr>
            </w:pPr>
            <w:r>
              <w:rPr>
                <w:sz w:val="20"/>
              </w:rPr>
              <w:t>222</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63"/>
              <w:ind w:right="64"/>
              <w:jc w:val="right"/>
              <w:rPr>
                <w:sz w:val="20"/>
              </w:rPr>
            </w:pPr>
            <w:r>
              <w:rPr>
                <w:sz w:val="20"/>
              </w:rPr>
              <w:t>7.57</w:t>
            </w:r>
          </w:p>
        </w:tc>
      </w:tr>
      <w:tr>
        <w:trPr>
          <w:trHeight w:val="310" w:hRule="exact"/>
        </w:trPr>
        <w:tc>
          <w:tcPr>
            <w:tcW w:w="343" w:type="dxa"/>
            <w:tcBorders>
              <w:top w:val="single" w:sz="4" w:space="0" w:color="000000"/>
              <w:left w:val="single" w:sz="4" w:space="0" w:color="000000"/>
              <w:bottom w:val="single" w:sz="4" w:space="0" w:color="000000"/>
              <w:right w:val="single" w:sz="4" w:space="0" w:color="000000"/>
            </w:tcBorders>
          </w:tcPr>
          <w:p>
            <w:pPr>
              <w:pStyle w:val="TableParagraph"/>
              <w:spacing w:before="63"/>
              <w:ind w:left="92"/>
              <w:jc w:val="center"/>
              <w:rPr>
                <w:sz w:val="20"/>
              </w:rPr>
            </w:pPr>
            <w:r>
              <w:rPr>
                <w:w w:val="99"/>
                <w:sz w:val="20"/>
              </w:rPr>
              <w:t>6</w:t>
            </w:r>
          </w:p>
        </w:tc>
        <w:tc>
          <w:tcPr>
            <w:tcW w:w="2201" w:type="dxa"/>
            <w:tcBorders>
              <w:top w:val="single" w:sz="4" w:space="0" w:color="000000"/>
              <w:left w:val="single" w:sz="4" w:space="0" w:color="000000"/>
              <w:bottom w:val="single" w:sz="4" w:space="0" w:color="000000"/>
              <w:right w:val="single" w:sz="4" w:space="0" w:color="000000"/>
            </w:tcBorders>
          </w:tcPr>
          <w:p>
            <w:pPr>
              <w:pStyle w:val="TableParagraph"/>
              <w:spacing w:before="63"/>
              <w:ind w:left="64"/>
              <w:rPr>
                <w:sz w:val="20"/>
              </w:rPr>
            </w:pPr>
            <w:r>
              <w:rPr>
                <w:sz w:val="20"/>
              </w:rPr>
              <w:t>CHIHUAHUA</w:t>
            </w:r>
          </w:p>
        </w:tc>
        <w:tc>
          <w:tcPr>
            <w:tcW w:w="737" w:type="dxa"/>
            <w:tcBorders>
              <w:top w:val="single" w:sz="4" w:space="0" w:color="000000"/>
              <w:left w:val="single" w:sz="4" w:space="0" w:color="000000"/>
              <w:bottom w:val="single" w:sz="4" w:space="0" w:color="000000"/>
              <w:right w:val="single" w:sz="4" w:space="0" w:color="000000"/>
            </w:tcBorders>
          </w:tcPr>
          <w:p>
            <w:pPr>
              <w:pStyle w:val="TableParagraph"/>
              <w:spacing w:before="63"/>
              <w:ind w:right="62"/>
              <w:jc w:val="right"/>
              <w:rPr>
                <w:sz w:val="20"/>
              </w:rPr>
            </w:pPr>
            <w:r>
              <w:rPr>
                <w:sz w:val="20"/>
              </w:rPr>
              <w:t>77</w:t>
            </w:r>
          </w:p>
        </w:tc>
        <w:tc>
          <w:tcPr>
            <w:tcW w:w="1056" w:type="dxa"/>
            <w:tcBorders>
              <w:top w:val="single" w:sz="4" w:space="0" w:color="000000"/>
              <w:left w:val="single" w:sz="4" w:space="0" w:color="000000"/>
              <w:bottom w:val="single" w:sz="4" w:space="0" w:color="000000"/>
              <w:right w:val="single" w:sz="4" w:space="0" w:color="000000"/>
            </w:tcBorders>
          </w:tcPr>
          <w:p>
            <w:pPr>
              <w:pStyle w:val="TableParagraph"/>
              <w:spacing w:before="63"/>
              <w:ind w:right="64"/>
              <w:jc w:val="right"/>
              <w:rPr>
                <w:sz w:val="20"/>
              </w:rPr>
            </w:pPr>
            <w:r>
              <w:rPr>
                <w:sz w:val="20"/>
              </w:rPr>
              <w:t>2.63</w:t>
            </w:r>
          </w:p>
        </w:tc>
        <w:tc>
          <w:tcPr>
            <w:tcW w:w="356" w:type="dxa"/>
            <w:vMerge/>
            <w:tcBorders>
              <w:left w:val="single" w:sz="4" w:space="0" w:color="000000"/>
              <w:right w:val="single" w:sz="4" w:space="0" w:color="000000"/>
            </w:tcBorders>
          </w:tcPr>
          <w:p>
            <w:pPr/>
          </w:p>
        </w:tc>
        <w:tc>
          <w:tcPr>
            <w:tcW w:w="398" w:type="dxa"/>
            <w:tcBorders>
              <w:top w:val="single" w:sz="4" w:space="0" w:color="000000"/>
              <w:left w:val="single" w:sz="4" w:space="0" w:color="000000"/>
              <w:bottom w:val="single" w:sz="4" w:space="0" w:color="000000"/>
              <w:right w:val="single" w:sz="4" w:space="0" w:color="000000"/>
            </w:tcBorders>
          </w:tcPr>
          <w:p>
            <w:pPr>
              <w:pStyle w:val="TableParagraph"/>
              <w:spacing w:before="63"/>
              <w:ind w:right="60"/>
              <w:jc w:val="right"/>
              <w:rPr>
                <w:sz w:val="20"/>
              </w:rPr>
            </w:pPr>
            <w:r>
              <w:rPr>
                <w:sz w:val="20"/>
              </w:rPr>
              <w:t>22</w:t>
            </w:r>
          </w:p>
        </w:tc>
        <w:tc>
          <w:tcPr>
            <w:tcW w:w="1474" w:type="dxa"/>
            <w:tcBorders>
              <w:top w:val="single" w:sz="4" w:space="0" w:color="000000"/>
              <w:left w:val="single" w:sz="4" w:space="0" w:color="000000"/>
              <w:bottom w:val="single" w:sz="4" w:space="0" w:color="000000"/>
              <w:right w:val="single" w:sz="4" w:space="0" w:color="000000"/>
            </w:tcBorders>
          </w:tcPr>
          <w:p>
            <w:pPr>
              <w:pStyle w:val="TableParagraph"/>
              <w:spacing w:before="63"/>
              <w:ind w:left="64"/>
              <w:rPr>
                <w:sz w:val="20"/>
              </w:rPr>
            </w:pPr>
            <w:r>
              <w:rPr>
                <w:sz w:val="20"/>
              </w:rPr>
              <w:t>QUERÉTARO</w:t>
            </w:r>
          </w:p>
        </w:tc>
        <w:tc>
          <w:tcPr>
            <w:tcW w:w="826" w:type="dxa"/>
            <w:tcBorders>
              <w:top w:val="single" w:sz="4" w:space="0" w:color="000000"/>
              <w:left w:val="single" w:sz="4" w:space="0" w:color="000000"/>
              <w:bottom w:val="single" w:sz="4" w:space="0" w:color="000000"/>
              <w:right w:val="single" w:sz="4" w:space="0" w:color="000000"/>
            </w:tcBorders>
          </w:tcPr>
          <w:p>
            <w:pPr>
              <w:pStyle w:val="TableParagraph"/>
              <w:spacing w:before="63"/>
              <w:ind w:right="60"/>
              <w:jc w:val="right"/>
              <w:rPr>
                <w:sz w:val="20"/>
              </w:rPr>
            </w:pPr>
            <w:r>
              <w:rPr>
                <w:sz w:val="20"/>
              </w:rPr>
              <w:t>56</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63"/>
              <w:ind w:right="64"/>
              <w:jc w:val="right"/>
              <w:rPr>
                <w:sz w:val="20"/>
              </w:rPr>
            </w:pPr>
            <w:r>
              <w:rPr>
                <w:sz w:val="20"/>
              </w:rPr>
              <w:t>1.91</w:t>
            </w:r>
          </w:p>
        </w:tc>
      </w:tr>
      <w:tr>
        <w:trPr>
          <w:trHeight w:val="471" w:hRule="exact"/>
        </w:trPr>
        <w:tc>
          <w:tcPr>
            <w:tcW w:w="343"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spacing w:before="1"/>
              <w:ind w:left="92"/>
              <w:jc w:val="center"/>
              <w:rPr>
                <w:sz w:val="20"/>
              </w:rPr>
            </w:pPr>
            <w:r>
              <w:rPr>
                <w:w w:val="99"/>
                <w:sz w:val="20"/>
              </w:rPr>
              <w:t>7</w:t>
            </w:r>
          </w:p>
        </w:tc>
        <w:tc>
          <w:tcPr>
            <w:tcW w:w="2201"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spacing w:before="1"/>
              <w:ind w:left="64"/>
              <w:rPr>
                <w:sz w:val="20"/>
              </w:rPr>
            </w:pPr>
            <w:r>
              <w:rPr>
                <w:sz w:val="20"/>
              </w:rPr>
              <w:t>COAHUILA</w:t>
            </w:r>
          </w:p>
        </w:tc>
        <w:tc>
          <w:tcPr>
            <w:tcW w:w="737"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spacing w:before="1"/>
              <w:ind w:right="62"/>
              <w:jc w:val="right"/>
              <w:rPr>
                <w:sz w:val="20"/>
              </w:rPr>
            </w:pPr>
            <w:r>
              <w:rPr>
                <w:sz w:val="20"/>
              </w:rPr>
              <w:t>89</w:t>
            </w:r>
          </w:p>
        </w:tc>
        <w:tc>
          <w:tcPr>
            <w:tcW w:w="1056"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spacing w:before="1"/>
              <w:ind w:right="64"/>
              <w:jc w:val="right"/>
              <w:rPr>
                <w:sz w:val="20"/>
              </w:rPr>
            </w:pPr>
            <w:r>
              <w:rPr>
                <w:sz w:val="20"/>
              </w:rPr>
              <w:t>3.04</w:t>
            </w:r>
          </w:p>
        </w:tc>
        <w:tc>
          <w:tcPr>
            <w:tcW w:w="356" w:type="dxa"/>
            <w:vMerge/>
            <w:tcBorders>
              <w:left w:val="single" w:sz="4" w:space="0" w:color="000000"/>
              <w:right w:val="single" w:sz="4" w:space="0" w:color="000000"/>
            </w:tcBorders>
          </w:tcPr>
          <w:p>
            <w:pPr/>
          </w:p>
        </w:tc>
        <w:tc>
          <w:tcPr>
            <w:tcW w:w="398"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spacing w:before="1"/>
              <w:ind w:right="60"/>
              <w:jc w:val="right"/>
              <w:rPr>
                <w:sz w:val="20"/>
              </w:rPr>
            </w:pPr>
            <w:r>
              <w:rPr>
                <w:sz w:val="20"/>
              </w:rPr>
              <w:t>23</w:t>
            </w:r>
          </w:p>
        </w:tc>
        <w:tc>
          <w:tcPr>
            <w:tcW w:w="1474" w:type="dxa"/>
            <w:tcBorders>
              <w:top w:val="single" w:sz="4" w:space="0" w:color="000000"/>
              <w:left w:val="single" w:sz="4" w:space="0" w:color="000000"/>
              <w:bottom w:val="single" w:sz="4" w:space="0" w:color="000000"/>
              <w:right w:val="single" w:sz="4" w:space="0" w:color="000000"/>
            </w:tcBorders>
          </w:tcPr>
          <w:p>
            <w:pPr>
              <w:pStyle w:val="TableParagraph"/>
              <w:ind w:left="64" w:right="324"/>
              <w:rPr>
                <w:sz w:val="20"/>
              </w:rPr>
            </w:pPr>
            <w:r>
              <w:rPr>
                <w:sz w:val="20"/>
              </w:rPr>
              <w:t>QUINTANA ROO</w:t>
            </w:r>
          </w:p>
        </w:tc>
        <w:tc>
          <w:tcPr>
            <w:tcW w:w="826"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spacing w:before="1"/>
              <w:ind w:right="60"/>
              <w:jc w:val="right"/>
              <w:rPr>
                <w:sz w:val="20"/>
              </w:rPr>
            </w:pPr>
            <w:r>
              <w:rPr>
                <w:sz w:val="20"/>
              </w:rPr>
              <w:t>37</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spacing w:before="1"/>
              <w:ind w:right="64"/>
              <w:jc w:val="right"/>
              <w:rPr>
                <w:sz w:val="20"/>
              </w:rPr>
            </w:pPr>
            <w:r>
              <w:rPr>
                <w:sz w:val="20"/>
              </w:rPr>
              <w:t>1.26</w:t>
            </w:r>
          </w:p>
        </w:tc>
      </w:tr>
      <w:tr>
        <w:trPr>
          <w:trHeight w:val="470" w:hRule="exact"/>
        </w:trPr>
        <w:tc>
          <w:tcPr>
            <w:tcW w:w="343"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left="92"/>
              <w:jc w:val="center"/>
              <w:rPr>
                <w:sz w:val="20"/>
              </w:rPr>
            </w:pPr>
            <w:r>
              <w:rPr>
                <w:w w:val="99"/>
                <w:sz w:val="20"/>
              </w:rPr>
              <w:t>8</w:t>
            </w:r>
          </w:p>
        </w:tc>
        <w:tc>
          <w:tcPr>
            <w:tcW w:w="2201"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left="64"/>
              <w:rPr>
                <w:sz w:val="20"/>
              </w:rPr>
            </w:pPr>
            <w:r>
              <w:rPr>
                <w:sz w:val="20"/>
              </w:rPr>
              <w:t>COLIMA</w:t>
            </w:r>
          </w:p>
        </w:tc>
        <w:tc>
          <w:tcPr>
            <w:tcW w:w="737"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2"/>
              <w:jc w:val="right"/>
              <w:rPr>
                <w:sz w:val="20"/>
              </w:rPr>
            </w:pPr>
            <w:r>
              <w:rPr>
                <w:sz w:val="20"/>
              </w:rPr>
              <w:t>20</w:t>
            </w:r>
          </w:p>
        </w:tc>
        <w:tc>
          <w:tcPr>
            <w:tcW w:w="1056"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4"/>
              <w:jc w:val="right"/>
              <w:rPr>
                <w:sz w:val="20"/>
              </w:rPr>
            </w:pPr>
            <w:r>
              <w:rPr>
                <w:sz w:val="20"/>
              </w:rPr>
              <w:t>0.68</w:t>
            </w:r>
          </w:p>
        </w:tc>
        <w:tc>
          <w:tcPr>
            <w:tcW w:w="356" w:type="dxa"/>
            <w:vMerge/>
            <w:tcBorders>
              <w:left w:val="single" w:sz="4" w:space="0" w:color="000000"/>
              <w:right w:val="single" w:sz="4" w:space="0" w:color="000000"/>
            </w:tcBorders>
          </w:tcPr>
          <w:p>
            <w:pPr/>
          </w:p>
        </w:tc>
        <w:tc>
          <w:tcPr>
            <w:tcW w:w="398"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0"/>
              <w:jc w:val="right"/>
              <w:rPr>
                <w:sz w:val="20"/>
              </w:rPr>
            </w:pPr>
            <w:r>
              <w:rPr>
                <w:sz w:val="20"/>
              </w:rPr>
              <w:t>24</w:t>
            </w:r>
          </w:p>
        </w:tc>
        <w:tc>
          <w:tcPr>
            <w:tcW w:w="1474" w:type="dxa"/>
            <w:tcBorders>
              <w:top w:val="single" w:sz="4" w:space="0" w:color="000000"/>
              <w:left w:val="single" w:sz="4" w:space="0" w:color="000000"/>
              <w:bottom w:val="single" w:sz="4" w:space="0" w:color="000000"/>
              <w:right w:val="single" w:sz="4" w:space="0" w:color="000000"/>
            </w:tcBorders>
          </w:tcPr>
          <w:p>
            <w:pPr>
              <w:pStyle w:val="TableParagraph"/>
              <w:ind w:left="64"/>
              <w:rPr>
                <w:sz w:val="20"/>
              </w:rPr>
            </w:pPr>
            <w:r>
              <w:rPr>
                <w:sz w:val="20"/>
              </w:rPr>
              <w:t>SAN LUIS POTOSÍ</w:t>
            </w:r>
          </w:p>
        </w:tc>
        <w:tc>
          <w:tcPr>
            <w:tcW w:w="826"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0"/>
              <w:jc w:val="right"/>
              <w:rPr>
                <w:sz w:val="20"/>
              </w:rPr>
            </w:pPr>
            <w:r>
              <w:rPr>
                <w:sz w:val="20"/>
              </w:rPr>
              <w:t>63</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4"/>
              <w:jc w:val="right"/>
              <w:rPr>
                <w:sz w:val="20"/>
              </w:rPr>
            </w:pPr>
            <w:r>
              <w:rPr>
                <w:sz w:val="20"/>
              </w:rPr>
              <w:t>2.15</w:t>
            </w:r>
          </w:p>
        </w:tc>
      </w:tr>
      <w:tr>
        <w:trPr>
          <w:trHeight w:val="310" w:hRule="exact"/>
        </w:trPr>
        <w:tc>
          <w:tcPr>
            <w:tcW w:w="343" w:type="dxa"/>
            <w:tcBorders>
              <w:top w:val="single" w:sz="4" w:space="0" w:color="000000"/>
              <w:left w:val="single" w:sz="4" w:space="0" w:color="000000"/>
              <w:bottom w:val="single" w:sz="4" w:space="0" w:color="000000"/>
              <w:right w:val="single" w:sz="4" w:space="0" w:color="000000"/>
            </w:tcBorders>
          </w:tcPr>
          <w:p>
            <w:pPr>
              <w:pStyle w:val="TableParagraph"/>
              <w:spacing w:before="63"/>
              <w:ind w:left="92"/>
              <w:jc w:val="center"/>
              <w:rPr>
                <w:sz w:val="20"/>
              </w:rPr>
            </w:pPr>
            <w:r>
              <w:rPr>
                <w:w w:val="99"/>
                <w:sz w:val="20"/>
              </w:rPr>
              <w:t>9</w:t>
            </w:r>
          </w:p>
        </w:tc>
        <w:tc>
          <w:tcPr>
            <w:tcW w:w="2201" w:type="dxa"/>
            <w:tcBorders>
              <w:top w:val="single" w:sz="4" w:space="0" w:color="000000"/>
              <w:left w:val="single" w:sz="4" w:space="0" w:color="000000"/>
              <w:bottom w:val="single" w:sz="4" w:space="0" w:color="000000"/>
              <w:right w:val="single" w:sz="4" w:space="0" w:color="000000"/>
            </w:tcBorders>
          </w:tcPr>
          <w:p>
            <w:pPr>
              <w:pStyle w:val="TableParagraph"/>
              <w:spacing w:before="63"/>
              <w:ind w:left="64"/>
              <w:rPr>
                <w:sz w:val="20"/>
              </w:rPr>
            </w:pPr>
            <w:r>
              <w:rPr>
                <w:sz w:val="20"/>
              </w:rPr>
              <w:t>DISTRITO FEDERAL</w:t>
            </w:r>
          </w:p>
        </w:tc>
        <w:tc>
          <w:tcPr>
            <w:tcW w:w="737" w:type="dxa"/>
            <w:tcBorders>
              <w:top w:val="single" w:sz="4" w:space="0" w:color="000000"/>
              <w:left w:val="single" w:sz="4" w:space="0" w:color="000000"/>
              <w:bottom w:val="single" w:sz="4" w:space="0" w:color="000000"/>
              <w:right w:val="single" w:sz="4" w:space="0" w:color="000000"/>
            </w:tcBorders>
          </w:tcPr>
          <w:p>
            <w:pPr>
              <w:pStyle w:val="TableParagraph"/>
              <w:spacing w:before="63"/>
              <w:ind w:right="62"/>
              <w:jc w:val="right"/>
              <w:rPr>
                <w:sz w:val="20"/>
              </w:rPr>
            </w:pPr>
            <w:r>
              <w:rPr>
                <w:sz w:val="20"/>
              </w:rPr>
              <w:t>376</w:t>
            </w:r>
          </w:p>
        </w:tc>
        <w:tc>
          <w:tcPr>
            <w:tcW w:w="1056" w:type="dxa"/>
            <w:tcBorders>
              <w:top w:val="single" w:sz="4" w:space="0" w:color="000000"/>
              <w:left w:val="single" w:sz="4" w:space="0" w:color="000000"/>
              <w:bottom w:val="single" w:sz="4" w:space="0" w:color="000000"/>
              <w:right w:val="single" w:sz="4" w:space="0" w:color="000000"/>
            </w:tcBorders>
          </w:tcPr>
          <w:p>
            <w:pPr>
              <w:pStyle w:val="TableParagraph"/>
              <w:spacing w:before="63"/>
              <w:ind w:right="64"/>
              <w:jc w:val="right"/>
              <w:rPr>
                <w:sz w:val="20"/>
              </w:rPr>
            </w:pPr>
            <w:r>
              <w:rPr>
                <w:sz w:val="20"/>
              </w:rPr>
              <w:t>12.83</w:t>
            </w:r>
          </w:p>
        </w:tc>
        <w:tc>
          <w:tcPr>
            <w:tcW w:w="356" w:type="dxa"/>
            <w:vMerge/>
            <w:tcBorders>
              <w:left w:val="single" w:sz="4" w:space="0" w:color="000000"/>
              <w:right w:val="single" w:sz="4" w:space="0" w:color="000000"/>
            </w:tcBorders>
          </w:tcPr>
          <w:p>
            <w:pPr/>
          </w:p>
        </w:tc>
        <w:tc>
          <w:tcPr>
            <w:tcW w:w="398" w:type="dxa"/>
            <w:tcBorders>
              <w:top w:val="single" w:sz="4" w:space="0" w:color="000000"/>
              <w:left w:val="single" w:sz="4" w:space="0" w:color="000000"/>
              <w:bottom w:val="single" w:sz="4" w:space="0" w:color="000000"/>
              <w:right w:val="single" w:sz="4" w:space="0" w:color="000000"/>
            </w:tcBorders>
          </w:tcPr>
          <w:p>
            <w:pPr>
              <w:pStyle w:val="TableParagraph"/>
              <w:spacing w:before="63"/>
              <w:ind w:right="60"/>
              <w:jc w:val="right"/>
              <w:rPr>
                <w:sz w:val="20"/>
              </w:rPr>
            </w:pPr>
            <w:r>
              <w:rPr>
                <w:sz w:val="20"/>
              </w:rPr>
              <w:t>25</w:t>
            </w:r>
          </w:p>
        </w:tc>
        <w:tc>
          <w:tcPr>
            <w:tcW w:w="1474" w:type="dxa"/>
            <w:tcBorders>
              <w:top w:val="single" w:sz="4" w:space="0" w:color="000000"/>
              <w:left w:val="single" w:sz="4" w:space="0" w:color="000000"/>
              <w:bottom w:val="single" w:sz="4" w:space="0" w:color="000000"/>
              <w:right w:val="single" w:sz="4" w:space="0" w:color="000000"/>
            </w:tcBorders>
          </w:tcPr>
          <w:p>
            <w:pPr>
              <w:pStyle w:val="TableParagraph"/>
              <w:spacing w:before="63"/>
              <w:ind w:left="64"/>
              <w:rPr>
                <w:sz w:val="20"/>
              </w:rPr>
            </w:pPr>
            <w:r>
              <w:rPr>
                <w:sz w:val="20"/>
              </w:rPr>
              <w:t>SINALOA</w:t>
            </w:r>
          </w:p>
        </w:tc>
        <w:tc>
          <w:tcPr>
            <w:tcW w:w="826" w:type="dxa"/>
            <w:tcBorders>
              <w:top w:val="single" w:sz="4" w:space="0" w:color="000000"/>
              <w:left w:val="single" w:sz="4" w:space="0" w:color="000000"/>
              <w:bottom w:val="single" w:sz="4" w:space="0" w:color="000000"/>
              <w:right w:val="single" w:sz="4" w:space="0" w:color="000000"/>
            </w:tcBorders>
          </w:tcPr>
          <w:p>
            <w:pPr>
              <w:pStyle w:val="TableParagraph"/>
              <w:spacing w:before="63"/>
              <w:ind w:right="60"/>
              <w:jc w:val="right"/>
              <w:rPr>
                <w:sz w:val="20"/>
              </w:rPr>
            </w:pPr>
            <w:r>
              <w:rPr>
                <w:sz w:val="20"/>
              </w:rPr>
              <w:t>71</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63"/>
              <w:ind w:right="64"/>
              <w:jc w:val="right"/>
              <w:rPr>
                <w:sz w:val="20"/>
              </w:rPr>
            </w:pPr>
            <w:r>
              <w:rPr>
                <w:sz w:val="20"/>
              </w:rPr>
              <w:t>2.42</w:t>
            </w:r>
          </w:p>
        </w:tc>
      </w:tr>
      <w:tr>
        <w:trPr>
          <w:trHeight w:val="310" w:hRule="exact"/>
        </w:trPr>
        <w:tc>
          <w:tcPr>
            <w:tcW w:w="343" w:type="dxa"/>
            <w:tcBorders>
              <w:top w:val="single" w:sz="4" w:space="0" w:color="000000"/>
              <w:left w:val="single" w:sz="4" w:space="0" w:color="000000"/>
              <w:bottom w:val="single" w:sz="4" w:space="0" w:color="000000"/>
              <w:right w:val="single" w:sz="4" w:space="0" w:color="000000"/>
            </w:tcBorders>
          </w:tcPr>
          <w:p>
            <w:pPr>
              <w:pStyle w:val="TableParagraph"/>
              <w:spacing w:before="63"/>
              <w:ind w:left="46" w:right="46"/>
              <w:jc w:val="center"/>
              <w:rPr>
                <w:sz w:val="20"/>
              </w:rPr>
            </w:pPr>
            <w:r>
              <w:rPr>
                <w:sz w:val="20"/>
              </w:rPr>
              <w:t>10</w:t>
            </w:r>
          </w:p>
        </w:tc>
        <w:tc>
          <w:tcPr>
            <w:tcW w:w="2201" w:type="dxa"/>
            <w:tcBorders>
              <w:top w:val="single" w:sz="4" w:space="0" w:color="000000"/>
              <w:left w:val="single" w:sz="4" w:space="0" w:color="000000"/>
              <w:bottom w:val="single" w:sz="4" w:space="0" w:color="000000"/>
              <w:right w:val="single" w:sz="4" w:space="0" w:color="000000"/>
            </w:tcBorders>
          </w:tcPr>
          <w:p>
            <w:pPr>
              <w:pStyle w:val="TableParagraph"/>
              <w:spacing w:before="63"/>
              <w:ind w:left="64"/>
              <w:rPr>
                <w:sz w:val="20"/>
              </w:rPr>
            </w:pPr>
            <w:r>
              <w:rPr>
                <w:sz w:val="20"/>
              </w:rPr>
              <w:t>DURANGO</w:t>
            </w:r>
          </w:p>
        </w:tc>
        <w:tc>
          <w:tcPr>
            <w:tcW w:w="737" w:type="dxa"/>
            <w:tcBorders>
              <w:top w:val="single" w:sz="4" w:space="0" w:color="000000"/>
              <w:left w:val="single" w:sz="4" w:space="0" w:color="000000"/>
              <w:bottom w:val="single" w:sz="4" w:space="0" w:color="000000"/>
              <w:right w:val="single" w:sz="4" w:space="0" w:color="000000"/>
            </w:tcBorders>
          </w:tcPr>
          <w:p>
            <w:pPr>
              <w:pStyle w:val="TableParagraph"/>
              <w:spacing w:before="63"/>
              <w:ind w:right="62"/>
              <w:jc w:val="right"/>
              <w:rPr>
                <w:sz w:val="20"/>
              </w:rPr>
            </w:pPr>
            <w:r>
              <w:rPr>
                <w:sz w:val="20"/>
              </w:rPr>
              <w:t>42</w:t>
            </w:r>
          </w:p>
        </w:tc>
        <w:tc>
          <w:tcPr>
            <w:tcW w:w="1056" w:type="dxa"/>
            <w:tcBorders>
              <w:top w:val="single" w:sz="4" w:space="0" w:color="000000"/>
              <w:left w:val="single" w:sz="4" w:space="0" w:color="000000"/>
              <w:bottom w:val="single" w:sz="4" w:space="0" w:color="000000"/>
              <w:right w:val="single" w:sz="4" w:space="0" w:color="000000"/>
            </w:tcBorders>
          </w:tcPr>
          <w:p>
            <w:pPr>
              <w:pStyle w:val="TableParagraph"/>
              <w:spacing w:before="63"/>
              <w:ind w:right="64"/>
              <w:jc w:val="right"/>
              <w:rPr>
                <w:sz w:val="20"/>
              </w:rPr>
            </w:pPr>
            <w:r>
              <w:rPr>
                <w:sz w:val="20"/>
              </w:rPr>
              <w:t>1.43</w:t>
            </w:r>
          </w:p>
        </w:tc>
        <w:tc>
          <w:tcPr>
            <w:tcW w:w="356" w:type="dxa"/>
            <w:vMerge/>
            <w:tcBorders>
              <w:left w:val="single" w:sz="4" w:space="0" w:color="000000"/>
              <w:right w:val="single" w:sz="4" w:space="0" w:color="000000"/>
            </w:tcBorders>
          </w:tcPr>
          <w:p>
            <w:pPr/>
          </w:p>
        </w:tc>
        <w:tc>
          <w:tcPr>
            <w:tcW w:w="398" w:type="dxa"/>
            <w:tcBorders>
              <w:top w:val="single" w:sz="4" w:space="0" w:color="000000"/>
              <w:left w:val="single" w:sz="4" w:space="0" w:color="000000"/>
              <w:bottom w:val="single" w:sz="4" w:space="0" w:color="000000"/>
              <w:right w:val="single" w:sz="4" w:space="0" w:color="000000"/>
            </w:tcBorders>
          </w:tcPr>
          <w:p>
            <w:pPr>
              <w:pStyle w:val="TableParagraph"/>
              <w:spacing w:before="63"/>
              <w:ind w:right="60"/>
              <w:jc w:val="right"/>
              <w:rPr>
                <w:sz w:val="20"/>
              </w:rPr>
            </w:pPr>
            <w:r>
              <w:rPr>
                <w:sz w:val="20"/>
              </w:rPr>
              <w:t>26</w:t>
            </w:r>
          </w:p>
        </w:tc>
        <w:tc>
          <w:tcPr>
            <w:tcW w:w="1474" w:type="dxa"/>
            <w:tcBorders>
              <w:top w:val="single" w:sz="4" w:space="0" w:color="000000"/>
              <w:left w:val="single" w:sz="4" w:space="0" w:color="000000"/>
              <w:bottom w:val="single" w:sz="4" w:space="0" w:color="000000"/>
              <w:right w:val="single" w:sz="4" w:space="0" w:color="000000"/>
            </w:tcBorders>
          </w:tcPr>
          <w:p>
            <w:pPr>
              <w:pStyle w:val="TableParagraph"/>
              <w:spacing w:before="63"/>
              <w:ind w:left="64"/>
              <w:rPr>
                <w:sz w:val="20"/>
              </w:rPr>
            </w:pPr>
            <w:r>
              <w:rPr>
                <w:sz w:val="20"/>
              </w:rPr>
              <w:t>SONORA</w:t>
            </w:r>
          </w:p>
        </w:tc>
        <w:tc>
          <w:tcPr>
            <w:tcW w:w="826" w:type="dxa"/>
            <w:tcBorders>
              <w:top w:val="single" w:sz="4" w:space="0" w:color="000000"/>
              <w:left w:val="single" w:sz="4" w:space="0" w:color="000000"/>
              <w:bottom w:val="single" w:sz="4" w:space="0" w:color="000000"/>
              <w:right w:val="single" w:sz="4" w:space="0" w:color="000000"/>
            </w:tcBorders>
          </w:tcPr>
          <w:p>
            <w:pPr>
              <w:pStyle w:val="TableParagraph"/>
              <w:spacing w:before="63"/>
              <w:ind w:right="60"/>
              <w:jc w:val="right"/>
              <w:rPr>
                <w:sz w:val="20"/>
              </w:rPr>
            </w:pPr>
            <w:r>
              <w:rPr>
                <w:sz w:val="20"/>
              </w:rPr>
              <w:t>94</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63"/>
              <w:ind w:right="64"/>
              <w:jc w:val="right"/>
              <w:rPr>
                <w:sz w:val="20"/>
              </w:rPr>
            </w:pPr>
            <w:r>
              <w:rPr>
                <w:sz w:val="20"/>
              </w:rPr>
              <w:t>3.21</w:t>
            </w:r>
          </w:p>
        </w:tc>
      </w:tr>
      <w:tr>
        <w:trPr>
          <w:trHeight w:val="310" w:hRule="exact"/>
        </w:trPr>
        <w:tc>
          <w:tcPr>
            <w:tcW w:w="343" w:type="dxa"/>
            <w:tcBorders>
              <w:top w:val="single" w:sz="4" w:space="0" w:color="000000"/>
              <w:left w:val="single" w:sz="4" w:space="0" w:color="000000"/>
              <w:bottom w:val="single" w:sz="4" w:space="0" w:color="000000"/>
              <w:right w:val="single" w:sz="4" w:space="0" w:color="000000"/>
            </w:tcBorders>
          </w:tcPr>
          <w:p>
            <w:pPr>
              <w:pStyle w:val="TableParagraph"/>
              <w:spacing w:before="63"/>
              <w:ind w:left="46" w:right="46"/>
              <w:jc w:val="center"/>
              <w:rPr>
                <w:sz w:val="20"/>
              </w:rPr>
            </w:pPr>
            <w:r>
              <w:rPr>
                <w:sz w:val="20"/>
              </w:rPr>
              <w:t>11</w:t>
            </w:r>
          </w:p>
        </w:tc>
        <w:tc>
          <w:tcPr>
            <w:tcW w:w="2201" w:type="dxa"/>
            <w:tcBorders>
              <w:top w:val="single" w:sz="4" w:space="0" w:color="000000"/>
              <w:left w:val="single" w:sz="4" w:space="0" w:color="000000"/>
              <w:bottom w:val="single" w:sz="4" w:space="0" w:color="000000"/>
              <w:right w:val="single" w:sz="4" w:space="0" w:color="000000"/>
            </w:tcBorders>
          </w:tcPr>
          <w:p>
            <w:pPr>
              <w:pStyle w:val="TableParagraph"/>
              <w:spacing w:before="63"/>
              <w:ind w:left="64"/>
              <w:rPr>
                <w:sz w:val="20"/>
              </w:rPr>
            </w:pPr>
            <w:r>
              <w:rPr>
                <w:sz w:val="20"/>
              </w:rPr>
              <w:t>GUANAJUATO</w:t>
            </w:r>
          </w:p>
        </w:tc>
        <w:tc>
          <w:tcPr>
            <w:tcW w:w="737" w:type="dxa"/>
            <w:tcBorders>
              <w:top w:val="single" w:sz="4" w:space="0" w:color="000000"/>
              <w:left w:val="single" w:sz="4" w:space="0" w:color="000000"/>
              <w:bottom w:val="single" w:sz="4" w:space="0" w:color="000000"/>
              <w:right w:val="single" w:sz="4" w:space="0" w:color="000000"/>
            </w:tcBorders>
          </w:tcPr>
          <w:p>
            <w:pPr>
              <w:pStyle w:val="TableParagraph"/>
              <w:spacing w:before="63"/>
              <w:ind w:right="62"/>
              <w:jc w:val="right"/>
              <w:rPr>
                <w:sz w:val="20"/>
              </w:rPr>
            </w:pPr>
            <w:r>
              <w:rPr>
                <w:sz w:val="20"/>
              </w:rPr>
              <w:t>140</w:t>
            </w:r>
          </w:p>
        </w:tc>
        <w:tc>
          <w:tcPr>
            <w:tcW w:w="1056" w:type="dxa"/>
            <w:tcBorders>
              <w:top w:val="single" w:sz="4" w:space="0" w:color="000000"/>
              <w:left w:val="single" w:sz="4" w:space="0" w:color="000000"/>
              <w:bottom w:val="single" w:sz="4" w:space="0" w:color="000000"/>
              <w:right w:val="single" w:sz="4" w:space="0" w:color="000000"/>
            </w:tcBorders>
          </w:tcPr>
          <w:p>
            <w:pPr>
              <w:pStyle w:val="TableParagraph"/>
              <w:spacing w:before="63"/>
              <w:ind w:right="64"/>
              <w:jc w:val="right"/>
              <w:rPr>
                <w:sz w:val="20"/>
              </w:rPr>
            </w:pPr>
            <w:r>
              <w:rPr>
                <w:sz w:val="20"/>
              </w:rPr>
              <w:t>4.78</w:t>
            </w:r>
          </w:p>
        </w:tc>
        <w:tc>
          <w:tcPr>
            <w:tcW w:w="356" w:type="dxa"/>
            <w:vMerge/>
            <w:tcBorders>
              <w:left w:val="single" w:sz="4" w:space="0" w:color="000000"/>
              <w:right w:val="single" w:sz="4" w:space="0" w:color="000000"/>
            </w:tcBorders>
          </w:tcPr>
          <w:p>
            <w:pPr/>
          </w:p>
        </w:tc>
        <w:tc>
          <w:tcPr>
            <w:tcW w:w="398" w:type="dxa"/>
            <w:tcBorders>
              <w:top w:val="single" w:sz="4" w:space="0" w:color="000000"/>
              <w:left w:val="single" w:sz="4" w:space="0" w:color="000000"/>
              <w:bottom w:val="single" w:sz="4" w:space="0" w:color="000000"/>
              <w:right w:val="single" w:sz="4" w:space="0" w:color="000000"/>
            </w:tcBorders>
          </w:tcPr>
          <w:p>
            <w:pPr>
              <w:pStyle w:val="TableParagraph"/>
              <w:spacing w:before="63"/>
              <w:ind w:right="60"/>
              <w:jc w:val="right"/>
              <w:rPr>
                <w:sz w:val="20"/>
              </w:rPr>
            </w:pPr>
            <w:r>
              <w:rPr>
                <w:sz w:val="20"/>
              </w:rPr>
              <w:t>27</w:t>
            </w:r>
          </w:p>
        </w:tc>
        <w:tc>
          <w:tcPr>
            <w:tcW w:w="1474" w:type="dxa"/>
            <w:tcBorders>
              <w:top w:val="single" w:sz="4" w:space="0" w:color="000000"/>
              <w:left w:val="single" w:sz="4" w:space="0" w:color="000000"/>
              <w:bottom w:val="single" w:sz="4" w:space="0" w:color="000000"/>
              <w:right w:val="single" w:sz="4" w:space="0" w:color="000000"/>
            </w:tcBorders>
          </w:tcPr>
          <w:p>
            <w:pPr>
              <w:pStyle w:val="TableParagraph"/>
              <w:spacing w:before="63"/>
              <w:ind w:left="64"/>
              <w:rPr>
                <w:sz w:val="20"/>
              </w:rPr>
            </w:pPr>
            <w:r>
              <w:rPr>
                <w:sz w:val="20"/>
              </w:rPr>
              <w:t>TABASCO</w:t>
            </w:r>
          </w:p>
        </w:tc>
        <w:tc>
          <w:tcPr>
            <w:tcW w:w="826" w:type="dxa"/>
            <w:tcBorders>
              <w:top w:val="single" w:sz="4" w:space="0" w:color="000000"/>
              <w:left w:val="single" w:sz="4" w:space="0" w:color="000000"/>
              <w:bottom w:val="single" w:sz="4" w:space="0" w:color="000000"/>
              <w:right w:val="single" w:sz="4" w:space="0" w:color="000000"/>
            </w:tcBorders>
          </w:tcPr>
          <w:p>
            <w:pPr>
              <w:pStyle w:val="TableParagraph"/>
              <w:spacing w:before="63"/>
              <w:ind w:right="60"/>
              <w:jc w:val="right"/>
              <w:rPr>
                <w:sz w:val="20"/>
              </w:rPr>
            </w:pPr>
            <w:r>
              <w:rPr>
                <w:sz w:val="20"/>
              </w:rPr>
              <w:t>38</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63"/>
              <w:ind w:right="64"/>
              <w:jc w:val="right"/>
              <w:rPr>
                <w:sz w:val="20"/>
              </w:rPr>
            </w:pPr>
            <w:r>
              <w:rPr>
                <w:sz w:val="20"/>
              </w:rPr>
              <w:t>1.30</w:t>
            </w:r>
          </w:p>
        </w:tc>
      </w:tr>
      <w:tr>
        <w:trPr>
          <w:trHeight w:val="310" w:hRule="exact"/>
        </w:trPr>
        <w:tc>
          <w:tcPr>
            <w:tcW w:w="343" w:type="dxa"/>
            <w:tcBorders>
              <w:top w:val="single" w:sz="4" w:space="0" w:color="000000"/>
              <w:left w:val="single" w:sz="4" w:space="0" w:color="000000"/>
              <w:bottom w:val="single" w:sz="4" w:space="0" w:color="000000"/>
              <w:right w:val="single" w:sz="4" w:space="0" w:color="000000"/>
            </w:tcBorders>
          </w:tcPr>
          <w:p>
            <w:pPr>
              <w:pStyle w:val="TableParagraph"/>
              <w:spacing w:before="63"/>
              <w:ind w:left="46" w:right="46"/>
              <w:jc w:val="center"/>
              <w:rPr>
                <w:sz w:val="20"/>
              </w:rPr>
            </w:pPr>
            <w:r>
              <w:rPr>
                <w:sz w:val="20"/>
              </w:rPr>
              <w:t>12</w:t>
            </w:r>
          </w:p>
        </w:tc>
        <w:tc>
          <w:tcPr>
            <w:tcW w:w="2201" w:type="dxa"/>
            <w:tcBorders>
              <w:top w:val="single" w:sz="4" w:space="0" w:color="000000"/>
              <w:left w:val="single" w:sz="4" w:space="0" w:color="000000"/>
              <w:bottom w:val="single" w:sz="4" w:space="0" w:color="000000"/>
              <w:right w:val="single" w:sz="4" w:space="0" w:color="000000"/>
            </w:tcBorders>
          </w:tcPr>
          <w:p>
            <w:pPr>
              <w:pStyle w:val="TableParagraph"/>
              <w:spacing w:before="63"/>
              <w:ind w:left="64"/>
              <w:rPr>
                <w:sz w:val="20"/>
              </w:rPr>
            </w:pPr>
            <w:r>
              <w:rPr>
                <w:sz w:val="20"/>
              </w:rPr>
              <w:t>GUERRERO</w:t>
            </w:r>
          </w:p>
        </w:tc>
        <w:tc>
          <w:tcPr>
            <w:tcW w:w="737" w:type="dxa"/>
            <w:tcBorders>
              <w:top w:val="single" w:sz="4" w:space="0" w:color="000000"/>
              <w:left w:val="single" w:sz="4" w:space="0" w:color="000000"/>
              <w:bottom w:val="single" w:sz="4" w:space="0" w:color="000000"/>
              <w:right w:val="single" w:sz="4" w:space="0" w:color="000000"/>
            </w:tcBorders>
          </w:tcPr>
          <w:p>
            <w:pPr>
              <w:pStyle w:val="TableParagraph"/>
              <w:spacing w:before="63"/>
              <w:ind w:right="62"/>
              <w:jc w:val="right"/>
              <w:rPr>
                <w:sz w:val="20"/>
              </w:rPr>
            </w:pPr>
            <w:r>
              <w:rPr>
                <w:sz w:val="20"/>
              </w:rPr>
              <w:t>59</w:t>
            </w:r>
          </w:p>
        </w:tc>
        <w:tc>
          <w:tcPr>
            <w:tcW w:w="1056" w:type="dxa"/>
            <w:tcBorders>
              <w:top w:val="single" w:sz="4" w:space="0" w:color="000000"/>
              <w:left w:val="single" w:sz="4" w:space="0" w:color="000000"/>
              <w:bottom w:val="single" w:sz="4" w:space="0" w:color="000000"/>
              <w:right w:val="single" w:sz="4" w:space="0" w:color="000000"/>
            </w:tcBorders>
          </w:tcPr>
          <w:p>
            <w:pPr>
              <w:pStyle w:val="TableParagraph"/>
              <w:spacing w:before="63"/>
              <w:ind w:right="64"/>
              <w:jc w:val="right"/>
              <w:rPr>
                <w:sz w:val="20"/>
              </w:rPr>
            </w:pPr>
            <w:r>
              <w:rPr>
                <w:sz w:val="20"/>
              </w:rPr>
              <w:t>2.01</w:t>
            </w:r>
          </w:p>
        </w:tc>
        <w:tc>
          <w:tcPr>
            <w:tcW w:w="356" w:type="dxa"/>
            <w:vMerge/>
            <w:tcBorders>
              <w:left w:val="single" w:sz="4" w:space="0" w:color="000000"/>
              <w:right w:val="single" w:sz="4" w:space="0" w:color="000000"/>
            </w:tcBorders>
          </w:tcPr>
          <w:p>
            <w:pPr/>
          </w:p>
        </w:tc>
        <w:tc>
          <w:tcPr>
            <w:tcW w:w="398" w:type="dxa"/>
            <w:tcBorders>
              <w:top w:val="single" w:sz="4" w:space="0" w:color="000000"/>
              <w:left w:val="single" w:sz="4" w:space="0" w:color="000000"/>
              <w:bottom w:val="single" w:sz="4" w:space="0" w:color="000000"/>
              <w:right w:val="single" w:sz="4" w:space="0" w:color="000000"/>
            </w:tcBorders>
          </w:tcPr>
          <w:p>
            <w:pPr>
              <w:pStyle w:val="TableParagraph"/>
              <w:spacing w:before="63"/>
              <w:ind w:right="60"/>
              <w:jc w:val="right"/>
              <w:rPr>
                <w:sz w:val="20"/>
              </w:rPr>
            </w:pPr>
            <w:r>
              <w:rPr>
                <w:sz w:val="20"/>
              </w:rPr>
              <w:t>28</w:t>
            </w:r>
          </w:p>
        </w:tc>
        <w:tc>
          <w:tcPr>
            <w:tcW w:w="1474" w:type="dxa"/>
            <w:tcBorders>
              <w:top w:val="single" w:sz="4" w:space="0" w:color="000000"/>
              <w:left w:val="single" w:sz="4" w:space="0" w:color="000000"/>
              <w:bottom w:val="single" w:sz="4" w:space="0" w:color="000000"/>
              <w:right w:val="single" w:sz="4" w:space="0" w:color="000000"/>
            </w:tcBorders>
          </w:tcPr>
          <w:p>
            <w:pPr>
              <w:pStyle w:val="TableParagraph"/>
              <w:spacing w:before="63"/>
              <w:ind w:left="64"/>
              <w:rPr>
                <w:sz w:val="20"/>
              </w:rPr>
            </w:pPr>
            <w:r>
              <w:rPr>
                <w:sz w:val="20"/>
              </w:rPr>
              <w:t>TAMAULIPAS</w:t>
            </w:r>
          </w:p>
        </w:tc>
        <w:tc>
          <w:tcPr>
            <w:tcW w:w="826" w:type="dxa"/>
            <w:tcBorders>
              <w:top w:val="single" w:sz="4" w:space="0" w:color="000000"/>
              <w:left w:val="single" w:sz="4" w:space="0" w:color="000000"/>
              <w:bottom w:val="single" w:sz="4" w:space="0" w:color="000000"/>
              <w:right w:val="single" w:sz="4" w:space="0" w:color="000000"/>
            </w:tcBorders>
          </w:tcPr>
          <w:p>
            <w:pPr>
              <w:pStyle w:val="TableParagraph"/>
              <w:spacing w:before="63"/>
              <w:ind w:right="62"/>
              <w:jc w:val="right"/>
              <w:rPr>
                <w:sz w:val="20"/>
              </w:rPr>
            </w:pPr>
            <w:r>
              <w:rPr>
                <w:sz w:val="20"/>
              </w:rPr>
              <w:t>115</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63"/>
              <w:ind w:right="64"/>
              <w:jc w:val="right"/>
              <w:rPr>
                <w:sz w:val="20"/>
              </w:rPr>
            </w:pPr>
            <w:r>
              <w:rPr>
                <w:sz w:val="20"/>
              </w:rPr>
              <w:t>3.92</w:t>
            </w:r>
          </w:p>
        </w:tc>
      </w:tr>
      <w:tr>
        <w:trPr>
          <w:trHeight w:val="310" w:hRule="exact"/>
        </w:trPr>
        <w:tc>
          <w:tcPr>
            <w:tcW w:w="343" w:type="dxa"/>
            <w:tcBorders>
              <w:top w:val="single" w:sz="4" w:space="0" w:color="000000"/>
              <w:left w:val="single" w:sz="4" w:space="0" w:color="000000"/>
              <w:bottom w:val="single" w:sz="4" w:space="0" w:color="000000"/>
              <w:right w:val="single" w:sz="4" w:space="0" w:color="000000"/>
            </w:tcBorders>
          </w:tcPr>
          <w:p>
            <w:pPr>
              <w:pStyle w:val="TableParagraph"/>
              <w:spacing w:before="65"/>
              <w:ind w:left="46" w:right="46"/>
              <w:jc w:val="center"/>
              <w:rPr>
                <w:sz w:val="20"/>
              </w:rPr>
            </w:pPr>
            <w:r>
              <w:rPr>
                <w:sz w:val="20"/>
              </w:rPr>
              <w:t>13</w:t>
            </w:r>
          </w:p>
        </w:tc>
        <w:tc>
          <w:tcPr>
            <w:tcW w:w="2201" w:type="dxa"/>
            <w:tcBorders>
              <w:top w:val="single" w:sz="4" w:space="0" w:color="000000"/>
              <w:left w:val="single" w:sz="4" w:space="0" w:color="000000"/>
              <w:bottom w:val="single" w:sz="4" w:space="0" w:color="000000"/>
              <w:right w:val="single" w:sz="4" w:space="0" w:color="000000"/>
            </w:tcBorders>
          </w:tcPr>
          <w:p>
            <w:pPr>
              <w:pStyle w:val="TableParagraph"/>
              <w:spacing w:before="65"/>
              <w:ind w:left="64"/>
              <w:rPr>
                <w:sz w:val="20"/>
              </w:rPr>
            </w:pPr>
            <w:r>
              <w:rPr>
                <w:sz w:val="20"/>
              </w:rPr>
              <w:t>HIDALGO</w:t>
            </w:r>
          </w:p>
        </w:tc>
        <w:tc>
          <w:tcPr>
            <w:tcW w:w="737" w:type="dxa"/>
            <w:tcBorders>
              <w:top w:val="single" w:sz="4" w:space="0" w:color="000000"/>
              <w:left w:val="single" w:sz="4" w:space="0" w:color="000000"/>
              <w:bottom w:val="single" w:sz="4" w:space="0" w:color="000000"/>
              <w:right w:val="single" w:sz="4" w:space="0" w:color="000000"/>
            </w:tcBorders>
          </w:tcPr>
          <w:p>
            <w:pPr>
              <w:pStyle w:val="TableParagraph"/>
              <w:spacing w:before="65"/>
              <w:ind w:right="62"/>
              <w:jc w:val="right"/>
              <w:rPr>
                <w:sz w:val="20"/>
              </w:rPr>
            </w:pPr>
            <w:r>
              <w:rPr>
                <w:sz w:val="20"/>
              </w:rPr>
              <w:t>58</w:t>
            </w:r>
          </w:p>
        </w:tc>
        <w:tc>
          <w:tcPr>
            <w:tcW w:w="1056" w:type="dxa"/>
            <w:tcBorders>
              <w:top w:val="single" w:sz="4" w:space="0" w:color="000000"/>
              <w:left w:val="single" w:sz="4" w:space="0" w:color="000000"/>
              <w:bottom w:val="single" w:sz="4" w:space="0" w:color="000000"/>
              <w:right w:val="single" w:sz="4" w:space="0" w:color="000000"/>
            </w:tcBorders>
          </w:tcPr>
          <w:p>
            <w:pPr>
              <w:pStyle w:val="TableParagraph"/>
              <w:spacing w:before="65"/>
              <w:ind w:right="64"/>
              <w:jc w:val="right"/>
              <w:rPr>
                <w:sz w:val="20"/>
              </w:rPr>
            </w:pPr>
            <w:r>
              <w:rPr>
                <w:sz w:val="20"/>
              </w:rPr>
              <w:t>1.98</w:t>
            </w:r>
          </w:p>
        </w:tc>
        <w:tc>
          <w:tcPr>
            <w:tcW w:w="356" w:type="dxa"/>
            <w:vMerge/>
            <w:tcBorders>
              <w:left w:val="single" w:sz="4" w:space="0" w:color="000000"/>
              <w:right w:val="single" w:sz="4" w:space="0" w:color="000000"/>
            </w:tcBorders>
          </w:tcPr>
          <w:p>
            <w:pPr/>
          </w:p>
        </w:tc>
        <w:tc>
          <w:tcPr>
            <w:tcW w:w="398" w:type="dxa"/>
            <w:tcBorders>
              <w:top w:val="single" w:sz="4" w:space="0" w:color="000000"/>
              <w:left w:val="single" w:sz="4" w:space="0" w:color="000000"/>
              <w:bottom w:val="single" w:sz="4" w:space="0" w:color="000000"/>
              <w:right w:val="single" w:sz="4" w:space="0" w:color="000000"/>
            </w:tcBorders>
          </w:tcPr>
          <w:p>
            <w:pPr>
              <w:pStyle w:val="TableParagraph"/>
              <w:spacing w:before="65"/>
              <w:ind w:right="60"/>
              <w:jc w:val="right"/>
              <w:rPr>
                <w:sz w:val="20"/>
              </w:rPr>
            </w:pPr>
            <w:r>
              <w:rPr>
                <w:sz w:val="20"/>
              </w:rPr>
              <w:t>29</w:t>
            </w:r>
          </w:p>
        </w:tc>
        <w:tc>
          <w:tcPr>
            <w:tcW w:w="1474" w:type="dxa"/>
            <w:tcBorders>
              <w:top w:val="single" w:sz="4" w:space="0" w:color="000000"/>
              <w:left w:val="single" w:sz="4" w:space="0" w:color="000000"/>
              <w:bottom w:val="single" w:sz="4" w:space="0" w:color="000000"/>
              <w:right w:val="single" w:sz="4" w:space="0" w:color="000000"/>
            </w:tcBorders>
          </w:tcPr>
          <w:p>
            <w:pPr>
              <w:pStyle w:val="TableParagraph"/>
              <w:spacing w:before="65"/>
              <w:ind w:left="64"/>
              <w:rPr>
                <w:sz w:val="20"/>
              </w:rPr>
            </w:pPr>
            <w:r>
              <w:rPr>
                <w:sz w:val="20"/>
              </w:rPr>
              <w:t>TLAXCALA</w:t>
            </w:r>
          </w:p>
        </w:tc>
        <w:tc>
          <w:tcPr>
            <w:tcW w:w="826" w:type="dxa"/>
            <w:tcBorders>
              <w:top w:val="single" w:sz="4" w:space="0" w:color="000000"/>
              <w:left w:val="single" w:sz="4" w:space="0" w:color="000000"/>
              <w:bottom w:val="single" w:sz="4" w:space="0" w:color="000000"/>
              <w:right w:val="single" w:sz="4" w:space="0" w:color="000000"/>
            </w:tcBorders>
          </w:tcPr>
          <w:p>
            <w:pPr>
              <w:pStyle w:val="TableParagraph"/>
              <w:spacing w:before="65"/>
              <w:ind w:right="60"/>
              <w:jc w:val="right"/>
              <w:rPr>
                <w:sz w:val="20"/>
              </w:rPr>
            </w:pPr>
            <w:r>
              <w:rPr>
                <w:sz w:val="20"/>
              </w:rPr>
              <w:t>32</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65"/>
              <w:ind w:right="64"/>
              <w:jc w:val="right"/>
              <w:rPr>
                <w:sz w:val="20"/>
              </w:rPr>
            </w:pPr>
            <w:r>
              <w:rPr>
                <w:sz w:val="20"/>
              </w:rPr>
              <w:t>1.09</w:t>
            </w:r>
          </w:p>
        </w:tc>
      </w:tr>
      <w:tr>
        <w:trPr>
          <w:trHeight w:val="312" w:hRule="exact"/>
        </w:trPr>
        <w:tc>
          <w:tcPr>
            <w:tcW w:w="343" w:type="dxa"/>
            <w:tcBorders>
              <w:top w:val="single" w:sz="4" w:space="0" w:color="000000"/>
              <w:left w:val="single" w:sz="4" w:space="0" w:color="000000"/>
              <w:bottom w:val="single" w:sz="4" w:space="0" w:color="000000"/>
              <w:right w:val="single" w:sz="4" w:space="0" w:color="000000"/>
            </w:tcBorders>
          </w:tcPr>
          <w:p>
            <w:pPr>
              <w:pStyle w:val="TableParagraph"/>
              <w:spacing w:before="65"/>
              <w:ind w:left="46" w:right="46"/>
              <w:jc w:val="center"/>
              <w:rPr>
                <w:sz w:val="20"/>
              </w:rPr>
            </w:pPr>
            <w:r>
              <w:rPr>
                <w:sz w:val="20"/>
              </w:rPr>
              <w:t>14</w:t>
            </w:r>
          </w:p>
        </w:tc>
        <w:tc>
          <w:tcPr>
            <w:tcW w:w="2201" w:type="dxa"/>
            <w:tcBorders>
              <w:top w:val="single" w:sz="4" w:space="0" w:color="000000"/>
              <w:left w:val="single" w:sz="4" w:space="0" w:color="000000"/>
              <w:bottom w:val="single" w:sz="4" w:space="0" w:color="000000"/>
              <w:right w:val="single" w:sz="4" w:space="0" w:color="000000"/>
            </w:tcBorders>
          </w:tcPr>
          <w:p>
            <w:pPr>
              <w:pStyle w:val="TableParagraph"/>
              <w:spacing w:before="65"/>
              <w:ind w:left="64"/>
              <w:rPr>
                <w:sz w:val="20"/>
              </w:rPr>
            </w:pPr>
            <w:r>
              <w:rPr>
                <w:sz w:val="20"/>
              </w:rPr>
              <w:t>JALISCO</w:t>
            </w:r>
          </w:p>
        </w:tc>
        <w:tc>
          <w:tcPr>
            <w:tcW w:w="737" w:type="dxa"/>
            <w:tcBorders>
              <w:top w:val="single" w:sz="4" w:space="0" w:color="000000"/>
              <w:left w:val="single" w:sz="4" w:space="0" w:color="000000"/>
              <w:bottom w:val="single" w:sz="4" w:space="0" w:color="000000"/>
              <w:right w:val="single" w:sz="4" w:space="0" w:color="000000"/>
            </w:tcBorders>
          </w:tcPr>
          <w:p>
            <w:pPr>
              <w:pStyle w:val="TableParagraph"/>
              <w:spacing w:before="65"/>
              <w:ind w:right="62"/>
              <w:jc w:val="right"/>
              <w:rPr>
                <w:sz w:val="20"/>
              </w:rPr>
            </w:pPr>
            <w:r>
              <w:rPr>
                <w:sz w:val="20"/>
              </w:rPr>
              <w:t>206</w:t>
            </w:r>
          </w:p>
        </w:tc>
        <w:tc>
          <w:tcPr>
            <w:tcW w:w="1056" w:type="dxa"/>
            <w:tcBorders>
              <w:top w:val="single" w:sz="4" w:space="0" w:color="000000"/>
              <w:left w:val="single" w:sz="4" w:space="0" w:color="000000"/>
              <w:bottom w:val="single" w:sz="4" w:space="0" w:color="000000"/>
              <w:right w:val="single" w:sz="4" w:space="0" w:color="000000"/>
            </w:tcBorders>
          </w:tcPr>
          <w:p>
            <w:pPr>
              <w:pStyle w:val="TableParagraph"/>
              <w:spacing w:before="65"/>
              <w:ind w:right="64"/>
              <w:jc w:val="right"/>
              <w:rPr>
                <w:sz w:val="20"/>
              </w:rPr>
            </w:pPr>
            <w:r>
              <w:rPr>
                <w:sz w:val="20"/>
              </w:rPr>
              <w:t>7.03</w:t>
            </w:r>
          </w:p>
        </w:tc>
        <w:tc>
          <w:tcPr>
            <w:tcW w:w="356" w:type="dxa"/>
            <w:vMerge/>
            <w:tcBorders>
              <w:left w:val="single" w:sz="4" w:space="0" w:color="000000"/>
              <w:right w:val="single" w:sz="4" w:space="0" w:color="000000"/>
            </w:tcBorders>
          </w:tcPr>
          <w:p>
            <w:pPr/>
          </w:p>
        </w:tc>
        <w:tc>
          <w:tcPr>
            <w:tcW w:w="398" w:type="dxa"/>
            <w:tcBorders>
              <w:top w:val="single" w:sz="4" w:space="0" w:color="000000"/>
              <w:left w:val="single" w:sz="4" w:space="0" w:color="000000"/>
              <w:bottom w:val="single" w:sz="4" w:space="0" w:color="000000"/>
              <w:right w:val="single" w:sz="4" w:space="0" w:color="000000"/>
            </w:tcBorders>
          </w:tcPr>
          <w:p>
            <w:pPr>
              <w:pStyle w:val="TableParagraph"/>
              <w:spacing w:before="65"/>
              <w:ind w:right="60"/>
              <w:jc w:val="right"/>
              <w:rPr>
                <w:sz w:val="20"/>
              </w:rPr>
            </w:pPr>
            <w:r>
              <w:rPr>
                <w:sz w:val="20"/>
              </w:rPr>
              <w:t>30</w:t>
            </w:r>
          </w:p>
        </w:tc>
        <w:tc>
          <w:tcPr>
            <w:tcW w:w="1474" w:type="dxa"/>
            <w:tcBorders>
              <w:top w:val="single" w:sz="4" w:space="0" w:color="000000"/>
              <w:left w:val="single" w:sz="4" w:space="0" w:color="000000"/>
              <w:bottom w:val="single" w:sz="4" w:space="0" w:color="000000"/>
              <w:right w:val="single" w:sz="4" w:space="0" w:color="000000"/>
            </w:tcBorders>
          </w:tcPr>
          <w:p>
            <w:pPr>
              <w:pStyle w:val="TableParagraph"/>
              <w:spacing w:before="65"/>
              <w:ind w:left="64"/>
              <w:rPr>
                <w:sz w:val="20"/>
              </w:rPr>
            </w:pPr>
            <w:r>
              <w:rPr>
                <w:sz w:val="20"/>
              </w:rPr>
              <w:t>VERACRUZ</w:t>
            </w:r>
          </w:p>
        </w:tc>
        <w:tc>
          <w:tcPr>
            <w:tcW w:w="826" w:type="dxa"/>
            <w:tcBorders>
              <w:top w:val="single" w:sz="4" w:space="0" w:color="000000"/>
              <w:left w:val="single" w:sz="4" w:space="0" w:color="000000"/>
              <w:bottom w:val="single" w:sz="4" w:space="0" w:color="000000"/>
              <w:right w:val="single" w:sz="4" w:space="0" w:color="000000"/>
            </w:tcBorders>
          </w:tcPr>
          <w:p>
            <w:pPr>
              <w:pStyle w:val="TableParagraph"/>
              <w:spacing w:before="65"/>
              <w:ind w:right="62"/>
              <w:jc w:val="right"/>
              <w:rPr>
                <w:sz w:val="20"/>
              </w:rPr>
            </w:pPr>
            <w:r>
              <w:rPr>
                <w:sz w:val="20"/>
              </w:rPr>
              <w:t>188</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65"/>
              <w:ind w:right="64"/>
              <w:jc w:val="right"/>
              <w:rPr>
                <w:sz w:val="20"/>
              </w:rPr>
            </w:pPr>
            <w:r>
              <w:rPr>
                <w:sz w:val="20"/>
              </w:rPr>
              <w:t>6.41</w:t>
            </w:r>
          </w:p>
        </w:tc>
      </w:tr>
      <w:tr>
        <w:trPr>
          <w:trHeight w:val="310" w:hRule="exact"/>
        </w:trPr>
        <w:tc>
          <w:tcPr>
            <w:tcW w:w="343" w:type="dxa"/>
            <w:tcBorders>
              <w:top w:val="single" w:sz="4" w:space="0" w:color="000000"/>
              <w:left w:val="single" w:sz="4" w:space="0" w:color="000000"/>
              <w:bottom w:val="single" w:sz="4" w:space="0" w:color="000000"/>
              <w:right w:val="single" w:sz="4" w:space="0" w:color="000000"/>
            </w:tcBorders>
          </w:tcPr>
          <w:p>
            <w:pPr>
              <w:pStyle w:val="TableParagraph"/>
              <w:spacing w:before="63"/>
              <w:ind w:left="46" w:right="46"/>
              <w:jc w:val="center"/>
              <w:rPr>
                <w:sz w:val="20"/>
              </w:rPr>
            </w:pPr>
            <w:r>
              <w:rPr>
                <w:sz w:val="20"/>
              </w:rPr>
              <w:t>15</w:t>
            </w:r>
          </w:p>
        </w:tc>
        <w:tc>
          <w:tcPr>
            <w:tcW w:w="2201" w:type="dxa"/>
            <w:tcBorders>
              <w:top w:val="single" w:sz="4" w:space="0" w:color="000000"/>
              <w:left w:val="single" w:sz="4" w:space="0" w:color="000000"/>
              <w:bottom w:val="single" w:sz="4" w:space="0" w:color="000000"/>
              <w:right w:val="single" w:sz="4" w:space="0" w:color="000000"/>
            </w:tcBorders>
          </w:tcPr>
          <w:p>
            <w:pPr>
              <w:pStyle w:val="TableParagraph"/>
              <w:spacing w:before="63"/>
              <w:ind w:left="64"/>
              <w:rPr>
                <w:sz w:val="20"/>
              </w:rPr>
            </w:pPr>
            <w:r>
              <w:rPr>
                <w:sz w:val="20"/>
              </w:rPr>
              <w:t>MÉXICO</w:t>
            </w:r>
          </w:p>
        </w:tc>
        <w:tc>
          <w:tcPr>
            <w:tcW w:w="737" w:type="dxa"/>
            <w:tcBorders>
              <w:top w:val="single" w:sz="4" w:space="0" w:color="000000"/>
              <w:left w:val="single" w:sz="4" w:space="0" w:color="000000"/>
              <w:bottom w:val="single" w:sz="4" w:space="0" w:color="000000"/>
              <w:right w:val="single" w:sz="4" w:space="0" w:color="000000"/>
            </w:tcBorders>
          </w:tcPr>
          <w:p>
            <w:pPr>
              <w:pStyle w:val="TableParagraph"/>
              <w:spacing w:before="63"/>
              <w:ind w:right="62"/>
              <w:jc w:val="right"/>
              <w:rPr>
                <w:sz w:val="20"/>
              </w:rPr>
            </w:pPr>
            <w:r>
              <w:rPr>
                <w:sz w:val="20"/>
              </w:rPr>
              <w:t>236</w:t>
            </w:r>
          </w:p>
        </w:tc>
        <w:tc>
          <w:tcPr>
            <w:tcW w:w="1056" w:type="dxa"/>
            <w:tcBorders>
              <w:top w:val="single" w:sz="4" w:space="0" w:color="000000"/>
              <w:left w:val="single" w:sz="4" w:space="0" w:color="000000"/>
              <w:bottom w:val="single" w:sz="4" w:space="0" w:color="000000"/>
              <w:right w:val="single" w:sz="4" w:space="0" w:color="000000"/>
            </w:tcBorders>
          </w:tcPr>
          <w:p>
            <w:pPr>
              <w:pStyle w:val="TableParagraph"/>
              <w:spacing w:before="63"/>
              <w:ind w:right="64"/>
              <w:jc w:val="right"/>
              <w:rPr>
                <w:sz w:val="20"/>
              </w:rPr>
            </w:pPr>
            <w:r>
              <w:rPr>
                <w:sz w:val="20"/>
              </w:rPr>
              <w:t>8.05</w:t>
            </w:r>
          </w:p>
        </w:tc>
        <w:tc>
          <w:tcPr>
            <w:tcW w:w="356" w:type="dxa"/>
            <w:vMerge/>
            <w:tcBorders>
              <w:left w:val="single" w:sz="4" w:space="0" w:color="000000"/>
              <w:right w:val="single" w:sz="4" w:space="0" w:color="000000"/>
            </w:tcBorders>
          </w:tcPr>
          <w:p>
            <w:pPr/>
          </w:p>
        </w:tc>
        <w:tc>
          <w:tcPr>
            <w:tcW w:w="398" w:type="dxa"/>
            <w:tcBorders>
              <w:top w:val="single" w:sz="4" w:space="0" w:color="000000"/>
              <w:left w:val="single" w:sz="4" w:space="0" w:color="000000"/>
              <w:bottom w:val="single" w:sz="4" w:space="0" w:color="000000"/>
              <w:right w:val="single" w:sz="4" w:space="0" w:color="000000"/>
            </w:tcBorders>
          </w:tcPr>
          <w:p>
            <w:pPr>
              <w:pStyle w:val="TableParagraph"/>
              <w:spacing w:before="63"/>
              <w:ind w:right="60"/>
              <w:jc w:val="right"/>
              <w:rPr>
                <w:sz w:val="20"/>
              </w:rPr>
            </w:pPr>
            <w:r>
              <w:rPr>
                <w:sz w:val="20"/>
              </w:rPr>
              <w:t>31</w:t>
            </w:r>
          </w:p>
        </w:tc>
        <w:tc>
          <w:tcPr>
            <w:tcW w:w="1474" w:type="dxa"/>
            <w:tcBorders>
              <w:top w:val="single" w:sz="4" w:space="0" w:color="000000"/>
              <w:left w:val="single" w:sz="4" w:space="0" w:color="000000"/>
              <w:bottom w:val="single" w:sz="4" w:space="0" w:color="000000"/>
              <w:right w:val="single" w:sz="4" w:space="0" w:color="000000"/>
            </w:tcBorders>
          </w:tcPr>
          <w:p>
            <w:pPr>
              <w:pStyle w:val="TableParagraph"/>
              <w:spacing w:before="63"/>
              <w:ind w:left="64"/>
              <w:rPr>
                <w:sz w:val="20"/>
              </w:rPr>
            </w:pPr>
            <w:r>
              <w:rPr>
                <w:sz w:val="20"/>
              </w:rPr>
              <w:t>YUCATÁN</w:t>
            </w:r>
          </w:p>
        </w:tc>
        <w:tc>
          <w:tcPr>
            <w:tcW w:w="826" w:type="dxa"/>
            <w:tcBorders>
              <w:top w:val="single" w:sz="4" w:space="0" w:color="000000"/>
              <w:left w:val="single" w:sz="4" w:space="0" w:color="000000"/>
              <w:bottom w:val="single" w:sz="4" w:space="0" w:color="000000"/>
              <w:right w:val="single" w:sz="4" w:space="0" w:color="000000"/>
            </w:tcBorders>
          </w:tcPr>
          <w:p>
            <w:pPr>
              <w:pStyle w:val="TableParagraph"/>
              <w:spacing w:before="63"/>
              <w:ind w:right="60"/>
              <w:jc w:val="right"/>
              <w:rPr>
                <w:sz w:val="20"/>
              </w:rPr>
            </w:pPr>
            <w:r>
              <w:rPr>
                <w:sz w:val="20"/>
              </w:rPr>
              <w:t>66</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63"/>
              <w:ind w:right="64"/>
              <w:jc w:val="right"/>
              <w:rPr>
                <w:sz w:val="20"/>
              </w:rPr>
            </w:pPr>
            <w:r>
              <w:rPr>
                <w:sz w:val="20"/>
              </w:rPr>
              <w:t>2.25</w:t>
            </w:r>
          </w:p>
        </w:tc>
      </w:tr>
      <w:tr>
        <w:trPr>
          <w:trHeight w:val="311" w:hRule="exact"/>
        </w:trPr>
        <w:tc>
          <w:tcPr>
            <w:tcW w:w="343" w:type="dxa"/>
            <w:tcBorders>
              <w:top w:val="single" w:sz="4" w:space="0" w:color="000000"/>
              <w:left w:val="single" w:sz="4" w:space="0" w:color="000000"/>
              <w:bottom w:val="single" w:sz="4" w:space="0" w:color="000000"/>
              <w:right w:val="single" w:sz="4" w:space="0" w:color="000000"/>
            </w:tcBorders>
          </w:tcPr>
          <w:p>
            <w:pPr>
              <w:pStyle w:val="TableParagraph"/>
              <w:spacing w:before="63"/>
              <w:ind w:left="46" w:right="46"/>
              <w:jc w:val="center"/>
              <w:rPr>
                <w:sz w:val="20"/>
              </w:rPr>
            </w:pPr>
            <w:r>
              <w:rPr>
                <w:sz w:val="20"/>
              </w:rPr>
              <w:t>16</w:t>
            </w:r>
          </w:p>
        </w:tc>
        <w:tc>
          <w:tcPr>
            <w:tcW w:w="2201" w:type="dxa"/>
            <w:tcBorders>
              <w:top w:val="single" w:sz="4" w:space="0" w:color="000000"/>
              <w:left w:val="single" w:sz="4" w:space="0" w:color="000000"/>
              <w:bottom w:val="single" w:sz="4" w:space="0" w:color="000000"/>
              <w:right w:val="single" w:sz="4" w:space="0" w:color="000000"/>
            </w:tcBorders>
          </w:tcPr>
          <w:p>
            <w:pPr>
              <w:pStyle w:val="TableParagraph"/>
              <w:spacing w:before="63"/>
              <w:ind w:left="64"/>
              <w:rPr>
                <w:sz w:val="20"/>
              </w:rPr>
            </w:pPr>
            <w:r>
              <w:rPr>
                <w:sz w:val="20"/>
              </w:rPr>
              <w:t>MICHOACÁN</w:t>
            </w:r>
          </w:p>
        </w:tc>
        <w:tc>
          <w:tcPr>
            <w:tcW w:w="737" w:type="dxa"/>
            <w:tcBorders>
              <w:top w:val="single" w:sz="4" w:space="0" w:color="000000"/>
              <w:left w:val="single" w:sz="4" w:space="0" w:color="000000"/>
              <w:bottom w:val="single" w:sz="4" w:space="0" w:color="000000"/>
              <w:right w:val="single" w:sz="4" w:space="0" w:color="000000"/>
            </w:tcBorders>
          </w:tcPr>
          <w:p>
            <w:pPr>
              <w:pStyle w:val="TableParagraph"/>
              <w:spacing w:before="63"/>
              <w:ind w:right="62"/>
              <w:jc w:val="right"/>
              <w:rPr>
                <w:sz w:val="20"/>
              </w:rPr>
            </w:pPr>
            <w:r>
              <w:rPr>
                <w:sz w:val="20"/>
              </w:rPr>
              <w:t>70</w:t>
            </w:r>
          </w:p>
        </w:tc>
        <w:tc>
          <w:tcPr>
            <w:tcW w:w="1056" w:type="dxa"/>
            <w:tcBorders>
              <w:top w:val="single" w:sz="4" w:space="0" w:color="000000"/>
              <w:left w:val="single" w:sz="4" w:space="0" w:color="000000"/>
              <w:bottom w:val="single" w:sz="4" w:space="0" w:color="000000"/>
              <w:right w:val="single" w:sz="4" w:space="0" w:color="000000"/>
            </w:tcBorders>
          </w:tcPr>
          <w:p>
            <w:pPr>
              <w:pStyle w:val="TableParagraph"/>
              <w:spacing w:before="63"/>
              <w:ind w:right="64"/>
              <w:jc w:val="right"/>
              <w:rPr>
                <w:sz w:val="20"/>
              </w:rPr>
            </w:pPr>
            <w:r>
              <w:rPr>
                <w:sz w:val="20"/>
              </w:rPr>
              <w:t>2.39</w:t>
            </w:r>
          </w:p>
        </w:tc>
        <w:tc>
          <w:tcPr>
            <w:tcW w:w="356" w:type="dxa"/>
            <w:vMerge/>
            <w:tcBorders>
              <w:left w:val="single" w:sz="4" w:space="0" w:color="000000"/>
              <w:right w:val="single" w:sz="4" w:space="0" w:color="000000"/>
            </w:tcBorders>
          </w:tcPr>
          <w:p>
            <w:pPr/>
          </w:p>
        </w:tc>
        <w:tc>
          <w:tcPr>
            <w:tcW w:w="398" w:type="dxa"/>
            <w:tcBorders>
              <w:top w:val="single" w:sz="4" w:space="0" w:color="000000"/>
              <w:left w:val="single" w:sz="4" w:space="0" w:color="000000"/>
              <w:bottom w:val="single" w:sz="4" w:space="0" w:color="000000"/>
              <w:right w:val="single" w:sz="4" w:space="0" w:color="000000"/>
            </w:tcBorders>
          </w:tcPr>
          <w:p>
            <w:pPr>
              <w:pStyle w:val="TableParagraph"/>
              <w:spacing w:before="63"/>
              <w:ind w:right="60"/>
              <w:jc w:val="right"/>
              <w:rPr>
                <w:sz w:val="20"/>
              </w:rPr>
            </w:pPr>
            <w:r>
              <w:rPr>
                <w:sz w:val="20"/>
              </w:rPr>
              <w:t>32</w:t>
            </w:r>
          </w:p>
        </w:tc>
        <w:tc>
          <w:tcPr>
            <w:tcW w:w="1474" w:type="dxa"/>
            <w:tcBorders>
              <w:top w:val="single" w:sz="4" w:space="0" w:color="000000"/>
              <w:left w:val="single" w:sz="4" w:space="0" w:color="000000"/>
              <w:bottom w:val="single" w:sz="4" w:space="0" w:color="000000"/>
              <w:right w:val="single" w:sz="4" w:space="0" w:color="000000"/>
            </w:tcBorders>
          </w:tcPr>
          <w:p>
            <w:pPr>
              <w:pStyle w:val="TableParagraph"/>
              <w:spacing w:before="63"/>
              <w:ind w:left="64"/>
              <w:rPr>
                <w:sz w:val="20"/>
              </w:rPr>
            </w:pPr>
            <w:r>
              <w:rPr>
                <w:sz w:val="20"/>
              </w:rPr>
              <w:t>ZACATECAS</w:t>
            </w:r>
          </w:p>
        </w:tc>
        <w:tc>
          <w:tcPr>
            <w:tcW w:w="826" w:type="dxa"/>
            <w:tcBorders>
              <w:top w:val="single" w:sz="4" w:space="0" w:color="000000"/>
              <w:left w:val="single" w:sz="4" w:space="0" w:color="000000"/>
              <w:bottom w:val="single" w:sz="4" w:space="0" w:color="000000"/>
              <w:right w:val="single" w:sz="4" w:space="0" w:color="000000"/>
            </w:tcBorders>
          </w:tcPr>
          <w:p>
            <w:pPr>
              <w:pStyle w:val="TableParagraph"/>
              <w:spacing w:before="63"/>
              <w:ind w:right="60"/>
              <w:jc w:val="right"/>
              <w:rPr>
                <w:sz w:val="20"/>
              </w:rPr>
            </w:pPr>
            <w:r>
              <w:rPr>
                <w:sz w:val="20"/>
              </w:rPr>
              <w:t>31</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63"/>
              <w:ind w:right="64"/>
              <w:jc w:val="right"/>
              <w:rPr>
                <w:sz w:val="20"/>
              </w:rPr>
            </w:pPr>
            <w:r>
              <w:rPr>
                <w:sz w:val="20"/>
              </w:rPr>
              <w:t>1.06</w:t>
            </w:r>
          </w:p>
        </w:tc>
      </w:tr>
    </w:tbl>
    <w:p>
      <w:pPr>
        <w:spacing w:line="222" w:lineRule="exact" w:before="0"/>
        <w:ind w:left="1458" w:right="0" w:firstLine="0"/>
        <w:jc w:val="left"/>
        <w:rPr>
          <w:sz w:val="20"/>
        </w:rPr>
      </w:pPr>
      <w:r>
        <w:rPr>
          <w:sz w:val="20"/>
        </w:rPr>
        <w:t>Fuente: elaboración propia con base en los datos obtenidos de ANUIES 2013</w:t>
      </w:r>
    </w:p>
    <w:p>
      <w:pPr>
        <w:pStyle w:val="BodyText"/>
        <w:rPr>
          <w:sz w:val="20"/>
        </w:rPr>
      </w:pPr>
    </w:p>
    <w:p>
      <w:pPr>
        <w:pStyle w:val="BodyText"/>
        <w:rPr>
          <w:sz w:val="26"/>
        </w:rPr>
      </w:pPr>
    </w:p>
    <w:p>
      <w:pPr>
        <w:pStyle w:val="BodyText"/>
        <w:spacing w:line="360" w:lineRule="auto"/>
        <w:ind w:left="102" w:right="115"/>
        <w:jc w:val="both"/>
      </w:pPr>
      <w:r>
        <w:rPr/>
        <w:t>El Estado de México ocupa el segundo lugar a nivel nacional de las entidades que tienen el mayor número de IES con un 8.05% superado por el Distrito Federal con un 12.83%, a su vez es mayor que Puebla con un 7.57%. Lo que permite observar el grado de concentración en la zona centro del país.</w:t>
      </w:r>
    </w:p>
    <w:p>
      <w:pPr>
        <w:pStyle w:val="BodyText"/>
        <w:spacing w:line="360" w:lineRule="auto" w:before="205"/>
        <w:ind w:left="102" w:right="119"/>
        <w:jc w:val="both"/>
      </w:pPr>
      <w:r>
        <w:rPr/>
        <w:t>Las IES también se pueden clasificar de acuerdo a su régimen: público y privado y a su vez están clasificadas en: universidades, institutos, normales y otras IES. Dentro del régimen público la clasificación es la siguiente (SES-SEP, 2013):</w:t>
      </w:r>
    </w:p>
    <w:p>
      <w:pPr>
        <w:pStyle w:val="Heading3"/>
        <w:spacing w:before="208"/>
        <w:ind w:left="102"/>
      </w:pPr>
      <w:r>
        <w:rPr/>
        <w:t>Régimen público:</w:t>
      </w:r>
    </w:p>
    <w:p>
      <w:pPr>
        <w:pStyle w:val="ListParagraph"/>
        <w:numPr>
          <w:ilvl w:val="3"/>
          <w:numId w:val="55"/>
        </w:numPr>
        <w:tabs>
          <w:tab w:pos="822" w:val="left" w:leader="none"/>
        </w:tabs>
        <w:spacing w:line="240" w:lineRule="auto" w:before="139" w:after="0"/>
        <w:ind w:left="822" w:right="0" w:hanging="360"/>
        <w:jc w:val="left"/>
        <w:rPr>
          <w:b/>
          <w:sz w:val="24"/>
        </w:rPr>
      </w:pPr>
      <w:r>
        <w:rPr>
          <w:b/>
          <w:sz w:val="24"/>
        </w:rPr>
        <w:t>Universidades</w:t>
      </w:r>
    </w:p>
    <w:p>
      <w:pPr>
        <w:pStyle w:val="BodyText"/>
        <w:spacing w:line="360" w:lineRule="auto" w:before="132"/>
        <w:ind w:left="1518" w:right="4362"/>
      </w:pPr>
      <w:r>
        <w:rPr/>
        <w:t>Universidades Públicas Estatales Universidades Politécnicas Universidades Tecnológicas</w:t>
      </w:r>
    </w:p>
    <w:p>
      <w:pPr>
        <w:spacing w:after="0" w:line="360" w:lineRule="auto"/>
        <w:sectPr>
          <w:pgSz w:w="12240" w:h="15840"/>
          <w:pgMar w:header="0" w:footer="1003" w:top="1360" w:bottom="1200" w:left="1600" w:right="1580"/>
        </w:sectPr>
      </w:pPr>
    </w:p>
    <w:p>
      <w:pPr>
        <w:pStyle w:val="BodyText"/>
        <w:spacing w:line="360" w:lineRule="auto" w:before="50"/>
        <w:ind w:left="1398" w:right="4296"/>
      </w:pPr>
      <w:r>
        <w:rPr/>
        <w:t>Universidades Interculturales Universidades Indígenas Universidades Públicas Federales</w:t>
      </w:r>
    </w:p>
    <w:p>
      <w:pPr>
        <w:pStyle w:val="Heading3"/>
        <w:numPr>
          <w:ilvl w:val="3"/>
          <w:numId w:val="55"/>
        </w:numPr>
        <w:tabs>
          <w:tab w:pos="702" w:val="left" w:leader="none"/>
        </w:tabs>
        <w:spacing w:line="240" w:lineRule="auto" w:before="11" w:after="0"/>
        <w:ind w:left="702" w:right="0" w:hanging="360"/>
        <w:jc w:val="left"/>
      </w:pPr>
      <w:r>
        <w:rPr/>
        <w:t>Institutos</w:t>
      </w:r>
    </w:p>
    <w:p>
      <w:pPr>
        <w:pStyle w:val="BodyText"/>
        <w:spacing w:before="132"/>
        <w:ind w:left="1398"/>
      </w:pPr>
      <w:r>
        <w:rPr/>
        <w:t>Institutos Tecnológicos</w:t>
      </w:r>
    </w:p>
    <w:p>
      <w:pPr>
        <w:pStyle w:val="BodyText"/>
        <w:spacing w:line="360" w:lineRule="auto" w:before="139"/>
        <w:ind w:left="1398" w:right="3589"/>
      </w:pPr>
      <w:r>
        <w:rPr/>
        <w:t>Institutos Tecnológicos Agropecuarios Centro de Enseñanza Técnica Industrial Institutos Tecnológicos del Mar Institutos Tecnológicos Descentralizados Instituto Tecnológico Forestal</w:t>
      </w:r>
    </w:p>
    <w:p>
      <w:pPr>
        <w:pStyle w:val="BodyText"/>
        <w:spacing w:before="4"/>
        <w:ind w:left="1398"/>
      </w:pPr>
      <w:r>
        <w:rPr/>
        <w:t>Instituto Politécnico Nacional</w:t>
      </w:r>
    </w:p>
    <w:p>
      <w:pPr>
        <w:pStyle w:val="Heading3"/>
        <w:numPr>
          <w:ilvl w:val="3"/>
          <w:numId w:val="55"/>
        </w:numPr>
        <w:tabs>
          <w:tab w:pos="702" w:val="left" w:leader="none"/>
        </w:tabs>
        <w:spacing w:line="240" w:lineRule="auto" w:before="144" w:after="0"/>
        <w:ind w:left="702" w:right="0" w:hanging="360"/>
        <w:jc w:val="left"/>
      </w:pPr>
      <w:r>
        <w:rPr/>
        <w:t>Normales</w:t>
      </w:r>
    </w:p>
    <w:p>
      <w:pPr>
        <w:pStyle w:val="BodyText"/>
        <w:spacing w:line="360" w:lineRule="auto" w:before="132"/>
        <w:ind w:left="1398" w:right="3736"/>
      </w:pPr>
      <w:r>
        <w:rPr/>
        <w:t>Centro de Actualización del Magisterio Escuelas, Universidades Normales Universidad Pedagógica Nacional</w:t>
      </w:r>
    </w:p>
    <w:p>
      <w:pPr>
        <w:pStyle w:val="Heading3"/>
        <w:numPr>
          <w:ilvl w:val="3"/>
          <w:numId w:val="55"/>
        </w:numPr>
        <w:tabs>
          <w:tab w:pos="702" w:val="left" w:leader="none"/>
        </w:tabs>
        <w:spacing w:line="240" w:lineRule="auto" w:before="11" w:after="0"/>
        <w:ind w:left="702" w:right="0" w:hanging="360"/>
        <w:jc w:val="left"/>
      </w:pPr>
      <w:r>
        <w:rPr/>
        <w:t>Otras instituciones de educación</w:t>
      </w:r>
      <w:r>
        <w:rPr>
          <w:spacing w:val="-9"/>
        </w:rPr>
        <w:t> </w:t>
      </w:r>
      <w:r>
        <w:rPr/>
        <w:t>superior</w:t>
      </w:r>
    </w:p>
    <w:p>
      <w:pPr>
        <w:pStyle w:val="BodyText"/>
        <w:spacing w:line="360" w:lineRule="auto" w:before="132"/>
        <w:ind w:left="1398" w:right="1431"/>
      </w:pPr>
      <w:r>
        <w:rPr/>
        <w:t>Consejo Nacional de Ciencia y Tecnología (CONACYT) Instituciones de Educación Superior en Entidades Federativas Dependencias Federales</w:t>
      </w:r>
    </w:p>
    <w:p>
      <w:pPr>
        <w:pStyle w:val="BodyText"/>
        <w:spacing w:line="360" w:lineRule="auto" w:before="6"/>
        <w:ind w:left="1398" w:right="1431"/>
      </w:pPr>
      <w:r>
        <w:rPr/>
        <w:t>Sistema Nacional Desarrollo Integral de la Familia (DIF) Instituto Mexicano Seguro Social (IMSS)</w:t>
      </w:r>
    </w:p>
    <w:p>
      <w:pPr>
        <w:pStyle w:val="BodyText"/>
        <w:spacing w:line="360" w:lineRule="auto" w:before="6"/>
        <w:ind w:left="1398"/>
      </w:pPr>
      <w:r>
        <w:rPr/>
        <w:t>Instituto de Seguridad y Servicios Sociales de los Trabajadores del Estado (ISSSTE)</w:t>
      </w:r>
    </w:p>
    <w:p>
      <w:pPr>
        <w:pStyle w:val="BodyText"/>
        <w:spacing w:before="6"/>
        <w:ind w:left="1398"/>
      </w:pPr>
      <w:r>
        <w:rPr/>
        <w:t>Procuraduría General de la República (PGR)</w:t>
      </w:r>
    </w:p>
    <w:p>
      <w:pPr>
        <w:pStyle w:val="BodyText"/>
        <w:spacing w:line="362" w:lineRule="auto" w:before="137"/>
        <w:ind w:left="1398" w:right="1431"/>
      </w:pPr>
      <w:r>
        <w:rPr/>
        <w:t>Secretaría de Agricultura, Ganadería, Desarrollo Rural, Pesca y Alimentación (SAGARPA)</w:t>
      </w:r>
    </w:p>
    <w:p>
      <w:pPr>
        <w:pStyle w:val="BodyText"/>
        <w:spacing w:line="360" w:lineRule="auto" w:before="1"/>
        <w:ind w:left="1398" w:right="3104"/>
      </w:pPr>
      <w:r>
        <w:rPr/>
        <w:t>Secretaría de la Defensa Nacional (SEDENA) Secretaría de Marina (SEMAR)</w:t>
      </w:r>
    </w:p>
    <w:p>
      <w:pPr>
        <w:pStyle w:val="BodyText"/>
        <w:spacing w:before="4"/>
        <w:ind w:left="1398"/>
      </w:pPr>
      <w:r>
        <w:rPr/>
        <w:t>Secretaría de Salud (SSA)</w:t>
      </w:r>
    </w:p>
    <w:p>
      <w:pPr>
        <w:pStyle w:val="BodyText"/>
        <w:spacing w:before="137"/>
        <w:ind w:left="1398"/>
      </w:pPr>
      <w:r>
        <w:rPr/>
        <w:t>Instituciones de educación superior federales</w:t>
      </w:r>
    </w:p>
    <w:p>
      <w:pPr>
        <w:pStyle w:val="BodyText"/>
        <w:spacing w:before="139"/>
        <w:ind w:left="1398"/>
      </w:pPr>
      <w:r>
        <w:rPr/>
        <w:t>Centro de Investigación y Docencia en Humanidades del Estado de Morelos</w:t>
      </w:r>
    </w:p>
    <w:p>
      <w:pPr>
        <w:spacing w:after="0"/>
        <w:sectPr>
          <w:pgSz w:w="12240" w:h="15840"/>
          <w:pgMar w:header="0" w:footer="1003" w:top="1360" w:bottom="1200" w:left="1720" w:right="1580"/>
        </w:sectPr>
      </w:pPr>
    </w:p>
    <w:p>
      <w:pPr>
        <w:pStyle w:val="BodyText"/>
        <w:spacing w:line="360" w:lineRule="auto" w:before="50"/>
        <w:ind w:left="122" w:right="124"/>
        <w:jc w:val="both"/>
      </w:pPr>
      <w:r>
        <w:rPr/>
        <w:t>Esta clasificación ayuda a asignar especialidades y carreras profesionales de acuerdo al rubro del que se trate. En cuanto al régimen privado todas se encuentran agrupadas dentro del mismo.</w:t>
      </w:r>
    </w:p>
    <w:p>
      <w:pPr>
        <w:pStyle w:val="BodyText"/>
      </w:pPr>
    </w:p>
    <w:p>
      <w:pPr>
        <w:pStyle w:val="BodyText"/>
        <w:spacing w:before="9"/>
        <w:rPr>
          <w:sz w:val="20"/>
        </w:rPr>
      </w:pPr>
    </w:p>
    <w:p>
      <w:pPr>
        <w:pStyle w:val="BodyText"/>
        <w:spacing w:line="360" w:lineRule="auto"/>
        <w:ind w:left="122" w:right="116"/>
        <w:jc w:val="both"/>
      </w:pPr>
      <w:r>
        <w:rPr/>
        <w:t>A continuación se analizan planes, programas y organismos del nivel superior, los cuales se contemplan dos rubros: sector público y sector privado. Con la finalidad de entender cómo es que se regulan a su interior y poder tipificar cómo brindan el servicio educativo a los jóvenes universitarios.</w:t>
      </w:r>
    </w:p>
    <w:p>
      <w:pPr>
        <w:pStyle w:val="BodyText"/>
      </w:pPr>
    </w:p>
    <w:p>
      <w:pPr>
        <w:pStyle w:val="Heading3"/>
        <w:spacing w:before="148"/>
        <w:ind w:left="122"/>
      </w:pPr>
      <w:r>
        <w:rPr/>
        <w:t>Educación superior en el sector público</w:t>
      </w:r>
    </w:p>
    <w:p>
      <w:pPr>
        <w:pStyle w:val="BodyText"/>
        <w:rPr>
          <w:b/>
        </w:rPr>
      </w:pPr>
    </w:p>
    <w:p>
      <w:pPr>
        <w:pStyle w:val="BodyText"/>
        <w:spacing w:before="6"/>
        <w:rPr>
          <w:b/>
          <w:sz w:val="23"/>
        </w:rPr>
      </w:pPr>
    </w:p>
    <w:p>
      <w:pPr>
        <w:pStyle w:val="BodyText"/>
        <w:spacing w:line="345" w:lineRule="auto"/>
        <w:ind w:left="122" w:right="116"/>
        <w:jc w:val="both"/>
      </w:pPr>
      <w:r>
        <w:rPr/>
        <w:t>Históricamente se ha tenido un interés y preocupación por proponer e implantar políticas educativas orientadas a mejorar la calidad (Nirenberg, 2012) desde los años ochentas en México  se  han  creado  organismos  de  evaluación  y acreditación </w:t>
      </w:r>
      <w:r>
        <w:rPr>
          <w:position w:val="11"/>
          <w:sz w:val="16"/>
        </w:rPr>
        <w:t>14  </w:t>
      </w:r>
      <w:r>
        <w:rPr/>
        <w:t>de  las  IES públicas,</w:t>
      </w:r>
    </w:p>
    <w:p>
      <w:pPr>
        <w:pStyle w:val="BodyText"/>
        <w:spacing w:line="360" w:lineRule="auto" w:before="5"/>
        <w:ind w:left="122" w:right="120"/>
        <w:jc w:val="both"/>
      </w:pPr>
      <w:r>
        <w:rPr/>
        <w:t>siendo así se crea en 1989 la Coordinación Nacional para la Planeación de la Educación Superior (CONPES), y a partir del Programa para la Modernización Educativa (1989) se forma la Comisión Nacional de Evaluación de la Educación Superior (CONAEVA), la cual diseñó la estrategia nacional para la creación y operación del Sistema Nacional de Evaluación de la Educación Superior, sustentado en tres líneas de acción (COPAES, 2013):</w:t>
      </w:r>
    </w:p>
    <w:p>
      <w:pPr>
        <w:pStyle w:val="ListParagraph"/>
        <w:numPr>
          <w:ilvl w:val="4"/>
          <w:numId w:val="55"/>
        </w:numPr>
        <w:tabs>
          <w:tab w:pos="842" w:val="left" w:leader="none"/>
        </w:tabs>
        <w:spacing w:line="240" w:lineRule="auto" w:before="4" w:after="0"/>
        <w:ind w:left="842" w:right="0" w:hanging="360"/>
        <w:jc w:val="left"/>
        <w:rPr>
          <w:sz w:val="24"/>
        </w:rPr>
      </w:pPr>
      <w:r>
        <w:rPr>
          <w:sz w:val="24"/>
        </w:rPr>
        <w:t>Evaluación institucional</w:t>
      </w:r>
      <w:r>
        <w:rPr>
          <w:spacing w:val="-9"/>
          <w:sz w:val="24"/>
        </w:rPr>
        <w:t> </w:t>
      </w:r>
      <w:r>
        <w:rPr>
          <w:sz w:val="24"/>
        </w:rPr>
        <w:t>(autoevaluación),</w:t>
      </w:r>
    </w:p>
    <w:p>
      <w:pPr>
        <w:pStyle w:val="ListParagraph"/>
        <w:numPr>
          <w:ilvl w:val="4"/>
          <w:numId w:val="55"/>
        </w:numPr>
        <w:tabs>
          <w:tab w:pos="842" w:val="left" w:leader="none"/>
        </w:tabs>
        <w:spacing w:line="360" w:lineRule="auto" w:before="139" w:after="0"/>
        <w:ind w:left="842" w:right="122" w:hanging="360"/>
        <w:jc w:val="left"/>
        <w:rPr>
          <w:sz w:val="24"/>
        </w:rPr>
      </w:pPr>
      <w:r>
        <w:rPr>
          <w:sz w:val="24"/>
        </w:rPr>
        <w:t>Evaluación del sistema y los subsistemas de educación superior y la evaluación interinstitucional de programas académicos y funciones de las instituciones,</w:t>
      </w:r>
      <w:r>
        <w:rPr>
          <w:spacing w:val="-12"/>
          <w:sz w:val="24"/>
        </w:rPr>
        <w:t> </w:t>
      </w:r>
      <w:r>
        <w:rPr>
          <w:sz w:val="24"/>
        </w:rPr>
        <w:t>y</w:t>
      </w:r>
    </w:p>
    <w:p>
      <w:pPr>
        <w:pStyle w:val="ListParagraph"/>
        <w:numPr>
          <w:ilvl w:val="4"/>
          <w:numId w:val="55"/>
        </w:numPr>
        <w:tabs>
          <w:tab w:pos="842" w:val="left" w:leader="none"/>
        </w:tabs>
        <w:spacing w:line="240" w:lineRule="auto" w:before="6" w:after="0"/>
        <w:ind w:left="842" w:right="0" w:hanging="360"/>
        <w:jc w:val="left"/>
        <w:rPr>
          <w:sz w:val="24"/>
        </w:rPr>
      </w:pPr>
      <w:r>
        <w:rPr>
          <w:sz w:val="24"/>
        </w:rPr>
        <w:t>Mecanismo de evaluación de pares calificados de la comunidad</w:t>
      </w:r>
      <w:r>
        <w:rPr>
          <w:spacing w:val="-14"/>
          <w:sz w:val="24"/>
        </w:rPr>
        <w:t> </w:t>
      </w:r>
      <w:r>
        <w:rPr>
          <w:sz w:val="24"/>
        </w:rPr>
        <w:t>académica.</w:t>
      </w:r>
    </w:p>
    <w:p>
      <w:pPr>
        <w:pStyle w:val="BodyText"/>
      </w:pPr>
    </w:p>
    <w:p>
      <w:pPr>
        <w:pStyle w:val="BodyText"/>
      </w:pPr>
    </w:p>
    <w:p>
      <w:pPr>
        <w:pStyle w:val="BodyText"/>
        <w:spacing w:line="360" w:lineRule="auto"/>
        <w:ind w:left="122" w:right="122"/>
        <w:jc w:val="both"/>
      </w:pPr>
      <w:r>
        <w:rPr/>
        <w:t>En 1991, la CONPES crea los Comités Interinstitucionales para la Evaluación de la Educación Superior (CIEES), como organismos de carácter no gubernamental. Las principales funciones asignadas a los CIEES fueron (COPAES, 2013):</w:t>
      </w:r>
    </w:p>
    <w:p>
      <w:pPr>
        <w:pStyle w:val="ListParagraph"/>
        <w:numPr>
          <w:ilvl w:val="0"/>
          <w:numId w:val="56"/>
        </w:numPr>
        <w:tabs>
          <w:tab w:pos="842" w:val="left" w:leader="none"/>
        </w:tabs>
        <w:spacing w:line="240" w:lineRule="auto" w:before="4" w:after="0"/>
        <w:ind w:left="842" w:right="0" w:hanging="360"/>
        <w:jc w:val="left"/>
        <w:rPr>
          <w:sz w:val="24"/>
        </w:rPr>
      </w:pPr>
      <w:r>
        <w:rPr>
          <w:sz w:val="24"/>
        </w:rPr>
        <w:t>Evaluación diagnóstica de programas académicos y funciones institucionales</w:t>
      </w:r>
      <w:r>
        <w:rPr>
          <w:spacing w:val="-17"/>
          <w:sz w:val="24"/>
        </w:rPr>
        <w:t> </w:t>
      </w:r>
      <w:r>
        <w:rPr>
          <w:sz w:val="24"/>
        </w:rPr>
        <w:t>y</w:t>
      </w:r>
    </w:p>
    <w:p>
      <w:pPr>
        <w:pStyle w:val="ListParagraph"/>
        <w:numPr>
          <w:ilvl w:val="0"/>
          <w:numId w:val="56"/>
        </w:numPr>
        <w:tabs>
          <w:tab w:pos="842" w:val="left" w:leader="none"/>
        </w:tabs>
        <w:spacing w:line="240" w:lineRule="auto" w:before="139" w:after="0"/>
        <w:ind w:left="842" w:right="0" w:hanging="360"/>
        <w:jc w:val="left"/>
        <w:rPr>
          <w:sz w:val="24"/>
        </w:rPr>
      </w:pPr>
      <w:r>
        <w:rPr>
          <w:sz w:val="24"/>
        </w:rPr>
        <w:t>Acreditación de programas y unidades</w:t>
      </w:r>
      <w:r>
        <w:rPr>
          <w:spacing w:val="-11"/>
          <w:sz w:val="24"/>
        </w:rPr>
        <w:t> </w:t>
      </w:r>
      <w:r>
        <w:rPr>
          <w:sz w:val="24"/>
        </w:rPr>
        <w:t>académicas.</w:t>
      </w:r>
    </w:p>
    <w:p>
      <w:pPr>
        <w:pStyle w:val="BodyText"/>
        <w:spacing w:before="6"/>
        <w:rPr>
          <w:sz w:val="17"/>
        </w:rPr>
      </w:pPr>
      <w:r>
        <w:rPr/>
        <w:pict>
          <v:line style="position:absolute;mso-position-horizontal-relative:page;mso-position-vertical-relative:paragraph;z-index:2536;mso-wrap-distance-left:0;mso-wrap-distance-right:0" from="85.103996pt,12.40431pt" to="229.123996pt,12.40431pt" stroked="true" strokeweight=".71997pt" strokecolor="#000000">
            <w10:wrap type="topAndBottom"/>
          </v:line>
        </w:pict>
      </w:r>
    </w:p>
    <w:p>
      <w:pPr>
        <w:spacing w:before="42"/>
        <w:ind w:left="122" w:right="234" w:firstLine="0"/>
        <w:jc w:val="left"/>
        <w:rPr>
          <w:sz w:val="20"/>
        </w:rPr>
      </w:pPr>
      <w:r>
        <w:rPr>
          <w:position w:val="9"/>
          <w:sz w:val="13"/>
        </w:rPr>
        <w:t>14 </w:t>
      </w:r>
      <w:r>
        <w:rPr>
          <w:sz w:val="20"/>
        </w:rPr>
        <w:t>La evaluación educativa es considerada como la comparación de elementos para saber lo que estaba bien o mal (McDonald, 1995). Acreditación educativa se define como un proceso para garantizar la calidad de una institución o de un programa educativo (CONEAU, 2013)</w:t>
      </w:r>
    </w:p>
    <w:p>
      <w:pPr>
        <w:spacing w:after="0"/>
        <w:jc w:val="left"/>
        <w:rPr>
          <w:sz w:val="20"/>
        </w:rPr>
        <w:sectPr>
          <w:pgSz w:w="12240" w:h="15840"/>
          <w:pgMar w:header="0" w:footer="1003" w:top="1360" w:bottom="1200" w:left="1580" w:right="1580"/>
        </w:sectPr>
      </w:pPr>
    </w:p>
    <w:p>
      <w:pPr>
        <w:pStyle w:val="BodyText"/>
        <w:spacing w:line="360" w:lineRule="auto" w:before="50"/>
        <w:ind w:left="102" w:right="113"/>
        <w:jc w:val="both"/>
      </w:pPr>
      <w:r>
        <w:rPr/>
        <w:t>En la actualidad los CIEES están conformados por nueve comités: Arquitectura, Diseño y Urbanismo; Ciencias Naturales y Exactas; Ciencias Agropecuarias; Ciencias de la Salud; Ciencias Sociales y Administrativas; Artes, Educación y Humanidades; Ingeniería y Tecnología; Difusión, Vinculación, y Extensión de la Cultura y Administración y Gestión Institucional (COPAES, 2013).</w:t>
      </w:r>
    </w:p>
    <w:p>
      <w:pPr>
        <w:pStyle w:val="BodyText"/>
      </w:pPr>
    </w:p>
    <w:p>
      <w:pPr>
        <w:pStyle w:val="Heading3"/>
        <w:numPr>
          <w:ilvl w:val="0"/>
          <w:numId w:val="57"/>
        </w:numPr>
        <w:tabs>
          <w:tab w:pos="362" w:val="left" w:leader="none"/>
        </w:tabs>
        <w:spacing w:line="240" w:lineRule="auto" w:before="148" w:after="0"/>
        <w:ind w:left="361" w:right="0" w:hanging="259"/>
        <w:jc w:val="both"/>
      </w:pPr>
      <w:r>
        <w:rPr/>
        <w:t>Educación  superior en el sector</w:t>
      </w:r>
      <w:r>
        <w:rPr>
          <w:spacing w:val="-9"/>
        </w:rPr>
        <w:t> </w:t>
      </w:r>
      <w:r>
        <w:rPr/>
        <w:t>privado</w:t>
      </w:r>
    </w:p>
    <w:p>
      <w:pPr>
        <w:pStyle w:val="BodyText"/>
        <w:rPr>
          <w:b/>
        </w:rPr>
      </w:pPr>
    </w:p>
    <w:p>
      <w:pPr>
        <w:pStyle w:val="BodyText"/>
        <w:rPr>
          <w:b/>
        </w:rPr>
      </w:pPr>
    </w:p>
    <w:p>
      <w:pPr>
        <w:pStyle w:val="BodyText"/>
        <w:spacing w:line="360" w:lineRule="auto" w:before="197"/>
        <w:ind w:left="102" w:right="117"/>
        <w:jc w:val="both"/>
      </w:pPr>
      <w:r>
        <w:rPr/>
        <w:t>En el sector privado en el año 1982, se crea la Federación de Instituciones Mexicanas Particulares de Educación Superior (FIMPES), sin embargo la acreditación y la evaluación de las IES privadas inician unos años después, la primera acreditación se otorgó en 1996 (FIMPES, 2013). La FIMPES es una asociación civil sin fines de lucro y de libre afiliación, integrada por 110 instituciones de educación superior. Tiene como propósito mejorar la comunicación y colaboración de éstas entre sí y con las demás instituciones educativas del país, respetando las finalidades particulares de cada una, para que sus miembros puedan cumplir mejor la responsabilidad de servir a la nación (FIMPES, 2013).</w:t>
      </w:r>
    </w:p>
    <w:p>
      <w:pPr>
        <w:pStyle w:val="BodyText"/>
      </w:pPr>
    </w:p>
    <w:p>
      <w:pPr>
        <w:pStyle w:val="BodyText"/>
        <w:spacing w:before="2"/>
        <w:rPr>
          <w:sz w:val="30"/>
        </w:rPr>
      </w:pPr>
    </w:p>
    <w:p>
      <w:pPr>
        <w:pStyle w:val="Heading3"/>
        <w:numPr>
          <w:ilvl w:val="0"/>
          <w:numId w:val="57"/>
        </w:numPr>
        <w:tabs>
          <w:tab w:pos="376" w:val="left" w:leader="none"/>
        </w:tabs>
        <w:spacing w:line="240" w:lineRule="auto" w:before="0" w:after="0"/>
        <w:ind w:left="375" w:right="0" w:hanging="273"/>
        <w:jc w:val="both"/>
      </w:pPr>
      <w:r>
        <w:rPr/>
        <w:t>Financiamiento de la educación</w:t>
      </w:r>
      <w:r>
        <w:rPr>
          <w:spacing w:val="-10"/>
        </w:rPr>
        <w:t> </w:t>
      </w:r>
      <w:r>
        <w:rPr/>
        <w:t>superior</w:t>
      </w:r>
    </w:p>
    <w:p>
      <w:pPr>
        <w:pStyle w:val="BodyText"/>
        <w:rPr>
          <w:b/>
        </w:rPr>
      </w:pPr>
    </w:p>
    <w:p>
      <w:pPr>
        <w:pStyle w:val="BodyText"/>
        <w:spacing w:before="6"/>
        <w:rPr>
          <w:b/>
          <w:sz w:val="23"/>
        </w:rPr>
      </w:pPr>
    </w:p>
    <w:p>
      <w:pPr>
        <w:pStyle w:val="BodyText"/>
        <w:spacing w:line="360" w:lineRule="auto"/>
        <w:ind w:left="102" w:right="116"/>
        <w:jc w:val="both"/>
      </w:pPr>
      <w:r>
        <w:rPr/>
        <w:t>Aunado a la evaluación y acreditación de las IES tanto públicas como privadas, se crean programas y proyectos para asignar recursos económicos. En 1990 se instaura el Fondo  para la Modernidad de la Educación Superior (FORMS); en 1995 nace el Programa de Apoyo a la Investigación Científica (PAIC), el cual en 1998 cambia su nombre a Programa de Apoyo al Desarrollo Universitario (PROADU); en 2001 la SEP instituyó el Programa Integral de Fortalecimiento Institucional, el cual estaba contenido dentro del PROADU, en ese mismo año se presentó el Programa Nacional de Educación 2001-2006, en el que se reitera que el desarrollo del país requiere de una mayor cobertura con equidad y calidad de la educación, con especial énfasis en la integración, coordinación y gestión del sistema de educación superior (SES-SEP,</w:t>
      </w:r>
      <w:r>
        <w:rPr>
          <w:spacing w:val="-4"/>
        </w:rPr>
        <w:t> </w:t>
      </w:r>
      <w:r>
        <w:rPr/>
        <w:t>2013).</w:t>
      </w:r>
    </w:p>
    <w:p>
      <w:pPr>
        <w:spacing w:after="0" w:line="360" w:lineRule="auto"/>
        <w:jc w:val="both"/>
        <w:sectPr>
          <w:pgSz w:w="12240" w:h="15840"/>
          <w:pgMar w:header="0" w:footer="1003" w:top="1360" w:bottom="1200" w:left="1600" w:right="1580"/>
        </w:sectPr>
      </w:pPr>
    </w:p>
    <w:p>
      <w:pPr>
        <w:pStyle w:val="BodyText"/>
        <w:spacing w:line="360" w:lineRule="auto" w:before="50"/>
        <w:ind w:left="102" w:right="117"/>
        <w:jc w:val="both"/>
      </w:pPr>
      <w:r>
        <w:rPr/>
        <w:t>El PROADU y su Programa Integral de Fortalecimiento Institucional siguen vigentes. Sus objetivos estratégicos como son (SES-SEP, 2013):</w:t>
      </w:r>
    </w:p>
    <w:p>
      <w:pPr>
        <w:pStyle w:val="BodyText"/>
        <w:spacing w:line="360" w:lineRule="auto" w:before="205"/>
        <w:ind w:left="102" w:right="123"/>
        <w:jc w:val="both"/>
      </w:pPr>
      <w:r>
        <w:rPr/>
        <w:t>a).- Promover y consolidar la calidad, para lo cual es importante apuntalar los procesos de evaluación, fortalecer la formación y el desarrollo del personal académico, y adecuar la infraestructura para el trabajo académico.</w:t>
      </w:r>
    </w:p>
    <w:p>
      <w:pPr>
        <w:pStyle w:val="BodyText"/>
        <w:spacing w:line="360" w:lineRule="auto" w:before="205"/>
        <w:ind w:left="102" w:right="113"/>
        <w:jc w:val="both"/>
      </w:pPr>
      <w:r>
        <w:rPr/>
        <w:t>b).- Promover la pertinencia de la educación superior prestando mayor atención a las necesidades sociales, culturales y económicas, regionales y nacionales, estimulando la vinculación con los sectores productivos en los procesos de enseñanza, investigación y transferencia tecnológica.</w:t>
      </w:r>
    </w:p>
    <w:p>
      <w:pPr>
        <w:pStyle w:val="BodyText"/>
        <w:spacing w:line="360" w:lineRule="auto" w:before="205"/>
        <w:ind w:left="102" w:right="119"/>
        <w:jc w:val="both"/>
      </w:pPr>
      <w:r>
        <w:rPr/>
        <w:t>c).- Estimular la organización y coordinación del sistema, buscando mecanismos que fomenten la generación de nuevas fuentes de financiamiento, así como estrategias que permitan el uso óptimo de los recursos públicos y mejorar los marcos normativos de las instituciones.</w:t>
      </w:r>
    </w:p>
    <w:p>
      <w:pPr>
        <w:pStyle w:val="BodyText"/>
        <w:spacing w:line="360" w:lineRule="auto" w:before="205"/>
        <w:ind w:left="102" w:right="124"/>
        <w:jc w:val="both"/>
      </w:pPr>
      <w:r>
        <w:rPr/>
        <w:t>d).- Desarrollar estrategias innovadoras y creativas que permitan diversificar la oferta de programas educativos y elevar su calidad.</w:t>
      </w:r>
    </w:p>
    <w:p>
      <w:pPr>
        <w:pStyle w:val="BodyText"/>
      </w:pPr>
    </w:p>
    <w:p>
      <w:pPr>
        <w:pStyle w:val="BodyText"/>
        <w:spacing w:line="360" w:lineRule="auto" w:before="143"/>
        <w:ind w:left="102" w:right="122"/>
        <w:jc w:val="both"/>
      </w:pPr>
      <w:r>
        <w:rPr/>
        <w:t>El PROADU considera el apoyo a las actividades relacionadas con los proyectos universitarios, con base en los subprogramas siguientes (SES-SEP, 2013):</w:t>
      </w:r>
    </w:p>
    <w:p>
      <w:pPr>
        <w:pStyle w:val="ListParagraph"/>
        <w:numPr>
          <w:ilvl w:val="1"/>
          <w:numId w:val="57"/>
        </w:numPr>
        <w:tabs>
          <w:tab w:pos="821" w:val="left" w:leader="none"/>
          <w:tab w:pos="822" w:val="left" w:leader="none"/>
        </w:tabs>
        <w:spacing w:line="240" w:lineRule="auto" w:before="3" w:after="0"/>
        <w:ind w:left="822" w:right="0" w:hanging="360"/>
        <w:jc w:val="left"/>
        <w:rPr>
          <w:sz w:val="24"/>
        </w:rPr>
      </w:pPr>
      <w:r>
        <w:rPr>
          <w:sz w:val="24"/>
        </w:rPr>
        <w:t>Apoyo a la sistematización y mejora de los métodos de educación y</w:t>
      </w:r>
      <w:r>
        <w:rPr>
          <w:spacing w:val="-12"/>
          <w:sz w:val="24"/>
        </w:rPr>
        <w:t> </w:t>
      </w:r>
      <w:r>
        <w:rPr>
          <w:sz w:val="24"/>
        </w:rPr>
        <w:t>evaluación,</w:t>
      </w:r>
    </w:p>
    <w:p>
      <w:pPr>
        <w:pStyle w:val="ListParagraph"/>
        <w:numPr>
          <w:ilvl w:val="1"/>
          <w:numId w:val="57"/>
        </w:numPr>
        <w:tabs>
          <w:tab w:pos="821" w:val="left" w:leader="none"/>
          <w:tab w:pos="822" w:val="left" w:leader="none"/>
        </w:tabs>
        <w:spacing w:line="240" w:lineRule="auto" w:before="138" w:after="0"/>
        <w:ind w:left="822" w:right="0" w:hanging="360"/>
        <w:jc w:val="left"/>
        <w:rPr>
          <w:sz w:val="24"/>
        </w:rPr>
      </w:pPr>
      <w:r>
        <w:rPr>
          <w:sz w:val="24"/>
        </w:rPr>
        <w:t>Apoyo a la difusión y extensión de la</w:t>
      </w:r>
      <w:r>
        <w:rPr>
          <w:spacing w:val="-10"/>
          <w:sz w:val="24"/>
        </w:rPr>
        <w:t> </w:t>
      </w:r>
      <w:r>
        <w:rPr>
          <w:sz w:val="24"/>
        </w:rPr>
        <w:t>cultura,</w:t>
      </w:r>
    </w:p>
    <w:p>
      <w:pPr>
        <w:pStyle w:val="ListParagraph"/>
        <w:numPr>
          <w:ilvl w:val="1"/>
          <w:numId w:val="57"/>
        </w:numPr>
        <w:tabs>
          <w:tab w:pos="821" w:val="left" w:leader="none"/>
          <w:tab w:pos="822" w:val="left" w:leader="none"/>
        </w:tabs>
        <w:spacing w:line="240" w:lineRule="auto" w:before="138" w:after="0"/>
        <w:ind w:left="822" w:right="0" w:hanging="360"/>
        <w:jc w:val="left"/>
        <w:rPr>
          <w:sz w:val="24"/>
        </w:rPr>
      </w:pPr>
      <w:r>
        <w:rPr>
          <w:sz w:val="24"/>
        </w:rPr>
        <w:t>Apoyo al mejoramiento operativo de bibliotecas y centros de</w:t>
      </w:r>
      <w:r>
        <w:rPr>
          <w:spacing w:val="-16"/>
          <w:sz w:val="24"/>
        </w:rPr>
        <w:t> </w:t>
      </w:r>
      <w:r>
        <w:rPr>
          <w:sz w:val="24"/>
        </w:rPr>
        <w:t>información,</w:t>
      </w:r>
    </w:p>
    <w:p>
      <w:pPr>
        <w:pStyle w:val="ListParagraph"/>
        <w:numPr>
          <w:ilvl w:val="1"/>
          <w:numId w:val="57"/>
        </w:numPr>
        <w:tabs>
          <w:tab w:pos="821" w:val="left" w:leader="none"/>
          <w:tab w:pos="822" w:val="left" w:leader="none"/>
        </w:tabs>
        <w:spacing w:line="240" w:lineRule="auto" w:before="135" w:after="0"/>
        <w:ind w:left="822" w:right="0" w:hanging="360"/>
        <w:jc w:val="left"/>
        <w:rPr>
          <w:sz w:val="24"/>
        </w:rPr>
      </w:pPr>
      <w:r>
        <w:rPr>
          <w:sz w:val="24"/>
        </w:rPr>
        <w:t>Apoyo para mejorar la pertinencia de los planes de estudio,</w:t>
      </w:r>
      <w:r>
        <w:rPr>
          <w:spacing w:val="-8"/>
          <w:sz w:val="24"/>
        </w:rPr>
        <w:t> </w:t>
      </w:r>
      <w:r>
        <w:rPr>
          <w:sz w:val="24"/>
        </w:rPr>
        <w:t>y</w:t>
      </w:r>
    </w:p>
    <w:p>
      <w:pPr>
        <w:pStyle w:val="ListParagraph"/>
        <w:numPr>
          <w:ilvl w:val="1"/>
          <w:numId w:val="57"/>
        </w:numPr>
        <w:tabs>
          <w:tab w:pos="821" w:val="left" w:leader="none"/>
          <w:tab w:pos="822" w:val="left" w:leader="none"/>
        </w:tabs>
        <w:spacing w:line="240" w:lineRule="auto" w:before="138" w:after="0"/>
        <w:ind w:left="822" w:right="0" w:hanging="360"/>
        <w:jc w:val="left"/>
        <w:rPr>
          <w:sz w:val="24"/>
        </w:rPr>
      </w:pPr>
      <w:r>
        <w:rPr>
          <w:sz w:val="24"/>
        </w:rPr>
        <w:t>Formación de recursos</w:t>
      </w:r>
      <w:r>
        <w:rPr>
          <w:spacing w:val="-6"/>
          <w:sz w:val="24"/>
        </w:rPr>
        <w:t> </w:t>
      </w:r>
      <w:r>
        <w:rPr>
          <w:sz w:val="24"/>
        </w:rPr>
        <w:t>humanos.</w:t>
      </w:r>
    </w:p>
    <w:p>
      <w:pPr>
        <w:pStyle w:val="BodyText"/>
      </w:pPr>
    </w:p>
    <w:p>
      <w:pPr>
        <w:pStyle w:val="BodyText"/>
        <w:spacing w:before="4"/>
      </w:pPr>
    </w:p>
    <w:p>
      <w:pPr>
        <w:pStyle w:val="Heading3"/>
        <w:numPr>
          <w:ilvl w:val="0"/>
          <w:numId w:val="57"/>
        </w:numPr>
        <w:tabs>
          <w:tab w:pos="347" w:val="left" w:leader="none"/>
        </w:tabs>
        <w:spacing w:line="240" w:lineRule="auto" w:before="0" w:after="0"/>
        <w:ind w:left="346" w:right="0" w:hanging="244"/>
        <w:jc w:val="both"/>
      </w:pPr>
      <w:r>
        <w:rPr/>
        <w:t>Evaluación a</w:t>
      </w:r>
      <w:r>
        <w:rPr>
          <w:spacing w:val="-3"/>
        </w:rPr>
        <w:t> </w:t>
      </w:r>
      <w:r>
        <w:rPr/>
        <w:t>alumnos</w:t>
      </w:r>
    </w:p>
    <w:p>
      <w:pPr>
        <w:pStyle w:val="BodyText"/>
        <w:rPr>
          <w:b/>
        </w:rPr>
      </w:pPr>
    </w:p>
    <w:p>
      <w:pPr>
        <w:pStyle w:val="BodyText"/>
        <w:spacing w:before="6"/>
        <w:rPr>
          <w:b/>
          <w:sz w:val="23"/>
        </w:rPr>
      </w:pPr>
    </w:p>
    <w:p>
      <w:pPr>
        <w:pStyle w:val="BodyText"/>
        <w:spacing w:line="360" w:lineRule="auto"/>
        <w:ind w:left="102" w:right="121"/>
        <w:jc w:val="both"/>
      </w:pPr>
      <w:r>
        <w:rPr/>
        <w:t>Sumándose a todos estos esfuerzos por mejorar la calidad educativa de nivel superior, en 1994 nace el Centro Nacional de Evaluación para la Educación Superior (CENEVAL) cuyas  principales  tareas  comprenden  exámenes  generales  para  ingreso  al  nivel </w:t>
      </w:r>
      <w:r>
        <w:rPr>
          <w:spacing w:val="51"/>
        </w:rPr>
        <w:t> </w:t>
      </w:r>
      <w:r>
        <w:rPr/>
        <w:t>medio</w:t>
      </w:r>
    </w:p>
    <w:p>
      <w:pPr>
        <w:spacing w:after="0" w:line="360" w:lineRule="auto"/>
        <w:jc w:val="both"/>
        <w:sectPr>
          <w:footerReference w:type="default" r:id="rId60"/>
          <w:pgSz w:w="12240" w:h="15840"/>
          <w:pgMar w:footer="1003" w:header="0" w:top="1360" w:bottom="1200" w:left="1600" w:right="1580"/>
        </w:sectPr>
      </w:pPr>
    </w:p>
    <w:p>
      <w:pPr>
        <w:pStyle w:val="BodyText"/>
        <w:spacing w:line="345" w:lineRule="auto" w:before="50"/>
        <w:ind w:left="122" w:right="178"/>
        <w:jc w:val="both"/>
      </w:pPr>
      <w:r>
        <w:rPr/>
        <w:t>superior (EXANI-I®) y licenciatura (EXANI-II® y EXANI-III®) (CENEVAL, 2013) además de ser responsable de la acreditación de los exámenes generales de licenciatura (EGEL®  y  EGAL®) </w:t>
      </w:r>
      <w:r>
        <w:rPr>
          <w:position w:val="11"/>
          <w:sz w:val="16"/>
        </w:rPr>
        <w:t>15  </w:t>
      </w:r>
      <w:r>
        <w:rPr/>
        <w:t>(CENEVAL,  2013).  Las  personas  interesadas  en  presentar  los</w:t>
      </w:r>
    </w:p>
    <w:p>
      <w:pPr>
        <w:pStyle w:val="BodyText"/>
        <w:spacing w:line="360" w:lineRule="auto" w:before="5"/>
        <w:ind w:left="122" w:right="183"/>
        <w:jc w:val="both"/>
      </w:pPr>
      <w:r>
        <w:rPr/>
        <w:t>exámenes de ingreso tanto al nivel medio superior como superior pueden también presentar los exámenes PRE EXANI-I® y PRE EXANI-II® respectivamente.</w:t>
      </w:r>
    </w:p>
    <w:p>
      <w:pPr>
        <w:pStyle w:val="BodyText"/>
        <w:spacing w:before="205"/>
        <w:ind w:left="122"/>
        <w:jc w:val="both"/>
      </w:pPr>
      <w:r>
        <w:rPr/>
        <w:t>La acreditación EGAL® comprende las licenciaturas siguientes (CENEVAL, 2013):</w:t>
      </w:r>
    </w:p>
    <w:p>
      <w:pPr>
        <w:pStyle w:val="BodyText"/>
        <w:rPr>
          <w:sz w:val="20"/>
        </w:rPr>
      </w:pPr>
    </w:p>
    <w:p>
      <w:pPr>
        <w:pStyle w:val="BodyText"/>
        <w:spacing w:before="1"/>
        <w:rPr>
          <w:sz w:val="12"/>
        </w:rPr>
      </w:pPr>
    </w:p>
    <w:tbl>
      <w:tblPr>
        <w:tblW w:w="0" w:type="auto"/>
        <w:jc w:val="left"/>
        <w:tblInd w:w="28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46"/>
        <w:gridCol w:w="4399"/>
      </w:tblGrid>
      <w:tr>
        <w:trPr>
          <w:trHeight w:val="6865" w:hRule="exact"/>
        </w:trPr>
        <w:tc>
          <w:tcPr>
            <w:tcW w:w="4346" w:type="dxa"/>
          </w:tcPr>
          <w:p>
            <w:pPr>
              <w:pStyle w:val="TableParagraph"/>
              <w:numPr>
                <w:ilvl w:val="0"/>
                <w:numId w:val="58"/>
              </w:numPr>
              <w:tabs>
                <w:tab w:pos="559" w:val="left" w:leader="none"/>
                <w:tab w:pos="560" w:val="left" w:leader="none"/>
              </w:tabs>
              <w:spacing w:line="245" w:lineRule="exact" w:before="0" w:after="0"/>
              <w:ind w:left="560" w:right="0" w:hanging="360"/>
              <w:jc w:val="left"/>
              <w:rPr>
                <w:sz w:val="24"/>
              </w:rPr>
            </w:pPr>
            <w:r>
              <w:rPr>
                <w:sz w:val="24"/>
              </w:rPr>
              <w:t>Administración</w:t>
            </w:r>
          </w:p>
          <w:p>
            <w:pPr>
              <w:pStyle w:val="TableParagraph"/>
              <w:numPr>
                <w:ilvl w:val="0"/>
                <w:numId w:val="58"/>
              </w:numPr>
              <w:tabs>
                <w:tab w:pos="559" w:val="left" w:leader="none"/>
                <w:tab w:pos="560" w:val="left" w:leader="none"/>
              </w:tabs>
              <w:spacing w:line="240" w:lineRule="auto" w:before="137" w:after="0"/>
              <w:ind w:left="560" w:right="0" w:hanging="360"/>
              <w:jc w:val="left"/>
              <w:rPr>
                <w:sz w:val="24"/>
              </w:rPr>
            </w:pPr>
            <w:r>
              <w:rPr>
                <w:sz w:val="24"/>
              </w:rPr>
              <w:t>Biología</w:t>
            </w:r>
          </w:p>
          <w:p>
            <w:pPr>
              <w:pStyle w:val="TableParagraph"/>
              <w:numPr>
                <w:ilvl w:val="0"/>
                <w:numId w:val="58"/>
              </w:numPr>
              <w:tabs>
                <w:tab w:pos="559" w:val="left" w:leader="none"/>
                <w:tab w:pos="560" w:val="left" w:leader="none"/>
              </w:tabs>
              <w:spacing w:line="240" w:lineRule="auto" w:before="140" w:after="0"/>
              <w:ind w:left="560" w:right="0" w:hanging="360"/>
              <w:jc w:val="left"/>
              <w:rPr>
                <w:sz w:val="24"/>
              </w:rPr>
            </w:pPr>
            <w:r>
              <w:rPr>
                <w:sz w:val="24"/>
              </w:rPr>
              <w:t>Ciencias</w:t>
            </w:r>
            <w:r>
              <w:rPr>
                <w:spacing w:val="-7"/>
                <w:sz w:val="24"/>
              </w:rPr>
              <w:t> </w:t>
            </w:r>
            <w:r>
              <w:rPr>
                <w:sz w:val="24"/>
              </w:rPr>
              <w:t>Agrícolas</w:t>
            </w:r>
          </w:p>
          <w:p>
            <w:pPr>
              <w:pStyle w:val="TableParagraph"/>
              <w:numPr>
                <w:ilvl w:val="0"/>
                <w:numId w:val="58"/>
              </w:numPr>
              <w:tabs>
                <w:tab w:pos="559" w:val="left" w:leader="none"/>
                <w:tab w:pos="560" w:val="left" w:leader="none"/>
              </w:tabs>
              <w:spacing w:line="240" w:lineRule="auto" w:before="137" w:after="0"/>
              <w:ind w:left="560" w:right="0" w:hanging="360"/>
              <w:jc w:val="left"/>
              <w:rPr>
                <w:sz w:val="24"/>
              </w:rPr>
            </w:pPr>
            <w:r>
              <w:rPr>
                <w:sz w:val="24"/>
              </w:rPr>
              <w:t>Ciencias</w:t>
            </w:r>
            <w:r>
              <w:rPr>
                <w:spacing w:val="-6"/>
                <w:sz w:val="24"/>
              </w:rPr>
              <w:t> </w:t>
            </w:r>
            <w:r>
              <w:rPr>
                <w:sz w:val="24"/>
              </w:rPr>
              <w:t>Computacionales</w:t>
            </w:r>
          </w:p>
          <w:p>
            <w:pPr>
              <w:pStyle w:val="TableParagraph"/>
              <w:numPr>
                <w:ilvl w:val="0"/>
                <w:numId w:val="58"/>
              </w:numPr>
              <w:tabs>
                <w:tab w:pos="559" w:val="left" w:leader="none"/>
                <w:tab w:pos="560" w:val="left" w:leader="none"/>
              </w:tabs>
              <w:spacing w:line="240" w:lineRule="auto" w:before="139" w:after="0"/>
              <w:ind w:left="560" w:right="0" w:hanging="360"/>
              <w:jc w:val="left"/>
              <w:rPr>
                <w:sz w:val="24"/>
              </w:rPr>
            </w:pPr>
            <w:r>
              <w:rPr>
                <w:sz w:val="24"/>
              </w:rPr>
              <w:t>Ciencias de la</w:t>
            </w:r>
            <w:r>
              <w:rPr>
                <w:spacing w:val="-5"/>
                <w:sz w:val="24"/>
              </w:rPr>
              <w:t> </w:t>
            </w:r>
            <w:r>
              <w:rPr>
                <w:sz w:val="24"/>
              </w:rPr>
              <w:t>Comunicación</w:t>
            </w:r>
          </w:p>
          <w:p>
            <w:pPr>
              <w:pStyle w:val="TableParagraph"/>
              <w:numPr>
                <w:ilvl w:val="0"/>
                <w:numId w:val="58"/>
              </w:numPr>
              <w:tabs>
                <w:tab w:pos="559" w:val="left" w:leader="none"/>
                <w:tab w:pos="560" w:val="left" w:leader="none"/>
              </w:tabs>
              <w:spacing w:line="240" w:lineRule="auto" w:before="137" w:after="0"/>
              <w:ind w:left="560" w:right="0" w:hanging="360"/>
              <w:jc w:val="left"/>
              <w:rPr>
                <w:sz w:val="24"/>
              </w:rPr>
            </w:pPr>
            <w:r>
              <w:rPr>
                <w:sz w:val="24"/>
              </w:rPr>
              <w:t>Comercio/Negocios</w:t>
            </w:r>
            <w:r>
              <w:rPr>
                <w:spacing w:val="-11"/>
                <w:sz w:val="24"/>
              </w:rPr>
              <w:t> </w:t>
            </w:r>
            <w:r>
              <w:rPr>
                <w:sz w:val="24"/>
              </w:rPr>
              <w:t>Internacionales</w:t>
            </w:r>
          </w:p>
          <w:p>
            <w:pPr>
              <w:pStyle w:val="TableParagraph"/>
              <w:numPr>
                <w:ilvl w:val="0"/>
                <w:numId w:val="58"/>
              </w:numPr>
              <w:tabs>
                <w:tab w:pos="559" w:val="left" w:leader="none"/>
                <w:tab w:pos="560" w:val="left" w:leader="none"/>
              </w:tabs>
              <w:spacing w:line="240" w:lineRule="auto" w:before="139" w:after="0"/>
              <w:ind w:left="560" w:right="0" w:hanging="360"/>
              <w:jc w:val="left"/>
              <w:rPr>
                <w:sz w:val="24"/>
              </w:rPr>
            </w:pPr>
            <w:r>
              <w:rPr>
                <w:sz w:val="24"/>
              </w:rPr>
              <w:t>Contaduría</w:t>
            </w:r>
          </w:p>
          <w:p>
            <w:pPr>
              <w:pStyle w:val="TableParagraph"/>
              <w:numPr>
                <w:ilvl w:val="0"/>
                <w:numId w:val="58"/>
              </w:numPr>
              <w:tabs>
                <w:tab w:pos="559" w:val="left" w:leader="none"/>
                <w:tab w:pos="560" w:val="left" w:leader="none"/>
              </w:tabs>
              <w:spacing w:line="240" w:lineRule="auto" w:before="137" w:after="0"/>
              <w:ind w:left="560" w:right="0" w:hanging="360"/>
              <w:jc w:val="left"/>
              <w:rPr>
                <w:sz w:val="24"/>
              </w:rPr>
            </w:pPr>
            <w:r>
              <w:rPr>
                <w:sz w:val="24"/>
              </w:rPr>
              <w:t>Derecho</w:t>
            </w:r>
          </w:p>
          <w:p>
            <w:pPr>
              <w:pStyle w:val="TableParagraph"/>
              <w:numPr>
                <w:ilvl w:val="0"/>
                <w:numId w:val="58"/>
              </w:numPr>
              <w:tabs>
                <w:tab w:pos="559" w:val="left" w:leader="none"/>
                <w:tab w:pos="560" w:val="left" w:leader="none"/>
              </w:tabs>
              <w:spacing w:line="240" w:lineRule="auto" w:before="139" w:after="0"/>
              <w:ind w:left="560" w:right="0" w:hanging="360"/>
              <w:jc w:val="left"/>
              <w:rPr>
                <w:sz w:val="24"/>
              </w:rPr>
            </w:pPr>
            <w:r>
              <w:rPr>
                <w:sz w:val="24"/>
              </w:rPr>
              <w:t>Economía</w:t>
            </w:r>
          </w:p>
          <w:p>
            <w:pPr>
              <w:pStyle w:val="TableParagraph"/>
              <w:numPr>
                <w:ilvl w:val="0"/>
                <w:numId w:val="58"/>
              </w:numPr>
              <w:tabs>
                <w:tab w:pos="559" w:val="left" w:leader="none"/>
                <w:tab w:pos="560" w:val="left" w:leader="none"/>
              </w:tabs>
              <w:spacing w:line="240" w:lineRule="auto" w:before="137" w:after="0"/>
              <w:ind w:left="560" w:right="0" w:hanging="360"/>
              <w:jc w:val="left"/>
              <w:rPr>
                <w:sz w:val="24"/>
              </w:rPr>
            </w:pPr>
            <w:r>
              <w:rPr>
                <w:sz w:val="24"/>
              </w:rPr>
              <w:t>Enfermería</w:t>
            </w:r>
          </w:p>
          <w:p>
            <w:pPr>
              <w:pStyle w:val="TableParagraph"/>
              <w:numPr>
                <w:ilvl w:val="0"/>
                <w:numId w:val="58"/>
              </w:numPr>
              <w:tabs>
                <w:tab w:pos="559" w:val="left" w:leader="none"/>
                <w:tab w:pos="560" w:val="left" w:leader="none"/>
              </w:tabs>
              <w:spacing w:line="240" w:lineRule="auto" w:before="139" w:after="0"/>
              <w:ind w:left="560" w:right="0" w:hanging="360"/>
              <w:jc w:val="left"/>
              <w:rPr>
                <w:sz w:val="24"/>
              </w:rPr>
            </w:pPr>
            <w:r>
              <w:rPr>
                <w:sz w:val="24"/>
              </w:rPr>
              <w:t>Gastronomía</w:t>
            </w:r>
          </w:p>
          <w:p>
            <w:pPr>
              <w:pStyle w:val="TableParagraph"/>
              <w:numPr>
                <w:ilvl w:val="0"/>
                <w:numId w:val="58"/>
              </w:numPr>
              <w:tabs>
                <w:tab w:pos="559" w:val="left" w:leader="none"/>
                <w:tab w:pos="560" w:val="left" w:leader="none"/>
              </w:tabs>
              <w:spacing w:line="240" w:lineRule="auto" w:before="137" w:after="0"/>
              <w:ind w:left="560" w:right="0" w:hanging="360"/>
              <w:jc w:val="left"/>
              <w:rPr>
                <w:sz w:val="24"/>
              </w:rPr>
            </w:pPr>
            <w:r>
              <w:rPr>
                <w:sz w:val="24"/>
              </w:rPr>
              <w:t>Informática</w:t>
            </w:r>
          </w:p>
          <w:p>
            <w:pPr>
              <w:pStyle w:val="TableParagraph"/>
              <w:numPr>
                <w:ilvl w:val="0"/>
                <w:numId w:val="58"/>
              </w:numPr>
              <w:tabs>
                <w:tab w:pos="559" w:val="left" w:leader="none"/>
                <w:tab w:pos="560" w:val="left" w:leader="none"/>
              </w:tabs>
              <w:spacing w:line="240" w:lineRule="auto" w:before="139" w:after="0"/>
              <w:ind w:left="560" w:right="0" w:hanging="360"/>
              <w:jc w:val="left"/>
              <w:rPr>
                <w:sz w:val="24"/>
              </w:rPr>
            </w:pPr>
            <w:r>
              <w:rPr>
                <w:sz w:val="24"/>
              </w:rPr>
              <w:t>Ingeniería</w:t>
            </w:r>
            <w:r>
              <w:rPr>
                <w:spacing w:val="-5"/>
                <w:sz w:val="24"/>
              </w:rPr>
              <w:t> </w:t>
            </w:r>
            <w:r>
              <w:rPr>
                <w:sz w:val="24"/>
              </w:rPr>
              <w:t>Civil</w:t>
            </w:r>
          </w:p>
          <w:p>
            <w:pPr>
              <w:pStyle w:val="TableParagraph"/>
              <w:numPr>
                <w:ilvl w:val="0"/>
                <w:numId w:val="58"/>
              </w:numPr>
              <w:tabs>
                <w:tab w:pos="559" w:val="left" w:leader="none"/>
                <w:tab w:pos="560" w:val="left" w:leader="none"/>
              </w:tabs>
              <w:spacing w:line="240" w:lineRule="auto" w:before="137" w:after="0"/>
              <w:ind w:left="560" w:right="0" w:hanging="360"/>
              <w:jc w:val="left"/>
              <w:rPr>
                <w:sz w:val="24"/>
              </w:rPr>
            </w:pPr>
            <w:r>
              <w:rPr>
                <w:sz w:val="24"/>
              </w:rPr>
              <w:t>Ingeniería</w:t>
            </w:r>
            <w:r>
              <w:rPr>
                <w:spacing w:val="-4"/>
                <w:sz w:val="24"/>
              </w:rPr>
              <w:t> </w:t>
            </w:r>
            <w:r>
              <w:rPr>
                <w:sz w:val="24"/>
              </w:rPr>
              <w:t>Computacional</w:t>
            </w:r>
          </w:p>
          <w:p>
            <w:pPr>
              <w:pStyle w:val="TableParagraph"/>
              <w:numPr>
                <w:ilvl w:val="0"/>
                <w:numId w:val="58"/>
              </w:numPr>
              <w:tabs>
                <w:tab w:pos="559" w:val="left" w:leader="none"/>
                <w:tab w:pos="560" w:val="left" w:leader="none"/>
              </w:tabs>
              <w:spacing w:line="240" w:lineRule="auto" w:before="139" w:after="0"/>
              <w:ind w:left="560" w:right="0" w:hanging="360"/>
              <w:jc w:val="left"/>
              <w:rPr>
                <w:sz w:val="24"/>
              </w:rPr>
            </w:pPr>
            <w:r>
              <w:rPr>
                <w:sz w:val="24"/>
              </w:rPr>
              <w:t>Ingeniería de</w:t>
            </w:r>
            <w:r>
              <w:rPr>
                <w:spacing w:val="-7"/>
                <w:sz w:val="24"/>
              </w:rPr>
              <w:t> </w:t>
            </w:r>
            <w:r>
              <w:rPr>
                <w:sz w:val="24"/>
              </w:rPr>
              <w:t>Software</w:t>
            </w:r>
          </w:p>
          <w:p>
            <w:pPr>
              <w:pStyle w:val="TableParagraph"/>
              <w:numPr>
                <w:ilvl w:val="0"/>
                <w:numId w:val="58"/>
              </w:numPr>
              <w:tabs>
                <w:tab w:pos="559" w:val="left" w:leader="none"/>
                <w:tab w:pos="560" w:val="left" w:leader="none"/>
              </w:tabs>
              <w:spacing w:line="240" w:lineRule="auto" w:before="137" w:after="0"/>
              <w:ind w:left="560" w:right="0" w:hanging="360"/>
              <w:jc w:val="left"/>
              <w:rPr>
                <w:sz w:val="24"/>
              </w:rPr>
            </w:pPr>
            <w:r>
              <w:rPr>
                <w:sz w:val="24"/>
              </w:rPr>
              <w:t>Ingeniería</w:t>
            </w:r>
            <w:r>
              <w:rPr>
                <w:spacing w:val="-5"/>
                <w:sz w:val="24"/>
              </w:rPr>
              <w:t> </w:t>
            </w:r>
            <w:r>
              <w:rPr>
                <w:sz w:val="24"/>
              </w:rPr>
              <w:t>Eléctrica</w:t>
            </w:r>
          </w:p>
          <w:p>
            <w:pPr>
              <w:pStyle w:val="TableParagraph"/>
              <w:numPr>
                <w:ilvl w:val="0"/>
                <w:numId w:val="58"/>
              </w:numPr>
              <w:tabs>
                <w:tab w:pos="559" w:val="left" w:leader="none"/>
                <w:tab w:pos="560" w:val="left" w:leader="none"/>
              </w:tabs>
              <w:spacing w:line="240" w:lineRule="auto" w:before="139" w:after="0"/>
              <w:ind w:left="560" w:right="0" w:hanging="360"/>
              <w:jc w:val="left"/>
              <w:rPr>
                <w:sz w:val="24"/>
              </w:rPr>
            </w:pPr>
            <w:r>
              <w:rPr>
                <w:sz w:val="24"/>
              </w:rPr>
              <w:t>Ingeniería</w:t>
            </w:r>
            <w:r>
              <w:rPr>
                <w:spacing w:val="-5"/>
                <w:sz w:val="24"/>
              </w:rPr>
              <w:t> </w:t>
            </w:r>
            <w:r>
              <w:rPr>
                <w:sz w:val="24"/>
              </w:rPr>
              <w:t>Electrónica</w:t>
            </w:r>
          </w:p>
        </w:tc>
        <w:tc>
          <w:tcPr>
            <w:tcW w:w="4399" w:type="dxa"/>
          </w:tcPr>
          <w:p>
            <w:pPr>
              <w:pStyle w:val="TableParagraph"/>
              <w:numPr>
                <w:ilvl w:val="0"/>
                <w:numId w:val="59"/>
              </w:numPr>
              <w:tabs>
                <w:tab w:pos="703" w:val="left" w:leader="none"/>
                <w:tab w:pos="704" w:val="left" w:leader="none"/>
              </w:tabs>
              <w:spacing w:line="245" w:lineRule="exact" w:before="0" w:after="0"/>
              <w:ind w:left="703" w:right="0" w:hanging="360"/>
              <w:jc w:val="left"/>
              <w:rPr>
                <w:sz w:val="24"/>
              </w:rPr>
            </w:pPr>
            <w:r>
              <w:rPr>
                <w:sz w:val="24"/>
              </w:rPr>
              <w:t>Ingeniería en</w:t>
            </w:r>
            <w:r>
              <w:rPr>
                <w:spacing w:val="-6"/>
                <w:sz w:val="24"/>
              </w:rPr>
              <w:t> </w:t>
            </w:r>
            <w:r>
              <w:rPr>
                <w:sz w:val="24"/>
              </w:rPr>
              <w:t>Alimentos</w:t>
            </w:r>
          </w:p>
          <w:p>
            <w:pPr>
              <w:pStyle w:val="TableParagraph"/>
              <w:numPr>
                <w:ilvl w:val="0"/>
                <w:numId w:val="59"/>
              </w:numPr>
              <w:tabs>
                <w:tab w:pos="703" w:val="left" w:leader="none"/>
                <w:tab w:pos="704" w:val="left" w:leader="none"/>
              </w:tabs>
              <w:spacing w:line="240" w:lineRule="auto" w:before="137" w:after="0"/>
              <w:ind w:left="703" w:right="0" w:hanging="360"/>
              <w:jc w:val="left"/>
              <w:rPr>
                <w:sz w:val="24"/>
              </w:rPr>
            </w:pPr>
            <w:r>
              <w:rPr>
                <w:sz w:val="24"/>
              </w:rPr>
              <w:t>Ingeniería</w:t>
            </w:r>
            <w:r>
              <w:rPr>
                <w:spacing w:val="-7"/>
                <w:sz w:val="24"/>
              </w:rPr>
              <w:t> </w:t>
            </w:r>
            <w:r>
              <w:rPr>
                <w:sz w:val="24"/>
              </w:rPr>
              <w:t>Industrial</w:t>
            </w:r>
          </w:p>
          <w:p>
            <w:pPr>
              <w:pStyle w:val="TableParagraph"/>
              <w:numPr>
                <w:ilvl w:val="0"/>
                <w:numId w:val="59"/>
              </w:numPr>
              <w:tabs>
                <w:tab w:pos="703" w:val="left" w:leader="none"/>
                <w:tab w:pos="704" w:val="left" w:leader="none"/>
              </w:tabs>
              <w:spacing w:line="240" w:lineRule="auto" w:before="140" w:after="0"/>
              <w:ind w:left="703" w:right="0" w:hanging="360"/>
              <w:jc w:val="left"/>
              <w:rPr>
                <w:sz w:val="24"/>
              </w:rPr>
            </w:pPr>
            <w:r>
              <w:rPr>
                <w:sz w:val="24"/>
              </w:rPr>
              <w:t>Ingeniería</w:t>
            </w:r>
            <w:r>
              <w:rPr>
                <w:spacing w:val="-6"/>
                <w:sz w:val="24"/>
              </w:rPr>
              <w:t> </w:t>
            </w:r>
            <w:r>
              <w:rPr>
                <w:sz w:val="24"/>
              </w:rPr>
              <w:t>Mecánica</w:t>
            </w:r>
          </w:p>
          <w:p>
            <w:pPr>
              <w:pStyle w:val="TableParagraph"/>
              <w:numPr>
                <w:ilvl w:val="0"/>
                <w:numId w:val="59"/>
              </w:numPr>
              <w:tabs>
                <w:tab w:pos="703" w:val="left" w:leader="none"/>
                <w:tab w:pos="704" w:val="left" w:leader="none"/>
              </w:tabs>
              <w:spacing w:line="240" w:lineRule="auto" w:before="137" w:after="0"/>
              <w:ind w:left="703" w:right="0" w:hanging="360"/>
              <w:jc w:val="left"/>
              <w:rPr>
                <w:sz w:val="24"/>
              </w:rPr>
            </w:pPr>
            <w:r>
              <w:rPr>
                <w:sz w:val="24"/>
              </w:rPr>
              <w:t>Ingeniería Mecánica</w:t>
            </w:r>
            <w:r>
              <w:rPr>
                <w:spacing w:val="-6"/>
                <w:sz w:val="24"/>
              </w:rPr>
              <w:t> </w:t>
            </w:r>
            <w:r>
              <w:rPr>
                <w:sz w:val="24"/>
              </w:rPr>
              <w:t>Eléctrica</w:t>
            </w:r>
          </w:p>
          <w:p>
            <w:pPr>
              <w:pStyle w:val="TableParagraph"/>
              <w:numPr>
                <w:ilvl w:val="0"/>
                <w:numId w:val="59"/>
              </w:numPr>
              <w:tabs>
                <w:tab w:pos="703" w:val="left" w:leader="none"/>
                <w:tab w:pos="704" w:val="left" w:leader="none"/>
              </w:tabs>
              <w:spacing w:line="240" w:lineRule="auto" w:before="139" w:after="0"/>
              <w:ind w:left="703" w:right="0" w:hanging="360"/>
              <w:jc w:val="left"/>
              <w:rPr>
                <w:sz w:val="24"/>
              </w:rPr>
            </w:pPr>
            <w:r>
              <w:rPr>
                <w:sz w:val="24"/>
              </w:rPr>
              <w:t>Ingeniería</w:t>
            </w:r>
            <w:r>
              <w:rPr>
                <w:spacing w:val="-5"/>
                <w:sz w:val="24"/>
              </w:rPr>
              <w:t> </w:t>
            </w:r>
            <w:r>
              <w:rPr>
                <w:sz w:val="24"/>
              </w:rPr>
              <w:t>Química</w:t>
            </w:r>
          </w:p>
          <w:p>
            <w:pPr>
              <w:pStyle w:val="TableParagraph"/>
              <w:numPr>
                <w:ilvl w:val="0"/>
                <w:numId w:val="59"/>
              </w:numPr>
              <w:tabs>
                <w:tab w:pos="703" w:val="left" w:leader="none"/>
                <w:tab w:pos="704" w:val="left" w:leader="none"/>
              </w:tabs>
              <w:spacing w:line="240" w:lineRule="auto" w:before="137" w:after="0"/>
              <w:ind w:left="703" w:right="0" w:hanging="360"/>
              <w:jc w:val="left"/>
              <w:rPr>
                <w:sz w:val="24"/>
              </w:rPr>
            </w:pPr>
            <w:r>
              <w:rPr>
                <w:sz w:val="24"/>
              </w:rPr>
              <w:t>Medicina</w:t>
            </w:r>
            <w:r>
              <w:rPr>
                <w:spacing w:val="-6"/>
                <w:sz w:val="24"/>
              </w:rPr>
              <w:t> </w:t>
            </w:r>
            <w:r>
              <w:rPr>
                <w:sz w:val="24"/>
              </w:rPr>
              <w:t>General</w:t>
            </w:r>
          </w:p>
          <w:p>
            <w:pPr>
              <w:pStyle w:val="TableParagraph"/>
              <w:numPr>
                <w:ilvl w:val="0"/>
                <w:numId w:val="59"/>
              </w:numPr>
              <w:tabs>
                <w:tab w:pos="703" w:val="left" w:leader="none"/>
                <w:tab w:pos="704" w:val="left" w:leader="none"/>
              </w:tabs>
              <w:spacing w:line="240" w:lineRule="auto" w:before="139" w:after="0"/>
              <w:ind w:left="703" w:right="0" w:hanging="360"/>
              <w:jc w:val="left"/>
              <w:rPr>
                <w:sz w:val="24"/>
              </w:rPr>
            </w:pPr>
            <w:r>
              <w:rPr>
                <w:sz w:val="24"/>
              </w:rPr>
              <w:t>Medicina Veterinaria y</w:t>
            </w:r>
            <w:r>
              <w:rPr>
                <w:spacing w:val="-7"/>
                <w:sz w:val="24"/>
              </w:rPr>
              <w:t> </w:t>
            </w:r>
            <w:r>
              <w:rPr>
                <w:sz w:val="24"/>
              </w:rPr>
              <w:t>Zootecnia</w:t>
            </w:r>
          </w:p>
          <w:p>
            <w:pPr>
              <w:pStyle w:val="TableParagraph"/>
              <w:numPr>
                <w:ilvl w:val="0"/>
                <w:numId w:val="59"/>
              </w:numPr>
              <w:tabs>
                <w:tab w:pos="703" w:val="left" w:leader="none"/>
                <w:tab w:pos="704" w:val="left" w:leader="none"/>
              </w:tabs>
              <w:spacing w:line="240" w:lineRule="auto" w:before="137" w:after="0"/>
              <w:ind w:left="703" w:right="0" w:hanging="360"/>
              <w:jc w:val="left"/>
              <w:rPr>
                <w:sz w:val="24"/>
              </w:rPr>
            </w:pPr>
            <w:r>
              <w:rPr>
                <w:sz w:val="24"/>
              </w:rPr>
              <w:t>Mercadotecnia</w:t>
            </w:r>
          </w:p>
          <w:p>
            <w:pPr>
              <w:pStyle w:val="TableParagraph"/>
              <w:numPr>
                <w:ilvl w:val="0"/>
                <w:numId w:val="59"/>
              </w:numPr>
              <w:tabs>
                <w:tab w:pos="703" w:val="left" w:leader="none"/>
                <w:tab w:pos="704" w:val="left" w:leader="none"/>
              </w:tabs>
              <w:spacing w:line="240" w:lineRule="auto" w:before="139" w:after="0"/>
              <w:ind w:left="703" w:right="0" w:hanging="360"/>
              <w:jc w:val="left"/>
              <w:rPr>
                <w:sz w:val="24"/>
              </w:rPr>
            </w:pPr>
            <w:r>
              <w:rPr>
                <w:sz w:val="24"/>
              </w:rPr>
              <w:t>Nutrición</w:t>
            </w:r>
          </w:p>
          <w:p>
            <w:pPr>
              <w:pStyle w:val="TableParagraph"/>
              <w:numPr>
                <w:ilvl w:val="0"/>
                <w:numId w:val="59"/>
              </w:numPr>
              <w:tabs>
                <w:tab w:pos="703" w:val="left" w:leader="none"/>
                <w:tab w:pos="704" w:val="left" w:leader="none"/>
              </w:tabs>
              <w:spacing w:line="240" w:lineRule="auto" w:before="137" w:after="0"/>
              <w:ind w:left="703" w:right="0" w:hanging="360"/>
              <w:jc w:val="left"/>
              <w:rPr>
                <w:sz w:val="24"/>
              </w:rPr>
            </w:pPr>
            <w:r>
              <w:rPr>
                <w:sz w:val="24"/>
              </w:rPr>
              <w:t>Odontología</w:t>
            </w:r>
          </w:p>
          <w:p>
            <w:pPr>
              <w:pStyle w:val="TableParagraph"/>
              <w:numPr>
                <w:ilvl w:val="0"/>
                <w:numId w:val="59"/>
              </w:numPr>
              <w:tabs>
                <w:tab w:pos="703" w:val="left" w:leader="none"/>
                <w:tab w:pos="704" w:val="left" w:leader="none"/>
              </w:tabs>
              <w:spacing w:line="240" w:lineRule="auto" w:before="139" w:after="0"/>
              <w:ind w:left="703" w:right="0" w:hanging="360"/>
              <w:jc w:val="left"/>
              <w:rPr>
                <w:sz w:val="24"/>
              </w:rPr>
            </w:pPr>
            <w:r>
              <w:rPr>
                <w:sz w:val="24"/>
              </w:rPr>
              <w:t>Pedagogía-Ciencias de la</w:t>
            </w:r>
            <w:r>
              <w:rPr>
                <w:spacing w:val="-12"/>
                <w:sz w:val="24"/>
              </w:rPr>
              <w:t> </w:t>
            </w:r>
            <w:r>
              <w:rPr>
                <w:sz w:val="24"/>
              </w:rPr>
              <w:t>Educación</w:t>
            </w:r>
          </w:p>
          <w:p>
            <w:pPr>
              <w:pStyle w:val="TableParagraph"/>
              <w:numPr>
                <w:ilvl w:val="0"/>
                <w:numId w:val="59"/>
              </w:numPr>
              <w:tabs>
                <w:tab w:pos="703" w:val="left" w:leader="none"/>
                <w:tab w:pos="704" w:val="left" w:leader="none"/>
              </w:tabs>
              <w:spacing w:line="240" w:lineRule="auto" w:before="137" w:after="0"/>
              <w:ind w:left="703" w:right="0" w:hanging="360"/>
              <w:jc w:val="left"/>
              <w:rPr>
                <w:sz w:val="24"/>
              </w:rPr>
            </w:pPr>
            <w:r>
              <w:rPr>
                <w:sz w:val="24"/>
              </w:rPr>
              <w:t>Psicología</w:t>
            </w:r>
          </w:p>
          <w:p>
            <w:pPr>
              <w:pStyle w:val="TableParagraph"/>
              <w:numPr>
                <w:ilvl w:val="0"/>
                <w:numId w:val="59"/>
              </w:numPr>
              <w:tabs>
                <w:tab w:pos="703" w:val="left" w:leader="none"/>
                <w:tab w:pos="704" w:val="left" w:leader="none"/>
              </w:tabs>
              <w:spacing w:line="240" w:lineRule="auto" w:before="139" w:after="0"/>
              <w:ind w:left="703" w:right="0" w:hanging="360"/>
              <w:jc w:val="left"/>
              <w:rPr>
                <w:sz w:val="24"/>
              </w:rPr>
            </w:pPr>
            <w:r>
              <w:rPr>
                <w:sz w:val="24"/>
              </w:rPr>
              <w:t>Química</w:t>
            </w:r>
          </w:p>
          <w:p>
            <w:pPr>
              <w:pStyle w:val="TableParagraph"/>
              <w:numPr>
                <w:ilvl w:val="0"/>
                <w:numId w:val="59"/>
              </w:numPr>
              <w:tabs>
                <w:tab w:pos="703" w:val="left" w:leader="none"/>
                <w:tab w:pos="704" w:val="left" w:leader="none"/>
              </w:tabs>
              <w:spacing w:line="240" w:lineRule="auto" w:before="137" w:after="0"/>
              <w:ind w:left="703" w:right="0" w:hanging="360"/>
              <w:jc w:val="left"/>
              <w:rPr>
                <w:sz w:val="24"/>
              </w:rPr>
            </w:pPr>
            <w:r>
              <w:rPr>
                <w:sz w:val="24"/>
              </w:rPr>
              <w:t>Química</w:t>
            </w:r>
            <w:r>
              <w:rPr>
                <w:spacing w:val="-2"/>
                <w:sz w:val="24"/>
              </w:rPr>
              <w:t> </w:t>
            </w:r>
            <w:r>
              <w:rPr>
                <w:sz w:val="24"/>
              </w:rPr>
              <w:t>Clínica</w:t>
            </w:r>
          </w:p>
          <w:p>
            <w:pPr>
              <w:pStyle w:val="TableParagraph"/>
              <w:numPr>
                <w:ilvl w:val="0"/>
                <w:numId w:val="59"/>
              </w:numPr>
              <w:tabs>
                <w:tab w:pos="703" w:val="left" w:leader="none"/>
                <w:tab w:pos="704" w:val="left" w:leader="none"/>
              </w:tabs>
              <w:spacing w:line="240" w:lineRule="auto" w:before="139" w:after="0"/>
              <w:ind w:left="703" w:right="0" w:hanging="360"/>
              <w:jc w:val="left"/>
              <w:rPr>
                <w:sz w:val="24"/>
              </w:rPr>
            </w:pPr>
            <w:r>
              <w:rPr>
                <w:sz w:val="24"/>
              </w:rPr>
              <w:t>Químico Farmacéutico</w:t>
            </w:r>
            <w:r>
              <w:rPr>
                <w:spacing w:val="-7"/>
                <w:sz w:val="24"/>
              </w:rPr>
              <w:t> </w:t>
            </w:r>
            <w:r>
              <w:rPr>
                <w:sz w:val="24"/>
              </w:rPr>
              <w:t>Biólogo</w:t>
            </w:r>
          </w:p>
          <w:p>
            <w:pPr>
              <w:pStyle w:val="TableParagraph"/>
              <w:numPr>
                <w:ilvl w:val="0"/>
                <w:numId w:val="59"/>
              </w:numPr>
              <w:tabs>
                <w:tab w:pos="703" w:val="left" w:leader="none"/>
                <w:tab w:pos="704" w:val="left" w:leader="none"/>
              </w:tabs>
              <w:spacing w:line="240" w:lineRule="auto" w:before="137" w:after="0"/>
              <w:ind w:left="703" w:right="0" w:hanging="360"/>
              <w:jc w:val="left"/>
              <w:rPr>
                <w:sz w:val="24"/>
              </w:rPr>
            </w:pPr>
            <w:r>
              <w:rPr>
                <w:sz w:val="24"/>
              </w:rPr>
              <w:t>Trabajo</w:t>
            </w:r>
            <w:r>
              <w:rPr>
                <w:spacing w:val="-4"/>
                <w:sz w:val="24"/>
              </w:rPr>
              <w:t> </w:t>
            </w:r>
            <w:r>
              <w:rPr>
                <w:sz w:val="24"/>
              </w:rPr>
              <w:t>Social</w:t>
            </w:r>
          </w:p>
          <w:p>
            <w:pPr>
              <w:pStyle w:val="TableParagraph"/>
              <w:numPr>
                <w:ilvl w:val="0"/>
                <w:numId w:val="59"/>
              </w:numPr>
              <w:tabs>
                <w:tab w:pos="703" w:val="left" w:leader="none"/>
                <w:tab w:pos="704" w:val="left" w:leader="none"/>
              </w:tabs>
              <w:spacing w:line="240" w:lineRule="auto" w:before="139" w:after="0"/>
              <w:ind w:left="703" w:right="0" w:hanging="360"/>
              <w:jc w:val="left"/>
              <w:rPr>
                <w:sz w:val="24"/>
              </w:rPr>
            </w:pPr>
            <w:r>
              <w:rPr>
                <w:sz w:val="24"/>
              </w:rPr>
              <w:t>Turismo</w:t>
            </w:r>
          </w:p>
        </w:tc>
      </w:tr>
    </w:tbl>
    <w:p>
      <w:pPr>
        <w:pStyle w:val="BodyText"/>
        <w:rPr>
          <w:sz w:val="20"/>
        </w:rPr>
      </w:pPr>
    </w:p>
    <w:p>
      <w:pPr>
        <w:pStyle w:val="BodyText"/>
        <w:spacing w:line="360" w:lineRule="auto" w:before="193"/>
        <w:ind w:left="122" w:right="177"/>
        <w:jc w:val="both"/>
      </w:pPr>
      <w:r>
        <w:rPr/>
        <w:t>Desde sus inicios el CENEVAL ha contribuido a evaluar y conocer el nivel de calidad que tienen los estudios de educación media superior y superior. La Licenciatura de Economía, de la UAEMéx ya se encuentra en este sistema de evaluación y acreditación (Martínez, 2011); a nivel social proporciona una garantía de calidad para los egresados, y ayuda a  que</w:t>
      </w:r>
    </w:p>
    <w:p>
      <w:pPr>
        <w:pStyle w:val="BodyText"/>
        <w:rPr>
          <w:sz w:val="20"/>
        </w:rPr>
      </w:pPr>
    </w:p>
    <w:p>
      <w:pPr>
        <w:pStyle w:val="BodyText"/>
        <w:spacing w:before="9"/>
      </w:pPr>
      <w:r>
        <w:rPr/>
        <w:pict>
          <v:line style="position:absolute;mso-position-horizontal-relative:page;mso-position-vertical-relative:paragraph;z-index:2560;mso-wrap-distance-left:0;mso-wrap-distance-right:0" from="85.103996pt,16.580761pt" to="229.123996pt,16.580761pt" stroked="true" strokeweight=".71997pt" strokecolor="#000000">
            <w10:wrap type="topAndBottom"/>
          </v:line>
        </w:pict>
      </w:r>
    </w:p>
    <w:p>
      <w:pPr>
        <w:spacing w:before="39"/>
        <w:ind w:left="122" w:right="0" w:firstLine="0"/>
        <w:jc w:val="left"/>
        <w:rPr>
          <w:rFonts w:ascii="Calibri" w:hAnsi="Calibri"/>
          <w:sz w:val="20"/>
        </w:rPr>
      </w:pPr>
      <w:r>
        <w:rPr>
          <w:rFonts w:ascii="Calibri" w:hAnsi="Calibri"/>
          <w:position w:val="10"/>
          <w:sz w:val="13"/>
        </w:rPr>
        <w:t>15 </w:t>
      </w:r>
      <w:r>
        <w:rPr>
          <w:rFonts w:ascii="Calibri" w:hAnsi="Calibri"/>
          <w:sz w:val="20"/>
        </w:rPr>
        <w:t>EGEL Exámenes Generales de Egreso de la Licenciatura;</w:t>
      </w:r>
    </w:p>
    <w:p>
      <w:pPr>
        <w:spacing w:before="0"/>
        <w:ind w:left="304" w:right="0" w:firstLine="0"/>
        <w:jc w:val="left"/>
        <w:rPr>
          <w:rFonts w:ascii="Calibri" w:hAnsi="Calibri"/>
          <w:sz w:val="20"/>
        </w:rPr>
      </w:pPr>
      <w:r>
        <w:rPr>
          <w:rFonts w:ascii="Calibri" w:hAnsi="Calibri"/>
          <w:sz w:val="20"/>
        </w:rPr>
        <w:t>EGAL Exámenes Generales para la Acreditación de la Licenciatura (Acuerdo 286 Licenciatura)</w:t>
      </w:r>
    </w:p>
    <w:p>
      <w:pPr>
        <w:spacing w:after="0"/>
        <w:jc w:val="left"/>
        <w:rPr>
          <w:rFonts w:ascii="Calibri" w:hAnsi="Calibri"/>
          <w:sz w:val="20"/>
        </w:rPr>
        <w:sectPr>
          <w:footerReference w:type="default" r:id="rId61"/>
          <w:pgSz w:w="12240" w:h="15840"/>
          <w:pgMar w:footer="1003" w:header="0" w:top="1360" w:bottom="1200" w:left="1580" w:right="1520"/>
          <w:pgNumType w:start="91"/>
        </w:sectPr>
      </w:pPr>
    </w:p>
    <w:p>
      <w:pPr>
        <w:pStyle w:val="BodyText"/>
        <w:spacing w:line="360" w:lineRule="auto" w:before="50"/>
        <w:ind w:left="102" w:right="115"/>
        <w:jc w:val="both"/>
      </w:pPr>
      <w:r>
        <w:rPr/>
        <w:t>los empleadores tengan confianza en los economistas, que de acuerdo a la teoría de las señales es un parámetro de decisión para contratar a los recién graduados.</w:t>
      </w:r>
    </w:p>
    <w:p>
      <w:pPr>
        <w:pStyle w:val="BodyText"/>
        <w:spacing w:line="360" w:lineRule="auto" w:before="205"/>
        <w:ind w:left="102" w:right="119"/>
        <w:jc w:val="both"/>
      </w:pPr>
      <w:r>
        <w:rPr/>
        <w:t>Puesto que también evaluar a los responsables de que el conocimiento sea trasmitido correctamente es fundamental, por ello se ha implementado la evaluación al personal académico, por medio del Programa de Mejoramiento del Profesorado (PROMEP).</w:t>
      </w:r>
    </w:p>
    <w:p>
      <w:pPr>
        <w:pStyle w:val="BodyText"/>
      </w:pPr>
    </w:p>
    <w:p>
      <w:pPr>
        <w:pStyle w:val="BodyText"/>
        <w:spacing w:line="360" w:lineRule="auto" w:before="143"/>
        <w:ind w:left="102" w:right="117"/>
        <w:jc w:val="both"/>
      </w:pPr>
      <w:r>
        <w:rPr/>
        <w:t>Éste nace como respuesta al Programa Sectorial de Educación 2007-2012, que establece como uno de sus objetivos estratégicos "elevar la calidad de la educación para que los estudiantes mejoren su nivel de logro educativo, cuenten con medios para tener acceso a un mayor bienestar y contribuyan al desarrollo nacional”, y como objetivo particular "fortalecer los procesos de habilitación y mejoramiento del personal académico" (PROMEP,</w:t>
      </w:r>
      <w:r>
        <w:rPr>
          <w:spacing w:val="-2"/>
        </w:rPr>
        <w:t> </w:t>
      </w:r>
      <w:r>
        <w:rPr/>
        <w:t>2013).</w:t>
      </w:r>
    </w:p>
    <w:p>
      <w:pPr>
        <w:pStyle w:val="BodyText"/>
      </w:pPr>
    </w:p>
    <w:p>
      <w:pPr>
        <w:pStyle w:val="BodyText"/>
        <w:spacing w:line="360" w:lineRule="auto" w:before="143"/>
        <w:ind w:left="102" w:right="120"/>
        <w:jc w:val="both"/>
      </w:pPr>
      <w:r>
        <w:rPr/>
        <w:t>PROMEP es un programa estratégico creado para elevar permanentemente el nivel de habilitación del profesorado con base en los perfiles adecuados para cada subsistema de educación superior (PROMEP, 2013) y para lograr sus objetivos el PROMEP (2013):</w:t>
      </w:r>
    </w:p>
    <w:p>
      <w:pPr>
        <w:pStyle w:val="ListParagraph"/>
        <w:numPr>
          <w:ilvl w:val="1"/>
          <w:numId w:val="57"/>
        </w:numPr>
        <w:tabs>
          <w:tab w:pos="822" w:val="left" w:leader="none"/>
        </w:tabs>
        <w:spacing w:line="355" w:lineRule="auto" w:before="205" w:after="0"/>
        <w:ind w:left="822" w:right="122" w:hanging="360"/>
        <w:jc w:val="both"/>
        <w:rPr>
          <w:sz w:val="24"/>
        </w:rPr>
      </w:pPr>
      <w:r>
        <w:rPr>
          <w:sz w:val="24"/>
        </w:rPr>
        <w:t>Otorga becas nacionales y para el extranjero a profesores de carrera de las universidades públicas, para la realización de estudios de posgrado en programas de reconocida</w:t>
      </w:r>
      <w:r>
        <w:rPr>
          <w:spacing w:val="-6"/>
          <w:sz w:val="24"/>
        </w:rPr>
        <w:t> </w:t>
      </w:r>
      <w:r>
        <w:rPr>
          <w:sz w:val="24"/>
        </w:rPr>
        <w:t>calidad.</w:t>
      </w:r>
    </w:p>
    <w:p>
      <w:pPr>
        <w:pStyle w:val="ListParagraph"/>
        <w:numPr>
          <w:ilvl w:val="1"/>
          <w:numId w:val="57"/>
        </w:numPr>
        <w:tabs>
          <w:tab w:pos="822" w:val="left" w:leader="none"/>
        </w:tabs>
        <w:spacing w:line="357" w:lineRule="auto" w:before="210" w:after="0"/>
        <w:ind w:left="822" w:right="122" w:hanging="360"/>
        <w:jc w:val="both"/>
        <w:rPr>
          <w:sz w:val="24"/>
        </w:rPr>
      </w:pPr>
      <w:r>
        <w:rPr>
          <w:sz w:val="24"/>
        </w:rPr>
        <w:t>Apoya la contratación de nuevos profesores de tiempo completo que ostenten el grado académico de maestría o de doctorado (preferentemente) y la reincorporación de exbecarios PROMEP a su institución después de haber terminado sus estudios en tiempo dotándolos con los elementos básicos para el trabajo</w:t>
      </w:r>
      <w:r>
        <w:rPr>
          <w:spacing w:val="-14"/>
          <w:sz w:val="24"/>
        </w:rPr>
        <w:t> </w:t>
      </w:r>
      <w:r>
        <w:rPr>
          <w:sz w:val="24"/>
        </w:rPr>
        <w:t>académico.</w:t>
      </w:r>
    </w:p>
    <w:p>
      <w:pPr>
        <w:pStyle w:val="ListParagraph"/>
        <w:numPr>
          <w:ilvl w:val="1"/>
          <w:numId w:val="57"/>
        </w:numPr>
        <w:tabs>
          <w:tab w:pos="822" w:val="left" w:leader="none"/>
        </w:tabs>
        <w:spacing w:line="357" w:lineRule="auto" w:before="208" w:after="0"/>
        <w:ind w:left="822" w:right="118" w:hanging="360"/>
        <w:jc w:val="both"/>
        <w:rPr>
          <w:sz w:val="24"/>
        </w:rPr>
      </w:pPr>
      <w:r>
        <w:rPr>
          <w:sz w:val="24"/>
        </w:rPr>
        <w:t>Reconoce con el perfil deseable a profesores que cumplen, con eficacia y equilibrio sus funciones de profesor de tiempo completo, como atender la generación y aplicación del conocimiento, ejercer la docencia y participar en actividades de tutorías y gestión</w:t>
      </w:r>
      <w:r>
        <w:rPr>
          <w:spacing w:val="-9"/>
          <w:sz w:val="24"/>
        </w:rPr>
        <w:t> </w:t>
      </w:r>
      <w:r>
        <w:rPr>
          <w:sz w:val="24"/>
        </w:rPr>
        <w:t>académica.</w:t>
      </w:r>
    </w:p>
    <w:p>
      <w:pPr>
        <w:spacing w:after="0" w:line="357" w:lineRule="auto"/>
        <w:jc w:val="both"/>
        <w:rPr>
          <w:sz w:val="24"/>
        </w:rPr>
        <w:sectPr>
          <w:pgSz w:w="12240" w:h="15840"/>
          <w:pgMar w:header="0" w:footer="1003" w:top="1360" w:bottom="1200" w:left="1600" w:right="1580"/>
        </w:sectPr>
      </w:pPr>
    </w:p>
    <w:p>
      <w:pPr>
        <w:pStyle w:val="ListParagraph"/>
        <w:numPr>
          <w:ilvl w:val="1"/>
          <w:numId w:val="57"/>
        </w:numPr>
        <w:tabs>
          <w:tab w:pos="822" w:val="left" w:leader="none"/>
        </w:tabs>
        <w:spacing w:line="357" w:lineRule="auto" w:before="30" w:after="0"/>
        <w:ind w:left="822" w:right="119" w:hanging="360"/>
        <w:jc w:val="both"/>
        <w:rPr>
          <w:sz w:val="24"/>
        </w:rPr>
      </w:pPr>
      <w:r>
        <w:rPr>
          <w:sz w:val="24"/>
        </w:rPr>
        <w:t>Apoya el fortalecimiento de Cuerpos Académicos, la integración de redes temáticas de colaboración de Cuerpos Académicos, incluyendo el apoyo para gastos de publicación y becas</w:t>
      </w:r>
      <w:r>
        <w:rPr>
          <w:spacing w:val="-6"/>
          <w:sz w:val="24"/>
        </w:rPr>
        <w:t> </w:t>
      </w:r>
      <w:r>
        <w:rPr>
          <w:sz w:val="24"/>
        </w:rPr>
        <w:t>post-doctorales.</w:t>
      </w:r>
    </w:p>
    <w:p>
      <w:pPr>
        <w:pStyle w:val="BodyText"/>
        <w:spacing w:line="360" w:lineRule="auto" w:before="205"/>
        <w:ind w:left="102" w:right="117"/>
        <w:jc w:val="both"/>
      </w:pPr>
      <w:r>
        <w:rPr/>
        <w:t>En otro rubro, concerniente también a la acreditación y acceso a recursos económicos, por acuerdo presidencial y publicado en el Diario Oficial de la Federación del 26 de julio de 1984, nace el Sistema Nacional de Investigadores (SNI).</w:t>
      </w:r>
    </w:p>
    <w:p>
      <w:pPr>
        <w:pStyle w:val="BodyText"/>
        <w:spacing w:line="360" w:lineRule="auto" w:before="205"/>
        <w:ind w:left="102" w:right="114"/>
        <w:jc w:val="both"/>
      </w:pPr>
      <w:r>
        <w:rPr/>
        <w:t>El SNI tiene por objeto promover y fortalecer, a través de la evaluación, la calidad de la investigación científica y tecnológica, así como la innovación que se produce en el país (CONACYT, 2013). El reconocimiento se otorga a través de la evaluación por pares y consiste en adjudicar el nombramiento de investigador nacional. Esta distinción simboliza  la calidad y prestigio de las contribuciones científicas. En paralelo al nombramiento se otorgan estímulos económicos cuyo monto varía con el nivel asignado (CONACYT,</w:t>
      </w:r>
      <w:r>
        <w:rPr>
          <w:spacing w:val="-12"/>
        </w:rPr>
        <w:t> </w:t>
      </w:r>
      <w:r>
        <w:rPr/>
        <w:t>2013).</w:t>
      </w:r>
    </w:p>
    <w:p>
      <w:pPr>
        <w:pStyle w:val="BodyText"/>
      </w:pPr>
    </w:p>
    <w:p>
      <w:pPr>
        <w:pStyle w:val="BodyText"/>
        <w:spacing w:line="360" w:lineRule="auto" w:before="143"/>
        <w:ind w:left="102" w:right="118"/>
        <w:jc w:val="both"/>
      </w:pPr>
      <w:r>
        <w:rPr/>
        <w:t>Con todos estos planes, programas y apoyos financieros que se establecen desde el  gobierno federal se asume que no sólo hay un interés por establecer políticas en materia de educación superior sino que se otorga el apoyo y financiamiento para que dichas políticas se puedan cumplir. Y la mejor manera para comprobar que todas estas acciones funcionan es analizando el comportamiento del mercado de trabajo de los profesionales, para ello a continuación se analizan las principales cifras respecto a las profesiones tanto a nivel nacional como Estado de</w:t>
      </w:r>
      <w:r>
        <w:rPr>
          <w:spacing w:val="-2"/>
        </w:rPr>
        <w:t> </w:t>
      </w:r>
      <w:r>
        <w:rPr/>
        <w:t>México.</w:t>
      </w:r>
    </w:p>
    <w:p>
      <w:pPr>
        <w:pStyle w:val="BodyText"/>
      </w:pPr>
    </w:p>
    <w:p>
      <w:pPr>
        <w:pStyle w:val="Heading3"/>
        <w:numPr>
          <w:ilvl w:val="1"/>
          <w:numId w:val="60"/>
        </w:numPr>
        <w:tabs>
          <w:tab w:pos="522" w:val="left" w:leader="none"/>
        </w:tabs>
        <w:spacing w:line="240" w:lineRule="auto" w:before="215" w:after="0"/>
        <w:ind w:left="522" w:right="0" w:hanging="420"/>
        <w:jc w:val="both"/>
      </w:pPr>
      <w:bookmarkStart w:name="_bookmark42" w:id="78"/>
      <w:bookmarkEnd w:id="78"/>
      <w:r>
        <w:rPr>
          <w:b w:val="0"/>
        </w:rPr>
      </w:r>
      <w:bookmarkStart w:name="_bookmark42" w:id="79"/>
      <w:bookmarkEnd w:id="79"/>
      <w:r>
        <w:rPr/>
        <w:t>Ed</w:t>
      </w:r>
      <w:r>
        <w:rPr/>
        <w:t>ucación superior y el mercado de trabajo</w:t>
      </w:r>
      <w:r>
        <w:rPr>
          <w:spacing w:val="-12"/>
        </w:rPr>
        <w:t> </w:t>
      </w:r>
      <w:r>
        <w:rPr/>
        <w:t>mexicano</w:t>
      </w:r>
    </w:p>
    <w:p>
      <w:pPr>
        <w:pStyle w:val="BodyText"/>
        <w:rPr>
          <w:b/>
        </w:rPr>
      </w:pPr>
    </w:p>
    <w:p>
      <w:pPr>
        <w:pStyle w:val="BodyText"/>
        <w:spacing w:before="6"/>
        <w:rPr>
          <w:b/>
          <w:sz w:val="23"/>
        </w:rPr>
      </w:pPr>
    </w:p>
    <w:p>
      <w:pPr>
        <w:pStyle w:val="BodyText"/>
        <w:spacing w:line="360" w:lineRule="auto"/>
        <w:ind w:left="102" w:right="118"/>
        <w:jc w:val="both"/>
      </w:pPr>
      <w:r>
        <w:rPr/>
        <w:t>En este apartado se revisan las profesiones y sus principales características tanto a nivel nacional como Estado de México, en donde se revisan las principales cifras de inserción y permanencia de las mismas. También se indaga en cuanto al comportamiento de ocupación y desocupación en la entidad.</w:t>
      </w:r>
    </w:p>
    <w:p>
      <w:pPr>
        <w:spacing w:after="0" w:line="360" w:lineRule="auto"/>
        <w:jc w:val="both"/>
        <w:sectPr>
          <w:pgSz w:w="12240" w:h="15840"/>
          <w:pgMar w:header="0" w:footer="1003" w:top="1380" w:bottom="1200" w:left="1600" w:right="1580"/>
        </w:sectPr>
      </w:pPr>
    </w:p>
    <w:p>
      <w:pPr>
        <w:pStyle w:val="Heading3"/>
        <w:numPr>
          <w:ilvl w:val="2"/>
          <w:numId w:val="60"/>
        </w:numPr>
        <w:tabs>
          <w:tab w:pos="703" w:val="left" w:leader="none"/>
        </w:tabs>
        <w:spacing w:line="240" w:lineRule="auto" w:before="55" w:after="0"/>
        <w:ind w:left="702" w:right="0" w:hanging="600"/>
        <w:jc w:val="both"/>
      </w:pPr>
      <w:bookmarkStart w:name="_bookmark43" w:id="80"/>
      <w:bookmarkEnd w:id="80"/>
      <w:r>
        <w:rPr>
          <w:b w:val="0"/>
        </w:rPr>
      </w:r>
      <w:bookmarkStart w:name="_bookmark43" w:id="81"/>
      <w:bookmarkEnd w:id="81"/>
      <w:r>
        <w:rPr/>
        <w:t>P</w:t>
      </w:r>
      <w:r>
        <w:rPr/>
        <w:t>rofesiones en México</w:t>
      </w:r>
      <w:r>
        <w:rPr>
          <w:spacing w:val="-8"/>
        </w:rPr>
        <w:t> </w:t>
      </w:r>
      <w:r>
        <w:rPr/>
        <w:t>(nacional)</w:t>
      </w:r>
    </w:p>
    <w:p>
      <w:pPr>
        <w:pStyle w:val="BodyText"/>
        <w:rPr>
          <w:b/>
        </w:rPr>
      </w:pPr>
    </w:p>
    <w:p>
      <w:pPr>
        <w:pStyle w:val="BodyText"/>
        <w:spacing w:before="6"/>
        <w:rPr>
          <w:b/>
          <w:sz w:val="23"/>
        </w:rPr>
      </w:pPr>
    </w:p>
    <w:p>
      <w:pPr>
        <w:pStyle w:val="BodyText"/>
        <w:spacing w:line="360" w:lineRule="auto"/>
        <w:ind w:left="102" w:right="112"/>
        <w:jc w:val="both"/>
      </w:pPr>
      <w:r>
        <w:rPr/>
        <w:t>De acuerdo a los resultados de la Encuesta Nacional de Ocupación y Empleo (ENOE) para el segundo trimestre de  2012, en el país había 6.6 millones de profesionistas ocupados,  esto representa 15% del total de los ocupados. Las carreras con mayor número de profesionistas ocupados son: Ciencias Administrativas (681, 900), Contaduría (665,800) y Derecho (652,000). Estas carreras concentran 41% de los profesionistas ocupados en el  país. No obstante, no todos los profesionistas de estas carreras se ocupan en actividades afines a sus estudios: Ciencias Administrativas (49.6%), Contaduría (67.7%) y Derecho (68%). (Portal del empleo,</w:t>
      </w:r>
      <w:r>
        <w:rPr>
          <w:spacing w:val="-5"/>
        </w:rPr>
        <w:t> </w:t>
      </w:r>
      <w:r>
        <w:rPr/>
        <w:t>2014).</w:t>
      </w:r>
    </w:p>
    <w:p>
      <w:pPr>
        <w:pStyle w:val="BodyText"/>
      </w:pPr>
    </w:p>
    <w:p>
      <w:pPr>
        <w:pStyle w:val="BodyText"/>
        <w:spacing w:line="360" w:lineRule="auto" w:before="143"/>
        <w:ind w:left="102" w:right="118"/>
        <w:jc w:val="both"/>
      </w:pPr>
      <w:r>
        <w:rPr/>
        <w:t>Las áreas que muestran el menor número de ocupados son: Humanidades, Artes y Ciencias Físico-Matemáticas, y las carreras con menos profesionistas ocupados son: Zootecnia (4,300 ocupados), Pilotos Aviadores y Navales (4,500 ocupados) y Educación Musical (4,800). Estas cuatro carreras representan apenas el 0.3% de todos los profesionistas ocupados del país (gráfica 3.4) (STPS,</w:t>
      </w:r>
      <w:r>
        <w:rPr>
          <w:spacing w:val="-6"/>
        </w:rPr>
        <w:t> </w:t>
      </w:r>
      <w:r>
        <w:rPr/>
        <w:t>2012).</w:t>
      </w:r>
    </w:p>
    <w:p>
      <w:pPr>
        <w:pStyle w:val="BodyText"/>
        <w:spacing w:before="3"/>
        <w:rPr>
          <w:sz w:val="28"/>
        </w:rPr>
      </w:pPr>
    </w:p>
    <w:p>
      <w:pPr>
        <w:pStyle w:val="Heading3"/>
        <w:spacing w:line="278" w:lineRule="auto" w:before="1"/>
        <w:ind w:right="19"/>
        <w:jc w:val="center"/>
      </w:pPr>
      <w:r>
        <w:rPr/>
        <w:t>Gráfica 3.4. Profesionales Ocupados por Área de Conocimiento en México 2005-2012 (Miles de Ocupados)</w:t>
      </w:r>
    </w:p>
    <w:p>
      <w:pPr>
        <w:pStyle w:val="BodyText"/>
        <w:ind w:left="328"/>
        <w:rPr>
          <w:sz w:val="20"/>
        </w:rPr>
      </w:pPr>
      <w:r>
        <w:rPr>
          <w:sz w:val="20"/>
        </w:rPr>
        <w:drawing>
          <wp:inline distT="0" distB="0" distL="0" distR="0">
            <wp:extent cx="5341386" cy="3246786"/>
            <wp:effectExtent l="0" t="0" r="0" b="0"/>
            <wp:docPr id="13" name="image31.jpeg" descr=""/>
            <wp:cNvGraphicFramePr>
              <a:graphicFrameLocks noChangeAspect="1"/>
            </wp:cNvGraphicFramePr>
            <a:graphic>
              <a:graphicData uri="http://schemas.openxmlformats.org/drawingml/2006/picture">
                <pic:pic>
                  <pic:nvPicPr>
                    <pic:cNvPr id="14" name="image31.jpeg"/>
                    <pic:cNvPicPr/>
                  </pic:nvPicPr>
                  <pic:blipFill>
                    <a:blip r:embed="rId62" cstate="print"/>
                    <a:stretch>
                      <a:fillRect/>
                    </a:stretch>
                  </pic:blipFill>
                  <pic:spPr>
                    <a:xfrm>
                      <a:off x="0" y="0"/>
                      <a:ext cx="5341386" cy="3246786"/>
                    </a:xfrm>
                    <a:prstGeom prst="rect">
                      <a:avLst/>
                    </a:prstGeom>
                  </pic:spPr>
                </pic:pic>
              </a:graphicData>
            </a:graphic>
          </wp:inline>
        </w:drawing>
      </w:r>
      <w:r>
        <w:rPr>
          <w:sz w:val="20"/>
        </w:rPr>
      </w:r>
    </w:p>
    <w:p>
      <w:pPr>
        <w:spacing w:before="0"/>
        <w:ind w:left="0" w:right="19" w:firstLine="0"/>
        <w:jc w:val="center"/>
        <w:rPr>
          <w:sz w:val="20"/>
        </w:rPr>
      </w:pPr>
      <w:r>
        <w:rPr>
          <w:sz w:val="20"/>
        </w:rPr>
        <w:t>Fuente: INEGI, 2012.</w:t>
      </w:r>
    </w:p>
    <w:p>
      <w:pPr>
        <w:spacing w:after="0"/>
        <w:jc w:val="center"/>
        <w:rPr>
          <w:sz w:val="20"/>
        </w:rPr>
        <w:sectPr>
          <w:pgSz w:w="12240" w:h="15840"/>
          <w:pgMar w:header="0" w:footer="1003" w:top="1360" w:bottom="1200" w:left="1600" w:right="1580"/>
        </w:sectPr>
      </w:pPr>
    </w:p>
    <w:p>
      <w:pPr>
        <w:pStyle w:val="BodyText"/>
        <w:spacing w:line="360" w:lineRule="auto" w:before="50"/>
        <w:ind w:left="102" w:right="117"/>
        <w:jc w:val="both"/>
      </w:pPr>
      <w:r>
        <w:rPr/>
        <w:t>Las carreras con el mayor porcentaje de profesionistas ocupados en actividades no acordes con sus estudios son: Administración Pública y Ciencias Políticas (28%), Relaciones Públicas (32.8%) y Ciencias Aduanales y Comercio Exterior (34.7%) (Observatorio  laboral,</w:t>
      </w:r>
      <w:r>
        <w:rPr>
          <w:spacing w:val="-4"/>
        </w:rPr>
        <w:t> </w:t>
      </w:r>
      <w:r>
        <w:rPr/>
        <w:t>2014).</w:t>
      </w:r>
    </w:p>
    <w:p>
      <w:pPr>
        <w:pStyle w:val="BodyText"/>
      </w:pPr>
    </w:p>
    <w:p>
      <w:pPr>
        <w:pStyle w:val="BodyText"/>
        <w:spacing w:line="360" w:lineRule="auto" w:before="143"/>
        <w:ind w:left="102" w:right="118"/>
        <w:jc w:val="both"/>
      </w:pPr>
      <w:r>
        <w:rPr/>
        <w:t>En contraste, en las áreas de Educación, Ciencias de la Salud, Artes, Arquitectura, Urbanismo y Diseño, y Humanidades la proporción de quienes sí trabajan en ocupaciones acordes con sus estudios es superior a 71%, lo cual tiene que ver con la especialidad de la carrera. Las que mostraron mayor relación entre los estudios realizados y la ocupación desempeñada son: Educación Musical (96.9%), Medicina Física y Fisioterapia (95.6%) y Ciencias Naturales (94.4%) (gráfica 3.5.) (Observatorio laboral, 2014).</w:t>
      </w:r>
    </w:p>
    <w:p>
      <w:pPr>
        <w:pStyle w:val="BodyText"/>
      </w:pPr>
    </w:p>
    <w:p>
      <w:pPr>
        <w:pStyle w:val="Heading3"/>
        <w:spacing w:before="148"/>
        <w:ind w:right="15"/>
        <w:jc w:val="center"/>
      </w:pPr>
      <w:r>
        <w:rPr/>
        <w:drawing>
          <wp:anchor distT="0" distB="0" distL="0" distR="0" allowOverlap="1" layoutInCell="1" locked="0" behindDoc="0" simplePos="0" relativeHeight="2584">
            <wp:simplePos x="0" y="0"/>
            <wp:positionH relativeFrom="page">
              <wp:posOffset>1663445</wp:posOffset>
            </wp:positionH>
            <wp:positionV relativeFrom="paragraph">
              <wp:posOffset>295822</wp:posOffset>
            </wp:positionV>
            <wp:extent cx="4479702" cy="3352800"/>
            <wp:effectExtent l="0" t="0" r="0" b="0"/>
            <wp:wrapTopAndBottom/>
            <wp:docPr id="15" name="image32.jpeg" descr=""/>
            <wp:cNvGraphicFramePr>
              <a:graphicFrameLocks noChangeAspect="1"/>
            </wp:cNvGraphicFramePr>
            <a:graphic>
              <a:graphicData uri="http://schemas.openxmlformats.org/drawingml/2006/picture">
                <pic:pic>
                  <pic:nvPicPr>
                    <pic:cNvPr id="16" name="image32.jpeg"/>
                    <pic:cNvPicPr/>
                  </pic:nvPicPr>
                  <pic:blipFill>
                    <a:blip r:embed="rId63" cstate="print"/>
                    <a:stretch>
                      <a:fillRect/>
                    </a:stretch>
                  </pic:blipFill>
                  <pic:spPr>
                    <a:xfrm>
                      <a:off x="0" y="0"/>
                      <a:ext cx="4479702" cy="3352800"/>
                    </a:xfrm>
                    <a:prstGeom prst="rect">
                      <a:avLst/>
                    </a:prstGeom>
                  </pic:spPr>
                </pic:pic>
              </a:graphicData>
            </a:graphic>
          </wp:anchor>
        </w:drawing>
      </w:r>
      <w:r>
        <w:rPr/>
        <w:t>Gráfica 3.5. Relación entre Ocupación y Estudios Realizados 2013, nacional (%)</w:t>
      </w:r>
    </w:p>
    <w:p>
      <w:pPr>
        <w:spacing w:before="193"/>
        <w:ind w:left="0" w:right="12" w:firstLine="0"/>
        <w:jc w:val="center"/>
        <w:rPr>
          <w:sz w:val="20"/>
        </w:rPr>
      </w:pPr>
      <w:r>
        <w:rPr>
          <w:sz w:val="20"/>
        </w:rPr>
        <w:t>Fuente: Portal del empleo, 2014.</w:t>
      </w:r>
    </w:p>
    <w:p>
      <w:pPr>
        <w:pStyle w:val="BodyText"/>
        <w:spacing w:before="3"/>
        <w:rPr>
          <w:sz w:val="27"/>
        </w:rPr>
      </w:pPr>
    </w:p>
    <w:p>
      <w:pPr>
        <w:pStyle w:val="BodyText"/>
        <w:spacing w:line="360" w:lineRule="auto"/>
        <w:ind w:left="102" w:right="115"/>
        <w:jc w:val="both"/>
      </w:pPr>
      <w:r>
        <w:rPr/>
        <w:t>Como se observa, en México las carreras “tradicionales” cuentan con un elevado número de profesionistas ocupados. Es importante señalar que algunas relacionadas con el desarrollo de tecnología   ya  empiezan a figurar  con un número mayor de profesionistas    empleados</w:t>
      </w:r>
    </w:p>
    <w:p>
      <w:pPr>
        <w:spacing w:after="0" w:line="360" w:lineRule="auto"/>
        <w:jc w:val="both"/>
        <w:sectPr>
          <w:pgSz w:w="12240" w:h="15840"/>
          <w:pgMar w:header="0" w:footer="1003" w:top="1360" w:bottom="1200" w:left="1600" w:right="1580"/>
        </w:sectPr>
      </w:pPr>
    </w:p>
    <w:p>
      <w:pPr>
        <w:pStyle w:val="BodyText"/>
        <w:spacing w:line="360" w:lineRule="auto" w:before="50"/>
        <w:ind w:left="102" w:right="118"/>
        <w:jc w:val="both"/>
      </w:pPr>
      <w:r>
        <w:rPr/>
        <w:t>como es el caso de Ingeniería en Computación e Informática e Ingeniería Electrónica (Observatorio laboral, 2014).</w:t>
      </w:r>
    </w:p>
    <w:p>
      <w:pPr>
        <w:pStyle w:val="Heading3"/>
        <w:numPr>
          <w:ilvl w:val="0"/>
          <w:numId w:val="61"/>
        </w:numPr>
        <w:tabs>
          <w:tab w:pos="362" w:val="left" w:leader="none"/>
        </w:tabs>
        <w:spacing w:line="240" w:lineRule="auto" w:before="208" w:after="0"/>
        <w:ind w:left="361" w:right="0" w:hanging="259"/>
        <w:jc w:val="both"/>
      </w:pPr>
      <w:r>
        <w:rPr/>
        <w:t>Participación de la mujer en la formación universitaria y el trabajo</w:t>
      </w:r>
      <w:r>
        <w:rPr>
          <w:spacing w:val="-12"/>
        </w:rPr>
        <w:t> </w:t>
      </w:r>
      <w:r>
        <w:rPr/>
        <w:t>profesional</w:t>
      </w:r>
    </w:p>
    <w:p>
      <w:pPr>
        <w:pStyle w:val="BodyText"/>
        <w:rPr>
          <w:b/>
        </w:rPr>
      </w:pPr>
    </w:p>
    <w:p>
      <w:pPr>
        <w:pStyle w:val="BodyText"/>
        <w:spacing w:line="360" w:lineRule="auto" w:before="197"/>
        <w:ind w:left="102" w:right="119"/>
        <w:jc w:val="both"/>
      </w:pPr>
      <w:r>
        <w:rPr/>
        <w:t>En los últimos años la incorporación de las mujeres al mercado de trabajo se ha venido incrementando, prueba de ello es que al cuarto trimestre de 2013 de cada 100 profesionistas ocupados 43.9% son mujeres (Portal del empleo, 2014).</w:t>
      </w:r>
    </w:p>
    <w:p>
      <w:pPr>
        <w:pStyle w:val="BodyText"/>
        <w:spacing w:before="5"/>
        <w:rPr>
          <w:sz w:val="35"/>
        </w:rPr>
      </w:pPr>
    </w:p>
    <w:p>
      <w:pPr>
        <w:pStyle w:val="BodyText"/>
        <w:spacing w:line="360" w:lineRule="auto"/>
        <w:ind w:left="102" w:right="117"/>
        <w:jc w:val="both"/>
      </w:pPr>
      <w:r>
        <w:rPr/>
        <w:t>Entre las áreas profesionales donde las mujeres representan a más de la mitad del total de profesionistas ocupados se encuentran: Educación, Ciencias Biológicas, Ciencias de la Salud y Humanidades (Empleo, 2014), teniendo una mayor participación en las carreras de: Diseño Textil (98.8%), Formación Docente en Educación Preescolar (96.8%), Diseño de Interiores (96.5%), Formación Docente en Educación Especial (94.3%), Enfermería (92.2%), Trabajo Social (84.1%) y Psicología (78.1%); todas ellas relacionadas con las actividades que históricamente han desempeñado las mujeres (Observatorio laboral, 2013).</w:t>
      </w:r>
    </w:p>
    <w:p>
      <w:pPr>
        <w:pStyle w:val="BodyText"/>
      </w:pPr>
    </w:p>
    <w:p>
      <w:pPr>
        <w:pStyle w:val="BodyText"/>
        <w:spacing w:line="360" w:lineRule="auto" w:before="143"/>
        <w:ind w:left="102" w:right="119"/>
        <w:jc w:val="both"/>
      </w:pPr>
      <w:r>
        <w:rPr/>
        <w:t>Las profesionistas tienen menor presencia en las áreas de las Ciencias Físico Matemáticas, Ciencias Biológicas e Ingenierías. Las carreras con los porcentajes más bajos de profesionistas empleadas son: Pilotos Aviadores y Navales (0.5%), Ingeniería Mecánica (3.2%) e Ingeniería Eléctrica (3.9%). A pesar de que las mujeres han aumentado su participación en la ocupación, se puede notar que en algunas disciplinas continúa siendo escasa su presencia (sobre todo en el área de Ingenierías) (Observatorio laboral, 2014).</w:t>
      </w:r>
    </w:p>
    <w:p>
      <w:pPr>
        <w:pStyle w:val="BodyText"/>
      </w:pPr>
    </w:p>
    <w:p>
      <w:pPr>
        <w:pStyle w:val="Heading3"/>
        <w:numPr>
          <w:ilvl w:val="0"/>
          <w:numId w:val="61"/>
        </w:numPr>
        <w:tabs>
          <w:tab w:pos="376" w:val="left" w:leader="none"/>
        </w:tabs>
        <w:spacing w:line="240" w:lineRule="auto" w:before="148" w:after="0"/>
        <w:ind w:left="375" w:right="0" w:hanging="273"/>
        <w:jc w:val="both"/>
      </w:pPr>
      <w:r>
        <w:rPr/>
        <w:t>Remuneración</w:t>
      </w:r>
    </w:p>
    <w:p>
      <w:pPr>
        <w:pStyle w:val="BodyText"/>
        <w:rPr>
          <w:b/>
        </w:rPr>
      </w:pPr>
    </w:p>
    <w:p>
      <w:pPr>
        <w:pStyle w:val="BodyText"/>
        <w:spacing w:before="7"/>
        <w:rPr>
          <w:b/>
          <w:sz w:val="23"/>
        </w:rPr>
      </w:pPr>
    </w:p>
    <w:p>
      <w:pPr>
        <w:pStyle w:val="BodyText"/>
        <w:spacing w:line="360" w:lineRule="auto"/>
        <w:ind w:left="102" w:right="117"/>
        <w:jc w:val="both"/>
      </w:pPr>
      <w:r>
        <w:rPr/>
        <w:t>Un elemento de análisis fundamental del mercado de trabajo de los profesionistas es el ingreso. En su mayoría, los profesionistas empleados en el país son asalariados, es decir, en promedio, 8 de cada 10 dependen de un patrón (Observatorio laboral, 2014). Al cuarto trimestre de 2013, Educación es el área con la mayor proporción de profesionistas ocupados asalariados (95 de cada 100), esto tiene que ver que la mayoría se emplean en instituciones públicas o privadas (Observatorio laboral, 2014).</w:t>
      </w:r>
    </w:p>
    <w:p>
      <w:pPr>
        <w:spacing w:after="0" w:line="360" w:lineRule="auto"/>
        <w:jc w:val="both"/>
        <w:sectPr>
          <w:pgSz w:w="12240" w:h="15840"/>
          <w:pgMar w:header="0" w:footer="1003" w:top="1360" w:bottom="1200" w:left="1600" w:right="1580"/>
        </w:sectPr>
      </w:pPr>
    </w:p>
    <w:p>
      <w:pPr>
        <w:pStyle w:val="BodyText"/>
        <w:spacing w:line="360" w:lineRule="auto" w:before="50"/>
        <w:ind w:left="102" w:right="121"/>
        <w:jc w:val="both"/>
      </w:pPr>
      <w:r>
        <w:rPr/>
        <w:t>Las carreras de Educación Musical, Teología y Religión y Ciencias Naturales, poseen los porcentajes más elevados de profesionistas asalariados (100%, 98.1% y 97.9% respectivamente) (Observatorio laboral, 2014).</w:t>
      </w:r>
    </w:p>
    <w:p>
      <w:pPr>
        <w:pStyle w:val="BodyText"/>
      </w:pPr>
    </w:p>
    <w:p>
      <w:pPr>
        <w:pStyle w:val="BodyText"/>
        <w:spacing w:line="360" w:lineRule="auto" w:before="143"/>
        <w:ind w:left="102" w:right="122"/>
        <w:jc w:val="both"/>
      </w:pPr>
      <w:r>
        <w:rPr/>
        <w:t>La proporción más baja de profesionistas asalariados se encuentra en el área de Arquitectura, Urbanismo y Diseño, ya que de cada 100 profesionistas ocupados 68 son asalariados (Observatorio laboral, 2014).</w:t>
      </w:r>
    </w:p>
    <w:p>
      <w:pPr>
        <w:pStyle w:val="BodyText"/>
      </w:pPr>
    </w:p>
    <w:p>
      <w:pPr>
        <w:pStyle w:val="BodyText"/>
        <w:spacing w:line="360" w:lineRule="auto" w:before="143"/>
        <w:ind w:left="102" w:right="117"/>
        <w:jc w:val="both"/>
      </w:pPr>
      <w:r>
        <w:rPr/>
        <w:t>Las carreras con más profesionistas independientes (no asalariados) son:  Odontología, Artes Plásticas y Diseño Textil (41.2%, 45.9% y 53.5% respectivamente) (Observatorio laboral, 2014).</w:t>
      </w:r>
    </w:p>
    <w:p>
      <w:pPr>
        <w:pStyle w:val="BodyText"/>
        <w:spacing w:line="360" w:lineRule="auto" w:before="205"/>
        <w:ind w:left="102" w:right="117"/>
        <w:jc w:val="both"/>
      </w:pPr>
      <w:r>
        <w:rPr/>
        <w:t>Al cuarto trimestre de 2013, el ingreso promedio mensual de los profesionistas ocupados  del país fue de $10,366.00 pesos. El área de Ciencias Físico Matemáticas es la que percibe los ingresos más elevados con $12,731.00, le sigue el área de Arquitectura, Urbanismo y Diseño con $11,761.00 y por último el área de Ingenierías con $11,598.00 (gráfica 3.6.) (Observatorio laboral,</w:t>
      </w:r>
      <w:r>
        <w:rPr>
          <w:spacing w:val="-6"/>
        </w:rPr>
        <w:t> </w:t>
      </w:r>
      <w:r>
        <w:rPr/>
        <w:t>2014).</w:t>
      </w:r>
    </w:p>
    <w:p>
      <w:pPr>
        <w:pStyle w:val="BodyText"/>
        <w:spacing w:line="360" w:lineRule="auto" w:before="206"/>
        <w:ind w:left="102" w:right="117"/>
        <w:jc w:val="both"/>
      </w:pPr>
      <w:r>
        <w:rPr/>
        <w:t>Los profesionistas que perciben los ingresos promedio más altos estudiaron: Servicios de transporte ($ 28,723.00); Minería y extracción ($21,568.00) y Ciencias de la tierra y de la atmósfera ($ 16,405.00) (Observatorio laboral, 2014).</w:t>
      </w:r>
    </w:p>
    <w:p>
      <w:pPr>
        <w:pStyle w:val="BodyText"/>
        <w:spacing w:line="360" w:lineRule="auto" w:before="205"/>
        <w:ind w:left="102" w:right="115"/>
        <w:jc w:val="both"/>
      </w:pPr>
      <w:r>
        <w:rPr/>
        <w:t>Entre las áreas que presentan niveles de ingreso mensuales por debajo del promedio de todos los profesionistas ocupados se encuentran Ciencias Sociales con $9,683.00, Humanidades con $9,483.00, Artes con $8,762.00 y finalmente el área de Educación con</w:t>
      </w:r>
    </w:p>
    <w:p>
      <w:pPr>
        <w:pStyle w:val="BodyText"/>
        <w:spacing w:before="4"/>
        <w:ind w:left="102"/>
        <w:jc w:val="both"/>
      </w:pPr>
      <w:r>
        <w:rPr/>
        <w:t>$8,585.00 (Observatorio laboral, 2014).</w:t>
      </w:r>
    </w:p>
    <w:p>
      <w:pPr>
        <w:spacing w:after="0"/>
        <w:jc w:val="both"/>
        <w:sectPr>
          <w:pgSz w:w="12240" w:h="15840"/>
          <w:pgMar w:header="0" w:footer="1003" w:top="1360" w:bottom="1200" w:left="1600" w:right="1580"/>
        </w:sectPr>
      </w:pPr>
    </w:p>
    <w:p>
      <w:pPr>
        <w:pStyle w:val="Heading3"/>
        <w:ind w:right="17"/>
        <w:jc w:val="center"/>
      </w:pPr>
      <w:r>
        <w:rPr/>
        <w:t>Gráfica 3.6. Promedio de Ingresos 2013, nacional ($)</w:t>
      </w:r>
    </w:p>
    <w:p>
      <w:pPr>
        <w:pStyle w:val="BodyText"/>
        <w:spacing w:before="8"/>
        <w:rPr>
          <w:b/>
          <w:sz w:val="17"/>
        </w:rPr>
      </w:pPr>
      <w:r>
        <w:rPr/>
        <w:drawing>
          <wp:anchor distT="0" distB="0" distL="0" distR="0" allowOverlap="1" layoutInCell="1" locked="0" behindDoc="0" simplePos="0" relativeHeight="2608">
            <wp:simplePos x="0" y="0"/>
            <wp:positionH relativeFrom="page">
              <wp:posOffset>1513205</wp:posOffset>
            </wp:positionH>
            <wp:positionV relativeFrom="paragraph">
              <wp:posOffset>154232</wp:posOffset>
            </wp:positionV>
            <wp:extent cx="4765844" cy="3009138"/>
            <wp:effectExtent l="0" t="0" r="0" b="0"/>
            <wp:wrapTopAndBottom/>
            <wp:docPr id="17" name="image33.jpeg" descr=""/>
            <wp:cNvGraphicFramePr>
              <a:graphicFrameLocks noChangeAspect="1"/>
            </wp:cNvGraphicFramePr>
            <a:graphic>
              <a:graphicData uri="http://schemas.openxmlformats.org/drawingml/2006/picture">
                <pic:pic>
                  <pic:nvPicPr>
                    <pic:cNvPr id="18" name="image33.jpeg"/>
                    <pic:cNvPicPr/>
                  </pic:nvPicPr>
                  <pic:blipFill>
                    <a:blip r:embed="rId64" cstate="print"/>
                    <a:stretch>
                      <a:fillRect/>
                    </a:stretch>
                  </pic:blipFill>
                  <pic:spPr>
                    <a:xfrm>
                      <a:off x="0" y="0"/>
                      <a:ext cx="4765844" cy="3009138"/>
                    </a:xfrm>
                    <a:prstGeom prst="rect">
                      <a:avLst/>
                    </a:prstGeom>
                  </pic:spPr>
                </pic:pic>
              </a:graphicData>
            </a:graphic>
          </wp:anchor>
        </w:drawing>
      </w:r>
    </w:p>
    <w:p>
      <w:pPr>
        <w:spacing w:before="209"/>
        <w:ind w:left="0" w:right="17" w:firstLine="0"/>
        <w:jc w:val="center"/>
        <w:rPr>
          <w:sz w:val="20"/>
        </w:rPr>
      </w:pPr>
      <w:r>
        <w:rPr>
          <w:sz w:val="20"/>
        </w:rPr>
        <w:t>Fuente: Observatorio laboral, 2014.</w:t>
      </w:r>
    </w:p>
    <w:p>
      <w:pPr>
        <w:pStyle w:val="BodyText"/>
        <w:spacing w:before="1"/>
        <w:rPr>
          <w:sz w:val="20"/>
        </w:rPr>
      </w:pPr>
    </w:p>
    <w:p>
      <w:pPr>
        <w:pStyle w:val="BodyText"/>
        <w:spacing w:line="360" w:lineRule="auto" w:before="1"/>
        <w:ind w:left="102" w:right="116"/>
        <w:jc w:val="both"/>
      </w:pPr>
      <w:r>
        <w:rPr/>
        <w:t>Las profesiones que registran los promedios de ingreso más bajos son: Teología y Religión ($5,737.00), Tecnología de los Alimentos ($6,137.00), Ciencias Lingüísticas y Literatura ($6,592.00), Administración Pública y Ciencias Políticas ($6,699.00) y Artes Plásticas ($6,776.00) (Observatorio laboral, 2014).</w:t>
      </w:r>
    </w:p>
    <w:p>
      <w:pPr>
        <w:pStyle w:val="BodyText"/>
      </w:pPr>
    </w:p>
    <w:p>
      <w:pPr>
        <w:pStyle w:val="BodyText"/>
        <w:spacing w:line="360" w:lineRule="auto" w:before="143"/>
        <w:ind w:left="102" w:right="115"/>
        <w:jc w:val="both"/>
      </w:pPr>
      <w:r>
        <w:rPr/>
        <w:t>En algunos casos las profesiones que perciben los mejores ingresos promedio son también las que tienen menor número de profesionistas ocupados. Al cuarto trimestre de 2013, en las áreas de: Educación, Ciencias de la Salud, Ciencias Físico Matemáticas, Arquitectura, Urbanismo y Diseño, conformaron un 67% de los profesionistas ocupados que trabajan en algo acorde con sus estudios (Observatorio laboral,</w:t>
      </w:r>
      <w:r>
        <w:rPr>
          <w:spacing w:val="-7"/>
        </w:rPr>
        <w:t> </w:t>
      </w:r>
      <w:r>
        <w:rPr/>
        <w:t>2014).</w:t>
      </w:r>
    </w:p>
    <w:p>
      <w:pPr>
        <w:pStyle w:val="BodyText"/>
      </w:pPr>
    </w:p>
    <w:p>
      <w:pPr>
        <w:pStyle w:val="BodyText"/>
        <w:spacing w:line="360" w:lineRule="auto" w:before="143"/>
        <w:ind w:left="102" w:right="114"/>
        <w:jc w:val="both"/>
      </w:pPr>
      <w:r>
        <w:rPr/>
        <w:t>Las carreras que mostraron a nivel nacional mayor relación entre los estudios realizados y  la ocupación desempeñada tienen que ver con Educación y Salud. Carreras con mayor afinidad: Formación docente para educación de nivel medio superior 93.2 %, Medicina 90.6% y Formación docente, programas multidisciplinarios o generales 90.5% (Observatorio laboral, 2014). En contraste, más del 50% de los profesionistas ocupados  </w:t>
      </w:r>
      <w:r>
        <w:rPr>
          <w:spacing w:val="22"/>
        </w:rPr>
        <w:t> </w:t>
      </w:r>
      <w:r>
        <w:rPr/>
        <w:t>en</w:t>
      </w:r>
    </w:p>
    <w:p>
      <w:pPr>
        <w:spacing w:after="0" w:line="360" w:lineRule="auto"/>
        <w:jc w:val="both"/>
        <w:sectPr>
          <w:pgSz w:w="12240" w:h="15840"/>
          <w:pgMar w:header="0" w:footer="1003" w:top="1360" w:bottom="1200" w:left="1600" w:right="1580"/>
        </w:sectPr>
      </w:pPr>
    </w:p>
    <w:p>
      <w:pPr>
        <w:pStyle w:val="BodyText"/>
        <w:spacing w:line="360" w:lineRule="auto" w:before="50"/>
        <w:ind w:left="102" w:right="121"/>
        <w:jc w:val="both"/>
      </w:pPr>
      <w:r>
        <w:rPr/>
        <w:t>las áreas de Económicas, Administrativas, Ingenierías y Artes trabajan en ocupaciones que no son acordes con su formación profesional (Observatorio laboral, 2014).</w:t>
      </w:r>
    </w:p>
    <w:p>
      <w:pPr>
        <w:pStyle w:val="BodyText"/>
      </w:pPr>
    </w:p>
    <w:p>
      <w:pPr>
        <w:pStyle w:val="Heading3"/>
        <w:numPr>
          <w:ilvl w:val="2"/>
          <w:numId w:val="60"/>
        </w:numPr>
        <w:tabs>
          <w:tab w:pos="703" w:val="left" w:leader="none"/>
        </w:tabs>
        <w:spacing w:line="240" w:lineRule="auto" w:before="212" w:after="0"/>
        <w:ind w:left="702" w:right="0" w:hanging="600"/>
        <w:jc w:val="both"/>
      </w:pPr>
      <w:bookmarkStart w:name="_bookmark44" w:id="82"/>
      <w:bookmarkEnd w:id="82"/>
      <w:r>
        <w:rPr>
          <w:b w:val="0"/>
        </w:rPr>
      </w:r>
      <w:bookmarkStart w:name="_bookmark44" w:id="83"/>
      <w:bookmarkEnd w:id="83"/>
      <w:r>
        <w:rPr/>
        <w:t>P</w:t>
      </w:r>
      <w:r>
        <w:rPr/>
        <w:t>anorama del mercado de trabajo del Estado de</w:t>
      </w:r>
      <w:r>
        <w:rPr>
          <w:spacing w:val="-12"/>
        </w:rPr>
        <w:t> </w:t>
      </w:r>
      <w:r>
        <w:rPr/>
        <w:t>México</w:t>
      </w:r>
    </w:p>
    <w:p>
      <w:pPr>
        <w:pStyle w:val="BodyText"/>
        <w:rPr>
          <w:b/>
        </w:rPr>
      </w:pPr>
    </w:p>
    <w:p>
      <w:pPr>
        <w:pStyle w:val="BodyText"/>
        <w:spacing w:line="360" w:lineRule="auto" w:before="175"/>
        <w:ind w:left="102" w:right="118"/>
        <w:jc w:val="both"/>
      </w:pPr>
      <w:r>
        <w:rPr/>
        <w:t>Al ser el Estado de México la entidad que se encuentra más poblada (15,175,862) (COESPO, 2010), esto se ve reflejado en el mayor número de personas ocupadas remuneradas: 6 millones (INEGI, 2013). En donde los profesionistas universitarios forman parte de dicho mercado.</w:t>
      </w:r>
    </w:p>
    <w:p>
      <w:pPr>
        <w:pStyle w:val="BodyText"/>
      </w:pPr>
    </w:p>
    <w:p>
      <w:pPr>
        <w:pStyle w:val="BodyText"/>
        <w:spacing w:line="360" w:lineRule="auto" w:before="143"/>
        <w:ind w:left="102" w:right="116"/>
        <w:jc w:val="both"/>
      </w:pPr>
      <w:r>
        <w:rPr/>
        <w:t>Con base en los datos de la ENOE (2012) publicados por Observatorio laboral (2012), se analizan las 15 profesiones para las cuales se tiene información en cuanto a las condiciones laborales de los profesionistas del Estado de México (tabla 3.7.).</w:t>
      </w:r>
    </w:p>
    <w:p>
      <w:pPr>
        <w:pStyle w:val="BodyText"/>
      </w:pPr>
    </w:p>
    <w:p>
      <w:pPr>
        <w:pStyle w:val="Heading3"/>
        <w:spacing w:before="145"/>
        <w:ind w:left="1292"/>
        <w:jc w:val="left"/>
      </w:pPr>
      <w:r>
        <w:rPr/>
        <w:t>Tabla 3.7. Principales profesiones en el Estado de México 2012.</w:t>
      </w:r>
    </w:p>
    <w:p>
      <w:pPr>
        <w:pStyle w:val="BodyText"/>
        <w:spacing w:before="2"/>
        <w:rPr>
          <w:b/>
          <w:sz w:val="12"/>
        </w:rPr>
      </w:pPr>
    </w:p>
    <w:tbl>
      <w:tblPr>
        <w:tblW w:w="0" w:type="auto"/>
        <w:jc w:val="left"/>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75"/>
        <w:gridCol w:w="1319"/>
        <w:gridCol w:w="1693"/>
        <w:gridCol w:w="1421"/>
      </w:tblGrid>
      <w:tr>
        <w:trPr>
          <w:trHeight w:val="583" w:hRule="exact"/>
        </w:trPr>
        <w:tc>
          <w:tcPr>
            <w:tcW w:w="3975" w:type="dxa"/>
            <w:tcBorders>
              <w:left w:val="nil"/>
              <w:right w:val="nil"/>
            </w:tcBorders>
          </w:tcPr>
          <w:p>
            <w:pPr>
              <w:pStyle w:val="TableParagraph"/>
              <w:spacing w:before="7"/>
              <w:rPr>
                <w:b/>
                <w:sz w:val="27"/>
              </w:rPr>
            </w:pPr>
          </w:p>
          <w:p>
            <w:pPr>
              <w:pStyle w:val="TableParagraph"/>
              <w:ind w:left="84"/>
              <w:rPr>
                <w:b/>
                <w:sz w:val="22"/>
              </w:rPr>
            </w:pPr>
            <w:r>
              <w:rPr>
                <w:b/>
                <w:sz w:val="22"/>
              </w:rPr>
              <w:t>Profesión</w:t>
            </w:r>
          </w:p>
        </w:tc>
        <w:tc>
          <w:tcPr>
            <w:tcW w:w="1319" w:type="dxa"/>
            <w:tcBorders>
              <w:left w:val="nil"/>
              <w:right w:val="nil"/>
            </w:tcBorders>
          </w:tcPr>
          <w:p>
            <w:pPr>
              <w:pStyle w:val="TableParagraph"/>
              <w:spacing w:before="7"/>
              <w:rPr>
                <w:b/>
                <w:sz w:val="27"/>
              </w:rPr>
            </w:pPr>
          </w:p>
          <w:p>
            <w:pPr>
              <w:pStyle w:val="TableParagraph"/>
              <w:ind w:right="285"/>
              <w:jc w:val="right"/>
              <w:rPr>
                <w:b/>
                <w:sz w:val="22"/>
              </w:rPr>
            </w:pPr>
            <w:r>
              <w:rPr>
                <w:b/>
                <w:sz w:val="22"/>
              </w:rPr>
              <w:t>Ocupados</w:t>
            </w:r>
          </w:p>
        </w:tc>
        <w:tc>
          <w:tcPr>
            <w:tcW w:w="1693" w:type="dxa"/>
            <w:tcBorders>
              <w:left w:val="nil"/>
              <w:right w:val="nil"/>
            </w:tcBorders>
          </w:tcPr>
          <w:p>
            <w:pPr>
              <w:pStyle w:val="TableParagraph"/>
              <w:spacing w:before="66"/>
              <w:ind w:left="284" w:right="484" w:firstLine="117"/>
              <w:rPr>
                <w:b/>
                <w:sz w:val="22"/>
              </w:rPr>
            </w:pPr>
            <w:r>
              <w:rPr>
                <w:b/>
                <w:sz w:val="22"/>
              </w:rPr>
              <w:t>Salario promedio</w:t>
            </w:r>
          </w:p>
        </w:tc>
        <w:tc>
          <w:tcPr>
            <w:tcW w:w="1421" w:type="dxa"/>
            <w:tcBorders>
              <w:left w:val="nil"/>
              <w:right w:val="nil"/>
            </w:tcBorders>
          </w:tcPr>
          <w:p>
            <w:pPr>
              <w:pStyle w:val="TableParagraph"/>
              <w:spacing w:before="66"/>
              <w:ind w:left="69" w:right="73"/>
              <w:rPr>
                <w:b/>
                <w:sz w:val="22"/>
              </w:rPr>
            </w:pPr>
            <w:r>
              <w:rPr>
                <w:b/>
                <w:sz w:val="22"/>
              </w:rPr>
              <w:t>Participación de mujeres</w:t>
            </w:r>
          </w:p>
        </w:tc>
      </w:tr>
      <w:tr>
        <w:trPr>
          <w:trHeight w:val="635" w:hRule="exact"/>
        </w:trPr>
        <w:tc>
          <w:tcPr>
            <w:tcW w:w="3975" w:type="dxa"/>
            <w:tcBorders>
              <w:left w:val="nil"/>
              <w:bottom w:val="nil"/>
              <w:right w:val="nil"/>
            </w:tcBorders>
          </w:tcPr>
          <w:p>
            <w:pPr>
              <w:pStyle w:val="TableParagraph"/>
              <w:spacing w:before="8"/>
              <w:rPr>
                <w:b/>
                <w:sz w:val="29"/>
              </w:rPr>
            </w:pPr>
          </w:p>
          <w:p>
            <w:pPr>
              <w:pStyle w:val="TableParagraph"/>
              <w:ind w:left="84"/>
              <w:rPr>
                <w:sz w:val="22"/>
              </w:rPr>
            </w:pPr>
            <w:r>
              <w:rPr>
                <w:sz w:val="22"/>
              </w:rPr>
              <w:t>Arquitectura</w:t>
            </w:r>
          </w:p>
        </w:tc>
        <w:tc>
          <w:tcPr>
            <w:tcW w:w="1319" w:type="dxa"/>
            <w:tcBorders>
              <w:left w:val="nil"/>
              <w:bottom w:val="nil"/>
              <w:right w:val="nil"/>
            </w:tcBorders>
          </w:tcPr>
          <w:p>
            <w:pPr>
              <w:pStyle w:val="TableParagraph"/>
              <w:spacing w:before="8"/>
              <w:rPr>
                <w:b/>
                <w:sz w:val="29"/>
              </w:rPr>
            </w:pPr>
          </w:p>
          <w:p>
            <w:pPr>
              <w:pStyle w:val="TableParagraph"/>
              <w:ind w:right="282"/>
              <w:jc w:val="right"/>
              <w:rPr>
                <w:sz w:val="22"/>
              </w:rPr>
            </w:pPr>
            <w:r>
              <w:rPr>
                <w:sz w:val="22"/>
              </w:rPr>
              <w:t>23,826</w:t>
            </w:r>
          </w:p>
        </w:tc>
        <w:tc>
          <w:tcPr>
            <w:tcW w:w="1693" w:type="dxa"/>
            <w:tcBorders>
              <w:left w:val="nil"/>
              <w:bottom w:val="nil"/>
              <w:right w:val="nil"/>
            </w:tcBorders>
          </w:tcPr>
          <w:p>
            <w:pPr>
              <w:pStyle w:val="TableParagraph"/>
              <w:spacing w:before="8"/>
              <w:rPr>
                <w:b/>
                <w:sz w:val="29"/>
              </w:rPr>
            </w:pPr>
          </w:p>
          <w:p>
            <w:pPr>
              <w:pStyle w:val="TableParagraph"/>
              <w:ind w:right="67"/>
              <w:jc w:val="right"/>
              <w:rPr>
                <w:sz w:val="22"/>
              </w:rPr>
            </w:pPr>
            <w:r>
              <w:rPr>
                <w:sz w:val="22"/>
              </w:rPr>
              <w:t>$ 12,135.00</w:t>
            </w:r>
          </w:p>
        </w:tc>
        <w:tc>
          <w:tcPr>
            <w:tcW w:w="1421" w:type="dxa"/>
            <w:tcBorders>
              <w:left w:val="nil"/>
              <w:bottom w:val="nil"/>
              <w:right w:val="nil"/>
            </w:tcBorders>
          </w:tcPr>
          <w:p>
            <w:pPr>
              <w:pStyle w:val="TableParagraph"/>
              <w:spacing w:before="8"/>
              <w:rPr>
                <w:b/>
                <w:sz w:val="29"/>
              </w:rPr>
            </w:pPr>
          </w:p>
          <w:p>
            <w:pPr>
              <w:pStyle w:val="TableParagraph"/>
              <w:ind w:right="68"/>
              <w:jc w:val="right"/>
              <w:rPr>
                <w:sz w:val="22"/>
              </w:rPr>
            </w:pPr>
            <w:r>
              <w:rPr>
                <w:sz w:val="22"/>
              </w:rPr>
              <w:t>19,6%</w:t>
            </w:r>
          </w:p>
        </w:tc>
      </w:tr>
      <w:tr>
        <w:trPr>
          <w:trHeight w:val="300" w:hRule="exact"/>
        </w:trPr>
        <w:tc>
          <w:tcPr>
            <w:tcW w:w="3975" w:type="dxa"/>
            <w:tcBorders>
              <w:top w:val="nil"/>
              <w:left w:val="nil"/>
              <w:bottom w:val="nil"/>
              <w:right w:val="nil"/>
            </w:tcBorders>
          </w:tcPr>
          <w:p>
            <w:pPr>
              <w:pStyle w:val="TableParagraph"/>
              <w:spacing w:before="12"/>
              <w:ind w:left="84"/>
              <w:rPr>
                <w:sz w:val="22"/>
              </w:rPr>
            </w:pPr>
            <w:r>
              <w:rPr>
                <w:sz w:val="22"/>
              </w:rPr>
              <w:t>Ciencias Administrativas</w:t>
            </w:r>
          </w:p>
        </w:tc>
        <w:tc>
          <w:tcPr>
            <w:tcW w:w="1319" w:type="dxa"/>
            <w:tcBorders>
              <w:top w:val="nil"/>
              <w:left w:val="nil"/>
              <w:bottom w:val="nil"/>
              <w:right w:val="nil"/>
            </w:tcBorders>
          </w:tcPr>
          <w:p>
            <w:pPr>
              <w:pStyle w:val="TableParagraph"/>
              <w:spacing w:before="12"/>
              <w:ind w:right="282"/>
              <w:jc w:val="right"/>
              <w:rPr>
                <w:sz w:val="22"/>
              </w:rPr>
            </w:pPr>
            <w:r>
              <w:rPr>
                <w:sz w:val="22"/>
              </w:rPr>
              <w:t>78,545</w:t>
            </w:r>
          </w:p>
        </w:tc>
        <w:tc>
          <w:tcPr>
            <w:tcW w:w="1693" w:type="dxa"/>
            <w:tcBorders>
              <w:top w:val="nil"/>
              <w:left w:val="nil"/>
              <w:bottom w:val="nil"/>
              <w:right w:val="nil"/>
            </w:tcBorders>
          </w:tcPr>
          <w:p>
            <w:pPr>
              <w:pStyle w:val="TableParagraph"/>
              <w:spacing w:before="12"/>
              <w:ind w:right="67"/>
              <w:jc w:val="right"/>
              <w:rPr>
                <w:sz w:val="22"/>
              </w:rPr>
            </w:pPr>
            <w:r>
              <w:rPr>
                <w:sz w:val="22"/>
              </w:rPr>
              <w:t>$ 11,525.00</w:t>
            </w:r>
          </w:p>
        </w:tc>
        <w:tc>
          <w:tcPr>
            <w:tcW w:w="1421" w:type="dxa"/>
            <w:tcBorders>
              <w:top w:val="nil"/>
              <w:left w:val="nil"/>
              <w:bottom w:val="nil"/>
              <w:right w:val="nil"/>
            </w:tcBorders>
          </w:tcPr>
          <w:p>
            <w:pPr>
              <w:pStyle w:val="TableParagraph"/>
              <w:spacing w:before="12"/>
              <w:ind w:right="68"/>
              <w:jc w:val="right"/>
              <w:rPr>
                <w:sz w:val="22"/>
              </w:rPr>
            </w:pPr>
            <w:r>
              <w:rPr>
                <w:sz w:val="22"/>
              </w:rPr>
              <w:t>37,7%</w:t>
            </w:r>
          </w:p>
        </w:tc>
      </w:tr>
      <w:tr>
        <w:trPr>
          <w:trHeight w:val="300" w:hRule="exact"/>
        </w:trPr>
        <w:tc>
          <w:tcPr>
            <w:tcW w:w="3975" w:type="dxa"/>
            <w:tcBorders>
              <w:top w:val="nil"/>
              <w:left w:val="nil"/>
              <w:bottom w:val="nil"/>
              <w:right w:val="nil"/>
            </w:tcBorders>
          </w:tcPr>
          <w:p>
            <w:pPr>
              <w:pStyle w:val="TableParagraph"/>
              <w:spacing w:before="12"/>
              <w:ind w:left="84"/>
              <w:rPr>
                <w:sz w:val="22"/>
              </w:rPr>
            </w:pPr>
            <w:r>
              <w:rPr>
                <w:sz w:val="22"/>
              </w:rPr>
              <w:t>Ciencias de la Comunicación</w:t>
            </w:r>
          </w:p>
        </w:tc>
        <w:tc>
          <w:tcPr>
            <w:tcW w:w="1319" w:type="dxa"/>
            <w:tcBorders>
              <w:top w:val="nil"/>
              <w:left w:val="nil"/>
              <w:bottom w:val="nil"/>
              <w:right w:val="nil"/>
            </w:tcBorders>
          </w:tcPr>
          <w:p>
            <w:pPr>
              <w:pStyle w:val="TableParagraph"/>
              <w:spacing w:before="12"/>
              <w:ind w:right="282"/>
              <w:jc w:val="right"/>
              <w:rPr>
                <w:sz w:val="22"/>
              </w:rPr>
            </w:pPr>
            <w:r>
              <w:rPr>
                <w:sz w:val="22"/>
              </w:rPr>
              <w:t>30,435</w:t>
            </w:r>
          </w:p>
        </w:tc>
        <w:tc>
          <w:tcPr>
            <w:tcW w:w="1693" w:type="dxa"/>
            <w:tcBorders>
              <w:top w:val="nil"/>
              <w:left w:val="nil"/>
              <w:bottom w:val="nil"/>
              <w:right w:val="nil"/>
            </w:tcBorders>
          </w:tcPr>
          <w:p>
            <w:pPr>
              <w:pStyle w:val="TableParagraph"/>
              <w:spacing w:before="12"/>
              <w:ind w:right="67"/>
              <w:jc w:val="right"/>
              <w:rPr>
                <w:sz w:val="22"/>
              </w:rPr>
            </w:pPr>
            <w:r>
              <w:rPr>
                <w:sz w:val="22"/>
              </w:rPr>
              <w:t>$   9,806.00</w:t>
            </w:r>
          </w:p>
        </w:tc>
        <w:tc>
          <w:tcPr>
            <w:tcW w:w="1421" w:type="dxa"/>
            <w:tcBorders>
              <w:top w:val="nil"/>
              <w:left w:val="nil"/>
              <w:bottom w:val="nil"/>
              <w:right w:val="nil"/>
            </w:tcBorders>
          </w:tcPr>
          <w:p>
            <w:pPr>
              <w:pStyle w:val="TableParagraph"/>
              <w:spacing w:before="12"/>
              <w:ind w:right="68"/>
              <w:jc w:val="right"/>
              <w:rPr>
                <w:sz w:val="22"/>
              </w:rPr>
            </w:pPr>
            <w:r>
              <w:rPr>
                <w:sz w:val="22"/>
              </w:rPr>
              <w:t>76,5%</w:t>
            </w:r>
          </w:p>
        </w:tc>
      </w:tr>
      <w:tr>
        <w:trPr>
          <w:trHeight w:val="300" w:hRule="exact"/>
        </w:trPr>
        <w:tc>
          <w:tcPr>
            <w:tcW w:w="3975" w:type="dxa"/>
            <w:tcBorders>
              <w:top w:val="nil"/>
              <w:left w:val="nil"/>
              <w:bottom w:val="nil"/>
              <w:right w:val="nil"/>
            </w:tcBorders>
          </w:tcPr>
          <w:p>
            <w:pPr>
              <w:pStyle w:val="TableParagraph"/>
              <w:spacing w:before="12"/>
              <w:ind w:left="84"/>
              <w:rPr>
                <w:sz w:val="22"/>
              </w:rPr>
            </w:pPr>
            <w:r>
              <w:rPr>
                <w:sz w:val="22"/>
              </w:rPr>
              <w:t>Ciencias de la Educación</w:t>
            </w:r>
          </w:p>
        </w:tc>
        <w:tc>
          <w:tcPr>
            <w:tcW w:w="1319" w:type="dxa"/>
            <w:tcBorders>
              <w:top w:val="nil"/>
              <w:left w:val="nil"/>
              <w:bottom w:val="nil"/>
              <w:right w:val="nil"/>
            </w:tcBorders>
          </w:tcPr>
          <w:p>
            <w:pPr>
              <w:pStyle w:val="TableParagraph"/>
              <w:spacing w:before="12"/>
              <w:ind w:right="282"/>
              <w:jc w:val="right"/>
              <w:rPr>
                <w:sz w:val="22"/>
              </w:rPr>
            </w:pPr>
            <w:r>
              <w:rPr>
                <w:sz w:val="22"/>
              </w:rPr>
              <w:t>24,049</w:t>
            </w:r>
          </w:p>
        </w:tc>
        <w:tc>
          <w:tcPr>
            <w:tcW w:w="1693" w:type="dxa"/>
            <w:tcBorders>
              <w:top w:val="nil"/>
              <w:left w:val="nil"/>
              <w:bottom w:val="nil"/>
              <w:right w:val="nil"/>
            </w:tcBorders>
          </w:tcPr>
          <w:p>
            <w:pPr>
              <w:pStyle w:val="TableParagraph"/>
              <w:spacing w:before="12"/>
              <w:ind w:right="67"/>
              <w:jc w:val="right"/>
              <w:rPr>
                <w:sz w:val="22"/>
              </w:rPr>
            </w:pPr>
            <w:r>
              <w:rPr>
                <w:sz w:val="22"/>
              </w:rPr>
              <w:t>$   7,728.00</w:t>
            </w:r>
          </w:p>
        </w:tc>
        <w:tc>
          <w:tcPr>
            <w:tcW w:w="1421" w:type="dxa"/>
            <w:tcBorders>
              <w:top w:val="nil"/>
              <w:left w:val="nil"/>
              <w:bottom w:val="nil"/>
              <w:right w:val="nil"/>
            </w:tcBorders>
          </w:tcPr>
          <w:p>
            <w:pPr>
              <w:pStyle w:val="TableParagraph"/>
              <w:spacing w:before="12"/>
              <w:ind w:right="68"/>
              <w:jc w:val="right"/>
              <w:rPr>
                <w:sz w:val="22"/>
              </w:rPr>
            </w:pPr>
            <w:r>
              <w:rPr>
                <w:sz w:val="22"/>
              </w:rPr>
              <w:t>68,4%</w:t>
            </w:r>
          </w:p>
        </w:tc>
      </w:tr>
      <w:tr>
        <w:trPr>
          <w:trHeight w:val="300" w:hRule="exact"/>
        </w:trPr>
        <w:tc>
          <w:tcPr>
            <w:tcW w:w="3975" w:type="dxa"/>
            <w:tcBorders>
              <w:top w:val="nil"/>
              <w:left w:val="nil"/>
              <w:bottom w:val="nil"/>
              <w:right w:val="nil"/>
            </w:tcBorders>
          </w:tcPr>
          <w:p>
            <w:pPr>
              <w:pStyle w:val="TableParagraph"/>
              <w:spacing w:before="12"/>
              <w:ind w:left="84"/>
              <w:rPr>
                <w:sz w:val="22"/>
              </w:rPr>
            </w:pPr>
            <w:r>
              <w:rPr>
                <w:sz w:val="22"/>
              </w:rPr>
              <w:t>Contaduría</w:t>
            </w:r>
          </w:p>
        </w:tc>
        <w:tc>
          <w:tcPr>
            <w:tcW w:w="1319" w:type="dxa"/>
            <w:tcBorders>
              <w:top w:val="nil"/>
              <w:left w:val="nil"/>
              <w:bottom w:val="nil"/>
              <w:right w:val="nil"/>
            </w:tcBorders>
          </w:tcPr>
          <w:p>
            <w:pPr>
              <w:pStyle w:val="TableParagraph"/>
              <w:spacing w:before="12"/>
              <w:ind w:right="282"/>
              <w:jc w:val="right"/>
              <w:rPr>
                <w:sz w:val="22"/>
              </w:rPr>
            </w:pPr>
            <w:r>
              <w:rPr>
                <w:sz w:val="22"/>
              </w:rPr>
              <w:t>88,278</w:t>
            </w:r>
          </w:p>
        </w:tc>
        <w:tc>
          <w:tcPr>
            <w:tcW w:w="1693" w:type="dxa"/>
            <w:tcBorders>
              <w:top w:val="nil"/>
              <w:left w:val="nil"/>
              <w:bottom w:val="nil"/>
              <w:right w:val="nil"/>
            </w:tcBorders>
          </w:tcPr>
          <w:p>
            <w:pPr>
              <w:pStyle w:val="TableParagraph"/>
              <w:spacing w:before="12"/>
              <w:ind w:right="67"/>
              <w:jc w:val="right"/>
              <w:rPr>
                <w:sz w:val="22"/>
              </w:rPr>
            </w:pPr>
            <w:r>
              <w:rPr>
                <w:sz w:val="22"/>
              </w:rPr>
              <w:t>$ 10,722.00</w:t>
            </w:r>
          </w:p>
        </w:tc>
        <w:tc>
          <w:tcPr>
            <w:tcW w:w="1421" w:type="dxa"/>
            <w:tcBorders>
              <w:top w:val="nil"/>
              <w:left w:val="nil"/>
              <w:bottom w:val="nil"/>
              <w:right w:val="nil"/>
            </w:tcBorders>
          </w:tcPr>
          <w:p>
            <w:pPr>
              <w:pStyle w:val="TableParagraph"/>
              <w:spacing w:before="12"/>
              <w:ind w:right="68"/>
              <w:jc w:val="right"/>
              <w:rPr>
                <w:sz w:val="22"/>
              </w:rPr>
            </w:pPr>
            <w:r>
              <w:rPr>
                <w:sz w:val="22"/>
              </w:rPr>
              <w:t>36,1%</w:t>
            </w:r>
          </w:p>
        </w:tc>
      </w:tr>
      <w:tr>
        <w:trPr>
          <w:trHeight w:val="300" w:hRule="exact"/>
        </w:trPr>
        <w:tc>
          <w:tcPr>
            <w:tcW w:w="3975" w:type="dxa"/>
            <w:tcBorders>
              <w:top w:val="nil"/>
              <w:left w:val="nil"/>
              <w:bottom w:val="nil"/>
              <w:right w:val="nil"/>
            </w:tcBorders>
          </w:tcPr>
          <w:p>
            <w:pPr>
              <w:pStyle w:val="TableParagraph"/>
              <w:spacing w:before="12"/>
              <w:ind w:left="84"/>
              <w:rPr>
                <w:sz w:val="22"/>
              </w:rPr>
            </w:pPr>
            <w:r>
              <w:rPr>
                <w:sz w:val="22"/>
              </w:rPr>
              <w:t>Derecho</w:t>
            </w:r>
          </w:p>
        </w:tc>
        <w:tc>
          <w:tcPr>
            <w:tcW w:w="1319" w:type="dxa"/>
            <w:tcBorders>
              <w:top w:val="nil"/>
              <w:left w:val="nil"/>
              <w:bottom w:val="nil"/>
              <w:right w:val="nil"/>
            </w:tcBorders>
          </w:tcPr>
          <w:p>
            <w:pPr>
              <w:pStyle w:val="TableParagraph"/>
              <w:spacing w:before="12"/>
              <w:ind w:right="282"/>
              <w:jc w:val="right"/>
              <w:rPr>
                <w:sz w:val="22"/>
              </w:rPr>
            </w:pPr>
            <w:r>
              <w:rPr>
                <w:sz w:val="22"/>
              </w:rPr>
              <w:t>88,921</w:t>
            </w:r>
          </w:p>
        </w:tc>
        <w:tc>
          <w:tcPr>
            <w:tcW w:w="1693" w:type="dxa"/>
            <w:tcBorders>
              <w:top w:val="nil"/>
              <w:left w:val="nil"/>
              <w:bottom w:val="nil"/>
              <w:right w:val="nil"/>
            </w:tcBorders>
          </w:tcPr>
          <w:p>
            <w:pPr>
              <w:pStyle w:val="TableParagraph"/>
              <w:spacing w:before="12"/>
              <w:ind w:right="67"/>
              <w:jc w:val="right"/>
              <w:rPr>
                <w:sz w:val="22"/>
              </w:rPr>
            </w:pPr>
            <w:r>
              <w:rPr>
                <w:sz w:val="22"/>
              </w:rPr>
              <w:t>$   8,515.00</w:t>
            </w:r>
          </w:p>
        </w:tc>
        <w:tc>
          <w:tcPr>
            <w:tcW w:w="1421" w:type="dxa"/>
            <w:tcBorders>
              <w:top w:val="nil"/>
              <w:left w:val="nil"/>
              <w:bottom w:val="nil"/>
              <w:right w:val="nil"/>
            </w:tcBorders>
          </w:tcPr>
          <w:p>
            <w:pPr>
              <w:pStyle w:val="TableParagraph"/>
              <w:spacing w:before="12"/>
              <w:ind w:right="68"/>
              <w:jc w:val="right"/>
              <w:rPr>
                <w:sz w:val="22"/>
              </w:rPr>
            </w:pPr>
            <w:r>
              <w:rPr>
                <w:sz w:val="22"/>
              </w:rPr>
              <w:t>36,8%</w:t>
            </w:r>
          </w:p>
        </w:tc>
      </w:tr>
      <w:tr>
        <w:trPr>
          <w:trHeight w:val="300" w:hRule="exact"/>
        </w:trPr>
        <w:tc>
          <w:tcPr>
            <w:tcW w:w="3975" w:type="dxa"/>
            <w:tcBorders>
              <w:top w:val="nil"/>
              <w:left w:val="nil"/>
              <w:bottom w:val="nil"/>
              <w:right w:val="nil"/>
            </w:tcBorders>
          </w:tcPr>
          <w:p>
            <w:pPr>
              <w:pStyle w:val="TableParagraph"/>
              <w:spacing w:before="12"/>
              <w:ind w:left="84"/>
              <w:rPr>
                <w:sz w:val="22"/>
              </w:rPr>
            </w:pPr>
            <w:r>
              <w:rPr>
                <w:sz w:val="22"/>
              </w:rPr>
              <w:t>Enfermería</w:t>
            </w:r>
          </w:p>
        </w:tc>
        <w:tc>
          <w:tcPr>
            <w:tcW w:w="1319" w:type="dxa"/>
            <w:tcBorders>
              <w:top w:val="nil"/>
              <w:left w:val="nil"/>
              <w:bottom w:val="nil"/>
              <w:right w:val="nil"/>
            </w:tcBorders>
          </w:tcPr>
          <w:p>
            <w:pPr>
              <w:pStyle w:val="TableParagraph"/>
              <w:spacing w:before="12"/>
              <w:ind w:right="282"/>
              <w:jc w:val="right"/>
              <w:rPr>
                <w:sz w:val="22"/>
              </w:rPr>
            </w:pPr>
            <w:r>
              <w:rPr>
                <w:sz w:val="22"/>
              </w:rPr>
              <w:t>17,012</w:t>
            </w:r>
          </w:p>
        </w:tc>
        <w:tc>
          <w:tcPr>
            <w:tcW w:w="1693" w:type="dxa"/>
            <w:tcBorders>
              <w:top w:val="nil"/>
              <w:left w:val="nil"/>
              <w:bottom w:val="nil"/>
              <w:right w:val="nil"/>
            </w:tcBorders>
          </w:tcPr>
          <w:p>
            <w:pPr>
              <w:pStyle w:val="TableParagraph"/>
              <w:spacing w:before="12"/>
              <w:ind w:right="67"/>
              <w:jc w:val="right"/>
              <w:rPr>
                <w:sz w:val="22"/>
              </w:rPr>
            </w:pPr>
            <w:r>
              <w:rPr>
                <w:sz w:val="22"/>
              </w:rPr>
              <w:t>$   8,398.00</w:t>
            </w:r>
          </w:p>
        </w:tc>
        <w:tc>
          <w:tcPr>
            <w:tcW w:w="1421" w:type="dxa"/>
            <w:tcBorders>
              <w:top w:val="nil"/>
              <w:left w:val="nil"/>
              <w:bottom w:val="nil"/>
              <w:right w:val="nil"/>
            </w:tcBorders>
          </w:tcPr>
          <w:p>
            <w:pPr>
              <w:pStyle w:val="TableParagraph"/>
              <w:spacing w:before="12"/>
              <w:ind w:right="68"/>
              <w:jc w:val="right"/>
              <w:rPr>
                <w:sz w:val="22"/>
              </w:rPr>
            </w:pPr>
            <w:r>
              <w:rPr>
                <w:sz w:val="22"/>
              </w:rPr>
              <w:t>93,0%</w:t>
            </w:r>
          </w:p>
        </w:tc>
      </w:tr>
      <w:tr>
        <w:trPr>
          <w:trHeight w:val="300" w:hRule="exact"/>
        </w:trPr>
        <w:tc>
          <w:tcPr>
            <w:tcW w:w="3975" w:type="dxa"/>
            <w:tcBorders>
              <w:top w:val="nil"/>
              <w:left w:val="nil"/>
              <w:bottom w:val="nil"/>
              <w:right w:val="nil"/>
            </w:tcBorders>
          </w:tcPr>
          <w:p>
            <w:pPr>
              <w:pStyle w:val="TableParagraph"/>
              <w:spacing w:before="12"/>
              <w:ind w:left="84"/>
              <w:rPr>
                <w:sz w:val="22"/>
              </w:rPr>
            </w:pPr>
            <w:r>
              <w:rPr>
                <w:sz w:val="22"/>
              </w:rPr>
              <w:t>Formación Docente en Educación Primaria</w:t>
            </w:r>
          </w:p>
        </w:tc>
        <w:tc>
          <w:tcPr>
            <w:tcW w:w="1319" w:type="dxa"/>
            <w:tcBorders>
              <w:top w:val="nil"/>
              <w:left w:val="nil"/>
              <w:bottom w:val="nil"/>
              <w:right w:val="nil"/>
            </w:tcBorders>
          </w:tcPr>
          <w:p>
            <w:pPr>
              <w:pStyle w:val="TableParagraph"/>
              <w:spacing w:before="12"/>
              <w:ind w:right="282"/>
              <w:jc w:val="right"/>
              <w:rPr>
                <w:sz w:val="22"/>
              </w:rPr>
            </w:pPr>
            <w:r>
              <w:rPr>
                <w:sz w:val="22"/>
              </w:rPr>
              <w:t>34,166</w:t>
            </w:r>
          </w:p>
        </w:tc>
        <w:tc>
          <w:tcPr>
            <w:tcW w:w="1693" w:type="dxa"/>
            <w:tcBorders>
              <w:top w:val="nil"/>
              <w:left w:val="nil"/>
              <w:bottom w:val="nil"/>
              <w:right w:val="nil"/>
            </w:tcBorders>
          </w:tcPr>
          <w:p>
            <w:pPr>
              <w:pStyle w:val="TableParagraph"/>
              <w:spacing w:before="12"/>
              <w:ind w:right="67"/>
              <w:jc w:val="right"/>
              <w:rPr>
                <w:sz w:val="22"/>
              </w:rPr>
            </w:pPr>
            <w:r>
              <w:rPr>
                <w:sz w:val="22"/>
              </w:rPr>
              <w:t>$   9,814.00</w:t>
            </w:r>
          </w:p>
        </w:tc>
        <w:tc>
          <w:tcPr>
            <w:tcW w:w="1421" w:type="dxa"/>
            <w:tcBorders>
              <w:top w:val="nil"/>
              <w:left w:val="nil"/>
              <w:bottom w:val="nil"/>
              <w:right w:val="nil"/>
            </w:tcBorders>
          </w:tcPr>
          <w:p>
            <w:pPr>
              <w:pStyle w:val="TableParagraph"/>
              <w:spacing w:before="12"/>
              <w:ind w:right="68"/>
              <w:jc w:val="right"/>
              <w:rPr>
                <w:sz w:val="22"/>
              </w:rPr>
            </w:pPr>
            <w:r>
              <w:rPr>
                <w:sz w:val="22"/>
              </w:rPr>
              <w:t>65,0%</w:t>
            </w:r>
          </w:p>
        </w:tc>
      </w:tr>
      <w:tr>
        <w:trPr>
          <w:trHeight w:val="300" w:hRule="exact"/>
        </w:trPr>
        <w:tc>
          <w:tcPr>
            <w:tcW w:w="3975" w:type="dxa"/>
            <w:tcBorders>
              <w:top w:val="nil"/>
              <w:left w:val="nil"/>
              <w:bottom w:val="nil"/>
              <w:right w:val="nil"/>
            </w:tcBorders>
          </w:tcPr>
          <w:p>
            <w:pPr>
              <w:pStyle w:val="TableParagraph"/>
              <w:spacing w:before="12"/>
              <w:ind w:left="84"/>
              <w:rPr>
                <w:sz w:val="22"/>
              </w:rPr>
            </w:pPr>
            <w:r>
              <w:rPr>
                <w:sz w:val="22"/>
              </w:rPr>
              <w:t>Ingeniería Electrónica</w:t>
            </w:r>
          </w:p>
        </w:tc>
        <w:tc>
          <w:tcPr>
            <w:tcW w:w="1319" w:type="dxa"/>
            <w:tcBorders>
              <w:top w:val="nil"/>
              <w:left w:val="nil"/>
              <w:bottom w:val="nil"/>
              <w:right w:val="nil"/>
            </w:tcBorders>
          </w:tcPr>
          <w:p>
            <w:pPr>
              <w:pStyle w:val="TableParagraph"/>
              <w:spacing w:before="12"/>
              <w:ind w:right="282"/>
              <w:jc w:val="right"/>
              <w:rPr>
                <w:sz w:val="22"/>
              </w:rPr>
            </w:pPr>
            <w:r>
              <w:rPr>
                <w:sz w:val="22"/>
              </w:rPr>
              <w:t>7,550</w:t>
            </w:r>
          </w:p>
        </w:tc>
        <w:tc>
          <w:tcPr>
            <w:tcW w:w="1693" w:type="dxa"/>
            <w:tcBorders>
              <w:top w:val="nil"/>
              <w:left w:val="nil"/>
              <w:bottom w:val="nil"/>
              <w:right w:val="nil"/>
            </w:tcBorders>
          </w:tcPr>
          <w:p>
            <w:pPr>
              <w:pStyle w:val="TableParagraph"/>
              <w:spacing w:before="12"/>
              <w:ind w:right="67"/>
              <w:jc w:val="right"/>
              <w:rPr>
                <w:sz w:val="22"/>
              </w:rPr>
            </w:pPr>
            <w:r>
              <w:rPr>
                <w:sz w:val="22"/>
              </w:rPr>
              <w:t>$ 18,702.00</w:t>
            </w:r>
          </w:p>
        </w:tc>
        <w:tc>
          <w:tcPr>
            <w:tcW w:w="1421" w:type="dxa"/>
            <w:tcBorders>
              <w:top w:val="nil"/>
              <w:left w:val="nil"/>
              <w:bottom w:val="nil"/>
              <w:right w:val="nil"/>
            </w:tcBorders>
          </w:tcPr>
          <w:p>
            <w:pPr>
              <w:pStyle w:val="TableParagraph"/>
              <w:spacing w:before="12"/>
              <w:ind w:right="68"/>
              <w:jc w:val="right"/>
              <w:rPr>
                <w:sz w:val="22"/>
              </w:rPr>
            </w:pPr>
            <w:r>
              <w:rPr>
                <w:sz w:val="22"/>
              </w:rPr>
              <w:t>5,6%</w:t>
            </w:r>
          </w:p>
        </w:tc>
      </w:tr>
      <w:tr>
        <w:trPr>
          <w:trHeight w:val="300" w:hRule="exact"/>
        </w:trPr>
        <w:tc>
          <w:tcPr>
            <w:tcW w:w="3975" w:type="dxa"/>
            <w:tcBorders>
              <w:top w:val="nil"/>
              <w:left w:val="nil"/>
              <w:bottom w:val="nil"/>
              <w:right w:val="nil"/>
            </w:tcBorders>
          </w:tcPr>
          <w:p>
            <w:pPr>
              <w:pStyle w:val="TableParagraph"/>
              <w:spacing w:before="12"/>
              <w:ind w:left="84"/>
              <w:rPr>
                <w:sz w:val="22"/>
              </w:rPr>
            </w:pPr>
            <w:r>
              <w:rPr>
                <w:sz w:val="22"/>
              </w:rPr>
              <w:t>Ingeniería en Computación e Informática</w:t>
            </w:r>
          </w:p>
        </w:tc>
        <w:tc>
          <w:tcPr>
            <w:tcW w:w="1319" w:type="dxa"/>
            <w:tcBorders>
              <w:top w:val="nil"/>
              <w:left w:val="nil"/>
              <w:bottom w:val="nil"/>
              <w:right w:val="nil"/>
            </w:tcBorders>
          </w:tcPr>
          <w:p>
            <w:pPr>
              <w:pStyle w:val="TableParagraph"/>
              <w:spacing w:before="12"/>
              <w:ind w:right="282"/>
              <w:jc w:val="right"/>
              <w:rPr>
                <w:sz w:val="22"/>
              </w:rPr>
            </w:pPr>
            <w:r>
              <w:rPr>
                <w:sz w:val="22"/>
              </w:rPr>
              <w:t>55,686</w:t>
            </w:r>
          </w:p>
        </w:tc>
        <w:tc>
          <w:tcPr>
            <w:tcW w:w="1693" w:type="dxa"/>
            <w:tcBorders>
              <w:top w:val="nil"/>
              <w:left w:val="nil"/>
              <w:bottom w:val="nil"/>
              <w:right w:val="nil"/>
            </w:tcBorders>
          </w:tcPr>
          <w:p>
            <w:pPr>
              <w:pStyle w:val="TableParagraph"/>
              <w:spacing w:before="12"/>
              <w:ind w:right="67"/>
              <w:jc w:val="right"/>
              <w:rPr>
                <w:sz w:val="22"/>
              </w:rPr>
            </w:pPr>
            <w:r>
              <w:rPr>
                <w:sz w:val="22"/>
              </w:rPr>
              <w:t>$ 10,941.00</w:t>
            </w:r>
          </w:p>
        </w:tc>
        <w:tc>
          <w:tcPr>
            <w:tcW w:w="1421" w:type="dxa"/>
            <w:tcBorders>
              <w:top w:val="nil"/>
              <w:left w:val="nil"/>
              <w:bottom w:val="nil"/>
              <w:right w:val="nil"/>
            </w:tcBorders>
          </w:tcPr>
          <w:p>
            <w:pPr>
              <w:pStyle w:val="TableParagraph"/>
              <w:spacing w:before="12"/>
              <w:ind w:right="68"/>
              <w:jc w:val="right"/>
              <w:rPr>
                <w:sz w:val="22"/>
              </w:rPr>
            </w:pPr>
            <w:r>
              <w:rPr>
                <w:sz w:val="22"/>
              </w:rPr>
              <w:t>28,0%</w:t>
            </w:r>
          </w:p>
        </w:tc>
      </w:tr>
      <w:tr>
        <w:trPr>
          <w:trHeight w:val="300" w:hRule="exact"/>
        </w:trPr>
        <w:tc>
          <w:tcPr>
            <w:tcW w:w="3975" w:type="dxa"/>
            <w:tcBorders>
              <w:top w:val="nil"/>
              <w:left w:val="nil"/>
              <w:bottom w:val="nil"/>
              <w:right w:val="nil"/>
            </w:tcBorders>
          </w:tcPr>
          <w:p>
            <w:pPr>
              <w:pStyle w:val="TableParagraph"/>
              <w:spacing w:before="12"/>
              <w:ind w:left="84"/>
              <w:rPr>
                <w:sz w:val="22"/>
              </w:rPr>
            </w:pPr>
            <w:r>
              <w:rPr>
                <w:sz w:val="22"/>
              </w:rPr>
              <w:t>Ingeniería Industrial</w:t>
            </w:r>
          </w:p>
        </w:tc>
        <w:tc>
          <w:tcPr>
            <w:tcW w:w="1319" w:type="dxa"/>
            <w:tcBorders>
              <w:top w:val="nil"/>
              <w:left w:val="nil"/>
              <w:bottom w:val="nil"/>
              <w:right w:val="nil"/>
            </w:tcBorders>
          </w:tcPr>
          <w:p>
            <w:pPr>
              <w:pStyle w:val="TableParagraph"/>
              <w:spacing w:before="12"/>
              <w:ind w:right="282"/>
              <w:jc w:val="right"/>
              <w:rPr>
                <w:sz w:val="22"/>
              </w:rPr>
            </w:pPr>
            <w:r>
              <w:rPr>
                <w:sz w:val="22"/>
              </w:rPr>
              <w:t>38,968</w:t>
            </w:r>
          </w:p>
        </w:tc>
        <w:tc>
          <w:tcPr>
            <w:tcW w:w="1693" w:type="dxa"/>
            <w:tcBorders>
              <w:top w:val="nil"/>
              <w:left w:val="nil"/>
              <w:bottom w:val="nil"/>
              <w:right w:val="nil"/>
            </w:tcBorders>
          </w:tcPr>
          <w:p>
            <w:pPr>
              <w:pStyle w:val="TableParagraph"/>
              <w:spacing w:before="12"/>
              <w:ind w:right="67"/>
              <w:jc w:val="right"/>
              <w:rPr>
                <w:sz w:val="22"/>
              </w:rPr>
            </w:pPr>
            <w:r>
              <w:rPr>
                <w:sz w:val="22"/>
              </w:rPr>
              <w:t>$ 11,884.00</w:t>
            </w:r>
          </w:p>
        </w:tc>
        <w:tc>
          <w:tcPr>
            <w:tcW w:w="1421" w:type="dxa"/>
            <w:tcBorders>
              <w:top w:val="nil"/>
              <w:left w:val="nil"/>
              <w:bottom w:val="nil"/>
              <w:right w:val="nil"/>
            </w:tcBorders>
          </w:tcPr>
          <w:p>
            <w:pPr>
              <w:pStyle w:val="TableParagraph"/>
              <w:spacing w:before="12"/>
              <w:ind w:right="68"/>
              <w:jc w:val="right"/>
              <w:rPr>
                <w:sz w:val="22"/>
              </w:rPr>
            </w:pPr>
            <w:r>
              <w:rPr>
                <w:sz w:val="22"/>
              </w:rPr>
              <w:t>16,0%</w:t>
            </w:r>
          </w:p>
        </w:tc>
      </w:tr>
      <w:tr>
        <w:trPr>
          <w:trHeight w:val="300" w:hRule="exact"/>
        </w:trPr>
        <w:tc>
          <w:tcPr>
            <w:tcW w:w="3975" w:type="dxa"/>
            <w:tcBorders>
              <w:top w:val="nil"/>
              <w:left w:val="nil"/>
              <w:bottom w:val="nil"/>
              <w:right w:val="nil"/>
            </w:tcBorders>
          </w:tcPr>
          <w:p>
            <w:pPr>
              <w:pStyle w:val="TableParagraph"/>
              <w:spacing w:before="12"/>
              <w:ind w:left="84"/>
              <w:rPr>
                <w:sz w:val="22"/>
              </w:rPr>
            </w:pPr>
            <w:r>
              <w:rPr>
                <w:sz w:val="22"/>
              </w:rPr>
              <w:t>Ingeniería Mecánica</w:t>
            </w:r>
          </w:p>
        </w:tc>
        <w:tc>
          <w:tcPr>
            <w:tcW w:w="1319" w:type="dxa"/>
            <w:tcBorders>
              <w:top w:val="nil"/>
              <w:left w:val="nil"/>
              <w:bottom w:val="nil"/>
              <w:right w:val="nil"/>
            </w:tcBorders>
          </w:tcPr>
          <w:p>
            <w:pPr>
              <w:pStyle w:val="TableParagraph"/>
              <w:spacing w:before="12"/>
              <w:ind w:right="282"/>
              <w:jc w:val="right"/>
              <w:rPr>
                <w:sz w:val="22"/>
              </w:rPr>
            </w:pPr>
            <w:r>
              <w:rPr>
                <w:sz w:val="22"/>
              </w:rPr>
              <w:t>27,056</w:t>
            </w:r>
          </w:p>
        </w:tc>
        <w:tc>
          <w:tcPr>
            <w:tcW w:w="1693" w:type="dxa"/>
            <w:tcBorders>
              <w:top w:val="nil"/>
              <w:left w:val="nil"/>
              <w:bottom w:val="nil"/>
              <w:right w:val="nil"/>
            </w:tcBorders>
          </w:tcPr>
          <w:p>
            <w:pPr>
              <w:pStyle w:val="TableParagraph"/>
              <w:spacing w:before="12"/>
              <w:ind w:right="67"/>
              <w:jc w:val="right"/>
              <w:rPr>
                <w:sz w:val="22"/>
              </w:rPr>
            </w:pPr>
            <w:r>
              <w:rPr>
                <w:sz w:val="22"/>
              </w:rPr>
              <w:t>$ 10,011.00</w:t>
            </w:r>
          </w:p>
        </w:tc>
        <w:tc>
          <w:tcPr>
            <w:tcW w:w="1421" w:type="dxa"/>
            <w:tcBorders>
              <w:top w:val="nil"/>
              <w:left w:val="nil"/>
              <w:bottom w:val="nil"/>
              <w:right w:val="nil"/>
            </w:tcBorders>
          </w:tcPr>
          <w:p>
            <w:pPr>
              <w:pStyle w:val="TableParagraph"/>
              <w:spacing w:before="12"/>
              <w:ind w:right="68"/>
              <w:jc w:val="right"/>
              <w:rPr>
                <w:sz w:val="22"/>
              </w:rPr>
            </w:pPr>
            <w:r>
              <w:rPr>
                <w:sz w:val="22"/>
              </w:rPr>
              <w:t>5,6%</w:t>
            </w:r>
          </w:p>
        </w:tc>
      </w:tr>
      <w:tr>
        <w:trPr>
          <w:trHeight w:val="300" w:hRule="exact"/>
        </w:trPr>
        <w:tc>
          <w:tcPr>
            <w:tcW w:w="3975" w:type="dxa"/>
            <w:tcBorders>
              <w:top w:val="nil"/>
              <w:left w:val="nil"/>
              <w:bottom w:val="nil"/>
              <w:right w:val="nil"/>
            </w:tcBorders>
          </w:tcPr>
          <w:p>
            <w:pPr>
              <w:pStyle w:val="TableParagraph"/>
              <w:spacing w:before="12"/>
              <w:ind w:left="84"/>
              <w:rPr>
                <w:sz w:val="22"/>
              </w:rPr>
            </w:pPr>
            <w:r>
              <w:rPr>
                <w:sz w:val="22"/>
              </w:rPr>
              <w:t>Medicina</w:t>
            </w:r>
          </w:p>
        </w:tc>
        <w:tc>
          <w:tcPr>
            <w:tcW w:w="1319" w:type="dxa"/>
            <w:tcBorders>
              <w:top w:val="nil"/>
              <w:left w:val="nil"/>
              <w:bottom w:val="nil"/>
              <w:right w:val="nil"/>
            </w:tcBorders>
          </w:tcPr>
          <w:p>
            <w:pPr>
              <w:pStyle w:val="TableParagraph"/>
              <w:spacing w:before="12"/>
              <w:ind w:right="282"/>
              <w:jc w:val="right"/>
              <w:rPr>
                <w:sz w:val="22"/>
              </w:rPr>
            </w:pPr>
            <w:r>
              <w:rPr>
                <w:sz w:val="22"/>
              </w:rPr>
              <w:t>28,961</w:t>
            </w:r>
          </w:p>
        </w:tc>
        <w:tc>
          <w:tcPr>
            <w:tcW w:w="1693" w:type="dxa"/>
            <w:tcBorders>
              <w:top w:val="nil"/>
              <w:left w:val="nil"/>
              <w:bottom w:val="nil"/>
              <w:right w:val="nil"/>
            </w:tcBorders>
          </w:tcPr>
          <w:p>
            <w:pPr>
              <w:pStyle w:val="TableParagraph"/>
              <w:spacing w:before="12"/>
              <w:ind w:right="67"/>
              <w:jc w:val="right"/>
              <w:rPr>
                <w:sz w:val="22"/>
              </w:rPr>
            </w:pPr>
            <w:r>
              <w:rPr>
                <w:sz w:val="22"/>
              </w:rPr>
              <w:t>$ 14,217.00</w:t>
            </w:r>
          </w:p>
        </w:tc>
        <w:tc>
          <w:tcPr>
            <w:tcW w:w="1421" w:type="dxa"/>
            <w:tcBorders>
              <w:top w:val="nil"/>
              <w:left w:val="nil"/>
              <w:bottom w:val="nil"/>
              <w:right w:val="nil"/>
            </w:tcBorders>
          </w:tcPr>
          <w:p>
            <w:pPr>
              <w:pStyle w:val="TableParagraph"/>
              <w:spacing w:before="12"/>
              <w:ind w:right="68"/>
              <w:jc w:val="right"/>
              <w:rPr>
                <w:sz w:val="22"/>
              </w:rPr>
            </w:pPr>
            <w:r>
              <w:rPr>
                <w:sz w:val="22"/>
              </w:rPr>
              <w:t>35,8%</w:t>
            </w:r>
          </w:p>
        </w:tc>
      </w:tr>
      <w:tr>
        <w:trPr>
          <w:trHeight w:val="300" w:hRule="exact"/>
        </w:trPr>
        <w:tc>
          <w:tcPr>
            <w:tcW w:w="3975" w:type="dxa"/>
            <w:tcBorders>
              <w:top w:val="nil"/>
              <w:left w:val="nil"/>
              <w:bottom w:val="nil"/>
              <w:right w:val="nil"/>
            </w:tcBorders>
          </w:tcPr>
          <w:p>
            <w:pPr>
              <w:pStyle w:val="TableParagraph"/>
              <w:spacing w:before="12"/>
              <w:ind w:left="84"/>
              <w:rPr>
                <w:sz w:val="22"/>
              </w:rPr>
            </w:pPr>
            <w:r>
              <w:rPr>
                <w:sz w:val="22"/>
              </w:rPr>
              <w:t>Psicología</w:t>
            </w:r>
          </w:p>
        </w:tc>
        <w:tc>
          <w:tcPr>
            <w:tcW w:w="1319" w:type="dxa"/>
            <w:tcBorders>
              <w:top w:val="nil"/>
              <w:left w:val="nil"/>
              <w:bottom w:val="nil"/>
              <w:right w:val="nil"/>
            </w:tcBorders>
          </w:tcPr>
          <w:p>
            <w:pPr>
              <w:pStyle w:val="TableParagraph"/>
              <w:spacing w:before="12"/>
              <w:ind w:right="282"/>
              <w:jc w:val="right"/>
              <w:rPr>
                <w:sz w:val="22"/>
              </w:rPr>
            </w:pPr>
            <w:r>
              <w:rPr>
                <w:sz w:val="22"/>
              </w:rPr>
              <w:t>26,211</w:t>
            </w:r>
          </w:p>
        </w:tc>
        <w:tc>
          <w:tcPr>
            <w:tcW w:w="1693" w:type="dxa"/>
            <w:tcBorders>
              <w:top w:val="nil"/>
              <w:left w:val="nil"/>
              <w:bottom w:val="nil"/>
              <w:right w:val="nil"/>
            </w:tcBorders>
          </w:tcPr>
          <w:p>
            <w:pPr>
              <w:pStyle w:val="TableParagraph"/>
              <w:spacing w:before="12"/>
              <w:ind w:right="67"/>
              <w:jc w:val="right"/>
              <w:rPr>
                <w:sz w:val="22"/>
              </w:rPr>
            </w:pPr>
            <w:r>
              <w:rPr>
                <w:sz w:val="22"/>
              </w:rPr>
              <w:t>$   9,917.00</w:t>
            </w:r>
          </w:p>
        </w:tc>
        <w:tc>
          <w:tcPr>
            <w:tcW w:w="1421" w:type="dxa"/>
            <w:tcBorders>
              <w:top w:val="nil"/>
              <w:left w:val="nil"/>
              <w:bottom w:val="nil"/>
              <w:right w:val="nil"/>
            </w:tcBorders>
          </w:tcPr>
          <w:p>
            <w:pPr>
              <w:pStyle w:val="TableParagraph"/>
              <w:spacing w:before="12"/>
              <w:ind w:right="68"/>
              <w:jc w:val="right"/>
              <w:rPr>
                <w:sz w:val="22"/>
              </w:rPr>
            </w:pPr>
            <w:r>
              <w:rPr>
                <w:sz w:val="22"/>
              </w:rPr>
              <w:t>83,9%</w:t>
            </w:r>
          </w:p>
        </w:tc>
      </w:tr>
      <w:tr>
        <w:trPr>
          <w:trHeight w:val="275" w:hRule="exact"/>
        </w:trPr>
        <w:tc>
          <w:tcPr>
            <w:tcW w:w="3975" w:type="dxa"/>
            <w:tcBorders>
              <w:top w:val="nil"/>
              <w:left w:val="nil"/>
              <w:right w:val="nil"/>
            </w:tcBorders>
          </w:tcPr>
          <w:p>
            <w:pPr>
              <w:pStyle w:val="TableParagraph"/>
              <w:spacing w:before="12"/>
              <w:ind w:left="84"/>
              <w:rPr>
                <w:sz w:val="22"/>
              </w:rPr>
            </w:pPr>
            <w:r>
              <w:rPr>
                <w:sz w:val="22"/>
              </w:rPr>
              <w:t>Turismo</w:t>
            </w:r>
          </w:p>
        </w:tc>
        <w:tc>
          <w:tcPr>
            <w:tcW w:w="1319" w:type="dxa"/>
            <w:tcBorders>
              <w:top w:val="nil"/>
              <w:left w:val="nil"/>
              <w:right w:val="nil"/>
            </w:tcBorders>
          </w:tcPr>
          <w:p>
            <w:pPr>
              <w:pStyle w:val="TableParagraph"/>
              <w:spacing w:before="12"/>
              <w:ind w:right="282"/>
              <w:jc w:val="right"/>
              <w:rPr>
                <w:sz w:val="22"/>
              </w:rPr>
            </w:pPr>
            <w:r>
              <w:rPr>
                <w:sz w:val="22"/>
              </w:rPr>
              <w:t>22,759</w:t>
            </w:r>
          </w:p>
        </w:tc>
        <w:tc>
          <w:tcPr>
            <w:tcW w:w="1693" w:type="dxa"/>
            <w:tcBorders>
              <w:top w:val="nil"/>
              <w:left w:val="nil"/>
              <w:right w:val="nil"/>
            </w:tcBorders>
          </w:tcPr>
          <w:p>
            <w:pPr>
              <w:pStyle w:val="TableParagraph"/>
              <w:spacing w:before="12"/>
              <w:ind w:right="67"/>
              <w:jc w:val="right"/>
              <w:rPr>
                <w:sz w:val="22"/>
              </w:rPr>
            </w:pPr>
            <w:r>
              <w:rPr>
                <w:sz w:val="22"/>
              </w:rPr>
              <w:t>$   9,568.00</w:t>
            </w:r>
          </w:p>
        </w:tc>
        <w:tc>
          <w:tcPr>
            <w:tcW w:w="1421" w:type="dxa"/>
            <w:tcBorders>
              <w:top w:val="nil"/>
              <w:left w:val="nil"/>
              <w:right w:val="nil"/>
            </w:tcBorders>
          </w:tcPr>
          <w:p>
            <w:pPr>
              <w:pStyle w:val="TableParagraph"/>
              <w:spacing w:before="12"/>
              <w:ind w:right="68"/>
              <w:jc w:val="right"/>
              <w:rPr>
                <w:sz w:val="22"/>
              </w:rPr>
            </w:pPr>
            <w:r>
              <w:rPr>
                <w:sz w:val="22"/>
              </w:rPr>
              <w:t>55,3%</w:t>
            </w:r>
          </w:p>
        </w:tc>
      </w:tr>
    </w:tbl>
    <w:p>
      <w:pPr>
        <w:spacing w:line="223" w:lineRule="exact" w:before="0"/>
        <w:ind w:left="673" w:right="0" w:firstLine="0"/>
        <w:jc w:val="left"/>
        <w:rPr>
          <w:sz w:val="20"/>
        </w:rPr>
      </w:pPr>
      <w:r>
        <w:rPr>
          <w:sz w:val="20"/>
        </w:rPr>
        <w:t>Fuente: elaboración propia con datos del ENOE, 2012, publicados en observatorio laboral, 2012</w:t>
      </w:r>
    </w:p>
    <w:p>
      <w:pPr>
        <w:spacing w:after="0" w:line="223" w:lineRule="exact"/>
        <w:jc w:val="left"/>
        <w:rPr>
          <w:sz w:val="20"/>
        </w:rPr>
        <w:sectPr>
          <w:pgSz w:w="12240" w:h="15840"/>
          <w:pgMar w:header="0" w:footer="1003" w:top="1360" w:bottom="1200" w:left="1600" w:right="1580"/>
        </w:sectPr>
      </w:pPr>
    </w:p>
    <w:p>
      <w:pPr>
        <w:pStyle w:val="BodyText"/>
        <w:spacing w:line="360" w:lineRule="auto" w:before="50"/>
        <w:ind w:left="102" w:right="118"/>
        <w:jc w:val="both"/>
      </w:pPr>
      <w:r>
        <w:rPr/>
        <w:t>En la variable de ocupación, destaca la profesión de Derecho con 88,920 profesionistas ocupados, seguido de Contaduría con 88,278, Ciencias Administrativas con 78,545 y Formación Docente en Educación Primaria con 34,166, se observa que siguen liderando el mercado de los profesionales empleados que han estudiado las carreras tradicionales y que al mismo tiempo éstas se caracterizan por ser las que tienen mayor matricula en las instituciones de educación superior (ENOE, 2013).</w:t>
      </w:r>
    </w:p>
    <w:p>
      <w:pPr>
        <w:pStyle w:val="BodyText"/>
      </w:pPr>
    </w:p>
    <w:p>
      <w:pPr>
        <w:pStyle w:val="BodyText"/>
        <w:spacing w:line="360" w:lineRule="auto" w:before="143"/>
        <w:ind w:left="102" w:right="117"/>
        <w:jc w:val="both"/>
      </w:pPr>
      <w:r>
        <w:rPr/>
        <w:t>Las carreras con menor ocupación en la entidad son Ingeniería Eléctrica con 7,550 ocupados, Enfermería con 17,012 y Arquitectura con 23,825, situación que llama la atención sobre todo en Ingeniería Eléctrica debido a la planta industrial que se encuentra ubicada en el estado y Enfermería, a pesar de ser la entidad con mayor población este dato da cuenta del déficit de hospitales (ENOE, 2013).</w:t>
      </w:r>
    </w:p>
    <w:p>
      <w:pPr>
        <w:pStyle w:val="BodyText"/>
      </w:pPr>
    </w:p>
    <w:p>
      <w:pPr>
        <w:pStyle w:val="BodyText"/>
        <w:spacing w:line="360" w:lineRule="auto" w:before="143"/>
        <w:ind w:left="102" w:right="115"/>
        <w:jc w:val="both"/>
      </w:pPr>
      <w:r>
        <w:rPr/>
        <w:t>El salario es parte fundamental del análisis de las condiciones laborales. Con mejores salarios mensuales están las siguientes profesiones: Ingeniería Eléctrica con $18,702.00, Medicina $14,217.00 y Arquitectura con $12,135.00, cabe destacar que sobresalen con mejor salario dos profesiones que se encuentran entre las de menor  ocupación (Observatorio laboral, 2013).</w:t>
      </w:r>
    </w:p>
    <w:p>
      <w:pPr>
        <w:pStyle w:val="BodyText"/>
      </w:pPr>
    </w:p>
    <w:p>
      <w:pPr>
        <w:pStyle w:val="BodyText"/>
        <w:spacing w:line="360" w:lineRule="auto" w:before="143"/>
        <w:ind w:left="102" w:right="121"/>
        <w:jc w:val="both"/>
      </w:pPr>
      <w:r>
        <w:rPr/>
        <w:t>Entre las profesiones con menor salarios están: Ciencias de la Educación $7,728.00, Enfermería $8,398.00 y Derecho $8,515.00, profesiones en la que participan en su mayoría mujeres (Observatorio laboral, 2013).</w:t>
      </w:r>
    </w:p>
    <w:p>
      <w:pPr>
        <w:pStyle w:val="BodyText"/>
      </w:pPr>
    </w:p>
    <w:p>
      <w:pPr>
        <w:pStyle w:val="BodyText"/>
        <w:spacing w:line="360" w:lineRule="auto" w:before="143"/>
        <w:ind w:left="102" w:right="116"/>
        <w:jc w:val="both"/>
      </w:pPr>
      <w:r>
        <w:rPr/>
        <w:t>La incorporación de la mujer mexiquense, tanto en el mercado de trabajo como en los estudios profesionales, en los últimos 20 años ha sido considerable, sin embargo dicha incorporación se sigue presentando en áreas tradicionales para la mujer que la vinculan con el papel histórico que le ha asignado la sociedad. Las profesiones que concentran un mayor número de mujeres laborando son: Enfermería (98.7%), Psicología (83.9%) y Ciencias de  la Educación (68.4%). Mientras que en las que tienen menor participación son Ingeniería Mecánica y Electrónica (5.6%) (Observatorio laboral,</w:t>
      </w:r>
      <w:r>
        <w:rPr>
          <w:spacing w:val="-12"/>
        </w:rPr>
        <w:t> </w:t>
      </w:r>
      <w:r>
        <w:rPr/>
        <w:t>2013).</w:t>
      </w:r>
    </w:p>
    <w:p>
      <w:pPr>
        <w:spacing w:after="0" w:line="360" w:lineRule="auto"/>
        <w:jc w:val="both"/>
        <w:sectPr>
          <w:footerReference w:type="default" r:id="rId65"/>
          <w:pgSz w:w="12240" w:h="15840"/>
          <w:pgMar w:footer="943" w:header="0" w:top="1360" w:bottom="1140" w:left="1600" w:right="1580"/>
          <w:pgNumType w:start="100"/>
        </w:sectPr>
      </w:pPr>
    </w:p>
    <w:p>
      <w:pPr>
        <w:pStyle w:val="BodyText"/>
        <w:spacing w:line="360" w:lineRule="auto" w:before="50"/>
        <w:ind w:left="102" w:right="116"/>
        <w:jc w:val="both"/>
      </w:pPr>
      <w:r>
        <w:rPr/>
        <w:t>Destaca el crecimiento que ha tenido el número de profesionistas en el Estado de México   al encontrarse esta entidad en la zona geográfica donde se localiza el mayor número de instituciones de educación superior a nivel nacional, esto le permite concentrar una gran cantidad de egresados de este nivel (ver gráfica 3.7). Por lo que respecta a la demanda de profesionistas en la entidad, es necesario tener presente que la ubicación geográfica de la entidad permite acceder al mercado de bienes y servicios más importante a nivel nacional, situación que explica el alto índice de ocupados con título universitario en la</w:t>
      </w:r>
      <w:r>
        <w:rPr>
          <w:spacing w:val="-13"/>
        </w:rPr>
        <w:t> </w:t>
      </w:r>
      <w:r>
        <w:rPr/>
        <w:t>entidad.</w:t>
      </w:r>
    </w:p>
    <w:p>
      <w:pPr>
        <w:pStyle w:val="Heading3"/>
        <w:spacing w:before="210"/>
        <w:ind w:left="1686"/>
        <w:jc w:val="left"/>
      </w:pPr>
      <w:r>
        <w:rPr/>
        <w:pict>
          <v:line style="position:absolute;mso-position-horizontal-relative:page;mso-position-vertical-relative:paragraph;z-index:2656" from="382.079987pt,110.723099pt" to="401.279987pt,110.723099pt" stroked="true" strokeweight="2.16pt" strokecolor="#497dba">
            <w10:wrap type="none"/>
          </v:line>
        </w:pict>
      </w:r>
      <w:r>
        <w:rPr/>
        <w:t>Gráfica 3.7. Profesionistas Estado de México 2000-2010</w:t>
      </w:r>
    </w:p>
    <w:p>
      <w:pPr>
        <w:pStyle w:val="BodyText"/>
        <w:rPr>
          <w:b/>
          <w:sz w:val="20"/>
        </w:rPr>
      </w:pPr>
    </w:p>
    <w:p>
      <w:pPr>
        <w:spacing w:after="0"/>
        <w:rPr>
          <w:sz w:val="20"/>
        </w:rPr>
        <w:sectPr>
          <w:pgSz w:w="12240" w:h="15840"/>
          <w:pgMar w:header="0" w:footer="943" w:top="1360" w:bottom="1200" w:left="1600" w:right="1580"/>
        </w:sectPr>
      </w:pPr>
    </w:p>
    <w:p>
      <w:pPr>
        <w:pStyle w:val="BodyText"/>
        <w:spacing w:before="2"/>
        <w:rPr>
          <w:b/>
          <w:sz w:val="17"/>
        </w:rPr>
      </w:pPr>
    </w:p>
    <w:p>
      <w:pPr>
        <w:spacing w:before="0"/>
        <w:ind w:left="230" w:right="0" w:firstLine="0"/>
        <w:jc w:val="center"/>
        <w:rPr>
          <w:rFonts w:ascii="Calibri"/>
          <w:sz w:val="20"/>
        </w:rPr>
      </w:pPr>
      <w:r>
        <w:rPr/>
        <w:pict>
          <v:group style="position:absolute;margin-left:133.425003pt;margin-top:6.336511pt;width:233.35pt;height:126.3pt;mso-position-horizontal-relative:page;mso-position-vertical-relative:paragraph;z-index:2632" coordorigin="2669,127" coordsize="4667,2526">
            <v:shape style="position:absolute;left:2676;top:134;width:4652;height:2511" coordorigin="2676,134" coordsize="4652,2511" path="m2676,2364l7327,2364m2676,2085l7327,2085m2676,1807l7327,1807m2676,1529l7327,1529m2676,1248l7327,1248m2676,969l7327,969m2676,691l7327,691m2676,413l7327,413m2676,134l7327,134m2676,2645l2676,134m2676,2645l7327,2645e" filled="false" stroked="true" strokeweight=".72pt" strokecolor="#858585">
              <v:path arrowok="t"/>
            </v:shape>
            <v:shape style="position:absolute;left:2887;top:1027;width:4229;height:759" coordorigin="2887,1027" coordsize="4229,759" path="m2887,1785l3310,1658,3732,1603,4157,1524,4579,1445,5002,1394,5424,1327,5846,1262,6271,1241,6694,1116,7116,1027e" filled="false" stroked="true" strokeweight="2.16pt" strokecolor="#497dba">
              <v:path arrowok="t"/>
            </v:shape>
            <v:line style="position:absolute" from="2887,2600" to="7116,2600" stroked="true" strokeweight="1.32pt" strokecolor="#bd4a47"/>
            <v:shape style="position:absolute;left:2887;top:1805;width:4229;height:454" coordorigin="2887,1805" coordsize="4229,454" path="m2887,2133l3310,2117,3732,2107,4157,2114,4579,2258,5002,2001,5424,2085,5846,1805,6271,2105,6694,2045,7116,2025e" filled="false" stroked="true" strokeweight="2.16pt" strokecolor="#97b853">
              <v:path arrowok="t"/>
            </v:shape>
            <v:shape style="position:absolute;left:2887;top:367;width:4229;height:850" coordorigin="2887,367" coordsize="4229,850" path="m2887,1217l3310,1092,3732,1027,4157,953,4579,1020,5002,703,5424,727,5846,389,6271,667,6694,487,7116,367e" filled="false" stroked="true" strokeweight="2.16pt" strokecolor="#7c5f9f">
              <v:path arrowok="t"/>
            </v:shape>
            <w10:wrap type="none"/>
          </v:group>
        </w:pict>
      </w:r>
      <w:r>
        <w:rPr>
          <w:rFonts w:ascii="Calibri"/>
          <w:w w:val="95"/>
          <w:sz w:val="20"/>
        </w:rPr>
        <w:t>450,000</w:t>
      </w:r>
    </w:p>
    <w:p>
      <w:pPr>
        <w:spacing w:before="34"/>
        <w:ind w:left="230" w:right="0" w:firstLine="0"/>
        <w:jc w:val="center"/>
        <w:rPr>
          <w:rFonts w:ascii="Calibri"/>
          <w:sz w:val="20"/>
        </w:rPr>
      </w:pPr>
      <w:r>
        <w:rPr>
          <w:rFonts w:ascii="Calibri"/>
          <w:w w:val="95"/>
          <w:sz w:val="20"/>
        </w:rPr>
        <w:t>400,000</w:t>
      </w:r>
    </w:p>
    <w:p>
      <w:pPr>
        <w:spacing w:before="35"/>
        <w:ind w:left="230" w:right="0" w:firstLine="0"/>
        <w:jc w:val="center"/>
        <w:rPr>
          <w:rFonts w:ascii="Calibri"/>
          <w:sz w:val="20"/>
        </w:rPr>
      </w:pPr>
      <w:r>
        <w:rPr>
          <w:rFonts w:ascii="Calibri"/>
          <w:w w:val="95"/>
          <w:sz w:val="20"/>
        </w:rPr>
        <w:t>350,000</w:t>
      </w:r>
    </w:p>
    <w:p>
      <w:pPr>
        <w:spacing w:before="35"/>
        <w:ind w:left="230" w:right="0" w:firstLine="0"/>
        <w:jc w:val="center"/>
        <w:rPr>
          <w:rFonts w:ascii="Calibri"/>
          <w:sz w:val="20"/>
        </w:rPr>
      </w:pPr>
      <w:r>
        <w:rPr>
          <w:rFonts w:ascii="Calibri"/>
          <w:w w:val="95"/>
          <w:sz w:val="20"/>
        </w:rPr>
        <w:t>300,000</w:t>
      </w:r>
    </w:p>
    <w:p>
      <w:pPr>
        <w:spacing w:before="35"/>
        <w:ind w:left="230" w:right="0" w:firstLine="0"/>
        <w:jc w:val="center"/>
        <w:rPr>
          <w:rFonts w:ascii="Calibri"/>
          <w:sz w:val="20"/>
        </w:rPr>
      </w:pPr>
      <w:r>
        <w:rPr>
          <w:rFonts w:ascii="Calibri"/>
          <w:w w:val="95"/>
          <w:sz w:val="20"/>
        </w:rPr>
        <w:t>250,000</w:t>
      </w:r>
    </w:p>
    <w:p>
      <w:pPr>
        <w:spacing w:before="34"/>
        <w:ind w:left="230" w:right="0" w:firstLine="0"/>
        <w:jc w:val="center"/>
        <w:rPr>
          <w:rFonts w:ascii="Calibri"/>
          <w:sz w:val="20"/>
        </w:rPr>
      </w:pPr>
      <w:r>
        <w:rPr>
          <w:rFonts w:ascii="Calibri"/>
          <w:w w:val="95"/>
          <w:sz w:val="20"/>
        </w:rPr>
        <w:t>200,000</w:t>
      </w:r>
    </w:p>
    <w:p>
      <w:pPr>
        <w:spacing w:before="35"/>
        <w:ind w:left="230" w:right="0" w:firstLine="0"/>
        <w:jc w:val="center"/>
        <w:rPr>
          <w:rFonts w:ascii="Calibri"/>
          <w:sz w:val="20"/>
        </w:rPr>
      </w:pPr>
      <w:r>
        <w:rPr>
          <w:rFonts w:ascii="Calibri"/>
          <w:w w:val="95"/>
          <w:sz w:val="20"/>
        </w:rPr>
        <w:t>150,000</w:t>
      </w:r>
    </w:p>
    <w:p>
      <w:pPr>
        <w:spacing w:before="35"/>
        <w:ind w:left="230" w:right="0" w:firstLine="0"/>
        <w:jc w:val="center"/>
        <w:rPr>
          <w:rFonts w:ascii="Calibri"/>
          <w:sz w:val="20"/>
        </w:rPr>
      </w:pPr>
      <w:r>
        <w:rPr>
          <w:rFonts w:ascii="Calibri"/>
          <w:w w:val="95"/>
          <w:sz w:val="20"/>
        </w:rPr>
        <w:t>100,000</w:t>
      </w:r>
    </w:p>
    <w:p>
      <w:pPr>
        <w:spacing w:before="35"/>
        <w:ind w:left="332" w:right="0" w:firstLine="0"/>
        <w:jc w:val="center"/>
        <w:rPr>
          <w:rFonts w:ascii="Calibri"/>
          <w:sz w:val="20"/>
        </w:rPr>
      </w:pPr>
      <w:r>
        <w:rPr>
          <w:rFonts w:ascii="Calibri"/>
          <w:w w:val="95"/>
          <w:sz w:val="20"/>
        </w:rPr>
        <w:t>50,000</w:t>
      </w:r>
    </w:p>
    <w:p>
      <w:pPr>
        <w:spacing w:before="34"/>
        <w:ind w:left="0" w:right="0" w:firstLine="0"/>
        <w:jc w:val="right"/>
        <w:rPr>
          <w:rFonts w:ascii="Calibri"/>
          <w:sz w:val="20"/>
        </w:rPr>
      </w:pPr>
      <w:r>
        <w:rPr/>
        <w:pict>
          <v:shape style="position:absolute;margin-left:139.25pt;margin-top:13.80647pt;width:12pt;height:45.6pt;mso-position-horizontal-relative:page;mso-position-vertical-relative:paragraph;z-index:2752"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00-2001</w:t>
                  </w:r>
                </w:p>
              </w:txbxContent>
            </v:textbox>
            <w10:wrap type="none"/>
          </v:shape>
        </w:pict>
      </w:r>
      <w:r>
        <w:rPr/>
        <w:pict>
          <v:shape style="position:absolute;margin-left:160.389999pt;margin-top:13.80647pt;width:12pt;height:45.6pt;mso-position-horizontal-relative:page;mso-position-vertical-relative:paragraph;z-index:2776"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01-2002</w:t>
                  </w:r>
                </w:p>
              </w:txbxContent>
            </v:textbox>
            <w10:wrap type="none"/>
          </v:shape>
        </w:pict>
      </w:r>
      <w:r>
        <w:rPr/>
        <w:pict>
          <v:shape style="position:absolute;margin-left:181.542007pt;margin-top:13.781343pt;width:12pt;height:45.6pt;mso-position-horizontal-relative:page;mso-position-vertical-relative:paragraph;z-index:2800" type="#_x0000_t202" filled="false" stroked="false">
            <v:textbox inset="0,0,0,0" style="layout-flow:vertical;mso-layout-flow-alt:bottom-to-top">
              <w:txbxContent>
                <w:p>
                  <w:pPr>
                    <w:spacing w:line="223" w:lineRule="exact" w:before="0"/>
                    <w:ind w:left="20" w:right="-671" w:firstLine="0"/>
                    <w:jc w:val="left"/>
                    <w:rPr>
                      <w:rFonts w:ascii="Calibri"/>
                      <w:sz w:val="20"/>
                    </w:rPr>
                  </w:pPr>
                  <w:r>
                    <w:rPr>
                      <w:rFonts w:ascii="Calibri"/>
                      <w:w w:val="99"/>
                      <w:sz w:val="20"/>
                    </w:rPr>
                    <w:t>2</w:t>
                  </w:r>
                  <w:r>
                    <w:rPr>
                      <w:rFonts w:ascii="Calibri"/>
                      <w:spacing w:val="1"/>
                      <w:w w:val="99"/>
                      <w:sz w:val="20"/>
                    </w:rPr>
                    <w:t>0</w:t>
                  </w:r>
                  <w:r>
                    <w:rPr>
                      <w:rFonts w:ascii="Calibri"/>
                      <w:w w:val="99"/>
                      <w:sz w:val="20"/>
                    </w:rPr>
                    <w:t>0</w:t>
                  </w:r>
                  <w:r>
                    <w:rPr>
                      <w:rFonts w:ascii="Calibri"/>
                      <w:spacing w:val="-1"/>
                      <w:w w:val="99"/>
                      <w:sz w:val="20"/>
                    </w:rPr>
                    <w:t>2</w:t>
                  </w:r>
                  <w:r>
                    <w:rPr>
                      <w:rFonts w:ascii="Calibri"/>
                      <w:spacing w:val="1"/>
                      <w:w w:val="99"/>
                      <w:sz w:val="20"/>
                    </w:rPr>
                    <w:t>-</w:t>
                  </w:r>
                  <w:r>
                    <w:rPr>
                      <w:rFonts w:ascii="Calibri"/>
                      <w:w w:val="99"/>
                      <w:sz w:val="20"/>
                    </w:rPr>
                    <w:t>2</w:t>
                  </w:r>
                  <w:r>
                    <w:rPr>
                      <w:rFonts w:ascii="Calibri"/>
                      <w:spacing w:val="-1"/>
                      <w:w w:val="99"/>
                      <w:sz w:val="20"/>
                    </w:rPr>
                    <w:t>0</w:t>
                  </w:r>
                  <w:r>
                    <w:rPr>
                      <w:rFonts w:ascii="Calibri"/>
                      <w:w w:val="99"/>
                      <w:sz w:val="20"/>
                    </w:rPr>
                    <w:t>03</w:t>
                  </w:r>
                </w:p>
              </w:txbxContent>
            </v:textbox>
            <w10:wrap type="none"/>
          </v:shape>
        </w:pict>
      </w:r>
      <w:r>
        <w:rPr/>
        <w:pict>
          <v:shape style="position:absolute;margin-left:202.710007pt;margin-top:13.80647pt;width:12pt;height:45.6pt;mso-position-horizontal-relative:page;mso-position-vertical-relative:paragraph;z-index:2824"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03-2004</w:t>
                  </w:r>
                </w:p>
              </w:txbxContent>
            </v:textbox>
            <w10:wrap type="none"/>
          </v:shape>
        </w:pict>
      </w:r>
      <w:r>
        <w:rPr/>
        <w:pict>
          <v:shape style="position:absolute;margin-left:223.850006pt;margin-top:13.80647pt;width:12pt;height:45.6pt;mso-position-horizontal-relative:page;mso-position-vertical-relative:paragraph;z-index:2848"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04-2005</w:t>
                  </w:r>
                </w:p>
              </w:txbxContent>
            </v:textbox>
            <w10:wrap type="none"/>
          </v:shape>
        </w:pict>
      </w:r>
      <w:r>
        <w:rPr/>
        <w:pict>
          <v:shape style="position:absolute;margin-left:244.990005pt;margin-top:13.80647pt;width:12pt;height:45.6pt;mso-position-horizontal-relative:page;mso-position-vertical-relative:paragraph;z-index:2872"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05-2006</w:t>
                  </w:r>
                </w:p>
              </w:txbxContent>
            </v:textbox>
            <w10:wrap type="none"/>
          </v:shape>
        </w:pict>
      </w:r>
      <w:r>
        <w:rPr/>
        <w:pict>
          <v:shape style="position:absolute;margin-left:266.160004pt;margin-top:13.80647pt;width:12pt;height:45.6pt;mso-position-horizontal-relative:page;mso-position-vertical-relative:paragraph;z-index:2896"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06-2007</w:t>
                  </w:r>
                </w:p>
              </w:txbxContent>
            </v:textbox>
            <w10:wrap type="none"/>
          </v:shape>
        </w:pict>
      </w:r>
      <w:r>
        <w:rPr/>
        <w:pict>
          <v:shape style="position:absolute;margin-left:287.309998pt;margin-top:13.80647pt;width:12pt;height:45.6pt;mso-position-horizontal-relative:page;mso-position-vertical-relative:paragraph;z-index:2920"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07-2008</w:t>
                  </w:r>
                </w:p>
              </w:txbxContent>
            </v:textbox>
            <w10:wrap type="none"/>
          </v:shape>
        </w:pict>
      </w:r>
      <w:r>
        <w:rPr/>
        <w:pict>
          <v:shape style="position:absolute;margin-left:308.450012pt;margin-top:13.80647pt;width:12pt;height:45.6pt;mso-position-horizontal-relative:page;mso-position-vertical-relative:paragraph;z-index:2944"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08-2009</w:t>
                  </w:r>
                </w:p>
              </w:txbxContent>
            </v:textbox>
            <w10:wrap type="none"/>
          </v:shape>
        </w:pict>
      </w:r>
      <w:r>
        <w:rPr/>
        <w:pict>
          <v:shape style="position:absolute;margin-left:329.589996pt;margin-top:13.80647pt;width:12pt;height:45.6pt;mso-position-horizontal-relative:page;mso-position-vertical-relative:paragraph;z-index:2968"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09-2010</w:t>
                  </w:r>
                </w:p>
              </w:txbxContent>
            </v:textbox>
            <w10:wrap type="none"/>
          </v:shape>
        </w:pict>
      </w:r>
      <w:r>
        <w:rPr/>
        <w:pict>
          <v:shape style="position:absolute;margin-left:350.76001pt;margin-top:13.80647pt;width:12pt;height:45.6pt;mso-position-horizontal-relative:page;mso-position-vertical-relative:paragraph;z-index:2992" type="#_x0000_t202" filled="false" stroked="false">
            <v:textbox inset="0,0,0,0" style="layout-flow:vertical;mso-layout-flow-alt:bottom-to-top">
              <w:txbxContent>
                <w:p>
                  <w:pPr>
                    <w:spacing w:line="223" w:lineRule="exact" w:before="0"/>
                    <w:ind w:left="20" w:right="-670" w:firstLine="0"/>
                    <w:jc w:val="left"/>
                    <w:rPr>
                      <w:rFonts w:ascii="Calibri"/>
                      <w:sz w:val="20"/>
                    </w:rPr>
                  </w:pPr>
                  <w:r>
                    <w:rPr>
                      <w:rFonts w:ascii="Calibri"/>
                      <w:w w:val="99"/>
                      <w:sz w:val="20"/>
                    </w:rPr>
                    <w:t>2</w:t>
                  </w:r>
                  <w:r>
                    <w:rPr>
                      <w:rFonts w:ascii="Calibri"/>
                      <w:spacing w:val="1"/>
                      <w:w w:val="99"/>
                      <w:sz w:val="20"/>
                    </w:rPr>
                    <w:t>0</w:t>
                  </w:r>
                  <w:r>
                    <w:rPr>
                      <w:rFonts w:ascii="Calibri"/>
                      <w:w w:val="99"/>
                      <w:sz w:val="20"/>
                    </w:rPr>
                    <w:t>10-2011</w:t>
                  </w:r>
                </w:p>
              </w:txbxContent>
            </v:textbox>
            <w10:wrap type="none"/>
          </v:shape>
        </w:pict>
      </w:r>
      <w:r>
        <w:rPr>
          <w:rFonts w:ascii="Calibri"/>
          <w:w w:val="99"/>
          <w:sz w:val="20"/>
        </w:rPr>
        <w:t>0</w:t>
      </w:r>
    </w:p>
    <w:p>
      <w:pPr>
        <w:pStyle w:val="BodyText"/>
        <w:rPr>
          <w:rFonts w:ascii="Calibri"/>
          <w:sz w:val="20"/>
        </w:rPr>
      </w:pPr>
      <w:r>
        <w:rPr/>
        <w:br w:type="column"/>
      </w:r>
      <w:r>
        <w:rPr>
          <w:rFonts w:ascii="Calibri"/>
          <w:sz w:val="20"/>
        </w:rPr>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spacing w:line="355" w:lineRule="auto" w:before="143"/>
        <w:ind w:left="231" w:right="302" w:firstLine="0"/>
        <w:jc w:val="left"/>
        <w:rPr>
          <w:rFonts w:ascii="Calibri" w:hAnsi="Calibri"/>
          <w:sz w:val="20"/>
        </w:rPr>
      </w:pPr>
      <w:r>
        <w:rPr>
          <w:rFonts w:ascii="Calibri" w:hAnsi="Calibri"/>
          <w:sz w:val="20"/>
        </w:rPr>
        <w:t>Licenciatura universitaria Normal licenciatura Capacitación para el trabajo Total</w:t>
      </w:r>
    </w:p>
    <w:p>
      <w:pPr>
        <w:spacing w:after="0" w:line="355" w:lineRule="auto"/>
        <w:jc w:val="left"/>
        <w:rPr>
          <w:rFonts w:ascii="Calibri" w:hAnsi="Calibri"/>
          <w:sz w:val="20"/>
        </w:rPr>
        <w:sectPr>
          <w:type w:val="continuous"/>
          <w:pgSz w:w="12240" w:h="15840"/>
          <w:pgMar w:top="1340" w:bottom="280" w:left="1600" w:right="1580"/>
          <w:cols w:num="2" w:equalWidth="0">
            <w:col w:w="890" w:space="5345"/>
            <w:col w:w="2825"/>
          </w:cols>
        </w:sectPr>
      </w:pPr>
    </w:p>
    <w:p>
      <w:pPr>
        <w:pStyle w:val="BodyText"/>
        <w:rPr>
          <w:rFonts w:ascii="Calibri"/>
          <w:sz w:val="20"/>
        </w:rPr>
      </w:pPr>
      <w:r>
        <w:rPr/>
        <w:pict>
          <v:line style="position:absolute;mso-position-horizontal-relative:page;mso-position-vertical-relative:page;z-index:2680" from="382.079987pt,343.920013pt" to="401.279987pt,343.920013pt" stroked="true" strokeweight="2.16pt" strokecolor="#bd4a47">
            <w10:wrap type="none"/>
          </v:line>
        </w:pict>
      </w:r>
      <w:r>
        <w:rPr/>
        <w:pict>
          <v:line style="position:absolute;mso-position-horizontal-relative:page;mso-position-vertical-relative:page;z-index:2704" from="382.079987pt,362.040009pt" to="401.279987pt,362.040009pt" stroked="true" strokeweight="2.16pt" strokecolor="#97b853">
            <w10:wrap type="none"/>
          </v:line>
        </w:pic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rPr>
      </w:pPr>
    </w:p>
    <w:p>
      <w:pPr>
        <w:spacing w:before="73"/>
        <w:ind w:left="2012" w:right="0" w:firstLine="0"/>
        <w:jc w:val="left"/>
        <w:rPr>
          <w:sz w:val="20"/>
        </w:rPr>
      </w:pPr>
      <w:r>
        <w:rPr/>
        <w:pict>
          <v:line style="position:absolute;mso-position-horizontal-relative:page;mso-position-vertical-relative:paragraph;z-index:2728" from="382.079987pt,-82.48407pt" to="401.279987pt,-82.48407pt" stroked="true" strokeweight="2.16pt" strokecolor="#7c5f9f">
            <w10:wrap type="none"/>
          </v:line>
        </w:pict>
      </w:r>
      <w:r>
        <w:rPr>
          <w:sz w:val="20"/>
        </w:rPr>
        <w:t>Fuente: elaboración propia con base en los datos de SEP, 2014</w:t>
      </w:r>
    </w:p>
    <w:p>
      <w:pPr>
        <w:pStyle w:val="BodyText"/>
        <w:spacing w:before="3"/>
        <w:rPr>
          <w:sz w:val="27"/>
        </w:rPr>
      </w:pPr>
    </w:p>
    <w:p>
      <w:pPr>
        <w:pStyle w:val="BodyText"/>
        <w:spacing w:line="360" w:lineRule="auto"/>
        <w:ind w:left="102" w:right="122"/>
        <w:jc w:val="both"/>
      </w:pPr>
      <w:r>
        <w:rPr/>
        <w:t>Es difícil poder presentar un análisis minucioso de la carrera de economía para el Estado de México debido a que se encuentra agrupada en el rubro de las Ciencias Administrativas (Observatorio laboral, 2013). No existen datos puntuales al respecto de ahí que esta tesis cobra relevancia porque se genera y se incorpora información inédita.</w:t>
      </w:r>
    </w:p>
    <w:p>
      <w:pPr>
        <w:pStyle w:val="BodyText"/>
      </w:pPr>
    </w:p>
    <w:p>
      <w:pPr>
        <w:pStyle w:val="BodyText"/>
        <w:spacing w:line="360" w:lineRule="auto" w:before="143"/>
        <w:ind w:left="102" w:right="118"/>
        <w:jc w:val="both"/>
      </w:pPr>
      <w:r>
        <w:rPr/>
        <w:t>A continuación se presenta una breve historia de la UAEMéx y de la Facultad de Economía por ser el espacio académico responsable de formar a los licenciados en economía que constituyen a la población de estudio y de donde se toma la muestra para esta investigación doctoral.</w:t>
      </w:r>
    </w:p>
    <w:p>
      <w:pPr>
        <w:spacing w:after="0" w:line="360" w:lineRule="auto"/>
        <w:jc w:val="both"/>
        <w:sectPr>
          <w:type w:val="continuous"/>
          <w:pgSz w:w="12240" w:h="15840"/>
          <w:pgMar w:top="1340" w:bottom="280" w:left="1600" w:right="1580"/>
        </w:sectPr>
      </w:pPr>
    </w:p>
    <w:p>
      <w:pPr>
        <w:pStyle w:val="Heading3"/>
        <w:ind w:left="102"/>
      </w:pPr>
      <w:bookmarkStart w:name="_bookmark45" w:id="84"/>
      <w:bookmarkEnd w:id="84"/>
      <w:r>
        <w:rPr>
          <w:b w:val="0"/>
        </w:rPr>
      </w:r>
      <w:r>
        <w:rPr/>
        <w:t>3.6. Panorama general del ámbito de estudio UAEMéx</w:t>
      </w:r>
    </w:p>
    <w:p>
      <w:pPr>
        <w:pStyle w:val="BodyText"/>
        <w:rPr>
          <w:b/>
        </w:rPr>
      </w:pPr>
    </w:p>
    <w:p>
      <w:pPr>
        <w:pStyle w:val="BodyText"/>
        <w:spacing w:before="6"/>
        <w:rPr>
          <w:b/>
          <w:sz w:val="23"/>
        </w:rPr>
      </w:pPr>
    </w:p>
    <w:p>
      <w:pPr>
        <w:pStyle w:val="BodyText"/>
        <w:spacing w:line="360" w:lineRule="auto"/>
        <w:ind w:left="102" w:right="124"/>
        <w:jc w:val="both"/>
      </w:pPr>
      <w:r>
        <w:rPr/>
        <w:t>De acuerdo a la SEP (2012), una universidad autónoma es el establecimiento público de enseñanza superior al que el Estado en su ley orgánica le ha otorgado autonomía para regir por sí misma los asuntos o ciertos asuntos de su propia administración.</w:t>
      </w:r>
    </w:p>
    <w:p>
      <w:pPr>
        <w:pStyle w:val="BodyText"/>
      </w:pPr>
    </w:p>
    <w:p>
      <w:pPr>
        <w:pStyle w:val="BodyText"/>
        <w:spacing w:line="360" w:lineRule="auto" w:before="143"/>
        <w:ind w:left="102" w:right="115"/>
        <w:jc w:val="both"/>
      </w:pPr>
      <w:r>
        <w:rPr/>
        <w:t>La UAEMéx nace en 1828 como Instituto Literario del Estado de México (UAEMéx, 2013). Al principio </w:t>
      </w:r>
      <w:r>
        <w:rPr>
          <w:spacing w:val="-3"/>
        </w:rPr>
        <w:t>La </w:t>
      </w:r>
      <w:r>
        <w:rPr/>
        <w:t>Escuela Normal de Profesores y la Universidad eran una misma;  para 1926 la primera se separa. En 1943 el Instituto Literario del Estado de México es promovido a Instituto Científico y Literario de Toluca (ICLA) y en 1956 a Universidad. Durante la transición a Universidad se contaba con una matrícula de 880 alumnos, distribuidos en las facultades de: Jurisprudencia, Medicina, Comercio y Administración y en las escuelas de preparatoria, de pedagogía superior y enfermería (UAEMéx,</w:t>
      </w:r>
      <w:r>
        <w:rPr>
          <w:spacing w:val="-11"/>
        </w:rPr>
        <w:t> </w:t>
      </w:r>
      <w:r>
        <w:rPr/>
        <w:t>2013).</w:t>
      </w:r>
    </w:p>
    <w:p>
      <w:pPr>
        <w:pStyle w:val="BodyText"/>
      </w:pPr>
    </w:p>
    <w:p>
      <w:pPr>
        <w:pStyle w:val="BodyText"/>
        <w:spacing w:line="345" w:lineRule="auto" w:before="143"/>
        <w:ind w:left="102" w:right="114"/>
        <w:jc w:val="both"/>
      </w:pPr>
      <w:r>
        <w:rPr/>
        <w:t>Su sede se encuentra en la capital del Estado de México: la ciudad de Toluca de Lerdo. Es considerada la Máxima Casa de Estudios para la misma entidad. Tiene presencia en 38 municipios   y las 16 regiones del Estado de México</w:t>
      </w:r>
      <w:r>
        <w:rPr>
          <w:position w:val="11"/>
          <w:sz w:val="16"/>
        </w:rPr>
        <w:t>16</w:t>
      </w:r>
      <w:r>
        <w:rPr/>
        <w:t>. Para el ciclo     </w:t>
      </w:r>
      <w:r>
        <w:rPr>
          <w:spacing w:val="55"/>
        </w:rPr>
        <w:t> </w:t>
      </w:r>
      <w:r>
        <w:rPr/>
        <w:t>2011-2012 tuvo una</w:t>
      </w:r>
    </w:p>
    <w:p>
      <w:pPr>
        <w:pStyle w:val="BodyText"/>
        <w:spacing w:line="360" w:lineRule="auto" w:before="5"/>
        <w:ind w:left="102" w:right="117"/>
        <w:jc w:val="both"/>
      </w:pPr>
      <w:r>
        <w:rPr/>
        <w:t>matrícula de 34,746 alumnos, concentrándose 94.8% en 10 municipios (Toluca, Metepec, Texcoco, Tianguistenco, Ixtlahuaca, Nezahualcóyotl, Amecameca, Tenancingo, Ixtapalca y Otzolotepec) (ver mapa 3.1.).</w:t>
      </w:r>
    </w:p>
    <w:p>
      <w:pPr>
        <w:pStyle w:val="BodyText"/>
      </w:pPr>
    </w:p>
    <w:p>
      <w:pPr>
        <w:pStyle w:val="BodyText"/>
        <w:spacing w:before="143"/>
        <w:ind w:left="102"/>
        <w:jc w:val="both"/>
      </w:pPr>
      <w:r>
        <w:rPr/>
        <w:t>En el mismo ciclo se contaba con las siguientes facultades en su sede principal:</w:t>
      </w:r>
    </w:p>
    <w:p>
      <w:pPr>
        <w:pStyle w:val="BodyText"/>
        <w:rPr>
          <w:sz w:val="20"/>
        </w:rPr>
      </w:pPr>
    </w:p>
    <w:p>
      <w:pPr>
        <w:pStyle w:val="BodyText"/>
        <w:rPr>
          <w:sz w:val="20"/>
        </w:rPr>
      </w:pPr>
    </w:p>
    <w:p>
      <w:pPr>
        <w:pStyle w:val="BodyText"/>
        <w:spacing w:before="3"/>
        <w:rPr>
          <w:sz w:val="1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28"/>
        <w:gridCol w:w="4140"/>
      </w:tblGrid>
      <w:tr>
        <w:trPr>
          <w:trHeight w:val="2882" w:hRule="exact"/>
        </w:trPr>
        <w:tc>
          <w:tcPr>
            <w:tcW w:w="4028" w:type="dxa"/>
            <w:tcBorders>
              <w:bottom w:val="single" w:sz="6" w:space="0" w:color="000000"/>
            </w:tcBorders>
          </w:tcPr>
          <w:p>
            <w:pPr>
              <w:pStyle w:val="TableParagraph"/>
              <w:numPr>
                <w:ilvl w:val="0"/>
                <w:numId w:val="62"/>
              </w:numPr>
              <w:tabs>
                <w:tab w:pos="359" w:val="left" w:leader="none"/>
                <w:tab w:pos="360" w:val="left" w:leader="none"/>
              </w:tabs>
              <w:spacing w:line="230" w:lineRule="exact" w:before="0" w:after="0"/>
              <w:ind w:left="359" w:right="0" w:hanging="359"/>
              <w:jc w:val="left"/>
              <w:rPr>
                <w:sz w:val="22"/>
              </w:rPr>
            </w:pPr>
            <w:r>
              <w:rPr>
                <w:sz w:val="22"/>
              </w:rPr>
              <w:t>Facultad de</w:t>
            </w:r>
            <w:r>
              <w:rPr>
                <w:spacing w:val="-4"/>
                <w:sz w:val="22"/>
              </w:rPr>
              <w:t> </w:t>
            </w:r>
            <w:r>
              <w:rPr>
                <w:sz w:val="22"/>
              </w:rPr>
              <w:t>Antropología</w:t>
            </w:r>
          </w:p>
          <w:p>
            <w:pPr>
              <w:pStyle w:val="TableParagraph"/>
              <w:numPr>
                <w:ilvl w:val="0"/>
                <w:numId w:val="62"/>
              </w:numPr>
              <w:tabs>
                <w:tab w:pos="359" w:val="left" w:leader="none"/>
                <w:tab w:pos="360" w:val="left" w:leader="none"/>
              </w:tabs>
              <w:spacing w:line="240" w:lineRule="auto" w:before="124" w:after="0"/>
              <w:ind w:left="359" w:right="0" w:hanging="359"/>
              <w:jc w:val="left"/>
              <w:rPr>
                <w:sz w:val="22"/>
              </w:rPr>
            </w:pPr>
            <w:r>
              <w:rPr>
                <w:sz w:val="22"/>
              </w:rPr>
              <w:t>Facultad de Arquitectura y</w:t>
            </w:r>
            <w:r>
              <w:rPr>
                <w:spacing w:val="-6"/>
                <w:sz w:val="22"/>
              </w:rPr>
              <w:t> </w:t>
            </w:r>
            <w:r>
              <w:rPr>
                <w:sz w:val="22"/>
              </w:rPr>
              <w:t>Diseño</w:t>
            </w:r>
          </w:p>
          <w:p>
            <w:pPr>
              <w:pStyle w:val="TableParagraph"/>
              <w:numPr>
                <w:ilvl w:val="0"/>
                <w:numId w:val="62"/>
              </w:numPr>
              <w:tabs>
                <w:tab w:pos="359" w:val="left" w:leader="none"/>
                <w:tab w:pos="360" w:val="left" w:leader="none"/>
              </w:tabs>
              <w:spacing w:line="240" w:lineRule="auto" w:before="127" w:after="0"/>
              <w:ind w:left="359" w:right="0" w:hanging="359"/>
              <w:jc w:val="left"/>
              <w:rPr>
                <w:sz w:val="22"/>
              </w:rPr>
            </w:pPr>
            <w:r>
              <w:rPr>
                <w:sz w:val="22"/>
              </w:rPr>
              <w:t>Facultad de Artes</w:t>
            </w:r>
            <w:r>
              <w:rPr>
                <w:spacing w:val="-5"/>
                <w:sz w:val="22"/>
              </w:rPr>
              <w:t> </w:t>
            </w:r>
            <w:r>
              <w:rPr>
                <w:sz w:val="22"/>
              </w:rPr>
              <w:t>Plásticas</w:t>
            </w:r>
          </w:p>
          <w:p>
            <w:pPr>
              <w:pStyle w:val="TableParagraph"/>
              <w:numPr>
                <w:ilvl w:val="0"/>
                <w:numId w:val="62"/>
              </w:numPr>
              <w:tabs>
                <w:tab w:pos="359" w:val="left" w:leader="none"/>
                <w:tab w:pos="360" w:val="left" w:leader="none"/>
              </w:tabs>
              <w:spacing w:line="240" w:lineRule="auto" w:before="126" w:after="0"/>
              <w:ind w:left="359" w:right="0" w:hanging="359"/>
              <w:jc w:val="left"/>
              <w:rPr>
                <w:sz w:val="22"/>
              </w:rPr>
            </w:pPr>
            <w:r>
              <w:rPr>
                <w:sz w:val="22"/>
              </w:rPr>
              <w:t>Facultad de</w:t>
            </w:r>
            <w:r>
              <w:rPr>
                <w:spacing w:val="-1"/>
                <w:sz w:val="22"/>
              </w:rPr>
              <w:t> </w:t>
            </w:r>
            <w:r>
              <w:rPr>
                <w:sz w:val="22"/>
              </w:rPr>
              <w:t>Ciencias</w:t>
            </w:r>
          </w:p>
          <w:p>
            <w:pPr>
              <w:pStyle w:val="TableParagraph"/>
              <w:numPr>
                <w:ilvl w:val="0"/>
                <w:numId w:val="62"/>
              </w:numPr>
              <w:tabs>
                <w:tab w:pos="359" w:val="left" w:leader="none"/>
                <w:tab w:pos="360" w:val="left" w:leader="none"/>
              </w:tabs>
              <w:spacing w:line="240" w:lineRule="auto" w:before="124" w:after="0"/>
              <w:ind w:left="359" w:right="0" w:hanging="359"/>
              <w:jc w:val="left"/>
              <w:rPr>
                <w:sz w:val="22"/>
              </w:rPr>
            </w:pPr>
            <w:r>
              <w:rPr>
                <w:sz w:val="22"/>
              </w:rPr>
              <w:t>Facultad de Ciencias</w:t>
            </w:r>
            <w:r>
              <w:rPr>
                <w:spacing w:val="-7"/>
                <w:sz w:val="22"/>
              </w:rPr>
              <w:t> </w:t>
            </w:r>
            <w:r>
              <w:rPr>
                <w:sz w:val="22"/>
              </w:rPr>
              <w:t>Agrícolas</w:t>
            </w:r>
          </w:p>
          <w:p>
            <w:pPr>
              <w:pStyle w:val="TableParagraph"/>
              <w:numPr>
                <w:ilvl w:val="0"/>
                <w:numId w:val="62"/>
              </w:numPr>
              <w:tabs>
                <w:tab w:pos="359" w:val="left" w:leader="none"/>
                <w:tab w:pos="360" w:val="left" w:leader="none"/>
              </w:tabs>
              <w:spacing w:line="240" w:lineRule="auto" w:before="126" w:after="0"/>
              <w:ind w:left="359" w:right="0" w:hanging="359"/>
              <w:jc w:val="left"/>
              <w:rPr>
                <w:sz w:val="22"/>
              </w:rPr>
            </w:pPr>
            <w:r>
              <w:rPr>
                <w:sz w:val="22"/>
              </w:rPr>
              <w:t>Facultad de Ciencias de la</w:t>
            </w:r>
            <w:r>
              <w:rPr>
                <w:spacing w:val="-6"/>
                <w:sz w:val="22"/>
              </w:rPr>
              <w:t> </w:t>
            </w:r>
            <w:r>
              <w:rPr>
                <w:sz w:val="22"/>
              </w:rPr>
              <w:t>Conducta</w:t>
            </w:r>
          </w:p>
        </w:tc>
        <w:tc>
          <w:tcPr>
            <w:tcW w:w="4140" w:type="dxa"/>
          </w:tcPr>
          <w:p>
            <w:pPr>
              <w:pStyle w:val="TableParagraph"/>
              <w:numPr>
                <w:ilvl w:val="0"/>
                <w:numId w:val="63"/>
              </w:numPr>
              <w:tabs>
                <w:tab w:pos="820" w:val="left" w:leader="none"/>
                <w:tab w:pos="821" w:val="left" w:leader="none"/>
              </w:tabs>
              <w:spacing w:line="230" w:lineRule="exact" w:before="0" w:after="0"/>
              <w:ind w:left="820" w:right="0" w:hanging="360"/>
              <w:jc w:val="left"/>
              <w:rPr>
                <w:sz w:val="22"/>
              </w:rPr>
            </w:pPr>
            <w:r>
              <w:rPr>
                <w:sz w:val="22"/>
              </w:rPr>
              <w:t>Facultad de</w:t>
            </w:r>
            <w:r>
              <w:rPr>
                <w:spacing w:val="-2"/>
                <w:sz w:val="22"/>
              </w:rPr>
              <w:t> </w:t>
            </w:r>
            <w:r>
              <w:rPr>
                <w:sz w:val="22"/>
              </w:rPr>
              <w:t>Geografía</w:t>
            </w:r>
          </w:p>
          <w:p>
            <w:pPr>
              <w:pStyle w:val="TableParagraph"/>
              <w:numPr>
                <w:ilvl w:val="0"/>
                <w:numId w:val="63"/>
              </w:numPr>
              <w:tabs>
                <w:tab w:pos="820" w:val="left" w:leader="none"/>
                <w:tab w:pos="821" w:val="left" w:leader="none"/>
              </w:tabs>
              <w:spacing w:line="240" w:lineRule="auto" w:before="124" w:after="0"/>
              <w:ind w:left="820" w:right="0" w:hanging="360"/>
              <w:jc w:val="left"/>
              <w:rPr>
                <w:sz w:val="22"/>
              </w:rPr>
            </w:pPr>
            <w:r>
              <w:rPr>
                <w:sz w:val="22"/>
              </w:rPr>
              <w:t>Facultad de</w:t>
            </w:r>
            <w:r>
              <w:rPr>
                <w:spacing w:val="-2"/>
                <w:sz w:val="22"/>
              </w:rPr>
              <w:t> </w:t>
            </w:r>
            <w:r>
              <w:rPr>
                <w:sz w:val="22"/>
              </w:rPr>
              <w:t>Humanidades</w:t>
            </w:r>
          </w:p>
          <w:p>
            <w:pPr>
              <w:pStyle w:val="TableParagraph"/>
              <w:numPr>
                <w:ilvl w:val="0"/>
                <w:numId w:val="63"/>
              </w:numPr>
              <w:tabs>
                <w:tab w:pos="820" w:val="left" w:leader="none"/>
                <w:tab w:pos="821" w:val="left" w:leader="none"/>
              </w:tabs>
              <w:spacing w:line="240" w:lineRule="auto" w:before="127" w:after="0"/>
              <w:ind w:left="820" w:right="0" w:hanging="360"/>
              <w:jc w:val="left"/>
              <w:rPr>
                <w:sz w:val="22"/>
              </w:rPr>
            </w:pPr>
            <w:r>
              <w:rPr>
                <w:sz w:val="22"/>
              </w:rPr>
              <w:t>Facultad de</w:t>
            </w:r>
            <w:r>
              <w:rPr>
                <w:spacing w:val="-2"/>
                <w:sz w:val="22"/>
              </w:rPr>
              <w:t> </w:t>
            </w:r>
            <w:r>
              <w:rPr>
                <w:sz w:val="22"/>
              </w:rPr>
              <w:t>Ingeniería</w:t>
            </w:r>
          </w:p>
          <w:p>
            <w:pPr>
              <w:pStyle w:val="TableParagraph"/>
              <w:numPr>
                <w:ilvl w:val="0"/>
                <w:numId w:val="63"/>
              </w:numPr>
              <w:tabs>
                <w:tab w:pos="820" w:val="left" w:leader="none"/>
                <w:tab w:pos="821" w:val="left" w:leader="none"/>
              </w:tabs>
              <w:spacing w:line="240" w:lineRule="auto" w:before="126" w:after="0"/>
              <w:ind w:left="820" w:right="0" w:hanging="360"/>
              <w:jc w:val="left"/>
              <w:rPr>
                <w:sz w:val="22"/>
              </w:rPr>
            </w:pPr>
            <w:r>
              <w:rPr>
                <w:sz w:val="22"/>
              </w:rPr>
              <w:t>Facultad de Lenguas</w:t>
            </w:r>
          </w:p>
          <w:p>
            <w:pPr>
              <w:pStyle w:val="TableParagraph"/>
              <w:numPr>
                <w:ilvl w:val="0"/>
                <w:numId w:val="63"/>
              </w:numPr>
              <w:tabs>
                <w:tab w:pos="820" w:val="left" w:leader="none"/>
                <w:tab w:pos="821" w:val="left" w:leader="none"/>
              </w:tabs>
              <w:spacing w:line="240" w:lineRule="auto" w:before="124" w:after="0"/>
              <w:ind w:left="820" w:right="0" w:hanging="360"/>
              <w:jc w:val="left"/>
              <w:rPr>
                <w:sz w:val="22"/>
              </w:rPr>
            </w:pPr>
            <w:r>
              <w:rPr>
                <w:sz w:val="22"/>
              </w:rPr>
              <w:t>Facultad de</w:t>
            </w:r>
            <w:r>
              <w:rPr>
                <w:spacing w:val="-3"/>
                <w:sz w:val="22"/>
              </w:rPr>
              <w:t> </w:t>
            </w:r>
            <w:r>
              <w:rPr>
                <w:sz w:val="22"/>
              </w:rPr>
              <w:t>Medicina</w:t>
            </w:r>
          </w:p>
          <w:p>
            <w:pPr>
              <w:pStyle w:val="TableParagraph"/>
              <w:numPr>
                <w:ilvl w:val="0"/>
                <w:numId w:val="63"/>
              </w:numPr>
              <w:tabs>
                <w:tab w:pos="820" w:val="left" w:leader="none"/>
                <w:tab w:pos="821" w:val="left" w:leader="none"/>
              </w:tabs>
              <w:spacing w:line="352" w:lineRule="auto" w:before="126" w:after="0"/>
              <w:ind w:left="820" w:right="198" w:hanging="360"/>
              <w:jc w:val="left"/>
              <w:rPr>
                <w:sz w:val="22"/>
              </w:rPr>
            </w:pPr>
            <w:r>
              <w:rPr>
                <w:sz w:val="22"/>
              </w:rPr>
              <w:t>Facultad de Medicina Veterinaria y Zootecnia</w:t>
            </w:r>
          </w:p>
        </w:tc>
      </w:tr>
    </w:tbl>
    <w:p>
      <w:pPr>
        <w:spacing w:before="72"/>
        <w:ind w:left="102" w:right="717" w:firstLine="0"/>
        <w:jc w:val="left"/>
        <w:rPr>
          <w:sz w:val="20"/>
        </w:rPr>
      </w:pPr>
      <w:r>
        <w:rPr>
          <w:position w:val="9"/>
          <w:sz w:val="13"/>
        </w:rPr>
        <w:t>16 </w:t>
      </w:r>
      <w:r>
        <w:rPr>
          <w:sz w:val="20"/>
        </w:rPr>
        <w:t>El Estado de México tiene 125 municipios, que por sus características geográficas y demográficas se agrupan en 16 regiones socioeconómicas (Portal2edomex, 2014).</w:t>
      </w:r>
    </w:p>
    <w:p>
      <w:pPr>
        <w:spacing w:after="0"/>
        <w:jc w:val="left"/>
        <w:rPr>
          <w:sz w:val="20"/>
        </w:rPr>
        <w:sectPr>
          <w:pgSz w:w="12240" w:h="15840"/>
          <w:pgMar w:header="0" w:footer="943" w:top="1360" w:bottom="1200" w:left="1600" w:right="158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45"/>
        <w:gridCol w:w="4562"/>
      </w:tblGrid>
      <w:tr>
        <w:trPr>
          <w:trHeight w:val="1806" w:hRule="exact"/>
        </w:trPr>
        <w:tc>
          <w:tcPr>
            <w:tcW w:w="4445" w:type="dxa"/>
          </w:tcPr>
          <w:p>
            <w:pPr>
              <w:pStyle w:val="TableParagraph"/>
              <w:numPr>
                <w:ilvl w:val="0"/>
                <w:numId w:val="64"/>
              </w:numPr>
              <w:tabs>
                <w:tab w:pos="559" w:val="left" w:leader="none"/>
                <w:tab w:pos="560" w:val="left" w:leader="none"/>
              </w:tabs>
              <w:spacing w:line="230" w:lineRule="exact" w:before="0" w:after="0"/>
              <w:ind w:left="559" w:right="0" w:hanging="359"/>
              <w:jc w:val="left"/>
              <w:rPr>
                <w:sz w:val="22"/>
              </w:rPr>
            </w:pPr>
            <w:r>
              <w:rPr>
                <w:sz w:val="22"/>
              </w:rPr>
              <w:t>Facultad de Ciencias Políticas y</w:t>
            </w:r>
            <w:r>
              <w:rPr>
                <w:spacing w:val="-10"/>
                <w:sz w:val="22"/>
              </w:rPr>
              <w:t> </w:t>
            </w:r>
            <w:r>
              <w:rPr>
                <w:sz w:val="22"/>
              </w:rPr>
              <w:t>Sociales</w:t>
            </w:r>
          </w:p>
          <w:p>
            <w:pPr>
              <w:pStyle w:val="TableParagraph"/>
              <w:numPr>
                <w:ilvl w:val="0"/>
                <w:numId w:val="64"/>
              </w:numPr>
              <w:tabs>
                <w:tab w:pos="559" w:val="left" w:leader="none"/>
                <w:tab w:pos="560" w:val="left" w:leader="none"/>
              </w:tabs>
              <w:spacing w:line="240" w:lineRule="auto" w:before="126" w:after="0"/>
              <w:ind w:left="559" w:right="0" w:hanging="359"/>
              <w:jc w:val="left"/>
              <w:rPr>
                <w:sz w:val="22"/>
              </w:rPr>
            </w:pPr>
            <w:r>
              <w:rPr>
                <w:sz w:val="22"/>
              </w:rPr>
              <w:t>Facultad de Contaduría y</w:t>
            </w:r>
            <w:r>
              <w:rPr>
                <w:spacing w:val="-9"/>
                <w:sz w:val="22"/>
              </w:rPr>
              <w:t> </w:t>
            </w:r>
            <w:r>
              <w:rPr>
                <w:sz w:val="22"/>
              </w:rPr>
              <w:t>Administración</w:t>
            </w:r>
          </w:p>
          <w:p>
            <w:pPr>
              <w:pStyle w:val="TableParagraph"/>
              <w:numPr>
                <w:ilvl w:val="0"/>
                <w:numId w:val="64"/>
              </w:numPr>
              <w:tabs>
                <w:tab w:pos="559" w:val="left" w:leader="none"/>
                <w:tab w:pos="560" w:val="left" w:leader="none"/>
              </w:tabs>
              <w:spacing w:line="240" w:lineRule="auto" w:before="126" w:after="0"/>
              <w:ind w:left="559" w:right="0" w:hanging="359"/>
              <w:jc w:val="left"/>
              <w:rPr>
                <w:sz w:val="22"/>
              </w:rPr>
            </w:pPr>
            <w:r>
              <w:rPr>
                <w:sz w:val="22"/>
              </w:rPr>
              <w:t>Facultad de Derecho</w:t>
            </w:r>
          </w:p>
          <w:p>
            <w:pPr>
              <w:pStyle w:val="TableParagraph"/>
              <w:numPr>
                <w:ilvl w:val="0"/>
                <w:numId w:val="64"/>
              </w:numPr>
              <w:tabs>
                <w:tab w:pos="559" w:val="left" w:leader="none"/>
                <w:tab w:pos="560" w:val="left" w:leader="none"/>
              </w:tabs>
              <w:spacing w:line="240" w:lineRule="auto" w:before="124" w:after="0"/>
              <w:ind w:left="559" w:right="0" w:hanging="359"/>
              <w:jc w:val="left"/>
              <w:rPr>
                <w:sz w:val="22"/>
              </w:rPr>
            </w:pPr>
            <w:r>
              <w:rPr>
                <w:sz w:val="22"/>
              </w:rPr>
              <w:t>Facultad de</w:t>
            </w:r>
            <w:r>
              <w:rPr>
                <w:spacing w:val="-4"/>
                <w:sz w:val="22"/>
              </w:rPr>
              <w:t> </w:t>
            </w:r>
            <w:r>
              <w:rPr>
                <w:sz w:val="22"/>
              </w:rPr>
              <w:t>Economía</w:t>
            </w:r>
          </w:p>
          <w:p>
            <w:pPr>
              <w:pStyle w:val="TableParagraph"/>
              <w:numPr>
                <w:ilvl w:val="0"/>
                <w:numId w:val="64"/>
              </w:numPr>
              <w:tabs>
                <w:tab w:pos="559" w:val="left" w:leader="none"/>
                <w:tab w:pos="560" w:val="left" w:leader="none"/>
              </w:tabs>
              <w:spacing w:line="240" w:lineRule="auto" w:before="126" w:after="0"/>
              <w:ind w:left="559" w:right="0" w:hanging="359"/>
              <w:jc w:val="left"/>
              <w:rPr>
                <w:sz w:val="22"/>
              </w:rPr>
            </w:pPr>
            <w:r>
              <w:rPr>
                <w:sz w:val="22"/>
              </w:rPr>
              <w:t>Facultad de Enfermería y</w:t>
            </w:r>
            <w:r>
              <w:rPr>
                <w:spacing w:val="-7"/>
                <w:sz w:val="22"/>
              </w:rPr>
              <w:t> </w:t>
            </w:r>
            <w:r>
              <w:rPr>
                <w:sz w:val="22"/>
              </w:rPr>
              <w:t>Obstetricia</w:t>
            </w:r>
          </w:p>
        </w:tc>
        <w:tc>
          <w:tcPr>
            <w:tcW w:w="4562" w:type="dxa"/>
          </w:tcPr>
          <w:p>
            <w:pPr>
              <w:pStyle w:val="TableParagraph"/>
              <w:numPr>
                <w:ilvl w:val="0"/>
                <w:numId w:val="65"/>
              </w:numPr>
              <w:tabs>
                <w:tab w:pos="603" w:val="left" w:leader="none"/>
                <w:tab w:pos="604" w:val="left" w:leader="none"/>
              </w:tabs>
              <w:spacing w:line="230" w:lineRule="exact" w:before="0" w:after="0"/>
              <w:ind w:left="603" w:right="0" w:hanging="360"/>
              <w:jc w:val="left"/>
              <w:rPr>
                <w:sz w:val="22"/>
              </w:rPr>
            </w:pPr>
            <w:r>
              <w:rPr>
                <w:sz w:val="22"/>
              </w:rPr>
              <w:t>Facultad de</w:t>
            </w:r>
            <w:r>
              <w:rPr>
                <w:spacing w:val="-5"/>
                <w:sz w:val="22"/>
              </w:rPr>
              <w:t> </w:t>
            </w:r>
            <w:r>
              <w:rPr>
                <w:sz w:val="22"/>
              </w:rPr>
              <w:t>Odontología</w:t>
            </w:r>
          </w:p>
          <w:p>
            <w:pPr>
              <w:pStyle w:val="TableParagraph"/>
              <w:numPr>
                <w:ilvl w:val="0"/>
                <w:numId w:val="65"/>
              </w:numPr>
              <w:tabs>
                <w:tab w:pos="603" w:val="left" w:leader="none"/>
                <w:tab w:pos="604" w:val="left" w:leader="none"/>
              </w:tabs>
              <w:spacing w:line="240" w:lineRule="auto" w:before="126" w:after="0"/>
              <w:ind w:left="603" w:right="0" w:hanging="360"/>
              <w:jc w:val="left"/>
              <w:rPr>
                <w:sz w:val="22"/>
              </w:rPr>
            </w:pPr>
            <w:r>
              <w:rPr>
                <w:sz w:val="22"/>
              </w:rPr>
              <w:t>Facultad de Planeación Urbana y</w:t>
            </w:r>
            <w:r>
              <w:rPr>
                <w:spacing w:val="-9"/>
                <w:sz w:val="22"/>
              </w:rPr>
              <w:t> </w:t>
            </w:r>
            <w:r>
              <w:rPr>
                <w:sz w:val="22"/>
              </w:rPr>
              <w:t>Regional</w:t>
            </w:r>
          </w:p>
          <w:p>
            <w:pPr>
              <w:pStyle w:val="TableParagraph"/>
              <w:numPr>
                <w:ilvl w:val="0"/>
                <w:numId w:val="65"/>
              </w:numPr>
              <w:tabs>
                <w:tab w:pos="603" w:val="left" w:leader="none"/>
                <w:tab w:pos="604" w:val="left" w:leader="none"/>
              </w:tabs>
              <w:spacing w:line="240" w:lineRule="auto" w:before="126" w:after="0"/>
              <w:ind w:left="603" w:right="0" w:hanging="360"/>
              <w:jc w:val="left"/>
              <w:rPr>
                <w:sz w:val="22"/>
              </w:rPr>
            </w:pPr>
            <w:r>
              <w:rPr>
                <w:sz w:val="22"/>
              </w:rPr>
              <w:t>Facultad de</w:t>
            </w:r>
            <w:r>
              <w:rPr>
                <w:spacing w:val="-1"/>
                <w:sz w:val="22"/>
              </w:rPr>
              <w:t> </w:t>
            </w:r>
            <w:r>
              <w:rPr>
                <w:sz w:val="22"/>
              </w:rPr>
              <w:t>Química</w:t>
            </w:r>
          </w:p>
          <w:p>
            <w:pPr>
              <w:pStyle w:val="TableParagraph"/>
              <w:numPr>
                <w:ilvl w:val="0"/>
                <w:numId w:val="65"/>
              </w:numPr>
              <w:tabs>
                <w:tab w:pos="603" w:val="left" w:leader="none"/>
                <w:tab w:pos="604" w:val="left" w:leader="none"/>
              </w:tabs>
              <w:spacing w:line="240" w:lineRule="auto" w:before="124" w:after="0"/>
              <w:ind w:left="603" w:right="0" w:hanging="360"/>
              <w:jc w:val="left"/>
              <w:rPr>
                <w:sz w:val="22"/>
              </w:rPr>
            </w:pPr>
            <w:r>
              <w:rPr>
                <w:sz w:val="22"/>
              </w:rPr>
              <w:t>Facultad de Turismo y</w:t>
            </w:r>
            <w:r>
              <w:rPr>
                <w:spacing w:val="-12"/>
                <w:sz w:val="22"/>
              </w:rPr>
              <w:t> </w:t>
            </w:r>
            <w:r>
              <w:rPr>
                <w:sz w:val="22"/>
              </w:rPr>
              <w:t>Gastronomía</w:t>
            </w:r>
          </w:p>
        </w:tc>
      </w:tr>
    </w:tbl>
    <w:p>
      <w:pPr>
        <w:spacing w:after="0" w:line="240" w:lineRule="auto"/>
        <w:jc w:val="left"/>
        <w:rPr>
          <w:sz w:val="22"/>
        </w:rPr>
        <w:sectPr>
          <w:pgSz w:w="12240" w:h="15840"/>
          <w:pgMar w:header="0" w:footer="943" w:top="1440" w:bottom="1140" w:left="1400" w:right="1580"/>
        </w:sectPr>
      </w:pPr>
    </w:p>
    <w:p>
      <w:pPr>
        <w:pStyle w:val="Heading3"/>
        <w:ind w:left="408"/>
        <w:jc w:val="left"/>
      </w:pPr>
      <w:r>
        <w:rPr/>
        <w:drawing>
          <wp:anchor distT="0" distB="0" distL="0" distR="0" allowOverlap="1" layoutInCell="1" locked="0" behindDoc="0" simplePos="0" relativeHeight="3040">
            <wp:simplePos x="0" y="0"/>
            <wp:positionH relativeFrom="page">
              <wp:posOffset>469265</wp:posOffset>
            </wp:positionH>
            <wp:positionV relativeFrom="paragraph">
              <wp:posOffset>407074</wp:posOffset>
            </wp:positionV>
            <wp:extent cx="6048629" cy="4677663"/>
            <wp:effectExtent l="0" t="0" r="0" b="0"/>
            <wp:wrapNone/>
            <wp:docPr id="19" name="image34.jpeg" descr=""/>
            <wp:cNvGraphicFramePr>
              <a:graphicFrameLocks noChangeAspect="1"/>
            </wp:cNvGraphicFramePr>
            <a:graphic>
              <a:graphicData uri="http://schemas.openxmlformats.org/drawingml/2006/picture">
                <pic:pic>
                  <pic:nvPicPr>
                    <pic:cNvPr id="20" name="image34.jpeg"/>
                    <pic:cNvPicPr/>
                  </pic:nvPicPr>
                  <pic:blipFill>
                    <a:blip r:embed="rId67" cstate="print"/>
                    <a:stretch>
                      <a:fillRect/>
                    </a:stretch>
                  </pic:blipFill>
                  <pic:spPr>
                    <a:xfrm>
                      <a:off x="0" y="0"/>
                      <a:ext cx="6048629" cy="4677663"/>
                    </a:xfrm>
                    <a:prstGeom prst="rect">
                      <a:avLst/>
                    </a:prstGeom>
                  </pic:spPr>
                </pic:pic>
              </a:graphicData>
            </a:graphic>
          </wp:anchor>
        </w:drawing>
      </w:r>
      <w:r>
        <w:rPr/>
        <w:t>Mapa 3.1. Cobertura UAEMéx 2010</w:t>
      </w:r>
    </w:p>
    <w:p>
      <w:pPr>
        <w:pStyle w:val="BodyText"/>
        <w:rPr>
          <w:b/>
          <w:sz w:val="20"/>
        </w:rPr>
      </w:pPr>
      <w:r>
        <w:rPr/>
        <w:br w:type="column"/>
      </w:r>
      <w:r>
        <w:rPr>
          <w:b/>
          <w:sz w:val="20"/>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rPr>
      </w:pPr>
      <w:r>
        <w:rPr/>
        <w:drawing>
          <wp:anchor distT="0" distB="0" distL="0" distR="0" allowOverlap="1" layoutInCell="1" locked="0" behindDoc="0" simplePos="0" relativeHeight="3016">
            <wp:simplePos x="0" y="0"/>
            <wp:positionH relativeFrom="page">
              <wp:posOffset>6584060</wp:posOffset>
            </wp:positionH>
            <wp:positionV relativeFrom="paragraph">
              <wp:posOffset>201431</wp:posOffset>
            </wp:positionV>
            <wp:extent cx="3118737" cy="3268979"/>
            <wp:effectExtent l="0" t="0" r="0" b="0"/>
            <wp:wrapTopAndBottom/>
            <wp:docPr id="21" name="image35.jpeg" descr=""/>
            <wp:cNvGraphicFramePr>
              <a:graphicFrameLocks noChangeAspect="1"/>
            </wp:cNvGraphicFramePr>
            <a:graphic>
              <a:graphicData uri="http://schemas.openxmlformats.org/drawingml/2006/picture">
                <pic:pic>
                  <pic:nvPicPr>
                    <pic:cNvPr id="22" name="image35.jpeg"/>
                    <pic:cNvPicPr/>
                  </pic:nvPicPr>
                  <pic:blipFill>
                    <a:blip r:embed="rId68" cstate="print"/>
                    <a:stretch>
                      <a:fillRect/>
                    </a:stretch>
                  </pic:blipFill>
                  <pic:spPr>
                    <a:xfrm>
                      <a:off x="0" y="0"/>
                      <a:ext cx="3118737" cy="3268979"/>
                    </a:xfrm>
                    <a:prstGeom prst="rect">
                      <a:avLst/>
                    </a:prstGeom>
                  </pic:spPr>
                </pic:pic>
              </a:graphicData>
            </a:graphic>
          </wp:anchor>
        </w:drawing>
      </w:r>
    </w:p>
    <w:p>
      <w:pPr>
        <w:pStyle w:val="BodyText"/>
        <w:rPr>
          <w:b/>
          <w:sz w:val="20"/>
        </w:rPr>
      </w:pPr>
    </w:p>
    <w:p>
      <w:pPr>
        <w:pStyle w:val="BodyText"/>
        <w:rPr>
          <w:b/>
          <w:sz w:val="20"/>
        </w:rPr>
      </w:pPr>
    </w:p>
    <w:p>
      <w:pPr>
        <w:pStyle w:val="BodyText"/>
        <w:spacing w:before="4"/>
        <w:rPr>
          <w:b/>
          <w:sz w:val="16"/>
        </w:rPr>
      </w:pPr>
    </w:p>
    <w:p>
      <w:pPr>
        <w:spacing w:before="0"/>
        <w:ind w:left="1652" w:right="0" w:firstLine="0"/>
        <w:jc w:val="left"/>
        <w:rPr>
          <w:sz w:val="20"/>
        </w:rPr>
      </w:pPr>
      <w:r>
        <w:rPr>
          <w:sz w:val="20"/>
        </w:rPr>
        <w:t>Fuente: UAEMéx, 2010</w:t>
      </w:r>
    </w:p>
    <w:p>
      <w:pPr>
        <w:spacing w:after="0"/>
        <w:jc w:val="left"/>
        <w:rPr>
          <w:sz w:val="20"/>
        </w:rPr>
        <w:sectPr>
          <w:footerReference w:type="default" r:id="rId66"/>
          <w:pgSz w:w="15840" w:h="12240" w:orient="landscape"/>
          <w:pgMar w:footer="0" w:header="0" w:top="1060" w:bottom="280" w:left="600" w:right="440"/>
          <w:cols w:num="2" w:equalWidth="0">
            <w:col w:w="9665" w:space="40"/>
            <w:col w:w="5095"/>
          </w:cols>
        </w:sectPr>
      </w:pPr>
    </w:p>
    <w:p>
      <w:pPr>
        <w:pStyle w:val="BodyText"/>
        <w:rPr>
          <w:sz w:val="20"/>
        </w:rPr>
      </w:pPr>
    </w:p>
    <w:p>
      <w:pPr>
        <w:pStyle w:val="BodyText"/>
        <w:rPr>
          <w:sz w:val="20"/>
        </w:rPr>
      </w:pPr>
    </w:p>
    <w:p>
      <w:pPr>
        <w:pStyle w:val="BodyText"/>
        <w:rPr>
          <w:sz w:val="20"/>
        </w:rPr>
      </w:pPr>
    </w:p>
    <w:p>
      <w:pPr>
        <w:pStyle w:val="BodyText"/>
        <w:spacing w:before="9"/>
      </w:pPr>
    </w:p>
    <w:p>
      <w:pPr>
        <w:spacing w:before="56"/>
        <w:ind w:left="107" w:right="0" w:firstLine="0"/>
        <w:jc w:val="left"/>
        <w:rPr>
          <w:rFonts w:ascii="Calibri"/>
          <w:sz w:val="22"/>
        </w:rPr>
      </w:pPr>
      <w:r>
        <w:rPr>
          <w:rFonts w:ascii="Calibri"/>
          <w:sz w:val="22"/>
        </w:rPr>
        <w:t>104</w:t>
      </w:r>
    </w:p>
    <w:p>
      <w:pPr>
        <w:spacing w:after="0"/>
        <w:jc w:val="left"/>
        <w:rPr>
          <w:rFonts w:ascii="Calibri"/>
          <w:sz w:val="22"/>
        </w:rPr>
        <w:sectPr>
          <w:type w:val="continuous"/>
          <w:pgSz w:w="15840" w:h="12240" w:orient="landscape"/>
          <w:pgMar w:top="1340" w:bottom="280" w:left="600" w:right="440"/>
        </w:sectPr>
      </w:pPr>
    </w:p>
    <w:p>
      <w:pPr>
        <w:pStyle w:val="BodyText"/>
        <w:spacing w:line="360" w:lineRule="auto" w:before="50"/>
        <w:ind w:left="122" w:right="115"/>
        <w:jc w:val="both"/>
      </w:pPr>
      <w:r>
        <w:rPr/>
        <w:t>Se eligió a la licenciatura de Economía como universo de estudio debido que es una carrera que puede ser empleada en los tres sectores productivos del país. Además del incremento  de la participación de la mujer tanto en la formación como en el empleo en esta área, en las dos últimas décadas el número de alumnas se ha duplicado (se mostrará en el siguiente apartado la respectiva</w:t>
      </w:r>
      <w:r>
        <w:rPr>
          <w:spacing w:val="-8"/>
        </w:rPr>
        <w:t> </w:t>
      </w:r>
      <w:r>
        <w:rPr/>
        <w:t>gráfica).</w:t>
      </w:r>
    </w:p>
    <w:p>
      <w:pPr>
        <w:pStyle w:val="BodyText"/>
        <w:spacing w:line="360" w:lineRule="auto" w:before="205"/>
        <w:ind w:left="122" w:right="119"/>
        <w:jc w:val="both"/>
      </w:pPr>
      <w:r>
        <w:rPr/>
        <w:t>A continuación se hace una pequeña reseña de  la licenciatura de Economía iniciando con  la historia de la Facultad de Economía de este organismo</w:t>
      </w:r>
      <w:r>
        <w:rPr>
          <w:spacing w:val="-12"/>
        </w:rPr>
        <w:t> </w:t>
      </w:r>
      <w:r>
        <w:rPr/>
        <w:t>académico.</w:t>
      </w:r>
    </w:p>
    <w:p>
      <w:pPr>
        <w:pStyle w:val="BodyText"/>
      </w:pPr>
    </w:p>
    <w:p>
      <w:pPr>
        <w:pStyle w:val="BodyText"/>
        <w:spacing w:before="2"/>
        <w:rPr>
          <w:sz w:val="30"/>
        </w:rPr>
      </w:pPr>
    </w:p>
    <w:p>
      <w:pPr>
        <w:pStyle w:val="Heading3"/>
        <w:spacing w:before="0"/>
        <w:ind w:left="122"/>
      </w:pPr>
      <w:bookmarkStart w:name="_bookmark46" w:id="85"/>
      <w:bookmarkEnd w:id="85"/>
      <w:r>
        <w:rPr>
          <w:b w:val="0"/>
        </w:rPr>
      </w:r>
      <w:r>
        <w:rPr/>
        <w:t>3.7. Facultad de Economía - UAEMéx</w:t>
      </w:r>
    </w:p>
    <w:p>
      <w:pPr>
        <w:pStyle w:val="BodyText"/>
        <w:spacing w:line="360" w:lineRule="auto" w:before="132"/>
        <w:ind w:left="122" w:right="118"/>
        <w:jc w:val="both"/>
      </w:pPr>
      <w:r>
        <w:rPr/>
        <w:t>El estudio de la Economía se inicia como una especialidad en la Facultad de Contaduría y Administración (UAEMéx-FE, 2013). Tal especialidad funcionó de 1971 a 1976, tiempo durante el cual se dividía la licenciatura en cuatro ciclos básicos que comprendían los primeros cuatro semestres en los que se cursaban las materias comunes para los alumnos y un ciclo de especialización que comprendía los últimos cincos semestres en los cuales se cursaban materias de especialidad.</w:t>
      </w:r>
    </w:p>
    <w:p>
      <w:pPr>
        <w:pStyle w:val="BodyText"/>
        <w:spacing w:line="360" w:lineRule="auto" w:before="206"/>
        <w:ind w:left="122" w:right="118"/>
        <w:jc w:val="both"/>
      </w:pPr>
      <w:r>
        <w:rPr/>
        <w:t>El 26 de enero de 1977, el Rector de la UAEMéx Quím. Jesús Barrera Legorreta expresó ante el H. Consejo Universitario lo que podría representar la separación física y académica de la licenciatura de Economía de la Facultad de Contaduría y Administración. Por este motivo se arregló la separación (UAEMéx-FE, 2013).</w:t>
      </w:r>
    </w:p>
    <w:p>
      <w:pPr>
        <w:pStyle w:val="BodyText"/>
        <w:spacing w:line="352" w:lineRule="auto" w:before="205"/>
        <w:ind w:left="122" w:right="115"/>
        <w:jc w:val="both"/>
      </w:pPr>
      <w:r>
        <w:rPr/>
        <w:t>Para el año 1994 se crea la licenciatura de Relaciones Económicas Internacionales, en 1996 la licenciatura de Actuaría Financiera, en 2004, la maestría en Economía Aplicada y en 2005, el Doctorado en Ciencias Económico Administrativas</w:t>
      </w:r>
      <w:r>
        <w:rPr>
          <w:position w:val="11"/>
          <w:sz w:val="16"/>
        </w:rPr>
        <w:t>17 </w:t>
      </w:r>
      <w:r>
        <w:rPr/>
        <w:t>(UAEMéx-FE, 2013). Que son los estudios de educación superior y posgrado que actualmente se imparten en la Facultad de Economía de la UAEMéx.</w:t>
      </w:r>
    </w:p>
    <w:p>
      <w:pPr>
        <w:pStyle w:val="BodyText"/>
      </w:pPr>
    </w:p>
    <w:p>
      <w:pPr>
        <w:pStyle w:val="BodyText"/>
        <w:spacing w:before="10"/>
        <w:rPr>
          <w:sz w:val="30"/>
        </w:rPr>
      </w:pPr>
    </w:p>
    <w:p>
      <w:pPr>
        <w:pStyle w:val="Heading3"/>
        <w:numPr>
          <w:ilvl w:val="1"/>
          <w:numId w:val="66"/>
        </w:numPr>
        <w:tabs>
          <w:tab w:pos="543" w:val="left" w:leader="none"/>
        </w:tabs>
        <w:spacing w:line="240" w:lineRule="auto" w:before="0" w:after="0"/>
        <w:ind w:left="542" w:right="0" w:hanging="420"/>
        <w:jc w:val="both"/>
      </w:pPr>
      <w:r>
        <w:rPr/>
        <w:t>Licenciatura en</w:t>
      </w:r>
      <w:r>
        <w:rPr>
          <w:spacing w:val="-9"/>
        </w:rPr>
        <w:t> </w:t>
      </w:r>
      <w:r>
        <w:rPr/>
        <w:t>Economía</w:t>
      </w:r>
    </w:p>
    <w:p>
      <w:pPr>
        <w:pStyle w:val="BodyText"/>
        <w:rPr>
          <w:b/>
          <w:sz w:val="20"/>
        </w:rPr>
      </w:pPr>
    </w:p>
    <w:p>
      <w:pPr>
        <w:pStyle w:val="BodyText"/>
        <w:rPr>
          <w:b/>
          <w:sz w:val="20"/>
        </w:rPr>
      </w:pPr>
    </w:p>
    <w:p>
      <w:pPr>
        <w:pStyle w:val="BodyText"/>
        <w:rPr>
          <w:b/>
          <w:sz w:val="20"/>
        </w:rPr>
      </w:pPr>
    </w:p>
    <w:p>
      <w:pPr>
        <w:pStyle w:val="BodyText"/>
        <w:spacing w:before="7"/>
        <w:rPr>
          <w:b/>
          <w:sz w:val="26"/>
        </w:rPr>
      </w:pPr>
      <w:r>
        <w:rPr/>
        <w:pict>
          <v:line style="position:absolute;mso-position-horizontal-relative:page;mso-position-vertical-relative:paragraph;z-index:3064;mso-wrap-distance-left:0;mso-wrap-distance-right:0" from="85.103996pt,17.623219pt" to="229.123996pt,17.623219pt" stroked="true" strokeweight=".72003pt" strokecolor="#000000">
            <w10:wrap type="topAndBottom"/>
          </v:line>
        </w:pict>
      </w:r>
    </w:p>
    <w:p>
      <w:pPr>
        <w:spacing w:before="42"/>
        <w:ind w:left="122" w:right="262" w:firstLine="0"/>
        <w:jc w:val="left"/>
        <w:rPr>
          <w:sz w:val="20"/>
        </w:rPr>
      </w:pPr>
      <w:r>
        <w:rPr>
          <w:position w:val="9"/>
          <w:sz w:val="13"/>
        </w:rPr>
        <w:t>17 </w:t>
      </w:r>
      <w:r>
        <w:rPr>
          <w:sz w:val="20"/>
        </w:rPr>
        <w:t>El Doctorado en Ciencias Económico Administrativas está a cargo de la DES Económico-Administrativa.</w:t>
      </w:r>
    </w:p>
    <w:p>
      <w:pPr>
        <w:spacing w:after="0"/>
        <w:jc w:val="left"/>
        <w:rPr>
          <w:sz w:val="20"/>
        </w:rPr>
        <w:sectPr>
          <w:footerReference w:type="default" r:id="rId69"/>
          <w:pgSz w:w="12240" w:h="15840"/>
          <w:pgMar w:footer="1003" w:header="0" w:top="1360" w:bottom="1200" w:left="1580" w:right="1580"/>
          <w:pgNumType w:start="105"/>
        </w:sectPr>
      </w:pPr>
    </w:p>
    <w:p>
      <w:pPr>
        <w:pStyle w:val="BodyText"/>
        <w:spacing w:line="360" w:lineRule="auto" w:before="50"/>
        <w:ind w:left="102" w:right="115"/>
        <w:jc w:val="both"/>
      </w:pPr>
      <w:r>
        <w:rPr/>
        <w:t>El profesional en la Licenciatura de Economía contará con la habilidad suficiente para plantear soluciones a problemas económicos y financieros con base en el conocimiento de la política económica y de las técnicas de toma de decisiones. De igual forma  podrá estudiar fenómenos que se relacionan con los agentes económicos en los fenómenos de producción, consumo, investigación en un contexto de asignación de recursos</w:t>
      </w:r>
      <w:r>
        <w:rPr>
          <w:spacing w:val="-16"/>
        </w:rPr>
        <w:t> </w:t>
      </w:r>
      <w:r>
        <w:rPr/>
        <w:t>escasos.</w:t>
      </w:r>
    </w:p>
    <w:p>
      <w:pPr>
        <w:pStyle w:val="BodyText"/>
      </w:pPr>
    </w:p>
    <w:p>
      <w:pPr>
        <w:pStyle w:val="Heading3"/>
        <w:numPr>
          <w:ilvl w:val="2"/>
          <w:numId w:val="66"/>
        </w:numPr>
        <w:tabs>
          <w:tab w:pos="702" w:val="left" w:leader="none"/>
        </w:tabs>
        <w:spacing w:line="240" w:lineRule="auto" w:before="148" w:after="0"/>
        <w:ind w:left="702" w:right="0" w:hanging="600"/>
        <w:jc w:val="both"/>
      </w:pPr>
      <w:r>
        <w:rPr/>
        <w:t>Plan de</w:t>
      </w:r>
      <w:r>
        <w:rPr>
          <w:spacing w:val="-4"/>
        </w:rPr>
        <w:t> </w:t>
      </w:r>
      <w:r>
        <w:rPr/>
        <w:t>estudio</w:t>
      </w:r>
    </w:p>
    <w:p>
      <w:pPr>
        <w:pStyle w:val="BodyText"/>
        <w:spacing w:line="360" w:lineRule="auto" w:before="134"/>
        <w:ind w:left="102" w:right="116"/>
        <w:jc w:val="both"/>
      </w:pPr>
      <w:r>
        <w:rPr/>
        <w:t>El plan de estudios de la carrera de economía es el conjunto de actividades y recursos académicos que se organizan para formar profesionales de la economía. Es decir, aquellas personas con conocimientos, capacidades, habilidades y aptitudes suficientes para resolver problemas económicos (UAEMéx-FE, 2012).</w:t>
      </w:r>
    </w:p>
    <w:p>
      <w:pPr>
        <w:pStyle w:val="BodyText"/>
      </w:pPr>
    </w:p>
    <w:p>
      <w:pPr>
        <w:pStyle w:val="BodyText"/>
        <w:spacing w:line="360" w:lineRule="auto" w:before="143"/>
        <w:ind w:left="102" w:right="117"/>
        <w:jc w:val="both"/>
      </w:pPr>
      <w:r>
        <w:rPr/>
        <w:t>En el periodo de estudio (2000 a 2010) han existido dos planes de estudio de la  Licenciatura en Economía. El primero fue implementado en el año 1992 y se le conoce como “plan rígido”, el segundo fue cambiado en el año 2004 y se le nombró “plan  flexible”.</w:t>
      </w:r>
    </w:p>
    <w:p>
      <w:pPr>
        <w:pStyle w:val="BodyText"/>
      </w:pPr>
    </w:p>
    <w:p>
      <w:pPr>
        <w:pStyle w:val="Heading3"/>
        <w:numPr>
          <w:ilvl w:val="3"/>
          <w:numId w:val="66"/>
        </w:numPr>
        <w:tabs>
          <w:tab w:pos="882" w:val="left" w:leader="none"/>
        </w:tabs>
        <w:spacing w:line="240" w:lineRule="auto" w:before="148" w:after="0"/>
        <w:ind w:left="882" w:right="0" w:hanging="780"/>
        <w:jc w:val="both"/>
      </w:pPr>
      <w:r>
        <w:rPr/>
        <w:t>Plan rígido-</w:t>
      </w:r>
      <w:r>
        <w:rPr>
          <w:spacing w:val="-5"/>
        </w:rPr>
        <w:t> </w:t>
      </w:r>
      <w:r>
        <w:rPr/>
        <w:t>1992</w:t>
      </w:r>
    </w:p>
    <w:p>
      <w:pPr>
        <w:pStyle w:val="BodyText"/>
        <w:spacing w:line="360" w:lineRule="auto" w:before="132"/>
        <w:ind w:left="102" w:right="119"/>
        <w:jc w:val="both"/>
      </w:pPr>
      <w:r>
        <w:rPr/>
        <w:t>La carrera constaba de 441 créditos, los cuales están distribuidos en 265 horas, 176 teóricas y 89 prácticas. Se debían acreditar 62 unidades de las cuales 54 eran obligatorias. Ver  anexo</w:t>
      </w:r>
      <w:r>
        <w:rPr>
          <w:spacing w:val="-1"/>
        </w:rPr>
        <w:t> </w:t>
      </w:r>
      <w:r>
        <w:rPr/>
        <w:t>2.</w:t>
      </w:r>
    </w:p>
    <w:p>
      <w:pPr>
        <w:pStyle w:val="BodyText"/>
      </w:pPr>
    </w:p>
    <w:p>
      <w:pPr>
        <w:pStyle w:val="Heading3"/>
        <w:numPr>
          <w:ilvl w:val="3"/>
          <w:numId w:val="66"/>
        </w:numPr>
        <w:tabs>
          <w:tab w:pos="882" w:val="left" w:leader="none"/>
        </w:tabs>
        <w:spacing w:line="240" w:lineRule="auto" w:before="148" w:after="0"/>
        <w:ind w:left="882" w:right="0" w:hanging="780"/>
        <w:jc w:val="both"/>
      </w:pPr>
      <w:r>
        <w:rPr/>
        <w:t>Plan flexible -</w:t>
      </w:r>
      <w:r>
        <w:rPr>
          <w:spacing w:val="-3"/>
        </w:rPr>
        <w:t> </w:t>
      </w:r>
      <w:r>
        <w:rPr/>
        <w:t>2004</w:t>
      </w:r>
    </w:p>
    <w:p>
      <w:pPr>
        <w:pStyle w:val="BodyText"/>
        <w:spacing w:line="360" w:lineRule="auto" w:before="134"/>
        <w:ind w:left="102" w:right="119"/>
        <w:jc w:val="both"/>
      </w:pPr>
      <w:r>
        <w:rPr/>
        <w:t>Es el plan que sigue vigente hasta 2014. La carrera consta de 407 créditos, los cuales están distribuidos en núcleo básico, núcleo sustantivo y núcleo integral, 50 unidades a acreditar de las cuales 43 son obligatorias. Ver anexo</w:t>
      </w:r>
      <w:r>
        <w:rPr>
          <w:spacing w:val="-6"/>
        </w:rPr>
        <w:t> </w:t>
      </w:r>
      <w:r>
        <w:rPr/>
        <w:t>3.</w:t>
      </w:r>
    </w:p>
    <w:p>
      <w:pPr>
        <w:pStyle w:val="BodyText"/>
      </w:pPr>
    </w:p>
    <w:p>
      <w:pPr>
        <w:pStyle w:val="BodyText"/>
        <w:spacing w:line="360" w:lineRule="auto" w:before="143"/>
        <w:ind w:left="102" w:right="119"/>
        <w:jc w:val="both"/>
      </w:pPr>
      <w:r>
        <w:rPr>
          <w:b/>
        </w:rPr>
        <w:t>Núcleo Básico</w:t>
      </w:r>
      <w:r>
        <w:rPr/>
        <w:t>: Comprende una formación elemental y general, la cual proporciona al estudiante las bases contextuales, teóricas y filosóficas de su carrera, así como una cultura básica universitaria en las ciencias y humanidades y la orientación vocacional pertinente. Este núcleo es fundamental en la comprensión del origen y la ubicación disciplinaria.</w:t>
      </w:r>
    </w:p>
    <w:p>
      <w:pPr>
        <w:spacing w:after="0" w:line="360" w:lineRule="auto"/>
        <w:jc w:val="both"/>
        <w:sectPr>
          <w:pgSz w:w="12240" w:h="15840"/>
          <w:pgMar w:header="0" w:footer="1003" w:top="1360" w:bottom="1200" w:left="1600" w:right="1580"/>
        </w:sectPr>
      </w:pPr>
    </w:p>
    <w:p>
      <w:pPr>
        <w:pStyle w:val="BodyText"/>
        <w:spacing w:before="3"/>
        <w:rPr>
          <w:sz w:val="22"/>
        </w:rPr>
      </w:pPr>
    </w:p>
    <w:p>
      <w:pPr>
        <w:pStyle w:val="BodyText"/>
        <w:spacing w:line="360" w:lineRule="auto" w:before="70"/>
        <w:ind w:left="122" w:right="118"/>
        <w:jc w:val="both"/>
      </w:pPr>
      <w:r>
        <w:rPr>
          <w:b/>
        </w:rPr>
        <w:t>Núcleo Sustantivo</w:t>
      </w:r>
      <w:r>
        <w:rPr/>
        <w:t>: Contempla conocimientos que permiten el análisis y aplicación del conocimiento específico de carácter unidisciplinario. Deben proporcionar los elementos que refuerzan y le dan identidad a la profesión. Promueve en el estudiante elementos teóricos, metodológico, técnicos e instrumentales propios de la profesión y las competencias de su área de dominio científico.</w:t>
      </w:r>
    </w:p>
    <w:p>
      <w:pPr>
        <w:pStyle w:val="BodyText"/>
      </w:pPr>
    </w:p>
    <w:p>
      <w:pPr>
        <w:pStyle w:val="BodyText"/>
        <w:spacing w:line="360" w:lineRule="auto" w:before="143"/>
        <w:ind w:left="122" w:right="116"/>
        <w:jc w:val="both"/>
      </w:pPr>
      <w:r>
        <w:rPr>
          <w:b/>
        </w:rPr>
        <w:t>Núcleo Integral</w:t>
      </w:r>
      <w:r>
        <w:rPr/>
        <w:t>: Proporciona una visión integradora – adaptativa de carácter interdisciplinario, e inclusive transdisciplinario, que complementa y orienta la formación al permitir opciones para su ejercicio profesional y la iniciación en el proceso investigativo. Las metas de este núcleo son formar profesionales, enriquecer el propio campo disciplinar de desarrollo, generando conocimiento, difundir los avances de cada campo de aplicación para resolver problemáticas socialmente relevantes y generar respuestas a campos emergente de la formación profesional.</w:t>
      </w:r>
    </w:p>
    <w:p>
      <w:pPr>
        <w:pStyle w:val="BodyText"/>
      </w:pPr>
    </w:p>
    <w:p>
      <w:pPr>
        <w:pStyle w:val="BodyText"/>
        <w:spacing w:before="2"/>
        <w:rPr>
          <w:sz w:val="30"/>
        </w:rPr>
      </w:pPr>
    </w:p>
    <w:p>
      <w:pPr>
        <w:pStyle w:val="Heading3"/>
        <w:spacing w:line="362" w:lineRule="auto" w:before="0"/>
        <w:ind w:left="122" w:right="262"/>
        <w:jc w:val="left"/>
      </w:pPr>
      <w:r>
        <w:rPr/>
        <w:t>3.10. Programas y proyectos de inserción laboral Facultad de Economía de la UAEMéx.</w:t>
      </w:r>
    </w:p>
    <w:p>
      <w:pPr>
        <w:pStyle w:val="ListParagraph"/>
        <w:numPr>
          <w:ilvl w:val="0"/>
          <w:numId w:val="67"/>
        </w:numPr>
        <w:tabs>
          <w:tab w:pos="382" w:val="left" w:leader="none"/>
        </w:tabs>
        <w:spacing w:line="240" w:lineRule="auto" w:before="200" w:after="0"/>
        <w:ind w:left="381" w:right="0" w:hanging="259"/>
        <w:jc w:val="both"/>
        <w:rPr>
          <w:b/>
          <w:sz w:val="24"/>
        </w:rPr>
      </w:pPr>
      <w:r>
        <w:rPr>
          <w:b/>
          <w:sz w:val="24"/>
        </w:rPr>
        <w:t>Programas</w:t>
      </w:r>
    </w:p>
    <w:p>
      <w:pPr>
        <w:pStyle w:val="BodyText"/>
        <w:rPr>
          <w:b/>
          <w:sz w:val="29"/>
        </w:rPr>
      </w:pPr>
    </w:p>
    <w:p>
      <w:pPr>
        <w:pStyle w:val="BodyText"/>
        <w:spacing w:line="360" w:lineRule="auto"/>
        <w:ind w:left="122" w:right="122"/>
        <w:jc w:val="both"/>
      </w:pPr>
      <w:r>
        <w:rPr/>
        <w:t>Se promueven a través del departamento de vinculación las ferias del empleo en las instalaciones de la Facultad y  bolsas de trabajo.</w:t>
      </w:r>
    </w:p>
    <w:p>
      <w:pPr>
        <w:pStyle w:val="Heading3"/>
        <w:numPr>
          <w:ilvl w:val="0"/>
          <w:numId w:val="67"/>
        </w:numPr>
        <w:tabs>
          <w:tab w:pos="396" w:val="left" w:leader="none"/>
        </w:tabs>
        <w:spacing w:line="240" w:lineRule="auto" w:before="208" w:after="0"/>
        <w:ind w:left="395" w:right="0" w:hanging="273"/>
        <w:jc w:val="both"/>
      </w:pPr>
      <w:r>
        <w:rPr/>
        <w:t>Proyectos</w:t>
      </w:r>
    </w:p>
    <w:p>
      <w:pPr>
        <w:pStyle w:val="BodyText"/>
        <w:spacing w:before="4"/>
        <w:rPr>
          <w:b/>
          <w:sz w:val="29"/>
        </w:rPr>
      </w:pPr>
    </w:p>
    <w:p>
      <w:pPr>
        <w:spacing w:before="1"/>
        <w:ind w:left="122" w:right="0" w:firstLine="0"/>
        <w:jc w:val="both"/>
        <w:rPr>
          <w:b/>
          <w:sz w:val="24"/>
        </w:rPr>
      </w:pPr>
      <w:r>
        <w:rPr>
          <w:b/>
          <w:sz w:val="24"/>
        </w:rPr>
        <w:t>Proyecto: Extensión universitaria y vinculación al servicio de la sociedad</w:t>
      </w:r>
    </w:p>
    <w:p>
      <w:pPr>
        <w:pStyle w:val="BodyText"/>
        <w:rPr>
          <w:b/>
          <w:sz w:val="29"/>
        </w:rPr>
      </w:pPr>
    </w:p>
    <w:p>
      <w:pPr>
        <w:pStyle w:val="BodyText"/>
        <w:spacing w:line="345" w:lineRule="auto"/>
        <w:ind w:left="830" w:right="114"/>
        <w:jc w:val="both"/>
      </w:pPr>
      <w:r>
        <w:rPr/>
        <w:t>Emitido con la finalidad de coadyuvar en la vinculación entre los quehaceres de emprendurismo de la Facultad de Economía y los sectores productivos se crea el Centro de Impulso a la Inversión y Desarrollo de Negocios (CIIDNe</w:t>
      </w:r>
      <w:r>
        <w:rPr>
          <w:position w:val="11"/>
          <w:sz w:val="16"/>
        </w:rPr>
        <w:t>18</w:t>
      </w:r>
      <w:r>
        <w:rPr/>
        <w:t>). En este</w:t>
      </w:r>
    </w:p>
    <w:p>
      <w:pPr>
        <w:pStyle w:val="BodyText"/>
        <w:rPr>
          <w:sz w:val="14"/>
        </w:rPr>
      </w:pPr>
      <w:r>
        <w:rPr/>
        <w:pict>
          <v:line style="position:absolute;mso-position-horizontal-relative:page;mso-position-vertical-relative:paragraph;z-index:3088;mso-wrap-distance-left:0;mso-wrap-distance-right:0" from="85.103996pt,10.385489pt" to="229.123996pt,10.385489pt" stroked="true" strokeweight=".71997pt" strokecolor="#000000">
            <w10:wrap type="topAndBottom"/>
          </v:line>
        </w:pict>
      </w:r>
    </w:p>
    <w:p>
      <w:pPr>
        <w:spacing w:before="40"/>
        <w:ind w:left="122" w:right="115" w:firstLine="0"/>
        <w:jc w:val="both"/>
        <w:rPr>
          <w:sz w:val="20"/>
        </w:rPr>
      </w:pPr>
      <w:r>
        <w:rPr>
          <w:position w:val="9"/>
          <w:sz w:val="13"/>
        </w:rPr>
        <w:t>18 </w:t>
      </w:r>
      <w:r>
        <w:rPr>
          <w:sz w:val="20"/>
        </w:rPr>
        <w:t>Es un centro que tiene como objetivo ofrecer a los sectores productivos del Estado de México, público, privado y social, así como a académicos y estudiantes universitarios un Sistema Integral de Información Estratégica para orientar la Atracción de Nuevas inversiones Productivas y detectar nichos de mercado y oportunidades de inversión para la micro, mediana y pequeña empresa en nuestro territorio (UAEMéx-Fe, 2013).</w:t>
      </w:r>
    </w:p>
    <w:p>
      <w:pPr>
        <w:spacing w:after="0"/>
        <w:jc w:val="both"/>
        <w:rPr>
          <w:sz w:val="20"/>
        </w:rPr>
        <w:sectPr>
          <w:pgSz w:w="12240" w:h="15840"/>
          <w:pgMar w:header="0" w:footer="1003" w:top="1500" w:bottom="1200" w:left="1580" w:right="1580"/>
        </w:sectPr>
      </w:pPr>
    </w:p>
    <w:p>
      <w:pPr>
        <w:pStyle w:val="BodyText"/>
        <w:spacing w:line="360" w:lineRule="auto" w:before="50"/>
        <w:ind w:left="810" w:right="115"/>
        <w:jc w:val="both"/>
      </w:pPr>
      <w:r>
        <w:rPr/>
        <w:t>centro se han desarrollado trabajos de investigación y estudios de mercado; sin embargo, la capacidad de instalación y de recursos humanos no solventa la misión de su creación (Plan de Desarrollo de la Facultad de Economía 2011-2015,</w:t>
      </w:r>
      <w:r>
        <w:rPr>
          <w:spacing w:val="-12"/>
        </w:rPr>
        <w:t> </w:t>
      </w:r>
      <w:r>
        <w:rPr/>
        <w:t>2013).</w:t>
      </w:r>
    </w:p>
    <w:p>
      <w:pPr>
        <w:pStyle w:val="Heading3"/>
        <w:numPr>
          <w:ilvl w:val="0"/>
          <w:numId w:val="67"/>
        </w:numPr>
        <w:tabs>
          <w:tab w:pos="347" w:val="left" w:leader="none"/>
        </w:tabs>
        <w:spacing w:line="240" w:lineRule="auto" w:before="210" w:after="0"/>
        <w:ind w:left="346" w:right="0" w:hanging="244"/>
        <w:jc w:val="left"/>
      </w:pPr>
      <w:r>
        <w:rPr/>
        <w:t>Estrategias</w:t>
      </w:r>
    </w:p>
    <w:p>
      <w:pPr>
        <w:pStyle w:val="BodyText"/>
        <w:rPr>
          <w:b/>
          <w:sz w:val="29"/>
        </w:rPr>
      </w:pPr>
    </w:p>
    <w:p>
      <w:pPr>
        <w:pStyle w:val="ListParagraph"/>
        <w:numPr>
          <w:ilvl w:val="1"/>
          <w:numId w:val="67"/>
        </w:numPr>
        <w:tabs>
          <w:tab w:pos="822" w:val="left" w:leader="none"/>
        </w:tabs>
        <w:spacing w:line="360" w:lineRule="auto" w:before="0" w:after="0"/>
        <w:ind w:left="822" w:right="115" w:hanging="360"/>
        <w:jc w:val="left"/>
        <w:rPr>
          <w:sz w:val="24"/>
        </w:rPr>
      </w:pPr>
      <w:r>
        <w:rPr>
          <w:sz w:val="24"/>
        </w:rPr>
        <w:t>Apoyar la realización de prácticas de campo vinculadas con los objetivos de las unidades de</w:t>
      </w:r>
      <w:r>
        <w:rPr>
          <w:spacing w:val="-5"/>
          <w:sz w:val="24"/>
        </w:rPr>
        <w:t> </w:t>
      </w:r>
      <w:r>
        <w:rPr>
          <w:sz w:val="24"/>
        </w:rPr>
        <w:t>aprendizaje.</w:t>
      </w:r>
    </w:p>
    <w:p>
      <w:pPr>
        <w:pStyle w:val="ListParagraph"/>
        <w:numPr>
          <w:ilvl w:val="1"/>
          <w:numId w:val="67"/>
        </w:numPr>
        <w:tabs>
          <w:tab w:pos="822" w:val="left" w:leader="none"/>
        </w:tabs>
        <w:spacing w:line="240" w:lineRule="auto" w:before="4" w:after="0"/>
        <w:ind w:left="822" w:right="0" w:hanging="360"/>
        <w:jc w:val="left"/>
        <w:rPr>
          <w:sz w:val="24"/>
        </w:rPr>
      </w:pPr>
      <w:r>
        <w:rPr>
          <w:sz w:val="24"/>
        </w:rPr>
        <w:t>Promover la participación de alumnos en concursos de</w:t>
      </w:r>
      <w:r>
        <w:rPr>
          <w:spacing w:val="-12"/>
          <w:sz w:val="24"/>
        </w:rPr>
        <w:t> </w:t>
      </w:r>
      <w:r>
        <w:rPr>
          <w:sz w:val="24"/>
        </w:rPr>
        <w:t>emprendedores.</w:t>
      </w:r>
    </w:p>
    <w:p>
      <w:pPr>
        <w:pStyle w:val="ListParagraph"/>
        <w:numPr>
          <w:ilvl w:val="1"/>
          <w:numId w:val="67"/>
        </w:numPr>
        <w:tabs>
          <w:tab w:pos="822" w:val="left" w:leader="none"/>
        </w:tabs>
        <w:spacing w:line="362" w:lineRule="auto" w:before="137" w:after="0"/>
        <w:ind w:left="822" w:right="120" w:hanging="360"/>
        <w:jc w:val="left"/>
        <w:rPr>
          <w:sz w:val="24"/>
        </w:rPr>
      </w:pPr>
      <w:r>
        <w:rPr>
          <w:sz w:val="24"/>
        </w:rPr>
        <w:t>Compartir las experiencias resultantes de la movilidad académica y las estancias de investigación.</w:t>
      </w:r>
    </w:p>
    <w:p>
      <w:pPr>
        <w:pStyle w:val="ListParagraph"/>
        <w:numPr>
          <w:ilvl w:val="1"/>
          <w:numId w:val="67"/>
        </w:numPr>
        <w:tabs>
          <w:tab w:pos="822" w:val="left" w:leader="none"/>
        </w:tabs>
        <w:spacing w:line="360" w:lineRule="auto" w:before="1" w:after="0"/>
        <w:ind w:left="822" w:right="115" w:hanging="360"/>
        <w:jc w:val="left"/>
        <w:rPr>
          <w:sz w:val="24"/>
        </w:rPr>
      </w:pPr>
      <w:r>
        <w:rPr>
          <w:sz w:val="24"/>
        </w:rPr>
        <w:t>Fortalecer la imagen de la facultad mediante la impartición de diplomados y cursos de interés público, privado y</w:t>
      </w:r>
      <w:r>
        <w:rPr>
          <w:spacing w:val="-9"/>
          <w:sz w:val="24"/>
        </w:rPr>
        <w:t> </w:t>
      </w:r>
      <w:r>
        <w:rPr>
          <w:sz w:val="24"/>
        </w:rPr>
        <w:t>social.</w:t>
      </w:r>
    </w:p>
    <w:p>
      <w:pPr>
        <w:pStyle w:val="ListParagraph"/>
        <w:numPr>
          <w:ilvl w:val="1"/>
          <w:numId w:val="67"/>
        </w:numPr>
        <w:tabs>
          <w:tab w:pos="822" w:val="left" w:leader="none"/>
        </w:tabs>
        <w:spacing w:line="240" w:lineRule="auto" w:before="4" w:after="0"/>
        <w:ind w:left="822" w:right="0" w:hanging="360"/>
        <w:jc w:val="left"/>
        <w:rPr>
          <w:sz w:val="24"/>
        </w:rPr>
      </w:pPr>
      <w:r>
        <w:rPr>
          <w:sz w:val="24"/>
        </w:rPr>
        <w:t>Difundir la presencia, así como el catálogo de servicios y proyectos del</w:t>
      </w:r>
      <w:r>
        <w:rPr>
          <w:spacing w:val="-16"/>
          <w:sz w:val="24"/>
        </w:rPr>
        <w:t> </w:t>
      </w:r>
      <w:r>
        <w:rPr>
          <w:sz w:val="24"/>
        </w:rPr>
        <w:t>CIIDNe.</w:t>
      </w:r>
    </w:p>
    <w:p>
      <w:pPr>
        <w:pStyle w:val="ListParagraph"/>
        <w:numPr>
          <w:ilvl w:val="1"/>
          <w:numId w:val="67"/>
        </w:numPr>
        <w:tabs>
          <w:tab w:pos="822" w:val="left" w:leader="none"/>
        </w:tabs>
        <w:spacing w:line="360" w:lineRule="auto" w:before="139" w:after="0"/>
        <w:ind w:left="822" w:right="118" w:hanging="360"/>
        <w:jc w:val="both"/>
        <w:rPr>
          <w:sz w:val="24"/>
        </w:rPr>
      </w:pPr>
      <w:r>
        <w:rPr>
          <w:sz w:val="24"/>
        </w:rPr>
        <w:t>Realizar eventos académicos, científicos y culturales que impacten por la visita de personalidades de instituciones de educación superior u organismos nacionales o internacionales.</w:t>
      </w:r>
    </w:p>
    <w:p>
      <w:pPr>
        <w:pStyle w:val="ListParagraph"/>
        <w:numPr>
          <w:ilvl w:val="1"/>
          <w:numId w:val="67"/>
        </w:numPr>
        <w:tabs>
          <w:tab w:pos="822" w:val="left" w:leader="none"/>
        </w:tabs>
        <w:spacing w:line="362" w:lineRule="auto" w:before="4" w:after="0"/>
        <w:ind w:left="822" w:right="123" w:hanging="360"/>
        <w:jc w:val="left"/>
        <w:rPr>
          <w:sz w:val="24"/>
        </w:rPr>
      </w:pPr>
      <w:r>
        <w:rPr>
          <w:sz w:val="24"/>
        </w:rPr>
        <w:t>Establecer relaciones efectivas, a través de convenios, para el intercambio académico de profesores-investigadores y alumnos de educación</w:t>
      </w:r>
      <w:r>
        <w:rPr>
          <w:spacing w:val="-14"/>
          <w:sz w:val="24"/>
        </w:rPr>
        <w:t> </w:t>
      </w:r>
      <w:r>
        <w:rPr>
          <w:sz w:val="24"/>
        </w:rPr>
        <w:t>superior.</w:t>
      </w:r>
    </w:p>
    <w:p>
      <w:pPr>
        <w:pStyle w:val="BodyText"/>
      </w:pPr>
    </w:p>
    <w:p>
      <w:pPr>
        <w:pStyle w:val="BodyText"/>
        <w:spacing w:before="11"/>
        <w:rPr>
          <w:sz w:val="29"/>
        </w:rPr>
      </w:pPr>
    </w:p>
    <w:p>
      <w:pPr>
        <w:pStyle w:val="Heading3"/>
        <w:numPr>
          <w:ilvl w:val="0"/>
          <w:numId w:val="67"/>
        </w:numPr>
        <w:tabs>
          <w:tab w:pos="376" w:val="left" w:leader="none"/>
        </w:tabs>
        <w:spacing w:line="240" w:lineRule="auto" w:before="0" w:after="0"/>
        <w:ind w:left="375" w:right="0" w:hanging="273"/>
        <w:jc w:val="left"/>
      </w:pPr>
      <w:r>
        <w:rPr/>
        <w:t>Metas</w:t>
      </w:r>
    </w:p>
    <w:p>
      <w:pPr>
        <w:pStyle w:val="BodyText"/>
        <w:rPr>
          <w:b/>
          <w:sz w:val="29"/>
        </w:rPr>
      </w:pPr>
    </w:p>
    <w:p>
      <w:pPr>
        <w:pStyle w:val="ListParagraph"/>
        <w:numPr>
          <w:ilvl w:val="1"/>
          <w:numId w:val="67"/>
        </w:numPr>
        <w:tabs>
          <w:tab w:pos="822" w:val="left" w:leader="none"/>
        </w:tabs>
        <w:spacing w:line="360" w:lineRule="auto" w:before="0" w:after="0"/>
        <w:ind w:left="822" w:right="117" w:hanging="360"/>
        <w:jc w:val="left"/>
        <w:rPr>
          <w:sz w:val="24"/>
        </w:rPr>
      </w:pPr>
      <w:r>
        <w:rPr>
          <w:sz w:val="24"/>
        </w:rPr>
        <w:t>Lograr dos cursos anuales de inducción al mercado de trabajo a los alumnos del último año</w:t>
      </w:r>
      <w:r>
        <w:rPr>
          <w:spacing w:val="-6"/>
          <w:sz w:val="24"/>
        </w:rPr>
        <w:t> </w:t>
      </w:r>
      <w:r>
        <w:rPr>
          <w:sz w:val="24"/>
        </w:rPr>
        <w:t>escolar.</w:t>
      </w:r>
    </w:p>
    <w:p>
      <w:pPr>
        <w:pStyle w:val="ListParagraph"/>
        <w:numPr>
          <w:ilvl w:val="1"/>
          <w:numId w:val="67"/>
        </w:numPr>
        <w:tabs>
          <w:tab w:pos="822" w:val="left" w:leader="none"/>
        </w:tabs>
        <w:spacing w:line="360" w:lineRule="auto" w:before="6" w:after="0"/>
        <w:ind w:left="822" w:right="122" w:hanging="360"/>
        <w:jc w:val="left"/>
        <w:rPr>
          <w:sz w:val="24"/>
        </w:rPr>
      </w:pPr>
      <w:r>
        <w:rPr>
          <w:sz w:val="24"/>
        </w:rPr>
        <w:t>Alcanzar la firma de dos convenios por año por la realización de prácticas profesionales con el sector</w:t>
      </w:r>
      <w:r>
        <w:rPr>
          <w:spacing w:val="-8"/>
          <w:sz w:val="24"/>
        </w:rPr>
        <w:t> </w:t>
      </w:r>
      <w:r>
        <w:rPr>
          <w:sz w:val="24"/>
        </w:rPr>
        <w:t>productivo.</w:t>
      </w:r>
    </w:p>
    <w:p>
      <w:pPr>
        <w:pStyle w:val="ListParagraph"/>
        <w:numPr>
          <w:ilvl w:val="1"/>
          <w:numId w:val="67"/>
        </w:numPr>
        <w:tabs>
          <w:tab w:pos="822" w:val="left" w:leader="none"/>
        </w:tabs>
        <w:spacing w:line="240" w:lineRule="auto" w:before="7" w:after="0"/>
        <w:ind w:left="822" w:right="0" w:hanging="360"/>
        <w:jc w:val="left"/>
        <w:rPr>
          <w:sz w:val="24"/>
        </w:rPr>
      </w:pPr>
      <w:r>
        <w:rPr>
          <w:sz w:val="24"/>
        </w:rPr>
        <w:t>Contar con dos cursos dirigidos al sector empresarial por</w:t>
      </w:r>
      <w:r>
        <w:rPr>
          <w:spacing w:val="-11"/>
          <w:sz w:val="24"/>
        </w:rPr>
        <w:t> </w:t>
      </w:r>
      <w:r>
        <w:rPr>
          <w:sz w:val="24"/>
        </w:rPr>
        <w:t>año.</w:t>
      </w:r>
    </w:p>
    <w:p>
      <w:pPr>
        <w:pStyle w:val="ListParagraph"/>
        <w:numPr>
          <w:ilvl w:val="1"/>
          <w:numId w:val="67"/>
        </w:numPr>
        <w:tabs>
          <w:tab w:pos="822" w:val="left" w:leader="none"/>
        </w:tabs>
        <w:spacing w:line="240" w:lineRule="auto" w:before="137" w:after="0"/>
        <w:ind w:left="822" w:right="0" w:hanging="360"/>
        <w:jc w:val="left"/>
        <w:rPr>
          <w:sz w:val="24"/>
        </w:rPr>
      </w:pPr>
      <w:r>
        <w:rPr>
          <w:sz w:val="24"/>
        </w:rPr>
        <w:t>Obtener 40 proyectos al año en la feria emprendedora de la</w:t>
      </w:r>
      <w:r>
        <w:rPr>
          <w:spacing w:val="-14"/>
          <w:sz w:val="24"/>
        </w:rPr>
        <w:t> </w:t>
      </w:r>
      <w:r>
        <w:rPr>
          <w:sz w:val="24"/>
        </w:rPr>
        <w:t>facultad.</w:t>
      </w:r>
    </w:p>
    <w:p>
      <w:pPr>
        <w:pStyle w:val="ListParagraph"/>
        <w:numPr>
          <w:ilvl w:val="1"/>
          <w:numId w:val="67"/>
        </w:numPr>
        <w:tabs>
          <w:tab w:pos="822" w:val="left" w:leader="none"/>
        </w:tabs>
        <w:spacing w:line="240" w:lineRule="auto" w:before="139" w:after="0"/>
        <w:ind w:left="822" w:right="0" w:hanging="360"/>
        <w:jc w:val="left"/>
        <w:rPr>
          <w:sz w:val="24"/>
        </w:rPr>
      </w:pPr>
      <w:r>
        <w:rPr>
          <w:sz w:val="24"/>
        </w:rPr>
        <w:t>Lograr la participación de 10 alumnos en servicios</w:t>
      </w:r>
      <w:r>
        <w:rPr>
          <w:spacing w:val="-15"/>
          <w:sz w:val="24"/>
        </w:rPr>
        <w:t> </w:t>
      </w:r>
      <w:r>
        <w:rPr>
          <w:sz w:val="24"/>
        </w:rPr>
        <w:t>comunitarios.</w:t>
      </w:r>
    </w:p>
    <w:p>
      <w:pPr>
        <w:pStyle w:val="ListParagraph"/>
        <w:numPr>
          <w:ilvl w:val="1"/>
          <w:numId w:val="67"/>
        </w:numPr>
        <w:tabs>
          <w:tab w:pos="822" w:val="left" w:leader="none"/>
        </w:tabs>
        <w:spacing w:line="360" w:lineRule="auto" w:before="137" w:after="0"/>
        <w:ind w:left="822" w:right="118" w:hanging="360"/>
        <w:jc w:val="left"/>
        <w:rPr>
          <w:sz w:val="24"/>
        </w:rPr>
      </w:pPr>
      <w:r>
        <w:rPr>
          <w:sz w:val="24"/>
        </w:rPr>
        <w:t>Contar con 100 alumnos y egresados registrado en el servicio universitario de empleo.</w:t>
      </w:r>
    </w:p>
    <w:p>
      <w:pPr>
        <w:pStyle w:val="ListParagraph"/>
        <w:numPr>
          <w:ilvl w:val="1"/>
          <w:numId w:val="67"/>
        </w:numPr>
        <w:tabs>
          <w:tab w:pos="822" w:val="left" w:leader="none"/>
        </w:tabs>
        <w:spacing w:line="240" w:lineRule="auto" w:before="4" w:after="0"/>
        <w:ind w:left="822" w:right="0" w:hanging="360"/>
        <w:jc w:val="left"/>
        <w:rPr>
          <w:sz w:val="24"/>
        </w:rPr>
      </w:pPr>
      <w:r>
        <w:rPr>
          <w:sz w:val="24"/>
        </w:rPr>
        <w:t>Contar con 100 alumnos en prácticas</w:t>
      </w:r>
      <w:r>
        <w:rPr>
          <w:spacing w:val="-9"/>
          <w:sz w:val="24"/>
        </w:rPr>
        <w:t> </w:t>
      </w:r>
      <w:r>
        <w:rPr>
          <w:sz w:val="24"/>
        </w:rPr>
        <w:t>profesionales.</w:t>
      </w:r>
    </w:p>
    <w:p>
      <w:pPr>
        <w:spacing w:after="0" w:line="240" w:lineRule="auto"/>
        <w:jc w:val="left"/>
        <w:rPr>
          <w:sz w:val="24"/>
        </w:rPr>
        <w:sectPr>
          <w:pgSz w:w="12240" w:h="15840"/>
          <w:pgMar w:header="0" w:footer="1003" w:top="1360" w:bottom="1200" w:left="1600" w:right="1580"/>
        </w:sectPr>
      </w:pPr>
    </w:p>
    <w:p>
      <w:pPr>
        <w:pStyle w:val="ListParagraph"/>
        <w:numPr>
          <w:ilvl w:val="1"/>
          <w:numId w:val="67"/>
        </w:numPr>
        <w:tabs>
          <w:tab w:pos="822" w:val="left" w:leader="none"/>
        </w:tabs>
        <w:spacing w:line="240" w:lineRule="auto" w:before="50" w:after="0"/>
        <w:ind w:left="822" w:right="0" w:hanging="360"/>
        <w:jc w:val="left"/>
        <w:rPr>
          <w:sz w:val="24"/>
        </w:rPr>
      </w:pPr>
      <w:r>
        <w:rPr>
          <w:sz w:val="24"/>
        </w:rPr>
        <w:t>Lograr que 25 universitarios de la facultad sean colocados en el mercado de</w:t>
      </w:r>
      <w:r>
        <w:rPr>
          <w:spacing w:val="-14"/>
          <w:sz w:val="24"/>
        </w:rPr>
        <w:t> </w:t>
      </w:r>
      <w:r>
        <w:rPr>
          <w:sz w:val="24"/>
        </w:rPr>
        <w:t>trabajo.</w:t>
      </w:r>
    </w:p>
    <w:p>
      <w:pPr>
        <w:pStyle w:val="BodyText"/>
      </w:pPr>
    </w:p>
    <w:p>
      <w:pPr>
        <w:pStyle w:val="BodyText"/>
      </w:pPr>
    </w:p>
    <w:p>
      <w:pPr>
        <w:pStyle w:val="BodyText"/>
        <w:spacing w:line="360" w:lineRule="auto"/>
        <w:ind w:left="102" w:right="112"/>
        <w:jc w:val="both"/>
      </w:pPr>
      <w:r>
        <w:rPr/>
        <w:t>A manera de resumen. En este capítulo, se abordó que el sistema de educación mexicano cuenta con una estructura organizacional clara y definida. Se han logrado avances importantes en los principales indicadores como queda de manifiesto en las cifras y gráficas presentadas, también se puede deducir que existen oportunidades de cambio para mejorar el sistema educativo desde sus orígenes (la formación básica). Sin embargo no es el tema principal de estudio de esta tesis, motivo por el cual no se abordará ninguna propuesta para cambiar o mejorar el sistema educativo mexicano. Se revisó la historia de la UAEMéx y cómo la Facultad de Economía fue fundada.</w:t>
      </w:r>
    </w:p>
    <w:p>
      <w:pPr>
        <w:pStyle w:val="BodyText"/>
      </w:pPr>
    </w:p>
    <w:p>
      <w:pPr>
        <w:pStyle w:val="BodyText"/>
        <w:spacing w:line="360" w:lineRule="auto" w:before="143"/>
        <w:ind w:left="102" w:right="119"/>
        <w:jc w:val="both"/>
      </w:pPr>
      <w:r>
        <w:rPr/>
        <w:t>Se presentaron los planes de estudios de la licenciatura de Economía vigentes en el periodo de análisis de este estudio y se muestran los programas y proyectos con los que cuentan los egresados para insertarse al mercado de trabajo. En el siguiente capítulo se analizan los elementos del mercado de trabajo del país, para conocer cómo se encuentran sus principales indicadores: empleo, desempleo y salarios.</w:t>
      </w:r>
    </w:p>
    <w:p>
      <w:pPr>
        <w:spacing w:after="0" w:line="360" w:lineRule="auto"/>
        <w:jc w:val="both"/>
        <w:sectPr>
          <w:pgSz w:w="12240" w:h="15840"/>
          <w:pgMar w:header="0" w:footer="1003" w:top="1360" w:bottom="1200" w:left="1600" w:right="1580"/>
        </w:sectPr>
      </w:pPr>
    </w:p>
    <w:p>
      <w:pPr>
        <w:pStyle w:val="Heading3"/>
        <w:ind w:left="115" w:right="115"/>
        <w:jc w:val="center"/>
      </w:pPr>
      <w:bookmarkStart w:name="_bookmark47" w:id="86"/>
      <w:bookmarkEnd w:id="86"/>
      <w:r>
        <w:rPr>
          <w:b w:val="0"/>
        </w:rPr>
      </w:r>
      <w:r>
        <w:rPr/>
        <w:t>CAPÍTULO 4</w:t>
      </w:r>
    </w:p>
    <w:p>
      <w:pPr>
        <w:spacing w:line="360" w:lineRule="auto" w:before="43"/>
        <w:ind w:left="597" w:right="601" w:firstLine="0"/>
        <w:jc w:val="center"/>
        <w:rPr>
          <w:b/>
          <w:sz w:val="24"/>
        </w:rPr>
      </w:pPr>
      <w:r>
        <w:rPr>
          <w:b/>
          <w:sz w:val="24"/>
        </w:rPr>
        <w:t>EL MERCADO DE TRABAJO EN MÉXICO Y EL ESTADO DE MÉXICO (2000-2012)</w:t>
      </w:r>
    </w:p>
    <w:p>
      <w:pPr>
        <w:pStyle w:val="BodyText"/>
        <w:rPr>
          <w:b/>
        </w:rPr>
      </w:pPr>
    </w:p>
    <w:p>
      <w:pPr>
        <w:spacing w:before="143"/>
        <w:ind w:left="122" w:right="0" w:firstLine="0"/>
        <w:jc w:val="both"/>
        <w:rPr>
          <w:b/>
          <w:sz w:val="24"/>
        </w:rPr>
      </w:pPr>
      <w:r>
        <w:rPr>
          <w:b/>
          <w:sz w:val="24"/>
        </w:rPr>
        <w:t>Introducción</w:t>
      </w:r>
    </w:p>
    <w:p>
      <w:pPr>
        <w:pStyle w:val="BodyText"/>
        <w:spacing w:line="352" w:lineRule="auto" w:before="134"/>
        <w:ind w:left="122" w:right="116"/>
        <w:jc w:val="both"/>
      </w:pPr>
      <w:r>
        <w:rPr/>
        <w:t>A nivel internacional y nacional el problema de la generación de empleos sigue siendo una preocupación constante (Ramos, 1993). De acuerdo con el reporte mensual sobre la desocupación en la OCDE (2012), la tasa de desempleo</w:t>
      </w:r>
      <w:r>
        <w:rPr>
          <w:position w:val="11"/>
          <w:sz w:val="16"/>
        </w:rPr>
        <w:t>19 </w:t>
      </w:r>
      <w:r>
        <w:rPr/>
        <w:t>para el conjunto de 34 países que integran el organismo fue de 7.9% en agosto 2012, prácticamente la misma tasa observada desde enero de 2011 (OCDE, 2012).</w:t>
      </w:r>
    </w:p>
    <w:p>
      <w:pPr>
        <w:pStyle w:val="BodyText"/>
        <w:spacing w:before="7"/>
        <w:rPr>
          <w:sz w:val="34"/>
        </w:rPr>
      </w:pPr>
    </w:p>
    <w:p>
      <w:pPr>
        <w:pStyle w:val="BodyText"/>
        <w:spacing w:line="360" w:lineRule="auto"/>
        <w:ind w:left="122" w:right="118"/>
        <w:jc w:val="both"/>
      </w:pPr>
      <w:r>
        <w:rPr/>
        <w:t>La tasa de desempleo juvenil </w:t>
      </w:r>
      <w:r>
        <w:rPr>
          <w:rFonts w:ascii="Calibri" w:hAnsi="Calibri"/>
          <w:position w:val="11"/>
          <w:sz w:val="16"/>
        </w:rPr>
        <w:t>20 </w:t>
      </w:r>
      <w:r>
        <w:rPr/>
        <w:t>a nivel internacional, de acuerdo con el reporte de la Organización Internacional del Trabajo (OIT) en el año 2012 se ubicó en 12.6%, lo que significó que 74.6 millones de jóvenes no tuvieron empleo en todo el mundo. Para México esta tasa fue de 10% en el mismo año (IndexMundi, 2013).Se estima que esta cifra representó 575,715 jóvenes sin empleo en todo el país, aun cuando se encuentra por debajo de la media internacional. El caso para el Estado de México es una cifra similar a la tasa de desempleo juvenil internacional siendo de 12% (El Financiero, 2012).</w:t>
      </w:r>
    </w:p>
    <w:p>
      <w:pPr>
        <w:pStyle w:val="BodyText"/>
      </w:pPr>
    </w:p>
    <w:p>
      <w:pPr>
        <w:pStyle w:val="BodyText"/>
        <w:spacing w:line="360" w:lineRule="auto" w:before="140"/>
        <w:ind w:left="122" w:right="119"/>
        <w:jc w:val="both"/>
      </w:pPr>
      <w:r>
        <w:rPr/>
        <w:t>Los problemas del empleo surgen como consecuencia de los desajustes que se producen entre la oferta y la demanda de la fuerza de trabajo. Estos desajustes son, generalmente, motivados por las condiciones económicas generales que se presentan en el país, ejemplo  de ello es la pérdida de empleos formales, la falta de dinamismo económico para generar nuevos puestos asalariados, la presión demográfica y la carencia de alternativas ocupacionales que convergen en la formación de un amplísimo sector informal como opción mayoritaria de la fuerza laboral (Salgado y Miranda, 2007).  Sin embargo, según </w:t>
      </w:r>
      <w:r>
        <w:rPr>
          <w:spacing w:val="49"/>
        </w:rPr>
        <w:t> </w:t>
      </w:r>
      <w:r>
        <w:rPr/>
        <w:t>se</w:t>
      </w:r>
    </w:p>
    <w:p>
      <w:pPr>
        <w:pStyle w:val="BodyText"/>
        <w:rPr>
          <w:sz w:val="20"/>
        </w:rPr>
      </w:pPr>
    </w:p>
    <w:p>
      <w:pPr>
        <w:pStyle w:val="BodyText"/>
        <w:rPr>
          <w:sz w:val="20"/>
        </w:rPr>
      </w:pPr>
    </w:p>
    <w:p>
      <w:pPr>
        <w:pStyle w:val="BodyText"/>
        <w:rPr>
          <w:sz w:val="26"/>
        </w:rPr>
      </w:pPr>
      <w:r>
        <w:rPr/>
        <w:pict>
          <v:line style="position:absolute;mso-position-horizontal-relative:page;mso-position-vertical-relative:paragraph;z-index:3112;mso-wrap-distance-left:0;mso-wrap-distance-right:0" from="85.103996pt,17.321732pt" to="229.123996pt,17.321732pt" stroked="true" strokeweight=".71997pt" strokecolor="#000000">
            <w10:wrap type="topAndBottom"/>
          </v:line>
        </w:pict>
      </w:r>
    </w:p>
    <w:p>
      <w:pPr>
        <w:spacing w:line="242" w:lineRule="auto" w:before="47"/>
        <w:ind w:left="122" w:right="119" w:firstLine="0"/>
        <w:jc w:val="both"/>
        <w:rPr>
          <w:sz w:val="20"/>
        </w:rPr>
      </w:pPr>
      <w:r>
        <w:rPr>
          <w:rFonts w:ascii="Calibri" w:hAnsi="Calibri"/>
          <w:position w:val="10"/>
          <w:sz w:val="14"/>
        </w:rPr>
        <w:t>19 </w:t>
      </w:r>
      <w:r>
        <w:rPr>
          <w:sz w:val="20"/>
        </w:rPr>
        <w:t>De acuerdo con el Instituto Nacional de Estadística y Geografía (INEGI, 2013) durante el 2013 alrededor  de 49 mil 200 personas tenían más de 53 semanas buscando un empleo, a nivel nacional. Los resultados de la Encuesta Nacional de Ocupación y Empleo (ENOE, 2013) revelan </w:t>
      </w:r>
      <w:r>
        <w:rPr>
          <w:spacing w:val="2"/>
          <w:sz w:val="20"/>
        </w:rPr>
        <w:t>que </w:t>
      </w:r>
      <w:r>
        <w:rPr>
          <w:sz w:val="20"/>
        </w:rPr>
        <w:t>hasta el mes de marzo de 2013 casi 110 mil mexicanos llevaban entre 27 y 52 semanas tratando de ser contratados, 207 mil sumaban entre 14 y  26 semanas, mientras que 316 mil alcanzaban un tiempo promedio de 9 a 13</w:t>
      </w:r>
      <w:r>
        <w:rPr>
          <w:spacing w:val="-34"/>
          <w:sz w:val="20"/>
        </w:rPr>
        <w:t> </w:t>
      </w:r>
      <w:r>
        <w:rPr>
          <w:sz w:val="20"/>
        </w:rPr>
        <w:t>semanas.</w:t>
      </w:r>
    </w:p>
    <w:p>
      <w:pPr>
        <w:spacing w:line="228" w:lineRule="exact" w:before="0"/>
        <w:ind w:left="122" w:right="0" w:firstLine="0"/>
        <w:jc w:val="both"/>
        <w:rPr>
          <w:sz w:val="20"/>
        </w:rPr>
      </w:pPr>
      <w:r>
        <w:rPr>
          <w:position w:val="9"/>
          <w:sz w:val="13"/>
        </w:rPr>
        <w:t>20 </w:t>
      </w:r>
      <w:r>
        <w:rPr>
          <w:sz w:val="20"/>
        </w:rPr>
        <w:t>La tasa de desempleo juvenil considera jóvenes entre 15 y 24 años de edad.</w:t>
      </w:r>
    </w:p>
    <w:p>
      <w:pPr>
        <w:spacing w:after="0" w:line="228" w:lineRule="exact"/>
        <w:jc w:val="both"/>
        <w:rPr>
          <w:sz w:val="20"/>
        </w:rPr>
        <w:sectPr>
          <w:footerReference w:type="default" r:id="rId70"/>
          <w:pgSz w:w="12240" w:h="15840"/>
          <w:pgMar w:footer="1003" w:header="0" w:top="1360" w:bottom="1200" w:left="1580" w:right="1580"/>
          <w:pgNumType w:start="110"/>
        </w:sectPr>
      </w:pPr>
    </w:p>
    <w:p>
      <w:pPr>
        <w:pStyle w:val="BodyText"/>
        <w:spacing w:line="360" w:lineRule="auto" w:before="50"/>
        <w:ind w:left="102" w:right="120"/>
        <w:jc w:val="both"/>
      </w:pPr>
      <w:r>
        <w:rPr/>
        <w:t>encuentre estructurado el sistema educativo, estos desajustes producidos por la evolución  de la economía general, pueden agravarse o</w:t>
      </w:r>
      <w:r>
        <w:rPr>
          <w:spacing w:val="-11"/>
        </w:rPr>
        <w:t> </w:t>
      </w:r>
      <w:r>
        <w:rPr/>
        <w:t>paliarse.</w:t>
      </w:r>
    </w:p>
    <w:p>
      <w:pPr>
        <w:pStyle w:val="BodyText"/>
      </w:pPr>
    </w:p>
    <w:p>
      <w:pPr>
        <w:pStyle w:val="BodyText"/>
        <w:spacing w:line="360" w:lineRule="auto" w:before="143"/>
        <w:ind w:left="102" w:right="114"/>
        <w:jc w:val="both"/>
      </w:pPr>
      <w:r>
        <w:rPr/>
        <w:t>El presente capítulo tiene como objetivo presentar una revisión del mercado de trabajo, analizando sus principales variables: empleo, desempleo y salario. El objetivo es conocer la situación 2000-2010, condiciones y características que el mercado de trabajo pudo ofrecer principalmente a los egresados universitarios. El capítulo inicia con un panorama a nivel nacional,  para finalizar con la realidad que se vive en el Estado de México.</w:t>
      </w:r>
    </w:p>
    <w:p>
      <w:pPr>
        <w:pStyle w:val="BodyText"/>
      </w:pPr>
    </w:p>
    <w:p>
      <w:pPr>
        <w:pStyle w:val="Heading3"/>
        <w:numPr>
          <w:ilvl w:val="1"/>
          <w:numId w:val="68"/>
        </w:numPr>
        <w:tabs>
          <w:tab w:pos="522" w:val="left" w:leader="none"/>
        </w:tabs>
        <w:spacing w:line="240" w:lineRule="auto" w:before="213" w:after="0"/>
        <w:ind w:left="522" w:right="0" w:hanging="420"/>
        <w:jc w:val="both"/>
      </w:pPr>
      <w:bookmarkStart w:name="_bookmark48" w:id="87"/>
      <w:bookmarkEnd w:id="87"/>
      <w:r>
        <w:rPr>
          <w:b w:val="0"/>
        </w:rPr>
      </w:r>
      <w:bookmarkStart w:name="_bookmark48" w:id="88"/>
      <w:bookmarkEnd w:id="88"/>
      <w:r>
        <w:rPr/>
        <w:t>M</w:t>
      </w:r>
      <w:r>
        <w:rPr/>
        <w:t>ercado de trabajo en</w:t>
      </w:r>
      <w:r>
        <w:rPr>
          <w:spacing w:val="-7"/>
        </w:rPr>
        <w:t> </w:t>
      </w:r>
      <w:r>
        <w:rPr/>
        <w:t>México</w:t>
      </w:r>
    </w:p>
    <w:p>
      <w:pPr>
        <w:pStyle w:val="BodyText"/>
        <w:rPr>
          <w:b/>
        </w:rPr>
      </w:pPr>
    </w:p>
    <w:p>
      <w:pPr>
        <w:pStyle w:val="BodyText"/>
        <w:spacing w:before="10"/>
        <w:rPr>
          <w:b/>
          <w:sz w:val="21"/>
        </w:rPr>
      </w:pPr>
    </w:p>
    <w:p>
      <w:pPr>
        <w:pStyle w:val="BodyText"/>
        <w:spacing w:line="360" w:lineRule="auto"/>
        <w:ind w:left="102" w:right="114"/>
        <w:jc w:val="both"/>
      </w:pPr>
      <w:r>
        <w:rPr/>
        <w:t>En la actualidad a nivel mundial la mayoría de los países se encuentran sumergidos en una de las crisis económicas más severas de los últimos quince años, iniciándose a mediados  del año 2007 y principios del año 2008, llamada la gran crisis, la cual se ha destacado por la velocidad con la que se desarrolló (Kotz, 2009; Rose y Spiegel, 2009). Algunos autores coinciden en considerar que ésta ha sido una de las más prolongadas en la historia de la humanidad (Kotz, 2009; Rose y Spiegel, 2009; Reinhart y Rogoff,</w:t>
      </w:r>
      <w:r>
        <w:rPr>
          <w:spacing w:val="-14"/>
        </w:rPr>
        <w:t> </w:t>
      </w:r>
      <w:r>
        <w:rPr/>
        <w:t>2008).</w:t>
      </w:r>
    </w:p>
    <w:p>
      <w:pPr>
        <w:pStyle w:val="BodyText"/>
      </w:pPr>
    </w:p>
    <w:p>
      <w:pPr>
        <w:pStyle w:val="BodyText"/>
        <w:spacing w:line="360" w:lineRule="auto" w:before="140"/>
        <w:ind w:left="102" w:right="120"/>
        <w:jc w:val="both"/>
      </w:pPr>
      <w:r>
        <w:rPr/>
        <w:t>El origen de esta crisis se da en la concesión de hipotecas </w:t>
      </w:r>
      <w:r>
        <w:rPr>
          <w:i/>
        </w:rPr>
        <w:t>suprime </w:t>
      </w:r>
      <w:r>
        <w:rPr/>
        <w:t>en Estados Unidos de América, este tipo de hipotecas prestaban dinero a personas con escasa solvencia económica (Kotz, 2009), trayendo como consecuencia que los bancos que las otorgaron, eventualmente necesitaron más dinero (Rose y Spiegel, 2009) para continuar financiándose. Llegando al punto de no tener liquidez, los bancos buscaron otros instrumentos financieros para este fin, hasta el grado en que unos desconfiaron de otros, y </w:t>
      </w:r>
      <w:r>
        <w:rPr>
          <w:spacing w:val="-3"/>
        </w:rPr>
        <w:t>ya </w:t>
      </w:r>
      <w:r>
        <w:rPr/>
        <w:t>no se prestaron más, con ello generaron la escasez de fondos (Rose y Spiegel, 2009) que a su vez se transformó en</w:t>
      </w:r>
      <w:r>
        <w:rPr>
          <w:spacing w:val="-3"/>
        </w:rPr>
        <w:t> </w:t>
      </w:r>
      <w:r>
        <w:rPr/>
        <w:t>crisis.</w:t>
      </w:r>
    </w:p>
    <w:p>
      <w:pPr>
        <w:pStyle w:val="BodyText"/>
      </w:pPr>
    </w:p>
    <w:p>
      <w:pPr>
        <w:pStyle w:val="BodyText"/>
        <w:spacing w:line="360" w:lineRule="auto" w:before="143"/>
        <w:ind w:left="102" w:right="117"/>
        <w:jc w:val="both"/>
      </w:pPr>
      <w:r>
        <w:rPr/>
        <w:t>La crisis no ha sido exclusiva de Estados Unidos de América, países que también crearon este tipo de hipotecas, como: España, Reino Unido e Irlanda, han experimentado idénticas consecuencias (Reinhart y Rogoff, 2008) aunque en diferentes magnitudes. Otros autores explican que la crisis de 2008 tuvo su origen en un comportamiento cíclico de la </w:t>
      </w:r>
      <w:r>
        <w:rPr>
          <w:spacing w:val="54"/>
        </w:rPr>
        <w:t> </w:t>
      </w:r>
      <w:r>
        <w:rPr/>
        <w:t>economía</w:t>
      </w:r>
    </w:p>
    <w:p>
      <w:pPr>
        <w:spacing w:after="0" w:line="360" w:lineRule="auto"/>
        <w:jc w:val="both"/>
        <w:sectPr>
          <w:pgSz w:w="12240" w:h="15840"/>
          <w:pgMar w:header="0" w:footer="1003" w:top="1360" w:bottom="1200" w:left="1600" w:right="1580"/>
        </w:sectPr>
      </w:pPr>
    </w:p>
    <w:p>
      <w:pPr>
        <w:pStyle w:val="BodyText"/>
        <w:spacing w:line="360" w:lineRule="auto" w:before="50"/>
        <w:ind w:left="102" w:right="115"/>
        <w:jc w:val="both"/>
      </w:pPr>
      <w:r>
        <w:rPr/>
        <w:t>(Kotz, 2009; Rose y Spiegel, 2009; Reinhart y Rogoff, 2008) y que no es ajena o diferente a otras del pasado (Reinhart y Rogoff, 2008). Una consecuencia, entre muchas otras es el incremento importante en las tasas de desempleo y en las condiciones laborales de los trabajadores (flexibilización).</w:t>
      </w:r>
    </w:p>
    <w:p>
      <w:pPr>
        <w:pStyle w:val="BodyText"/>
      </w:pPr>
    </w:p>
    <w:p>
      <w:pPr>
        <w:pStyle w:val="Heading3"/>
        <w:numPr>
          <w:ilvl w:val="2"/>
          <w:numId w:val="68"/>
        </w:numPr>
        <w:tabs>
          <w:tab w:pos="703" w:val="left" w:leader="none"/>
        </w:tabs>
        <w:spacing w:line="240" w:lineRule="auto" w:before="212" w:after="0"/>
        <w:ind w:left="702" w:right="0" w:hanging="600"/>
        <w:jc w:val="both"/>
      </w:pPr>
      <w:bookmarkStart w:name="_bookmark49" w:id="89"/>
      <w:bookmarkEnd w:id="89"/>
      <w:r>
        <w:rPr>
          <w:b w:val="0"/>
        </w:rPr>
      </w:r>
      <w:bookmarkStart w:name="_bookmark49" w:id="90"/>
      <w:bookmarkEnd w:id="90"/>
      <w:r>
        <w:rPr/>
        <w:t>La</w:t>
      </w:r>
      <w:r>
        <w:rPr/>
        <w:t> crisis y el comportamiento del</w:t>
      </w:r>
      <w:r>
        <w:rPr>
          <w:spacing w:val="-10"/>
        </w:rPr>
        <w:t> </w:t>
      </w:r>
      <w:r>
        <w:rPr/>
        <w:t>PIB</w:t>
      </w:r>
    </w:p>
    <w:p>
      <w:pPr>
        <w:pStyle w:val="BodyText"/>
        <w:rPr>
          <w:b/>
        </w:rPr>
      </w:pPr>
    </w:p>
    <w:p>
      <w:pPr>
        <w:pStyle w:val="BodyText"/>
        <w:spacing w:line="360" w:lineRule="auto" w:before="175"/>
        <w:ind w:left="102" w:right="117"/>
        <w:jc w:val="both"/>
      </w:pPr>
      <w:r>
        <w:rPr/>
        <w:t>México no ha sido ajeno a los estragos de la crisis internacional de 2008, aunado a las crisis internas que ha sufrido en los últimos doce años. Consecuencias de estos efectos son, el comportamiento del crecimiento del Producto Interno Bruto (PIB), como se observa en la gráfica 4.1 de 2008 a 2009 se tuvo un crecimiento negativo de 6.1%, recuperándose la caída para los siguientes dos años, pero sin alcanzar el crecimiento de 2006 (5.1%), la  explicación de este efecto se puede entender como un menor dinamismo de la economía mexicana generado por la falta de inversiones</w:t>
      </w:r>
      <w:r>
        <w:rPr>
          <w:spacing w:val="-10"/>
        </w:rPr>
        <w:t> </w:t>
      </w:r>
      <w:r>
        <w:rPr/>
        <w:t>productivas.</w:t>
      </w:r>
    </w:p>
    <w:p>
      <w:pPr>
        <w:pStyle w:val="BodyText"/>
      </w:pPr>
    </w:p>
    <w:p>
      <w:pPr>
        <w:pStyle w:val="BodyText"/>
        <w:spacing w:line="360" w:lineRule="auto" w:before="143"/>
        <w:ind w:left="102" w:right="114"/>
        <w:jc w:val="both"/>
      </w:pPr>
      <w:r>
        <w:rPr/>
        <w:t>De acuerdo con Gabriel Casillas, economista en jefe para México de JP Morgan, y Alberto Ramos, economista para América Latina en Goldman Sachs, la tendencia del PIB  se revirtió en 2010 debido al incremento en la demanda de Estados Unidos a las manufacturas mexicanas en el primer trimestre del 2010, a la derrama generada en los sectores de servicios y en la demanda interna (El economista, 2011).</w:t>
      </w:r>
    </w:p>
    <w:p>
      <w:pPr>
        <w:spacing w:after="0" w:line="360" w:lineRule="auto"/>
        <w:jc w:val="both"/>
        <w:sectPr>
          <w:pgSz w:w="12240" w:h="15840"/>
          <w:pgMar w:header="0" w:footer="1003" w:top="1360" w:bottom="1200" w:left="1600" w:right="1580"/>
        </w:sectPr>
      </w:pPr>
    </w:p>
    <w:p>
      <w:pPr>
        <w:pStyle w:val="Heading3"/>
        <w:ind w:left="115" w:right="115"/>
        <w:jc w:val="center"/>
      </w:pPr>
      <w:r>
        <w:rPr/>
        <w:t>Gráfica 4.1. PIB en México, periodo de 2000 al 2012</w:t>
      </w:r>
    </w:p>
    <w:p>
      <w:pPr>
        <w:pStyle w:val="BodyText"/>
        <w:rPr>
          <w:b/>
          <w:sz w:val="20"/>
        </w:rPr>
      </w:pPr>
    </w:p>
    <w:p>
      <w:pPr>
        <w:pStyle w:val="BodyText"/>
        <w:rPr>
          <w:b/>
          <w:sz w:val="20"/>
        </w:rPr>
      </w:pPr>
    </w:p>
    <w:p>
      <w:pPr>
        <w:pStyle w:val="BodyText"/>
        <w:spacing w:before="6"/>
        <w:rPr>
          <w:b/>
          <w:sz w:val="20"/>
        </w:rPr>
      </w:pPr>
      <w:r>
        <w:rPr/>
        <w:pict>
          <v:group style="position:absolute;margin-left:95.745003pt;margin-top:13.76627pt;width:426.25pt;height:148.35pt;mso-position-horizontal-relative:page;mso-position-vertical-relative:paragraph;z-index:3472;mso-wrap-distance-left:0;mso-wrap-distance-right:0" coordorigin="1915,275" coordsize="8525,2967">
            <v:line style="position:absolute" from="1922,1729" to="10320,1729" stroked="true" strokeweight=".72pt" strokecolor="#858585"/>
            <v:shape style="position:absolute;left:2244;top:357;width:7752;height:2768" coordorigin="2244,357" coordsize="7752,2768" path="m2244,357l2890,1957,3538,1705,4183,1432,4829,791,5474,997,6120,563,6766,976,7414,1456,8059,3124,8705,493,9350,837,9996,837e" filled="false" stroked="true" strokeweight="2.16pt" strokecolor="#497dba">
              <v:path arrowok="t"/>
            </v:shape>
            <v:shape style="position:absolute;left:2166;top:279;width:154;height:154" type="#_x0000_t75" stroked="false">
              <v:imagedata r:id="rId53" o:title=""/>
            </v:shape>
            <v:shape style="position:absolute;left:2812;top:1880;width:154;height:154" type="#_x0000_t75" stroked="false">
              <v:imagedata r:id="rId53" o:title=""/>
            </v:shape>
            <v:shape style="position:absolute;left:3457;top:1628;width:154;height:154" type="#_x0000_t75" stroked="false">
              <v:imagedata r:id="rId55" o:title=""/>
            </v:shape>
            <v:shape style="position:absolute;left:4103;top:1354;width:154;height:154" type="#_x0000_t75" stroked="false">
              <v:imagedata r:id="rId52" o:title=""/>
            </v:shape>
            <v:shape style="position:absolute;left:4748;top:713;width:154;height:154" type="#_x0000_t75" stroked="false">
              <v:imagedata r:id="rId52" o:title=""/>
            </v:shape>
            <v:shape style="position:absolute;left:5396;top:920;width:154;height:154" type="#_x0000_t75" stroked="false">
              <v:imagedata r:id="rId53" o:title=""/>
            </v:shape>
            <v:shape style="position:absolute;left:6042;top:483;width:154;height:154" type="#_x0000_t75" stroked="false">
              <v:imagedata r:id="rId53" o:title=""/>
            </v:shape>
            <v:shape style="position:absolute;left:6688;top:896;width:154;height:154" type="#_x0000_t75" stroked="false">
              <v:imagedata r:id="rId53" o:title=""/>
            </v:shape>
            <v:shape style="position:absolute;left:7333;top:1376;width:154;height:154" type="#_x0000_t75" stroked="false">
              <v:imagedata r:id="rId53" o:title=""/>
            </v:shape>
            <v:shape style="position:absolute;left:7979;top:3046;width:154;height:154" type="#_x0000_t75" stroked="false">
              <v:imagedata r:id="rId53" o:title=""/>
            </v:shape>
            <v:shape style="position:absolute;left:8624;top:416;width:154;height:154" type="#_x0000_t75" stroked="false">
              <v:imagedata r:id="rId53" o:title=""/>
            </v:shape>
            <v:shape style="position:absolute;left:9272;top:759;width:154;height:154" type="#_x0000_t75" stroked="false">
              <v:imagedata r:id="rId52" o:title=""/>
            </v:shape>
            <v:shape style="position:absolute;left:9918;top:759;width:154;height:154" type="#_x0000_t75" stroked="false">
              <v:imagedata r:id="rId52" o:title=""/>
            </v:shape>
            <v:shape style="position:absolute;left:2435;top:27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6</w:t>
                    </w:r>
                  </w:p>
                </w:txbxContent>
              </v:textbox>
              <w10:wrap type="none"/>
            </v:shape>
            <v:shape style="position:absolute;left:6311;top:481;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5.1</w:t>
                    </w:r>
                  </w:p>
                </w:txbxContent>
              </v:textbox>
              <w10:wrap type="none"/>
            </v:shape>
            <v:shape style="position:absolute;left:8895;top:413;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5.4</w:t>
                    </w:r>
                  </w:p>
                </w:txbxContent>
              </v:textbox>
              <w10:wrap type="none"/>
            </v:shape>
            <v:shape style="position:absolute;left:5018;top:710;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4.1</w:t>
                    </w:r>
                  </w:p>
                </w:txbxContent>
              </v:textbox>
              <w10:wrap type="none"/>
            </v:shape>
            <v:shape style="position:absolute;left:9541;top:75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3.9</w:t>
                    </w:r>
                  </w:p>
                </w:txbxContent>
              </v:textbox>
              <w10:wrap type="none"/>
            </v:shape>
            <v:shape style="position:absolute;left:10187;top:75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3.9</w:t>
                    </w:r>
                  </w:p>
                </w:txbxContent>
              </v:textbox>
              <w10:wrap type="none"/>
            </v:shape>
            <v:shape style="position:absolute;left:5664;top:91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3.2</w:t>
                    </w:r>
                  </w:p>
                </w:txbxContent>
              </v:textbox>
              <w10:wrap type="none"/>
            </v:shape>
            <v:shape style="position:absolute;left:6957;top:893;width:254;height:200" type="#_x0000_t202" filled="false" stroked="false">
              <v:textbox inset="0,0,0,0">
                <w:txbxContent>
                  <w:p>
                    <w:pPr>
                      <w:spacing w:line="199" w:lineRule="exact" w:before="0"/>
                      <w:ind w:left="0" w:right="-20" w:firstLine="0"/>
                      <w:jc w:val="left"/>
                      <w:rPr>
                        <w:rFonts w:ascii="Calibri"/>
                        <w:sz w:val="20"/>
                      </w:rPr>
                    </w:pPr>
                    <w:r>
                      <w:rPr>
                        <w:rFonts w:ascii="Calibri"/>
                        <w:sz w:val="20"/>
                      </w:rPr>
                      <w:t>3.3</w:t>
                    </w:r>
                  </w:p>
                </w:txbxContent>
              </v:textbox>
              <w10:wrap type="none"/>
            </v:shape>
            <v:shape style="position:absolute;left:4372;top:1351;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1.3</w:t>
                    </w:r>
                  </w:p>
                </w:txbxContent>
              </v:textbox>
              <w10:wrap type="none"/>
            </v:shape>
            <v:shape style="position:absolute;left:7603;top:1373;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1.2</w:t>
                    </w:r>
                  </w:p>
                </w:txbxContent>
              </v:textbox>
              <w10:wrap type="none"/>
            </v:shape>
            <v:shape style="position:absolute;left:2041;top:1687;width:1052;height:410" type="#_x0000_t202" filled="false" stroked="false">
              <v:textbox inset="0,0,0,0">
                <w:txbxContent>
                  <w:p>
                    <w:pPr>
                      <w:spacing w:line="186" w:lineRule="exact" w:before="0"/>
                      <w:ind w:left="0" w:right="40" w:firstLine="0"/>
                      <w:jc w:val="right"/>
                      <w:rPr>
                        <w:rFonts w:ascii="Calibri"/>
                        <w:sz w:val="20"/>
                      </w:rPr>
                    </w:pPr>
                    <w:r>
                      <w:rPr>
                        <w:rFonts w:ascii="Calibri"/>
                        <w:sz w:val="20"/>
                      </w:rPr>
                      <w:t>-1</w:t>
                    </w:r>
                  </w:p>
                  <w:p>
                    <w:pPr>
                      <w:tabs>
                        <w:tab w:pos="646" w:val="left" w:leader="none"/>
                      </w:tabs>
                      <w:spacing w:line="223" w:lineRule="exact" w:before="0"/>
                      <w:ind w:left="0" w:right="0" w:firstLine="0"/>
                      <w:jc w:val="right"/>
                      <w:rPr>
                        <w:rFonts w:ascii="Calibri"/>
                        <w:sz w:val="20"/>
                      </w:rPr>
                    </w:pPr>
                    <w:r>
                      <w:rPr>
                        <w:rFonts w:ascii="Calibri"/>
                        <w:sz w:val="20"/>
                      </w:rPr>
                      <w:t>2000</w:t>
                      <w:tab/>
                    </w:r>
                    <w:r>
                      <w:rPr>
                        <w:rFonts w:ascii="Calibri"/>
                        <w:w w:val="95"/>
                        <w:sz w:val="20"/>
                      </w:rPr>
                      <w:t>2001</w:t>
                    </w:r>
                  </w:p>
                </w:txbxContent>
              </v:textbox>
              <w10:wrap type="none"/>
            </v:shape>
            <v:shape style="position:absolute;left:3334;top:1625;width:1053;height:471" type="#_x0000_t202" filled="false" stroked="false">
              <v:textbox inset="0,0,0,0">
                <w:txbxContent>
                  <w:p>
                    <w:pPr>
                      <w:spacing w:line="203" w:lineRule="exact" w:before="0"/>
                      <w:ind w:left="373" w:right="386" w:firstLine="0"/>
                      <w:jc w:val="center"/>
                      <w:rPr>
                        <w:rFonts w:ascii="Calibri"/>
                        <w:sz w:val="20"/>
                      </w:rPr>
                    </w:pPr>
                    <w:r>
                      <w:rPr>
                        <w:rFonts w:ascii="Calibri"/>
                        <w:sz w:val="20"/>
                      </w:rPr>
                      <w:t>0.1</w:t>
                    </w:r>
                  </w:p>
                  <w:p>
                    <w:pPr>
                      <w:tabs>
                        <w:tab w:pos="646" w:val="left" w:leader="none"/>
                      </w:tabs>
                      <w:spacing w:line="240" w:lineRule="exact" w:before="27"/>
                      <w:ind w:left="-1" w:right="0" w:firstLine="0"/>
                      <w:jc w:val="center"/>
                      <w:rPr>
                        <w:rFonts w:ascii="Calibri"/>
                        <w:sz w:val="20"/>
                      </w:rPr>
                    </w:pPr>
                    <w:r>
                      <w:rPr>
                        <w:rFonts w:ascii="Calibri"/>
                        <w:sz w:val="20"/>
                      </w:rPr>
                      <w:t>2002</w:t>
                      <w:tab/>
                      <w:t>2003</w:t>
                    </w:r>
                  </w:p>
                </w:txbxContent>
              </v:textbox>
              <w10:wrap type="none"/>
            </v:shape>
            <v:shape style="position:absolute;left:4626;top:1897;width:5575;height:200" type="#_x0000_t202" filled="false" stroked="false">
              <v:textbox inset="0,0,0,0">
                <w:txbxContent>
                  <w:p>
                    <w:pPr>
                      <w:tabs>
                        <w:tab w:pos="646" w:val="left" w:leader="none"/>
                        <w:tab w:pos="1292" w:val="left" w:leader="none"/>
                        <w:tab w:pos="1938" w:val="left" w:leader="none"/>
                        <w:tab w:pos="2584" w:val="left" w:leader="none"/>
                        <w:tab w:pos="3230" w:val="left" w:leader="none"/>
                        <w:tab w:pos="3876" w:val="left" w:leader="none"/>
                        <w:tab w:pos="4522" w:val="left" w:leader="none"/>
                        <w:tab w:pos="5168" w:val="left" w:leader="none"/>
                      </w:tabs>
                      <w:spacing w:line="199" w:lineRule="exact" w:before="0"/>
                      <w:ind w:left="0" w:right="0" w:firstLine="0"/>
                      <w:jc w:val="left"/>
                      <w:rPr>
                        <w:rFonts w:ascii="Calibri"/>
                        <w:sz w:val="20"/>
                      </w:rPr>
                    </w:pPr>
                    <w:r>
                      <w:rPr>
                        <w:rFonts w:ascii="Calibri"/>
                        <w:sz w:val="20"/>
                      </w:rPr>
                      <w:t>2004</w:t>
                      <w:tab/>
                      <w:t>2005</w:t>
                      <w:tab/>
                      <w:t>2006</w:t>
                      <w:tab/>
                      <w:t>2007</w:t>
                      <w:tab/>
                      <w:t>2008</w:t>
                      <w:tab/>
                      <w:t>2009</w:t>
                      <w:tab/>
                      <w:t>2010</w:t>
                      <w:tab/>
                      <w:t>2011</w:t>
                      <w:tab/>
                      <w:t>2012</w:t>
                    </w:r>
                  </w:p>
                </w:txbxContent>
              </v:textbox>
              <w10:wrap type="none"/>
            </v:shape>
            <v:shape style="position:absolute;left:8251;top:3043;width:313;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-6.1</w:t>
                    </w:r>
                  </w:p>
                </w:txbxContent>
              </v:textbox>
              <w10:wrap type="none"/>
            </v:shape>
            <w10:wrap type="topAndBottom"/>
          </v:group>
        </w:pict>
      </w:r>
    </w:p>
    <w:p>
      <w:pPr>
        <w:pStyle w:val="BodyText"/>
        <w:rPr>
          <w:b/>
        </w:rPr>
      </w:pPr>
    </w:p>
    <w:p>
      <w:pPr>
        <w:pStyle w:val="BodyText"/>
        <w:spacing w:before="7"/>
        <w:rPr>
          <w:b/>
          <w:sz w:val="19"/>
        </w:rPr>
      </w:pPr>
    </w:p>
    <w:p>
      <w:pPr>
        <w:spacing w:before="0"/>
        <w:ind w:left="106" w:right="115" w:firstLine="0"/>
        <w:jc w:val="center"/>
        <w:rPr>
          <w:sz w:val="20"/>
        </w:rPr>
      </w:pPr>
      <w:r>
        <w:rPr>
          <w:sz w:val="20"/>
        </w:rPr>
        <w:t>Fuente: elaboración propia con base en los datos de Instituto Nacional de Estadística y Geografía (2012); Centro de Economía Internacional (CEI, 2012); Index Mundi, (2012);  Banco de México (2012).</w:t>
      </w:r>
    </w:p>
    <w:p>
      <w:pPr>
        <w:pStyle w:val="BodyText"/>
        <w:rPr>
          <w:sz w:val="20"/>
        </w:rPr>
      </w:pPr>
    </w:p>
    <w:p>
      <w:pPr>
        <w:pStyle w:val="BodyText"/>
        <w:rPr>
          <w:sz w:val="16"/>
        </w:rPr>
      </w:pPr>
    </w:p>
    <w:p>
      <w:pPr>
        <w:pStyle w:val="BodyText"/>
        <w:spacing w:line="360" w:lineRule="auto"/>
        <w:ind w:left="122" w:right="118"/>
        <w:jc w:val="both"/>
      </w:pPr>
      <w:r>
        <w:rPr/>
        <w:t>Derivado de esta crisis se ha presentado un fenómeno de incremento en el desempleo en general y en particular en el de los jóvenes, incluyendo a los egresados de las  universidades, sin dejar de lado el agravamiento y disminución de las condiciones laborales de los profesionistas </w:t>
      </w:r>
      <w:r>
        <w:rPr>
          <w:spacing w:val="-3"/>
        </w:rPr>
        <w:t>ya </w:t>
      </w:r>
      <w:r>
        <w:rPr/>
        <w:t>empleados (Salgado y Miranda,</w:t>
      </w:r>
      <w:r>
        <w:rPr>
          <w:spacing w:val="-1"/>
        </w:rPr>
        <w:t> </w:t>
      </w:r>
      <w:r>
        <w:rPr/>
        <w:t>2007).</w:t>
      </w:r>
    </w:p>
    <w:p>
      <w:pPr>
        <w:pStyle w:val="BodyText"/>
      </w:pPr>
    </w:p>
    <w:p>
      <w:pPr>
        <w:pStyle w:val="Heading3"/>
        <w:numPr>
          <w:ilvl w:val="2"/>
          <w:numId w:val="68"/>
        </w:numPr>
        <w:tabs>
          <w:tab w:pos="723" w:val="left" w:leader="none"/>
        </w:tabs>
        <w:spacing w:line="240" w:lineRule="auto" w:before="215" w:after="0"/>
        <w:ind w:left="722" w:right="0" w:hanging="600"/>
        <w:jc w:val="both"/>
      </w:pPr>
      <w:bookmarkStart w:name="_bookmark50" w:id="91"/>
      <w:bookmarkEnd w:id="91"/>
      <w:r>
        <w:rPr>
          <w:b w:val="0"/>
        </w:rPr>
      </w:r>
      <w:bookmarkStart w:name="_bookmark50" w:id="92"/>
      <w:bookmarkEnd w:id="92"/>
      <w:r>
        <w:rPr/>
        <w:t>T</w:t>
      </w:r>
      <w:r>
        <w:rPr/>
        <w:t>asa de</w:t>
      </w:r>
      <w:r>
        <w:rPr>
          <w:spacing w:val="-7"/>
        </w:rPr>
        <w:t> </w:t>
      </w:r>
      <w:r>
        <w:rPr/>
        <w:t>desempleo</w:t>
      </w:r>
    </w:p>
    <w:p>
      <w:pPr>
        <w:pStyle w:val="BodyText"/>
        <w:rPr>
          <w:b/>
        </w:rPr>
      </w:pPr>
    </w:p>
    <w:p>
      <w:pPr>
        <w:pStyle w:val="BodyText"/>
        <w:spacing w:line="360" w:lineRule="auto" w:before="175"/>
        <w:ind w:left="122" w:right="118"/>
        <w:jc w:val="both"/>
      </w:pPr>
      <w:r>
        <w:rPr/>
        <w:t>La OCDE (2012) afirma que México, en materia de desempleo aún no alcanza los niveles pre-crisis, aún así esto se refleja en que el desempleo ha aumentado afectando al mercado de trabajo, y no se han podido recuperar el nivel de empleo que se tenía en los años inmediatos anteriores a la crisis, lo cual se puede apreciar en los principales indicadores de empleo, desempleo y ocupación internos del</w:t>
      </w:r>
      <w:r>
        <w:rPr>
          <w:spacing w:val="-12"/>
        </w:rPr>
        <w:t> </w:t>
      </w:r>
      <w:r>
        <w:rPr/>
        <w:t>país.</w:t>
      </w:r>
    </w:p>
    <w:p>
      <w:pPr>
        <w:pStyle w:val="BodyText"/>
      </w:pPr>
    </w:p>
    <w:p>
      <w:pPr>
        <w:pStyle w:val="BodyText"/>
        <w:spacing w:line="328" w:lineRule="auto" w:before="143"/>
        <w:ind w:left="122" w:right="117"/>
        <w:jc w:val="both"/>
        <w:rPr>
          <w:sz w:val="16"/>
        </w:rPr>
      </w:pPr>
      <w:r>
        <w:rPr/>
        <w:t>Ante la crisis que inició en 2008 y la economía en desequilibrio, es visible el aumento del desempleo en el país en donde desde 2007 hasta 2011 se ha venido dando un  crecimiento</w:t>
      </w:r>
      <w:r>
        <w:rPr>
          <w:position w:val="11"/>
          <w:sz w:val="16"/>
        </w:rPr>
        <w:t>21</w:t>
      </w:r>
    </w:p>
    <w:p>
      <w:pPr>
        <w:pStyle w:val="BodyText"/>
        <w:rPr>
          <w:sz w:val="20"/>
        </w:rPr>
      </w:pPr>
    </w:p>
    <w:p>
      <w:pPr>
        <w:pStyle w:val="BodyText"/>
        <w:spacing w:before="11"/>
        <w:rPr>
          <w:sz w:val="12"/>
        </w:rPr>
      </w:pPr>
      <w:r>
        <w:rPr/>
        <w:pict>
          <v:line style="position:absolute;mso-position-horizontal-relative:page;mso-position-vertical-relative:paragraph;z-index:3496;mso-wrap-distance-left:0;mso-wrap-distance-right:0" from="85.103996pt,9.792176pt" to="229.123996pt,9.792176pt" stroked="true" strokeweight=".71997pt" strokecolor="#000000">
            <w10:wrap type="topAndBottom"/>
          </v:line>
        </w:pict>
      </w:r>
    </w:p>
    <w:p>
      <w:pPr>
        <w:spacing w:line="242" w:lineRule="auto" w:before="39"/>
        <w:ind w:left="122" w:right="121" w:firstLine="0"/>
        <w:jc w:val="both"/>
        <w:rPr>
          <w:sz w:val="20"/>
        </w:rPr>
      </w:pPr>
      <w:r>
        <w:rPr>
          <w:rFonts w:ascii="Calibri" w:hAnsi="Calibri"/>
          <w:position w:val="10"/>
          <w:sz w:val="13"/>
        </w:rPr>
        <w:t>21 </w:t>
      </w:r>
      <w:r>
        <w:rPr>
          <w:sz w:val="20"/>
        </w:rPr>
        <w:t>El crecimiento económico es el ritmo al que se incrementa la producción de bienes y servicios de una economía, y por tanto su renta, durante un período determinado. Este período puede ser muy corto (un trimestre o un año); pero la teoría del crecimiento económico se ocupa principalmente de analizar los factores que influyen en el ritmo al que crece una economía por término medio durante períodos más largos. De esta</w:t>
      </w:r>
    </w:p>
    <w:p>
      <w:pPr>
        <w:spacing w:after="0" w:line="242" w:lineRule="auto"/>
        <w:jc w:val="both"/>
        <w:rPr>
          <w:sz w:val="20"/>
        </w:rPr>
        <w:sectPr>
          <w:pgSz w:w="12240" w:h="15840"/>
          <w:pgMar w:header="0" w:footer="1003" w:top="1360" w:bottom="1200" w:left="1580" w:right="1580"/>
        </w:sectPr>
      </w:pPr>
    </w:p>
    <w:p>
      <w:pPr>
        <w:pStyle w:val="BodyText"/>
        <w:spacing w:line="350" w:lineRule="auto" w:before="50"/>
        <w:ind w:left="122" w:right="116"/>
        <w:jc w:val="both"/>
      </w:pPr>
      <w:r>
        <w:rPr/>
        <w:t>considerable. Analizando el comportamiento de esta variable de 2008 a 2009 se observa un aumento 37.5% de un año al otro, esta tendencia en la cifras de desempleo se ha mantenido a la alza (gráfica 4.2), situándose para el año 2011 en 5.2% (CEI, 2012), que en comparación con el año 2000 representa un incremento</w:t>
      </w:r>
      <w:r>
        <w:rPr>
          <w:position w:val="11"/>
          <w:sz w:val="16"/>
        </w:rPr>
        <w:t>22  </w:t>
      </w:r>
      <w:r>
        <w:rPr/>
        <w:t>del 136% (Gráfica, 4.2).</w:t>
      </w:r>
    </w:p>
    <w:p>
      <w:pPr>
        <w:pStyle w:val="BodyText"/>
        <w:spacing w:before="2"/>
        <w:rPr>
          <w:sz w:val="36"/>
        </w:rPr>
      </w:pPr>
    </w:p>
    <w:p>
      <w:pPr>
        <w:pStyle w:val="Heading3"/>
        <w:spacing w:before="0"/>
        <w:ind w:left="1127" w:right="262"/>
        <w:jc w:val="left"/>
      </w:pPr>
      <w:r>
        <w:rPr/>
        <w:t>Gráfica 4.2. Tasa de desempleo en México, periodo de 2000 al 2012</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0"/>
        </w:rPr>
      </w:pPr>
    </w:p>
    <w:p>
      <w:pPr>
        <w:spacing w:before="0"/>
        <w:ind w:left="0" w:right="997" w:firstLine="0"/>
        <w:jc w:val="right"/>
        <w:rPr>
          <w:rFonts w:ascii="Calibri"/>
          <w:sz w:val="20"/>
        </w:rPr>
      </w:pPr>
      <w:r>
        <w:rPr/>
        <w:pict>
          <v:group style="position:absolute;margin-left:146.125pt;margin-top:-28.888489pt;width:319.75pt;height:109.1pt;mso-position-horizontal-relative:page;mso-position-vertical-relative:paragraph;z-index:3832" coordorigin="2923,-578" coordsize="6395,2182">
            <v:shape style="position:absolute;left:3000;top:-497;width:6240;height:1983" coordorigin="3000,-497" coordsize="6240,1983" path="m3000,1485l3521,1305,4039,1185,4560,883,5081,583,5599,583,6120,643,6641,583,7159,403,7680,-497,8201,-437,8719,-317,9240,122e" filled="false" stroked="true" strokeweight="2.16pt" strokecolor="#497dba">
              <v:path arrowok="t"/>
            </v:shape>
            <v:shape style="position:absolute;left:2923;top:1406;width:154;height:154" type="#_x0000_t75" stroked="false">
              <v:imagedata r:id="rId53" o:title=""/>
            </v:shape>
            <v:shape style="position:absolute;left:3441;top:1226;width:154;height:154" type="#_x0000_t75" stroked="false">
              <v:imagedata r:id="rId53" o:title=""/>
            </v:shape>
            <v:shape style="position:absolute;left:3962;top:1106;width:154;height:154" type="#_x0000_t75" stroked="false">
              <v:imagedata r:id="rId52" o:title=""/>
            </v:shape>
            <v:shape style="position:absolute;left:4483;top:806;width:154;height:154" type="#_x0000_t75" stroked="false">
              <v:imagedata r:id="rId53" o:title=""/>
            </v:shape>
            <v:shape style="position:absolute;left:5001;top:506;width:154;height:154" type="#_x0000_t75" stroked="false">
              <v:imagedata r:id="rId53" o:title=""/>
            </v:shape>
            <v:shape style="position:absolute;left:5522;top:506;width:154;height:154" type="#_x0000_t75" stroked="false">
              <v:imagedata r:id="rId52" o:title=""/>
            </v:shape>
            <v:shape style="position:absolute;left:6043;top:566;width:154;height:154" type="#_x0000_t75" stroked="false">
              <v:imagedata r:id="rId53" o:title=""/>
            </v:shape>
            <v:shape style="position:absolute;left:6561;top:506;width:154;height:154" type="#_x0000_t75" stroked="false">
              <v:imagedata r:id="rId53" o:title=""/>
            </v:shape>
            <v:shape style="position:absolute;left:7082;top:326;width:154;height:154" type="#_x0000_t75" stroked="false">
              <v:imagedata r:id="rId52" o:title=""/>
            </v:shape>
            <v:shape style="position:absolute;left:7603;top:-576;width:154;height:154" type="#_x0000_t75" stroked="false">
              <v:imagedata r:id="rId54" o:title=""/>
            </v:shape>
            <v:shape style="position:absolute;left:8121;top:-516;width:154;height:154" type="#_x0000_t75" stroked="false">
              <v:imagedata r:id="rId54" o:title=""/>
            </v:shape>
            <v:shape style="position:absolute;left:8642;top:-396;width:154;height:154" type="#_x0000_t75" stroked="false">
              <v:imagedata r:id="rId55" o:title=""/>
            </v:shape>
            <v:shape style="position:absolute;left:9163;top:43;width:154;height:154" type="#_x0000_t75" stroked="false">
              <v:imagedata r:id="rId53" o:title=""/>
            </v:shape>
            <v:shape style="position:absolute;left:7871;top:-578;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5.5</w:t>
                    </w:r>
                  </w:p>
                </w:txbxContent>
              </v:textbox>
              <w10:wrap type="none"/>
            </v:shape>
            <v:shape style="position:absolute;left:8391;top:-518;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5.4</w:t>
                    </w:r>
                  </w:p>
                </w:txbxContent>
              </v:textbox>
              <w10:wrap type="none"/>
            </v:shape>
            <v:shape style="position:absolute;left:8911;top:-398;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5.2</w:t>
                    </w:r>
                  </w:p>
                </w:txbxContent>
              </v:textbox>
              <w10:wrap type="none"/>
            </v:shape>
            <v:shape style="position:absolute;left:7352;top:323;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4</w:t>
                    </w:r>
                  </w:p>
                </w:txbxContent>
              </v:textbox>
              <w10:wrap type="none"/>
            </v:shape>
            <v:shape style="position:absolute;left:5270;top:504;width:773;height:200" type="#_x0000_t202" filled="false" stroked="false">
              <v:textbox inset="0,0,0,0">
                <w:txbxContent>
                  <w:p>
                    <w:pPr>
                      <w:tabs>
                        <w:tab w:pos="520" w:val="left" w:leader="none"/>
                      </w:tabs>
                      <w:spacing w:line="199" w:lineRule="exact" w:before="0"/>
                      <w:ind w:left="0" w:right="0" w:firstLine="0"/>
                      <w:jc w:val="left"/>
                      <w:rPr>
                        <w:rFonts w:ascii="Calibri"/>
                        <w:sz w:val="20"/>
                      </w:rPr>
                    </w:pPr>
                    <w:r>
                      <w:rPr>
                        <w:rFonts w:ascii="Calibri"/>
                        <w:sz w:val="20"/>
                      </w:rPr>
                      <w:t>3.7</w:t>
                      <w:tab/>
                    </w:r>
                    <w:r>
                      <w:rPr>
                        <w:rFonts w:ascii="Calibri"/>
                        <w:w w:val="95"/>
                        <w:sz w:val="20"/>
                      </w:rPr>
                      <w:t>3.7</w:t>
                    </w:r>
                  </w:p>
                </w:txbxContent>
              </v:textbox>
              <w10:wrap type="none"/>
            </v:shape>
            <v:shape style="position:absolute;left:6311;top:564;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3.6</w:t>
                    </w:r>
                  </w:p>
                </w:txbxContent>
              </v:textbox>
              <w10:wrap type="none"/>
            </v:shape>
            <v:shape style="position:absolute;left:6831;top:504;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3.7</w:t>
                    </w:r>
                  </w:p>
                </w:txbxContent>
              </v:textbox>
              <w10:wrap type="none"/>
            </v:shape>
            <v:shape style="position:absolute;left:4751;top:804;width:254;height:200" type="#_x0000_t202" filled="false" stroked="false">
              <v:textbox inset="0,0,0,0">
                <w:txbxContent>
                  <w:p>
                    <w:pPr>
                      <w:spacing w:line="199" w:lineRule="exact" w:before="0"/>
                      <w:ind w:left="0" w:right="-20" w:firstLine="0"/>
                      <w:jc w:val="left"/>
                      <w:rPr>
                        <w:rFonts w:ascii="Calibri"/>
                        <w:sz w:val="20"/>
                      </w:rPr>
                    </w:pPr>
                    <w:r>
                      <w:rPr>
                        <w:rFonts w:ascii="Calibri"/>
                        <w:sz w:val="20"/>
                      </w:rPr>
                      <w:t>3.2</w:t>
                    </w:r>
                  </w:p>
                </w:txbxContent>
              </v:textbox>
              <w10:wrap type="none"/>
            </v:shape>
            <v:shape style="position:absolute;left:3710;top:1224;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2.5</w:t>
                    </w:r>
                  </w:p>
                </w:txbxContent>
              </v:textbox>
              <w10:wrap type="none"/>
            </v:shape>
            <v:shape style="position:absolute;left:4230;top:1104;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2.7</w:t>
                    </w:r>
                  </w:p>
                </w:txbxContent>
              </v:textbox>
              <w10:wrap type="none"/>
            </v:shape>
            <v:shape style="position:absolute;left:3190;top:1405;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2.2</w:t>
                    </w:r>
                  </w:p>
                </w:txbxContent>
              </v:textbox>
              <w10:wrap type="none"/>
            </v:shape>
            <w10:wrap type="none"/>
          </v:group>
        </w:pict>
      </w:r>
      <w:r>
        <w:rPr>
          <w:rFonts w:ascii="Calibri"/>
          <w:w w:val="95"/>
          <w:sz w:val="20"/>
        </w:rPr>
        <w:t>4.5</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6"/>
        </w:rPr>
      </w:pPr>
      <w:r>
        <w:rPr/>
        <w:pict>
          <v:line style="position:absolute;mso-position-horizontal-relative:page;mso-position-vertical-relative:paragraph;z-index:3520;mso-wrap-distance-left:0;mso-wrap-distance-right:0" from="137.039993pt,18.201199pt" to="474.959993pt,18.201199pt" stroked="true" strokeweight=".72pt" strokecolor="#858585">
            <w10:wrap type="topAndBottom"/>
          </v:line>
        </w:pict>
      </w:r>
    </w:p>
    <w:p>
      <w:pPr>
        <w:spacing w:before="92"/>
        <w:ind w:left="1218" w:right="262" w:firstLine="0"/>
        <w:jc w:val="left"/>
        <w:rPr>
          <w:rFonts w:ascii="Calibri"/>
          <w:sz w:val="20"/>
        </w:rPr>
      </w:pPr>
      <w:r>
        <w:rPr>
          <w:rFonts w:ascii="Calibri"/>
          <w:sz w:val="20"/>
        </w:rPr>
        <w:t>2000  2001  2002  2003  2004  2005  2006  2007  2008  2009  2010  2011        2012</w:t>
      </w:r>
    </w:p>
    <w:p>
      <w:pPr>
        <w:pStyle w:val="BodyText"/>
        <w:spacing w:before="5"/>
        <w:rPr>
          <w:rFonts w:ascii="Calibri"/>
          <w:sz w:val="15"/>
        </w:rPr>
      </w:pPr>
    </w:p>
    <w:p>
      <w:pPr>
        <w:spacing w:before="74"/>
        <w:ind w:left="674" w:right="322" w:hanging="339"/>
        <w:jc w:val="left"/>
        <w:rPr>
          <w:sz w:val="20"/>
        </w:rPr>
      </w:pPr>
      <w:r>
        <w:rPr>
          <w:sz w:val="20"/>
        </w:rPr>
        <w:t>Fuente: elaboración propia con base en los datos de Instituto Nacional de Estadística y Geografía (2012); Centro de Economía Internacional (CEI, 2012); Index Mundi, (2012);  Banco de México (2012).</w:t>
      </w:r>
    </w:p>
    <w:p>
      <w:pPr>
        <w:pStyle w:val="BodyText"/>
        <w:rPr>
          <w:sz w:val="20"/>
        </w:rPr>
      </w:pPr>
    </w:p>
    <w:p>
      <w:pPr>
        <w:pStyle w:val="BodyText"/>
        <w:rPr>
          <w:sz w:val="20"/>
        </w:rPr>
      </w:pPr>
    </w:p>
    <w:p>
      <w:pPr>
        <w:pStyle w:val="BodyText"/>
        <w:spacing w:before="10"/>
        <w:rPr>
          <w:sz w:val="22"/>
        </w:rPr>
      </w:pPr>
    </w:p>
    <w:p>
      <w:pPr>
        <w:pStyle w:val="BodyText"/>
        <w:spacing w:line="360" w:lineRule="auto" w:before="1"/>
        <w:ind w:left="122" w:right="114"/>
        <w:jc w:val="both"/>
      </w:pPr>
      <w:r>
        <w:rPr/>
        <w:t>Desde esta perspectiva existe preocupación de las repercusiones de esta crisis de manera general en el empleo y en particular en el proceso de transición al mercado de trabajo de  los profesionistas, quienes han visto amenazada su inserción al mercado de trabajo, disminuidas sus oportunidades y precarizado sus salarios (Salgado y Miranda,</w:t>
      </w:r>
      <w:r>
        <w:rPr>
          <w:spacing w:val="-11"/>
        </w:rPr>
        <w:t> </w:t>
      </w:r>
      <w:r>
        <w:rPr/>
        <w:t>2007).</w:t>
      </w:r>
    </w:p>
    <w:p>
      <w:pPr>
        <w:pStyle w:val="BodyText"/>
      </w:pPr>
    </w:p>
    <w:p>
      <w:pPr>
        <w:pStyle w:val="BodyText"/>
        <w:spacing w:line="360" w:lineRule="auto" w:before="143"/>
        <w:ind w:left="122" w:right="119"/>
        <w:jc w:val="both"/>
      </w:pPr>
      <w:r>
        <w:rPr/>
        <w:t>La OCDE (2012) explica que este incremento del desempleo en el mercado juvenil se derivada del hecho que los adultos optaron por un trabajo informal y también a la falta de un programa efectivo de apoyo y ayuda al desempleo en México. De acuerdo con la Organización Internacional del Trabajo (OIT) (2013)         </w:t>
      </w:r>
      <w:r>
        <w:rPr>
          <w:spacing w:val="39"/>
        </w:rPr>
        <w:t> </w:t>
      </w:r>
      <w:r>
        <w:rPr/>
        <w:t>6 de cada 10 jóvenes en edad de</w:t>
      </w:r>
    </w:p>
    <w:p>
      <w:pPr>
        <w:pStyle w:val="BodyText"/>
        <w:spacing w:before="3"/>
        <w:rPr>
          <w:sz w:val="27"/>
        </w:rPr>
      </w:pPr>
      <w:r>
        <w:rPr/>
        <w:pict>
          <v:line style="position:absolute;mso-position-horizontal-relative:page;mso-position-vertical-relative:paragraph;z-index:3544;mso-wrap-distance-left:0;mso-wrap-distance-right:0" from="85.103996pt,17.999784pt" to="527.133996pt,17.999784pt" stroked="true" strokeweight=".71997pt" strokecolor="#000000">
            <w10:wrap type="topAndBottom"/>
          </v:line>
        </w:pict>
      </w:r>
    </w:p>
    <w:p>
      <w:pPr>
        <w:spacing w:before="67"/>
        <w:ind w:left="122" w:right="0" w:firstLine="0"/>
        <w:jc w:val="left"/>
        <w:rPr>
          <w:sz w:val="20"/>
        </w:rPr>
      </w:pPr>
      <w:r>
        <w:rPr>
          <w:sz w:val="20"/>
        </w:rPr>
        <w:t>forma, el énfasis se pone más en la expansión de la capacidad productiva de un país que en sus fluctuaciones a corto plazo, de las que se ocupa la teoría del ciclo económico (Uxó, 2014)</w:t>
      </w:r>
    </w:p>
    <w:p>
      <w:pPr>
        <w:spacing w:line="230" w:lineRule="exact" w:before="0"/>
        <w:ind w:left="122" w:right="262" w:firstLine="0"/>
        <w:jc w:val="left"/>
        <w:rPr>
          <w:sz w:val="20"/>
        </w:rPr>
      </w:pPr>
      <w:r>
        <w:rPr>
          <w:position w:val="9"/>
          <w:sz w:val="13"/>
        </w:rPr>
        <w:t>22 </w:t>
      </w:r>
      <w:r>
        <w:rPr>
          <w:sz w:val="20"/>
        </w:rPr>
        <w:t>Incremento: crecimiento en tamaño, en cantidad, en calidad o en intensidad (The free  dictionary, 2014)</w:t>
      </w:r>
    </w:p>
    <w:p>
      <w:pPr>
        <w:spacing w:after="0" w:line="230" w:lineRule="exact"/>
        <w:jc w:val="left"/>
        <w:rPr>
          <w:sz w:val="20"/>
        </w:rPr>
        <w:sectPr>
          <w:pgSz w:w="12240" w:h="15840"/>
          <w:pgMar w:header="0" w:footer="1003" w:top="1360" w:bottom="1200" w:left="1580" w:right="1580"/>
        </w:sectPr>
      </w:pPr>
    </w:p>
    <w:p>
      <w:pPr>
        <w:pStyle w:val="BodyText"/>
        <w:spacing w:line="360" w:lineRule="auto" w:before="50"/>
        <w:ind w:left="122" w:right="177"/>
        <w:jc w:val="both"/>
      </w:pPr>
      <w:r>
        <w:rPr/>
        <w:t>trabajar en el país optaron por un empleo en el sector informal. Sin embargo, no hay que dejar de lado que el problema de la inserción tiene también que ser analizado desde el proceso de formación universitario. El tema educación, específicamente el sector educativo en México, también se ha visto afectado por la crisis, enfatizándose aún más los problemas ya existentes, como es el caso de la calidad, cobertura y financiamiento en la mayoría de los niveles educativos.</w:t>
      </w:r>
    </w:p>
    <w:p>
      <w:pPr>
        <w:pStyle w:val="BodyText"/>
      </w:pPr>
    </w:p>
    <w:p>
      <w:pPr>
        <w:pStyle w:val="BodyText"/>
        <w:spacing w:line="360" w:lineRule="auto" w:before="143"/>
        <w:ind w:left="122" w:right="178"/>
        <w:jc w:val="both"/>
      </w:pPr>
      <w:r>
        <w:rPr/>
        <w:t>En la siguiente gráfica (4.3) se presenta el desglose por adultos y jóvenes, en donde se muestra que el desempleo juvenil desde 2005 hasta 2012 ha sido mayor en comparación  con el de los adultos para el mismo</w:t>
      </w:r>
      <w:r>
        <w:rPr>
          <w:spacing w:val="-5"/>
        </w:rPr>
        <w:t> </w:t>
      </w:r>
      <w:r>
        <w:rPr/>
        <w:t>periodo.</w:t>
      </w:r>
    </w:p>
    <w:p>
      <w:pPr>
        <w:pStyle w:val="BodyText"/>
      </w:pPr>
    </w:p>
    <w:p>
      <w:pPr>
        <w:pStyle w:val="Heading3"/>
        <w:spacing w:before="148"/>
        <w:ind w:left="2171" w:right="2229"/>
        <w:jc w:val="center"/>
      </w:pPr>
      <w:r>
        <w:rPr/>
        <w:drawing>
          <wp:anchor distT="0" distB="0" distL="0" distR="0" allowOverlap="1" layoutInCell="1" locked="0" behindDoc="0" simplePos="0" relativeHeight="3856">
            <wp:simplePos x="0" y="0"/>
            <wp:positionH relativeFrom="page">
              <wp:posOffset>1099185</wp:posOffset>
            </wp:positionH>
            <wp:positionV relativeFrom="paragraph">
              <wp:posOffset>356401</wp:posOffset>
            </wp:positionV>
            <wp:extent cx="5603144" cy="2477738"/>
            <wp:effectExtent l="0" t="0" r="0" b="0"/>
            <wp:wrapTopAndBottom/>
            <wp:docPr id="23" name="image36.jpeg" descr=""/>
            <wp:cNvGraphicFramePr>
              <a:graphicFrameLocks noChangeAspect="1"/>
            </wp:cNvGraphicFramePr>
            <a:graphic>
              <a:graphicData uri="http://schemas.openxmlformats.org/drawingml/2006/picture">
                <pic:pic>
                  <pic:nvPicPr>
                    <pic:cNvPr id="24" name="image36.jpeg"/>
                    <pic:cNvPicPr/>
                  </pic:nvPicPr>
                  <pic:blipFill>
                    <a:blip r:embed="rId71" cstate="print"/>
                    <a:stretch>
                      <a:fillRect/>
                    </a:stretch>
                  </pic:blipFill>
                  <pic:spPr>
                    <a:xfrm>
                      <a:off x="0" y="0"/>
                      <a:ext cx="5603144" cy="2477738"/>
                    </a:xfrm>
                    <a:prstGeom prst="rect">
                      <a:avLst/>
                    </a:prstGeom>
                  </pic:spPr>
                </pic:pic>
              </a:graphicData>
            </a:graphic>
          </wp:anchor>
        </w:drawing>
      </w:r>
      <w:r>
        <w:rPr/>
        <w:t>Gráfica 4.3. Desempleo desglosado 2005-2012.</w:t>
      </w:r>
    </w:p>
    <w:p>
      <w:pPr>
        <w:spacing w:before="124"/>
        <w:ind w:left="2171" w:right="2228" w:firstLine="0"/>
        <w:jc w:val="center"/>
        <w:rPr>
          <w:sz w:val="20"/>
        </w:rPr>
      </w:pPr>
      <w:r>
        <w:rPr>
          <w:sz w:val="20"/>
        </w:rPr>
        <w:t>Fuente: INEGI, 2012</w:t>
      </w:r>
    </w:p>
    <w:p>
      <w:pPr>
        <w:pStyle w:val="BodyText"/>
        <w:rPr>
          <w:sz w:val="20"/>
        </w:rPr>
      </w:pPr>
    </w:p>
    <w:p>
      <w:pPr>
        <w:pStyle w:val="BodyText"/>
        <w:rPr>
          <w:sz w:val="20"/>
        </w:rPr>
      </w:pPr>
    </w:p>
    <w:p>
      <w:pPr>
        <w:pStyle w:val="Heading3"/>
        <w:spacing w:before="141"/>
        <w:ind w:left="122"/>
      </w:pPr>
      <w:bookmarkStart w:name="_bookmark51" w:id="93"/>
      <w:bookmarkEnd w:id="93"/>
      <w:r>
        <w:rPr>
          <w:b w:val="0"/>
        </w:rPr>
      </w:r>
      <w:r>
        <w:rPr/>
        <w:t>4.1.3. Tasa de desocupación</w:t>
      </w:r>
    </w:p>
    <w:p>
      <w:pPr>
        <w:pStyle w:val="BodyText"/>
        <w:spacing w:before="1"/>
        <w:rPr>
          <w:b/>
          <w:sz w:val="30"/>
        </w:rPr>
      </w:pPr>
    </w:p>
    <w:p>
      <w:pPr>
        <w:pStyle w:val="BodyText"/>
        <w:spacing w:line="345" w:lineRule="auto"/>
        <w:ind w:left="122" w:right="174"/>
        <w:jc w:val="both"/>
      </w:pPr>
      <w:r>
        <w:rPr/>
        <w:pict>
          <v:line style="position:absolute;mso-position-horizontal-relative:page;mso-position-vertical-relative:paragraph;z-index:-398752" from="183.259995pt,87.523132pt" to="186.019995pt,87.523132pt" stroked="true" strokeweight=".47998pt" strokecolor="#000000">
            <w10:wrap type="none"/>
          </v:line>
        </w:pict>
      </w:r>
      <w:r>
        <w:rPr/>
        <w:t>En estos últimos años el país ha mostrado otro problema relacionado con la clara disminución del empleo: el aumento de la tasa de subocupación</w:t>
      </w:r>
      <w:r>
        <w:rPr>
          <w:position w:val="11"/>
          <w:sz w:val="16"/>
        </w:rPr>
        <w:t>23</w:t>
      </w:r>
      <w:r>
        <w:rPr/>
        <w:t>. A partir de 2008 existe una tendencia a la alza en la subocupación (gráfica 4.4).</w:t>
      </w:r>
    </w:p>
    <w:p>
      <w:pPr>
        <w:pStyle w:val="BodyText"/>
        <w:spacing w:before="10"/>
        <w:rPr>
          <w:sz w:val="11"/>
        </w:rPr>
      </w:pPr>
      <w:r>
        <w:rPr/>
        <w:pict>
          <v:line style="position:absolute;mso-position-horizontal-relative:page;mso-position-vertical-relative:paragraph;z-index:3880;mso-wrap-distance-left:0;mso-wrap-distance-right:0" from="85.103996pt,9.19713pt" to="229.123996pt,9.19713pt" stroked="true" strokeweight=".71997pt" strokecolor="#000000">
            <w10:wrap type="topAndBottom"/>
          </v:line>
        </w:pict>
      </w:r>
    </w:p>
    <w:p>
      <w:pPr>
        <w:spacing w:line="283" w:lineRule="auto" w:before="49"/>
        <w:ind w:left="122" w:right="186" w:firstLine="0"/>
        <w:jc w:val="both"/>
        <w:rPr>
          <w:sz w:val="20"/>
        </w:rPr>
      </w:pPr>
      <w:r>
        <w:rPr>
          <w:rFonts w:ascii="Calibri" w:hAnsi="Calibri"/>
          <w:position w:val="10"/>
          <w:sz w:val="14"/>
        </w:rPr>
        <w:t>23 </w:t>
      </w:r>
      <w:r>
        <w:rPr>
          <w:sz w:val="20"/>
        </w:rPr>
        <w:t>Tasa de subocupación de acuerdo con el INEGI (2012) se define como: porcentaje de la población ocupada que tiene la necesidad y disponibilidad de ofertar más tiempo de trabajo de lo que su ocupación actual le permite.</w:t>
      </w:r>
    </w:p>
    <w:p>
      <w:pPr>
        <w:spacing w:after="0" w:line="283" w:lineRule="auto"/>
        <w:jc w:val="both"/>
        <w:rPr>
          <w:sz w:val="20"/>
        </w:rPr>
        <w:sectPr>
          <w:pgSz w:w="12240" w:h="15840"/>
          <w:pgMar w:header="0" w:footer="1003" w:top="1360" w:bottom="1200" w:left="1580" w:right="1520"/>
        </w:sectPr>
      </w:pPr>
    </w:p>
    <w:p>
      <w:pPr>
        <w:pStyle w:val="Heading3"/>
        <w:ind w:left="1513"/>
        <w:jc w:val="left"/>
      </w:pPr>
      <w:r>
        <w:rPr/>
        <w:t>Gráfica 4.4. Tasa de subocupación en México, 2000 al 2012</w:t>
      </w:r>
    </w:p>
    <w:p>
      <w:pPr>
        <w:pStyle w:val="BodyText"/>
        <w:rPr>
          <w:b/>
          <w:sz w:val="20"/>
        </w:rPr>
      </w:pPr>
    </w:p>
    <w:p>
      <w:pPr>
        <w:pStyle w:val="BodyText"/>
        <w:rPr>
          <w:b/>
          <w:sz w:val="20"/>
        </w:rPr>
      </w:pPr>
    </w:p>
    <w:p>
      <w:pPr>
        <w:pStyle w:val="BodyText"/>
        <w:rPr>
          <w:b/>
          <w:sz w:val="20"/>
        </w:rPr>
      </w:pPr>
    </w:p>
    <w:p>
      <w:pPr>
        <w:spacing w:before="177"/>
        <w:ind w:left="102" w:right="475" w:firstLine="0"/>
        <w:jc w:val="right"/>
        <w:rPr>
          <w:rFonts w:ascii="Calibri"/>
          <w:sz w:val="20"/>
        </w:rPr>
      </w:pPr>
      <w:r>
        <w:rPr/>
        <w:pict>
          <v:group style="position:absolute;margin-left:121.894997pt;margin-top:-4.698528pt;width:368.1pt;height:96.65pt;mso-position-horizontal-relative:page;mso-position-vertical-relative:paragraph;z-index:4240" coordorigin="2438,-94" coordsize="7362,1933">
            <v:shape style="position:absolute;left:2518;top:-13;width:7205;height:1733" coordorigin="2518,-13" coordsize="7205,1733" path="m2518,1720l3118,1612,3718,1480,4318,1223,4920,918,5520,1108,6120,1115,6720,1038,7320,887,7920,-13,8522,47,9122,131,9722,299e" filled="false" stroked="true" strokeweight="2.16pt" strokecolor="#497dba">
              <v:path arrowok="t"/>
            </v:shape>
            <v:shape style="position:absolute;left:2438;top:1642;width:154;height:154" type="#_x0000_t75" stroked="false">
              <v:imagedata r:id="rId55" o:title=""/>
            </v:shape>
            <v:shape style="position:absolute;left:3038;top:1534;width:154;height:154" type="#_x0000_t75" stroked="false">
              <v:imagedata r:id="rId52" o:title=""/>
            </v:shape>
            <v:shape style="position:absolute;left:3640;top:1402;width:154;height:154" type="#_x0000_t75" stroked="false">
              <v:imagedata r:id="rId55" o:title=""/>
            </v:shape>
            <v:shape style="position:absolute;left:4240;top:1143;width:154;height:154" type="#_x0000_t75" stroked="false">
              <v:imagedata r:id="rId52" o:title=""/>
            </v:shape>
            <v:shape style="position:absolute;left:4840;top:838;width:154;height:154" type="#_x0000_t75" stroked="false">
              <v:imagedata r:id="rId52" o:title=""/>
            </v:shape>
            <v:shape style="position:absolute;left:5440;top:1030;width:154;height:154" type="#_x0000_t75" stroked="false">
              <v:imagedata r:id="rId55" o:title=""/>
            </v:shape>
            <v:shape style="position:absolute;left:6040;top:1035;width:154;height:154" type="#_x0000_t75" stroked="false">
              <v:imagedata r:id="rId55" o:title=""/>
            </v:shape>
            <v:shape style="position:absolute;left:6643;top:958;width:154;height:154" type="#_x0000_t75" stroked="false">
              <v:imagedata r:id="rId53" o:title=""/>
            </v:shape>
            <v:shape style="position:absolute;left:7243;top:810;width:154;height:154" type="#_x0000_t75" stroked="false">
              <v:imagedata r:id="rId53" o:title=""/>
            </v:shape>
            <v:shape style="position:absolute;left:7843;top:-90;width:154;height:154" type="#_x0000_t75" stroked="false">
              <v:imagedata r:id="rId53" o:title=""/>
            </v:shape>
            <v:shape style="position:absolute;left:8443;top:-30;width:154;height:154" type="#_x0000_t75" stroked="false">
              <v:imagedata r:id="rId53" o:title=""/>
            </v:shape>
            <v:shape style="position:absolute;left:9043;top:54;width:154;height:154" type="#_x0000_t75" stroked="false">
              <v:imagedata r:id="rId54" o:title=""/>
            </v:shape>
            <v:shape style="position:absolute;left:9645;top:222;width:154;height:154" type="#_x0000_t75" stroked="false">
              <v:imagedata r:id="rId52" o:title=""/>
            </v:shape>
            <v:shape style="position:absolute;left:8114;top:-94;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5.47</w:t>
                    </w:r>
                  </w:p>
                </w:txbxContent>
              </v:textbox>
              <w10:wrap type="none"/>
            </v:shape>
            <v:shape style="position:absolute;left:8714;top:-34;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5.37</w:t>
                    </w:r>
                  </w:p>
                </w:txbxContent>
              </v:textbox>
              <w10:wrap type="none"/>
            </v:shape>
            <v:shape style="position:absolute;left:9315;top:50;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5.23</w:t>
                    </w:r>
                  </w:p>
                </w:txbxContent>
              </v:textbox>
              <w10:wrap type="none"/>
            </v:shape>
            <v:shape style="position:absolute;left:5111;top:836;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3.92</w:t>
                    </w:r>
                  </w:p>
                </w:txbxContent>
              </v:textbox>
              <w10:wrap type="none"/>
            </v:shape>
            <v:shape style="position:absolute;left:7513;top:805;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3.97</w:t>
                    </w:r>
                  </w:p>
                </w:txbxContent>
              </v:textbox>
              <w10:wrap type="none"/>
            </v:shape>
            <v:shape style="position:absolute;left:4511;top:1141;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3.41</w:t>
                    </w:r>
                  </w:p>
                </w:txbxContent>
              </v:textbox>
              <w10:wrap type="none"/>
            </v:shape>
            <v:shape style="position:absolute;left:5711;top:1028;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3.6</w:t>
                    </w:r>
                  </w:p>
                </w:txbxContent>
              </v:textbox>
              <w10:wrap type="none"/>
            </v:shape>
            <v:shape style="position:absolute;left:6312;top:1033;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3.59</w:t>
                    </w:r>
                  </w:p>
                </w:txbxContent>
              </v:textbox>
              <w10:wrap type="none"/>
            </v:shape>
            <v:shape style="position:absolute;left:6912;top:956;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3.72</w:t>
                    </w:r>
                  </w:p>
                </w:txbxContent>
              </v:textbox>
              <w10:wrap type="none"/>
            </v:shape>
            <v:shape style="position:absolute;left:3910;top:1400;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2.98</w:t>
                    </w:r>
                  </w:p>
                </w:txbxContent>
              </v:textbox>
              <w10:wrap type="none"/>
            </v:shape>
            <v:shape style="position:absolute;left:2709;top:1640;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2.58</w:t>
                    </w:r>
                  </w:p>
                </w:txbxContent>
              </v:textbox>
              <w10:wrap type="none"/>
            </v:shape>
            <v:shape style="position:absolute;left:3309;top:1532;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2.76</w:t>
                    </w:r>
                  </w:p>
                </w:txbxContent>
              </v:textbox>
              <w10:wrap type="none"/>
            </v:shape>
            <w10:wrap type="none"/>
          </v:group>
        </w:pict>
      </w:r>
      <w:r>
        <w:rPr>
          <w:rFonts w:ascii="Calibri"/>
          <w:sz w:val="20"/>
        </w:rPr>
        <w:t>4.95</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4"/>
        <w:rPr>
          <w:rFonts w:ascii="Calibri"/>
          <w:sz w:val="29"/>
        </w:rPr>
      </w:pPr>
      <w:r>
        <w:rPr/>
        <w:pict>
          <v:line style="position:absolute;mso-position-horizontal-relative:page;mso-position-vertical-relative:paragraph;z-index:3928;mso-wrap-distance-left:0;mso-wrap-distance-right:0" from="110.879997pt,20.274128pt" to="501.119997pt,20.274128pt" stroked="true" strokeweight=".72pt" strokecolor="#858585">
            <w10:wrap type="topAndBottom"/>
          </v:line>
        </w:pict>
      </w:r>
    </w:p>
    <w:p>
      <w:pPr>
        <w:spacing w:before="91"/>
        <w:ind w:left="715" w:right="0" w:firstLine="0"/>
        <w:jc w:val="left"/>
        <w:rPr>
          <w:rFonts w:ascii="Calibri"/>
          <w:sz w:val="20"/>
        </w:rPr>
      </w:pPr>
      <w:r>
        <w:rPr>
          <w:rFonts w:ascii="Calibri"/>
          <w:sz w:val="20"/>
        </w:rPr>
        <w:t>2000    2001    2002    2003    2004    2005    2006    2007    2008    2009    2010    2011       2012</w:t>
      </w:r>
    </w:p>
    <w:p>
      <w:pPr>
        <w:pStyle w:val="BodyText"/>
        <w:spacing w:before="4"/>
        <w:rPr>
          <w:rFonts w:ascii="Calibri"/>
          <w:sz w:val="15"/>
        </w:rPr>
      </w:pPr>
    </w:p>
    <w:p>
      <w:pPr>
        <w:spacing w:before="74"/>
        <w:ind w:left="598" w:right="0" w:firstLine="0"/>
        <w:jc w:val="left"/>
        <w:rPr>
          <w:sz w:val="20"/>
        </w:rPr>
      </w:pPr>
      <w:r>
        <w:rPr>
          <w:sz w:val="20"/>
        </w:rPr>
        <w:t>Fuente: elaboración con base en los datos del Instituto Nacional de Estadística y Geografía (2012)</w:t>
      </w:r>
    </w:p>
    <w:p>
      <w:pPr>
        <w:pStyle w:val="BodyText"/>
        <w:rPr>
          <w:sz w:val="20"/>
        </w:rPr>
      </w:pPr>
    </w:p>
    <w:p>
      <w:pPr>
        <w:pStyle w:val="BodyText"/>
        <w:spacing w:before="2"/>
        <w:rPr>
          <w:sz w:val="26"/>
        </w:rPr>
      </w:pPr>
    </w:p>
    <w:p>
      <w:pPr>
        <w:pStyle w:val="BodyText"/>
        <w:spacing w:line="360" w:lineRule="auto" w:before="1"/>
        <w:ind w:left="102" w:right="115"/>
        <w:jc w:val="both"/>
      </w:pPr>
      <w:r>
        <w:rPr/>
        <w:t>Este aumento en la tasa de subocupación es el reflejo de la falta de inversión productiva, menor dinamismo de la economía y del empleo para todos los profesionistas (Ramírez, 2009) que se han convertido en trabajadores externos de los diferentes mercados de trabajo del país.</w:t>
      </w:r>
    </w:p>
    <w:p>
      <w:pPr>
        <w:pStyle w:val="BodyText"/>
      </w:pPr>
    </w:p>
    <w:p>
      <w:pPr>
        <w:pStyle w:val="BodyText"/>
        <w:spacing w:line="360" w:lineRule="auto" w:before="143"/>
        <w:ind w:left="102" w:right="117"/>
        <w:jc w:val="both"/>
      </w:pPr>
      <w:r>
        <w:rPr/>
        <w:t>La teoría de los trabajadores internos y externos supone que los empleados que pertenecen  a la empresa – los internos – son trabajadores con experiencia capaces de generar rentas sustanciales junto con el resto del aparato de la empresa. Si estos empleados además capaces de conseguir que los trabajadores en paro – los externos – no sean contratados, podrán negociar con los empresarios las rentas resultantes de esta actuación (Solow, 1992, p. 9).</w:t>
      </w:r>
    </w:p>
    <w:p>
      <w:pPr>
        <w:pStyle w:val="BodyText"/>
      </w:pPr>
    </w:p>
    <w:p>
      <w:pPr>
        <w:pStyle w:val="Heading3"/>
        <w:numPr>
          <w:ilvl w:val="2"/>
          <w:numId w:val="69"/>
        </w:numPr>
        <w:tabs>
          <w:tab w:pos="703" w:val="left" w:leader="none"/>
        </w:tabs>
        <w:spacing w:line="240" w:lineRule="auto" w:before="215" w:after="0"/>
        <w:ind w:left="702" w:right="0" w:hanging="600"/>
        <w:jc w:val="both"/>
      </w:pPr>
      <w:bookmarkStart w:name="_bookmark52" w:id="94"/>
      <w:bookmarkEnd w:id="94"/>
      <w:r>
        <w:rPr>
          <w:b w:val="0"/>
        </w:rPr>
      </w:r>
      <w:bookmarkStart w:name="_bookmark52" w:id="95"/>
      <w:bookmarkEnd w:id="95"/>
      <w:r>
        <w:rPr/>
        <w:t>Ca</w:t>
      </w:r>
      <w:r>
        <w:rPr/>
        <w:t>racterísticas del empleo para</w:t>
      </w:r>
      <w:r>
        <w:rPr>
          <w:spacing w:val="-9"/>
        </w:rPr>
        <w:t> </w:t>
      </w:r>
      <w:r>
        <w:rPr/>
        <w:t>2020</w:t>
      </w:r>
    </w:p>
    <w:p>
      <w:pPr>
        <w:pStyle w:val="BodyText"/>
        <w:rPr>
          <w:b/>
        </w:rPr>
      </w:pPr>
    </w:p>
    <w:p>
      <w:pPr>
        <w:pStyle w:val="BodyText"/>
        <w:spacing w:before="6"/>
        <w:rPr>
          <w:b/>
          <w:sz w:val="23"/>
        </w:rPr>
      </w:pPr>
    </w:p>
    <w:p>
      <w:pPr>
        <w:pStyle w:val="BodyText"/>
        <w:spacing w:line="360" w:lineRule="auto"/>
        <w:ind w:left="102" w:right="118"/>
        <w:jc w:val="both"/>
      </w:pPr>
      <w:r>
        <w:rPr/>
        <w:t>En la próxima década, el sector servicios es el que más crecerá en México, absorberá alrededor del 59% de la población ocupada, mientras que el industrial llegará al 24% y el primario disminuirá al dar ocupación sólo al 17%. (ANUIES, 2000)</w:t>
      </w:r>
    </w:p>
    <w:p>
      <w:pPr>
        <w:spacing w:after="0" w:line="360" w:lineRule="auto"/>
        <w:jc w:val="both"/>
        <w:sectPr>
          <w:pgSz w:w="12240" w:h="15840"/>
          <w:pgMar w:header="0" w:footer="1003" w:top="1360" w:bottom="1200" w:left="1600" w:right="1580"/>
        </w:sectPr>
      </w:pPr>
    </w:p>
    <w:p>
      <w:pPr>
        <w:pStyle w:val="BodyText"/>
        <w:spacing w:line="360" w:lineRule="auto" w:before="50"/>
        <w:ind w:left="102" w:right="124"/>
        <w:jc w:val="both"/>
      </w:pPr>
      <w:r>
        <w:rPr/>
        <w:t>De acuerdo con estas tendencias, algunas de las posibles características del empleo y del mercado de trabajo en nuestro país, serán las siguientes (Rubio, Miranda y Salgado, 2012):</w:t>
      </w:r>
    </w:p>
    <w:p>
      <w:pPr>
        <w:pStyle w:val="ListParagraph"/>
        <w:numPr>
          <w:ilvl w:val="3"/>
          <w:numId w:val="69"/>
        </w:numPr>
        <w:tabs>
          <w:tab w:pos="821" w:val="left" w:leader="none"/>
          <w:tab w:pos="822" w:val="left" w:leader="none"/>
        </w:tabs>
        <w:spacing w:line="352" w:lineRule="auto" w:before="3" w:after="0"/>
        <w:ind w:left="822" w:right="123" w:hanging="360"/>
        <w:jc w:val="left"/>
        <w:rPr>
          <w:sz w:val="24"/>
        </w:rPr>
      </w:pPr>
      <w:r>
        <w:rPr>
          <w:sz w:val="24"/>
        </w:rPr>
        <w:t>Contracción del empleo en el sector público y crecimiento relativo en el sector privado.</w:t>
      </w:r>
    </w:p>
    <w:p>
      <w:pPr>
        <w:pStyle w:val="ListParagraph"/>
        <w:numPr>
          <w:ilvl w:val="3"/>
          <w:numId w:val="69"/>
        </w:numPr>
        <w:tabs>
          <w:tab w:pos="821" w:val="left" w:leader="none"/>
          <w:tab w:pos="822" w:val="left" w:leader="none"/>
        </w:tabs>
        <w:spacing w:line="240" w:lineRule="auto" w:before="14" w:after="0"/>
        <w:ind w:left="822" w:right="0" w:hanging="360"/>
        <w:jc w:val="left"/>
        <w:rPr>
          <w:sz w:val="24"/>
        </w:rPr>
      </w:pPr>
      <w:r>
        <w:rPr>
          <w:sz w:val="24"/>
        </w:rPr>
        <w:t>Disminución de las oportunidades de empleo en las grandes</w:t>
      </w:r>
      <w:r>
        <w:rPr>
          <w:spacing w:val="-13"/>
          <w:sz w:val="24"/>
        </w:rPr>
        <w:t> </w:t>
      </w:r>
      <w:r>
        <w:rPr>
          <w:sz w:val="24"/>
        </w:rPr>
        <w:t>empresas.</w:t>
      </w:r>
    </w:p>
    <w:p>
      <w:pPr>
        <w:pStyle w:val="ListParagraph"/>
        <w:numPr>
          <w:ilvl w:val="3"/>
          <w:numId w:val="69"/>
        </w:numPr>
        <w:tabs>
          <w:tab w:pos="821" w:val="left" w:leader="none"/>
          <w:tab w:pos="822" w:val="left" w:leader="none"/>
        </w:tabs>
        <w:spacing w:line="240" w:lineRule="auto" w:before="135" w:after="0"/>
        <w:ind w:left="822" w:right="0" w:hanging="360"/>
        <w:jc w:val="left"/>
        <w:rPr>
          <w:sz w:val="24"/>
        </w:rPr>
      </w:pPr>
      <w:r>
        <w:rPr>
          <w:sz w:val="24"/>
        </w:rPr>
        <w:t>Aumento de oportunidades en el empleo no estructurado y de la economía</w:t>
      </w:r>
      <w:r>
        <w:rPr>
          <w:spacing w:val="-12"/>
          <w:sz w:val="24"/>
        </w:rPr>
        <w:t> </w:t>
      </w:r>
      <w:r>
        <w:rPr>
          <w:sz w:val="24"/>
        </w:rPr>
        <w:t>informal.</w:t>
      </w:r>
    </w:p>
    <w:p>
      <w:pPr>
        <w:pStyle w:val="ListParagraph"/>
        <w:numPr>
          <w:ilvl w:val="3"/>
          <w:numId w:val="69"/>
        </w:numPr>
        <w:tabs>
          <w:tab w:pos="821" w:val="left" w:leader="none"/>
          <w:tab w:pos="822" w:val="left" w:leader="none"/>
        </w:tabs>
        <w:spacing w:line="240" w:lineRule="auto" w:before="138" w:after="0"/>
        <w:ind w:left="822" w:right="0" w:hanging="360"/>
        <w:jc w:val="left"/>
        <w:rPr>
          <w:sz w:val="24"/>
        </w:rPr>
      </w:pPr>
      <w:r>
        <w:rPr>
          <w:sz w:val="24"/>
        </w:rPr>
        <w:t>Cambio en la estructura de puestos y la exigencia de una mayor</w:t>
      </w:r>
      <w:r>
        <w:rPr>
          <w:spacing w:val="-11"/>
          <w:sz w:val="24"/>
        </w:rPr>
        <w:t> </w:t>
      </w:r>
      <w:r>
        <w:rPr>
          <w:sz w:val="24"/>
        </w:rPr>
        <w:t>calificación.</w:t>
      </w:r>
    </w:p>
    <w:p>
      <w:pPr>
        <w:pStyle w:val="ListParagraph"/>
        <w:numPr>
          <w:ilvl w:val="3"/>
          <w:numId w:val="69"/>
        </w:numPr>
        <w:tabs>
          <w:tab w:pos="821" w:val="left" w:leader="none"/>
          <w:tab w:pos="822" w:val="left" w:leader="none"/>
        </w:tabs>
        <w:spacing w:line="240" w:lineRule="auto" w:before="138" w:after="0"/>
        <w:ind w:left="822" w:right="0" w:hanging="360"/>
        <w:jc w:val="left"/>
        <w:rPr>
          <w:sz w:val="24"/>
        </w:rPr>
      </w:pPr>
      <w:r>
        <w:rPr>
          <w:sz w:val="24"/>
        </w:rPr>
        <w:t>Pérdida de estabilidad y seguridad en el</w:t>
      </w:r>
      <w:r>
        <w:rPr>
          <w:spacing w:val="-9"/>
          <w:sz w:val="24"/>
        </w:rPr>
        <w:t> </w:t>
      </w:r>
      <w:r>
        <w:rPr>
          <w:sz w:val="24"/>
        </w:rPr>
        <w:t>empleo</w:t>
      </w:r>
    </w:p>
    <w:p>
      <w:pPr>
        <w:pStyle w:val="ListParagraph"/>
        <w:numPr>
          <w:ilvl w:val="3"/>
          <w:numId w:val="69"/>
        </w:numPr>
        <w:tabs>
          <w:tab w:pos="821" w:val="left" w:leader="none"/>
          <w:tab w:pos="822" w:val="left" w:leader="none"/>
        </w:tabs>
        <w:spacing w:line="240" w:lineRule="auto" w:before="136" w:after="0"/>
        <w:ind w:left="822" w:right="0" w:hanging="360"/>
        <w:jc w:val="left"/>
        <w:rPr>
          <w:sz w:val="24"/>
        </w:rPr>
      </w:pPr>
      <w:r>
        <w:rPr>
          <w:sz w:val="24"/>
        </w:rPr>
        <w:t>Creciente informalización  en las relaciones de empleado y</w:t>
      </w:r>
      <w:r>
        <w:rPr>
          <w:spacing w:val="-15"/>
          <w:sz w:val="24"/>
        </w:rPr>
        <w:t> </w:t>
      </w:r>
      <w:r>
        <w:rPr>
          <w:sz w:val="24"/>
        </w:rPr>
        <w:t>empleador.</w:t>
      </w:r>
    </w:p>
    <w:p>
      <w:pPr>
        <w:pStyle w:val="ListParagraph"/>
        <w:numPr>
          <w:ilvl w:val="3"/>
          <w:numId w:val="69"/>
        </w:numPr>
        <w:tabs>
          <w:tab w:pos="822" w:val="left" w:leader="none"/>
        </w:tabs>
        <w:spacing w:line="355" w:lineRule="auto" w:before="138" w:after="0"/>
        <w:ind w:left="822" w:right="119" w:hanging="360"/>
        <w:jc w:val="both"/>
        <w:rPr>
          <w:sz w:val="24"/>
        </w:rPr>
      </w:pPr>
      <w:r>
        <w:rPr>
          <w:sz w:val="24"/>
        </w:rPr>
        <w:t>Demanda creciente de conocimientos de informática, lenguas extranjeras y capacidad para el manejo de nuevas tecnologías de la información y la comunicación.</w:t>
      </w:r>
    </w:p>
    <w:p>
      <w:pPr>
        <w:pStyle w:val="ListParagraph"/>
        <w:numPr>
          <w:ilvl w:val="3"/>
          <w:numId w:val="69"/>
        </w:numPr>
        <w:tabs>
          <w:tab w:pos="821" w:val="left" w:leader="none"/>
          <w:tab w:pos="822" w:val="left" w:leader="none"/>
        </w:tabs>
        <w:spacing w:line="352" w:lineRule="auto" w:before="9" w:after="0"/>
        <w:ind w:left="822" w:right="120" w:hanging="360"/>
        <w:jc w:val="left"/>
        <w:rPr>
          <w:sz w:val="24"/>
        </w:rPr>
      </w:pPr>
      <w:r>
        <w:rPr>
          <w:sz w:val="24"/>
        </w:rPr>
        <w:t>Aumento en las funciones laborales que exigen altos niveles de conocimiento en diversas</w:t>
      </w:r>
      <w:r>
        <w:rPr>
          <w:spacing w:val="-7"/>
          <w:sz w:val="24"/>
        </w:rPr>
        <w:t> </w:t>
      </w:r>
      <w:r>
        <w:rPr>
          <w:sz w:val="24"/>
        </w:rPr>
        <w:t>esferas.</w:t>
      </w:r>
    </w:p>
    <w:p>
      <w:pPr>
        <w:pStyle w:val="BodyText"/>
      </w:pPr>
    </w:p>
    <w:p>
      <w:pPr>
        <w:pStyle w:val="BodyText"/>
        <w:spacing w:before="4"/>
        <w:rPr>
          <w:sz w:val="19"/>
        </w:rPr>
      </w:pPr>
    </w:p>
    <w:p>
      <w:pPr>
        <w:pStyle w:val="Heading3"/>
        <w:numPr>
          <w:ilvl w:val="2"/>
          <w:numId w:val="69"/>
        </w:numPr>
        <w:tabs>
          <w:tab w:pos="702" w:val="left" w:leader="none"/>
        </w:tabs>
        <w:spacing w:line="240" w:lineRule="auto" w:before="0" w:after="0"/>
        <w:ind w:left="702" w:right="0" w:hanging="600"/>
        <w:jc w:val="both"/>
      </w:pPr>
      <w:bookmarkStart w:name="_bookmark53" w:id="96"/>
      <w:bookmarkEnd w:id="96"/>
      <w:r>
        <w:rPr>
          <w:b w:val="0"/>
        </w:rPr>
      </w:r>
      <w:bookmarkStart w:name="_bookmark53" w:id="97"/>
      <w:bookmarkEnd w:id="97"/>
      <w:r>
        <w:rPr/>
        <w:t>P</w:t>
      </w:r>
      <w:r>
        <w:rPr/>
        <w:t>oblación Económicamente Activa (PEA) y Población</w:t>
      </w:r>
      <w:r>
        <w:rPr>
          <w:spacing w:val="-14"/>
        </w:rPr>
        <w:t> </w:t>
      </w:r>
      <w:r>
        <w:rPr/>
        <w:t>Ocupada</w:t>
      </w:r>
    </w:p>
    <w:p>
      <w:pPr>
        <w:pStyle w:val="BodyText"/>
        <w:rPr>
          <w:b/>
        </w:rPr>
      </w:pPr>
    </w:p>
    <w:p>
      <w:pPr>
        <w:pStyle w:val="BodyText"/>
        <w:spacing w:line="360" w:lineRule="auto" w:before="173"/>
        <w:ind w:left="102" w:right="116"/>
        <w:jc w:val="both"/>
      </w:pPr>
      <w:r>
        <w:rPr/>
        <w:t>La población ocupada promedio en 2012 en el país alcanzó 95.05% de la Población Económicamente Activa (PEA) de acuerdo con los datos mensuales publicados por el INEGI (2012). Para el  cuarto trimestre del mismo año, del total de ocupados  69.4%  realizó trabajos como subordinado y remunerado, 3.9% como patrones o empleadores, 20.3% de manera independiente o por su cuenta y 6.4% se desempeñaba en el rubro no remunerados, contribuyendo de manera directa a los procesos productivos pero sin un acuerdo de retribución monetaria (INEGI,</w:t>
      </w:r>
      <w:r>
        <w:rPr>
          <w:spacing w:val="-11"/>
        </w:rPr>
        <w:t> </w:t>
      </w:r>
      <w:r>
        <w:rPr/>
        <w:t>2012).</w:t>
      </w:r>
    </w:p>
    <w:p>
      <w:pPr>
        <w:spacing w:after="0" w:line="360" w:lineRule="auto"/>
        <w:jc w:val="both"/>
        <w:sectPr>
          <w:pgSz w:w="12240" w:h="15840"/>
          <w:pgMar w:header="0" w:footer="1003" w:top="1360" w:bottom="1200" w:left="1600" w:right="1580"/>
        </w:sectPr>
      </w:pPr>
    </w:p>
    <w:p>
      <w:pPr>
        <w:pStyle w:val="Heading3"/>
        <w:spacing w:before="53"/>
        <w:ind w:left="282"/>
        <w:jc w:val="left"/>
      </w:pPr>
      <w:r>
        <w:rPr/>
        <w:t>Gráfica 4.5. Población nacional ocupada según posición, cuarto trimestre 2012 (%)</w:t>
      </w:r>
    </w:p>
    <w:p>
      <w:pPr>
        <w:spacing w:before="33"/>
        <w:ind w:left="1988" w:right="0" w:firstLine="0"/>
        <w:jc w:val="left"/>
        <w:rPr>
          <w:rFonts w:ascii="Calibri"/>
          <w:sz w:val="18"/>
        </w:rPr>
      </w:pPr>
      <w:r>
        <w:rPr>
          <w:rFonts w:ascii="Calibri"/>
          <w:sz w:val="18"/>
        </w:rPr>
        <w:t>Trabajadores sin</w:t>
      </w:r>
    </w:p>
    <w:p>
      <w:pPr>
        <w:tabs>
          <w:tab w:pos="4253" w:val="left" w:leader="none"/>
        </w:tabs>
        <w:spacing w:before="4"/>
        <w:ind w:left="2142" w:right="0" w:firstLine="0"/>
        <w:jc w:val="left"/>
        <w:rPr>
          <w:rFonts w:ascii="Calibri"/>
          <w:sz w:val="18"/>
        </w:rPr>
      </w:pPr>
      <w:r>
        <w:rPr/>
        <w:pict>
          <v:group style="position:absolute;margin-left:125.160004pt;margin-top:10.434321pt;width:364.7pt;height:190.3pt;mso-position-horizontal-relative:page;mso-position-vertical-relative:paragraph;z-index:-398392" coordorigin="2503,209" coordsize="7294,3806">
            <v:shape style="position:absolute;left:2503;top:268;width:7294;height:3746" type="#_x0000_t75" stroked="false">
              <v:imagedata r:id="rId72" o:title=""/>
            </v:shape>
            <v:shape style="position:absolute;left:2912;top:216;width:5643;height:3326" coordorigin="2912,216" coordsize="5643,3326" path="m8415,2650l8554,3542m3209,1282l2912,730m4909,435l4757,216e" filled="false" stroked="true" strokeweight=".75pt" strokecolor="#000000">
              <v:path arrowok="t"/>
            </v:shape>
            <w10:wrap type="none"/>
          </v:group>
        </w:pict>
      </w:r>
      <w:r>
        <w:rPr>
          <w:rFonts w:ascii="Calibri"/>
          <w:position w:val="1"/>
          <w:sz w:val="18"/>
        </w:rPr>
        <w:t>pago,</w:t>
      </w:r>
      <w:r>
        <w:rPr>
          <w:rFonts w:ascii="Calibri"/>
          <w:spacing w:val="-1"/>
          <w:position w:val="1"/>
          <w:sz w:val="18"/>
        </w:rPr>
        <w:t> </w:t>
      </w:r>
      <w:r>
        <w:rPr>
          <w:rFonts w:ascii="Calibri"/>
          <w:position w:val="1"/>
          <w:sz w:val="18"/>
        </w:rPr>
        <w:t>6.40%</w:t>
      </w:r>
      <w:r>
        <w:rPr>
          <w:rFonts w:ascii="Calibri"/>
          <w:position w:val="1"/>
          <w:sz w:val="18"/>
          <w:u w:val="single"/>
        </w:rPr>
        <w:t> </w:t>
      </w:r>
      <w:r>
        <w:rPr>
          <w:rFonts w:ascii="Calibri"/>
          <w:position w:val="1"/>
          <w:sz w:val="18"/>
        </w:rPr>
        <w:tab/>
      </w:r>
      <w:r>
        <w:rPr>
          <w:rFonts w:ascii="Calibri"/>
          <w:sz w:val="18"/>
        </w:rPr>
        <w:t>Empleadores ,</w:t>
      </w:r>
      <w:r>
        <w:rPr>
          <w:rFonts w:ascii="Calibri"/>
          <w:spacing w:val="-5"/>
          <w:sz w:val="18"/>
        </w:rPr>
        <w:t> </w:t>
      </w:r>
      <w:r>
        <w:rPr>
          <w:rFonts w:ascii="Calibri"/>
          <w:sz w:val="18"/>
        </w:rPr>
        <w:t>4.60%</w:t>
      </w:r>
    </w:p>
    <w:p>
      <w:pPr>
        <w:spacing w:before="105"/>
        <w:ind w:left="295" w:right="7104" w:firstLine="194"/>
        <w:jc w:val="left"/>
        <w:rPr>
          <w:rFonts w:ascii="Calibri"/>
          <w:sz w:val="18"/>
        </w:rPr>
      </w:pPr>
      <w:r>
        <w:rPr>
          <w:rFonts w:ascii="Calibri"/>
          <w:sz w:val="18"/>
        </w:rPr>
        <w:t>Trabajadores por cuenta propi</w:t>
      </w:r>
      <w:r>
        <w:rPr>
          <w:rFonts w:ascii="Calibri"/>
          <w:sz w:val="18"/>
          <w:u w:val="single"/>
        </w:rPr>
        <w:t>a</w:t>
      </w:r>
      <w:r>
        <w:rPr>
          <w:rFonts w:ascii="Calibri"/>
          <w:sz w:val="18"/>
        </w:rPr>
        <w:t>, 22.70%</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7"/>
        </w:rPr>
      </w:pPr>
    </w:p>
    <w:p>
      <w:pPr>
        <w:spacing w:before="63"/>
        <w:ind w:left="6996" w:right="928" w:hanging="43"/>
        <w:jc w:val="left"/>
        <w:rPr>
          <w:rFonts w:ascii="Calibri"/>
          <w:sz w:val="18"/>
        </w:rPr>
      </w:pPr>
      <w:r>
        <w:rPr>
          <w:rFonts w:ascii="Calibri"/>
          <w:sz w:val="18"/>
          <w:u w:val="single"/>
        </w:rPr>
        <w:t>   </w:t>
      </w:r>
      <w:r>
        <w:rPr>
          <w:rFonts w:ascii="Calibri"/>
          <w:sz w:val="18"/>
        </w:rPr>
        <w:t>Trabajadores subordinados y</w:t>
      </w:r>
    </w:p>
    <w:p>
      <w:pPr>
        <w:spacing w:before="1"/>
        <w:ind w:left="102" w:right="695" w:firstLine="0"/>
        <w:jc w:val="right"/>
        <w:rPr>
          <w:rFonts w:ascii="Calibri"/>
          <w:sz w:val="18"/>
        </w:rPr>
      </w:pPr>
      <w:r>
        <w:rPr>
          <w:rFonts w:ascii="Calibri"/>
          <w:sz w:val="18"/>
        </w:rPr>
        <w:t>remunerados, 66.30%</w:t>
      </w:r>
    </w:p>
    <w:p>
      <w:pPr>
        <w:pStyle w:val="BodyText"/>
        <w:rPr>
          <w:rFonts w:ascii="Calibri"/>
          <w:sz w:val="20"/>
        </w:rPr>
      </w:pPr>
    </w:p>
    <w:p>
      <w:pPr>
        <w:pStyle w:val="BodyText"/>
        <w:spacing w:before="9"/>
        <w:rPr>
          <w:rFonts w:ascii="Calibri"/>
          <w:sz w:val="25"/>
        </w:rPr>
      </w:pPr>
    </w:p>
    <w:p>
      <w:pPr>
        <w:spacing w:before="73"/>
        <w:ind w:left="0" w:right="19" w:firstLine="0"/>
        <w:jc w:val="center"/>
        <w:rPr>
          <w:sz w:val="20"/>
        </w:rPr>
      </w:pPr>
      <w:r>
        <w:rPr>
          <w:sz w:val="20"/>
        </w:rPr>
        <w:t>Fuente: INEGI, 2012.</w:t>
      </w:r>
    </w:p>
    <w:p>
      <w:pPr>
        <w:pStyle w:val="BodyText"/>
        <w:rPr>
          <w:sz w:val="20"/>
        </w:rPr>
      </w:pPr>
    </w:p>
    <w:p>
      <w:pPr>
        <w:pStyle w:val="BodyText"/>
        <w:spacing w:before="11"/>
        <w:rPr>
          <w:sz w:val="19"/>
        </w:rPr>
      </w:pPr>
    </w:p>
    <w:p>
      <w:pPr>
        <w:pStyle w:val="BodyText"/>
        <w:spacing w:line="360" w:lineRule="auto"/>
        <w:ind w:left="102" w:right="117"/>
        <w:jc w:val="both"/>
      </w:pPr>
      <w:r>
        <w:rPr/>
        <w:t>En el mismo periodo (cuarto trimestre 2012), la población ocupada por sector de actividad se distribuyó de la siguiente manera: en los servicios se concentró 49.1% del total, en el comercio 22.8%, en la industria manufacturera 18.0%, en la construcción 8.4%, en “otras actividades económicas” (que incluyen la minería, electricidad, agua y suministro de gas) 1.0% y el restante 0.7% no especificó su actividad (INEGI, 2012).</w:t>
      </w:r>
    </w:p>
    <w:p>
      <w:pPr>
        <w:pStyle w:val="BodyText"/>
      </w:pPr>
    </w:p>
    <w:p>
      <w:pPr>
        <w:pStyle w:val="BodyText"/>
        <w:spacing w:line="360" w:lineRule="auto" w:before="143"/>
        <w:ind w:left="102" w:right="118"/>
        <w:jc w:val="both"/>
      </w:pPr>
      <w:r>
        <w:rPr/>
        <w:t>Un análisis por tipo de actividad muestra (INEGI, 2012) que el grupo de trabajadores industriales, artesanos y ayudantes es el que concentra al mayor número de personas ocupadas (11’945,940), seguido de comerciantes (8’703,362), siendo la principal ocupación para las mujeres el comercio (4’792,360).</w:t>
      </w:r>
    </w:p>
    <w:p>
      <w:pPr>
        <w:spacing w:after="0" w:line="360" w:lineRule="auto"/>
        <w:jc w:val="both"/>
        <w:sectPr>
          <w:pgSz w:w="12240" w:h="15840"/>
          <w:pgMar w:header="0" w:footer="1003" w:top="1360" w:bottom="1200" w:left="1600" w:right="1580"/>
        </w:sectPr>
      </w:pPr>
    </w:p>
    <w:p>
      <w:pPr>
        <w:pStyle w:val="Heading3"/>
        <w:spacing w:line="278" w:lineRule="auto"/>
        <w:ind w:left="3683" w:hanging="3303"/>
        <w:jc w:val="left"/>
      </w:pPr>
      <w:r>
        <w:rPr/>
        <w:t>Gráfica 4.6. PEA nacional ocupada por grupos de ocupación principal y por sexo septiembre 2012</w:t>
      </w:r>
    </w:p>
    <w:p>
      <w:pPr>
        <w:pStyle w:val="BodyText"/>
        <w:spacing w:before="8"/>
        <w:rPr>
          <w:b/>
          <w:sz w:val="29"/>
        </w:rPr>
      </w:pPr>
    </w:p>
    <w:p>
      <w:pPr>
        <w:spacing w:before="59"/>
        <w:ind w:left="423" w:right="0" w:firstLine="0"/>
        <w:jc w:val="left"/>
        <w:rPr>
          <w:rFonts w:ascii="Calibri"/>
          <w:sz w:val="20"/>
        </w:rPr>
      </w:pPr>
      <w:r>
        <w:rPr/>
        <w:pict>
          <v:group style="position:absolute;margin-left:147.375pt;margin-top:-1.353506pt;width:360pt;height:160.1pt;mso-position-horizontal-relative:page;mso-position-vertical-relative:paragraph;z-index:4312" coordorigin="2948,-27" coordsize="7200,3202">
            <v:shape style="position:absolute;left:2978;top:5;width:7169;height:3137" type="#_x0000_t75" stroked="false">
              <v:imagedata r:id="rId73" o:title=""/>
            </v:shape>
            <v:shape style="position:absolute;left:2955;top:183;width:6971;height:2984" coordorigin="2955,183" coordsize="6971,2984" path="m3019,3102l2955,3102m3019,2777l2955,2777m3019,2453l2955,2453m3019,2129l2955,2129m3019,1805l2955,1805m3019,1479l2955,1479m3019,1155l2955,1155m3019,831l2955,831m3019,507l2955,507m3019,183l2955,183m3020,3104l3020,3167m3646,3104l3646,3167m4275,3104l4275,3167m4901,3104l4901,3167m5530,3104l5530,3167m6159,3104l6159,3167m6785,3104l6785,3167m7414,3104l7414,3167m8043,3104l8043,3167m8669,3104l8669,3167m9298,3104l9298,3167m9925,3104l9925,3167e" filled="false" stroked="true" strokeweight=".75pt" strokecolor="#858585">
              <v:path arrowok="t"/>
            </v:shape>
            <v:rect style="position:absolute;left:8985;top:-27;width:1083;height:485" filled="true" fillcolor="#d9d9d9" stroked="false">
              <v:fill type="solid"/>
            </v:rect>
            <v:rect style="position:absolute;left:9085;top:39;width:110;height:110" filled="true" fillcolor="#4571a7" stroked="false">
              <v:fill type="solid"/>
            </v:rect>
            <v:rect style="position:absolute;left:9085;top:281;width:110;height:110" filled="true" fillcolor="#92a9cf" stroked="false">
              <v:fill type="solid"/>
            </v:rect>
            <v:shape style="position:absolute;left:8985;top:-27;width:1083;height:485" type="#_x0000_t202" filled="false" stroked="false">
              <v:textbox inset="0,0,0,0">
                <w:txbxContent>
                  <w:p>
                    <w:pPr>
                      <w:spacing w:line="237" w:lineRule="auto" w:before="0"/>
                      <w:ind w:left="259" w:right="61" w:firstLine="0"/>
                      <w:jc w:val="left"/>
                      <w:rPr>
                        <w:rFonts w:ascii="Calibri"/>
                        <w:sz w:val="20"/>
                      </w:rPr>
                    </w:pPr>
                    <w:r>
                      <w:rPr>
                        <w:rFonts w:ascii="Calibri"/>
                        <w:sz w:val="20"/>
                      </w:rPr>
                      <w:t>Hombres Mujeres</w:t>
                    </w:r>
                  </w:p>
                </w:txbxContent>
              </v:textbox>
              <w10:wrap type="none"/>
            </v:shape>
            <w10:wrap type="none"/>
          </v:group>
        </w:pict>
      </w:r>
      <w:r>
        <w:rPr>
          <w:rFonts w:ascii="Calibri"/>
          <w:sz w:val="20"/>
        </w:rPr>
        <w:t>9,000,000</w:t>
      </w:r>
    </w:p>
    <w:p>
      <w:pPr>
        <w:spacing w:before="80"/>
        <w:ind w:left="423" w:right="0" w:firstLine="0"/>
        <w:jc w:val="left"/>
        <w:rPr>
          <w:rFonts w:ascii="Calibri"/>
          <w:sz w:val="20"/>
        </w:rPr>
      </w:pPr>
      <w:r>
        <w:rPr>
          <w:rFonts w:ascii="Calibri"/>
          <w:sz w:val="20"/>
        </w:rPr>
        <w:t>8,000,000</w:t>
      </w:r>
    </w:p>
    <w:p>
      <w:pPr>
        <w:spacing w:before="81"/>
        <w:ind w:left="423" w:right="0" w:firstLine="0"/>
        <w:jc w:val="left"/>
        <w:rPr>
          <w:rFonts w:ascii="Calibri"/>
          <w:sz w:val="20"/>
        </w:rPr>
      </w:pPr>
      <w:r>
        <w:rPr>
          <w:rFonts w:ascii="Calibri"/>
          <w:sz w:val="20"/>
        </w:rPr>
        <w:t>7,000,000</w:t>
      </w:r>
    </w:p>
    <w:p>
      <w:pPr>
        <w:spacing w:before="80"/>
        <w:ind w:left="423" w:right="0" w:firstLine="0"/>
        <w:jc w:val="left"/>
        <w:rPr>
          <w:rFonts w:ascii="Calibri"/>
          <w:sz w:val="20"/>
        </w:rPr>
      </w:pPr>
      <w:r>
        <w:rPr>
          <w:rFonts w:ascii="Calibri"/>
          <w:sz w:val="20"/>
        </w:rPr>
        <w:t>6,000,000</w:t>
      </w:r>
    </w:p>
    <w:p>
      <w:pPr>
        <w:spacing w:before="80"/>
        <w:ind w:left="423" w:right="0" w:firstLine="0"/>
        <w:jc w:val="left"/>
        <w:rPr>
          <w:rFonts w:ascii="Calibri"/>
          <w:sz w:val="20"/>
        </w:rPr>
      </w:pPr>
      <w:r>
        <w:rPr>
          <w:rFonts w:ascii="Calibri"/>
          <w:sz w:val="20"/>
        </w:rPr>
        <w:t>5,000,000</w:t>
      </w:r>
    </w:p>
    <w:p>
      <w:pPr>
        <w:spacing w:before="80"/>
        <w:ind w:left="423" w:right="0" w:firstLine="0"/>
        <w:jc w:val="left"/>
        <w:rPr>
          <w:rFonts w:ascii="Calibri"/>
          <w:sz w:val="20"/>
        </w:rPr>
      </w:pPr>
      <w:r>
        <w:rPr>
          <w:rFonts w:ascii="Calibri"/>
          <w:sz w:val="20"/>
        </w:rPr>
        <w:t>4,000,000</w:t>
      </w:r>
    </w:p>
    <w:p>
      <w:pPr>
        <w:spacing w:before="80"/>
        <w:ind w:left="423" w:right="0" w:firstLine="0"/>
        <w:jc w:val="left"/>
        <w:rPr>
          <w:rFonts w:ascii="Calibri"/>
          <w:sz w:val="20"/>
        </w:rPr>
      </w:pPr>
      <w:r>
        <w:rPr>
          <w:rFonts w:ascii="Calibri"/>
          <w:sz w:val="20"/>
        </w:rPr>
        <w:t>3,000,000</w:t>
      </w:r>
    </w:p>
    <w:p>
      <w:pPr>
        <w:spacing w:before="80"/>
        <w:ind w:left="423" w:right="0" w:firstLine="0"/>
        <w:jc w:val="left"/>
        <w:rPr>
          <w:rFonts w:ascii="Calibri"/>
          <w:sz w:val="20"/>
        </w:rPr>
      </w:pPr>
      <w:r>
        <w:rPr>
          <w:rFonts w:ascii="Calibri"/>
          <w:sz w:val="20"/>
        </w:rPr>
        <w:t>2,000,000</w:t>
      </w:r>
    </w:p>
    <w:p>
      <w:pPr>
        <w:spacing w:before="80"/>
        <w:ind w:left="423" w:right="0" w:firstLine="0"/>
        <w:jc w:val="left"/>
        <w:rPr>
          <w:rFonts w:ascii="Calibri"/>
          <w:sz w:val="20"/>
        </w:rPr>
      </w:pPr>
      <w:r>
        <w:rPr>
          <w:rFonts w:ascii="Calibri"/>
          <w:sz w:val="20"/>
        </w:rPr>
        <w:t>1,000,000</w:t>
      </w:r>
    </w:p>
    <w:p>
      <w:pPr>
        <w:spacing w:before="80"/>
        <w:ind w:left="1131" w:right="0" w:firstLine="0"/>
        <w:jc w:val="left"/>
        <w:rPr>
          <w:rFonts w:ascii="Calibri"/>
          <w:sz w:val="20"/>
        </w:rPr>
      </w:pPr>
      <w:r>
        <w:rPr>
          <w:rFonts w:ascii="Calibri"/>
          <w:w w:val="99"/>
          <w:sz w:val="20"/>
        </w:rPr>
        <w:t>0</w:t>
      </w:r>
    </w:p>
    <w:p>
      <w:pPr>
        <w:tabs>
          <w:tab w:pos="2310" w:val="left" w:leader="none"/>
          <w:tab w:pos="2938" w:val="left" w:leader="none"/>
          <w:tab w:pos="3566" w:val="left" w:leader="none"/>
          <w:tab w:pos="4194" w:val="left" w:leader="none"/>
          <w:tab w:pos="4822" w:val="left" w:leader="none"/>
          <w:tab w:pos="5450" w:val="left" w:leader="none"/>
          <w:tab w:pos="6078" w:val="left" w:leader="none"/>
          <w:tab w:pos="6706" w:val="left" w:leader="none"/>
          <w:tab w:pos="7283" w:val="left" w:leader="none"/>
          <w:tab w:pos="7911" w:val="left" w:leader="none"/>
        </w:tabs>
        <w:spacing w:before="5"/>
        <w:ind w:left="1682" w:right="0" w:firstLine="0"/>
        <w:jc w:val="left"/>
        <w:rPr>
          <w:rFonts w:ascii="Calibri"/>
          <w:sz w:val="20"/>
        </w:rPr>
      </w:pPr>
      <w:r>
        <w:rPr>
          <w:rFonts w:ascii="Calibri"/>
          <w:sz w:val="20"/>
        </w:rPr>
        <w:t>1</w:t>
        <w:tab/>
        <w:t>2</w:t>
        <w:tab/>
        <w:t>3</w:t>
        <w:tab/>
        <w:t>4</w:t>
        <w:tab/>
        <w:t>5</w:t>
        <w:tab/>
        <w:t>6</w:t>
        <w:tab/>
        <w:t>7</w:t>
        <w:tab/>
        <w:t>8</w:t>
        <w:tab/>
        <w:t>9</w:t>
        <w:tab/>
        <w:t>10</w:t>
        <w:tab/>
        <w:t>11</w:t>
      </w:r>
    </w:p>
    <w:p>
      <w:pPr>
        <w:pStyle w:val="BodyText"/>
        <w:spacing w:before="10"/>
        <w:rPr>
          <w:rFonts w:ascii="Calibri"/>
          <w:sz w:val="20"/>
        </w:rPr>
      </w:pPr>
    </w:p>
    <w:tbl>
      <w:tblPr>
        <w:tblW w:w="0" w:type="auto"/>
        <w:jc w:val="left"/>
        <w:tblInd w:w="88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1"/>
        <w:gridCol w:w="3488"/>
        <w:gridCol w:w="603"/>
        <w:gridCol w:w="2617"/>
      </w:tblGrid>
      <w:tr>
        <w:trPr>
          <w:trHeight w:val="200" w:hRule="exact"/>
        </w:trPr>
        <w:tc>
          <w:tcPr>
            <w:tcW w:w="391" w:type="dxa"/>
          </w:tcPr>
          <w:p>
            <w:pPr>
              <w:pStyle w:val="TableParagraph"/>
              <w:spacing w:line="164" w:lineRule="exact"/>
              <w:ind w:right="66"/>
              <w:jc w:val="right"/>
              <w:rPr>
                <w:sz w:val="16"/>
              </w:rPr>
            </w:pPr>
            <w:r>
              <w:rPr>
                <w:sz w:val="16"/>
              </w:rPr>
              <w:t>1.</w:t>
            </w:r>
          </w:p>
        </w:tc>
        <w:tc>
          <w:tcPr>
            <w:tcW w:w="3488" w:type="dxa"/>
          </w:tcPr>
          <w:p>
            <w:pPr>
              <w:pStyle w:val="TableParagraph"/>
              <w:spacing w:line="164" w:lineRule="exact"/>
              <w:ind w:left="68"/>
              <w:rPr>
                <w:sz w:val="16"/>
              </w:rPr>
            </w:pPr>
            <w:r>
              <w:rPr>
                <w:sz w:val="16"/>
              </w:rPr>
              <w:t>Profesionales, técnicos y trabajadores del arte</w:t>
            </w:r>
          </w:p>
        </w:tc>
        <w:tc>
          <w:tcPr>
            <w:tcW w:w="603" w:type="dxa"/>
          </w:tcPr>
          <w:p>
            <w:pPr>
              <w:pStyle w:val="TableParagraph"/>
              <w:spacing w:line="164" w:lineRule="exact"/>
              <w:ind w:right="66"/>
              <w:jc w:val="right"/>
              <w:rPr>
                <w:sz w:val="16"/>
              </w:rPr>
            </w:pPr>
            <w:r>
              <w:rPr>
                <w:sz w:val="16"/>
              </w:rPr>
              <w:t>7.</w:t>
            </w:r>
          </w:p>
        </w:tc>
        <w:tc>
          <w:tcPr>
            <w:tcW w:w="2617" w:type="dxa"/>
          </w:tcPr>
          <w:p>
            <w:pPr>
              <w:pStyle w:val="TableParagraph"/>
              <w:spacing w:line="164" w:lineRule="exact"/>
              <w:ind w:left="68"/>
              <w:rPr>
                <w:sz w:val="16"/>
              </w:rPr>
            </w:pPr>
            <w:r>
              <w:rPr>
                <w:sz w:val="16"/>
              </w:rPr>
              <w:t>Operadores de transportes</w:t>
            </w:r>
          </w:p>
        </w:tc>
      </w:tr>
      <w:tr>
        <w:trPr>
          <w:trHeight w:val="212" w:hRule="exact"/>
        </w:trPr>
        <w:tc>
          <w:tcPr>
            <w:tcW w:w="391" w:type="dxa"/>
          </w:tcPr>
          <w:p>
            <w:pPr>
              <w:pStyle w:val="TableParagraph"/>
              <w:spacing w:before="19"/>
              <w:ind w:right="66"/>
              <w:jc w:val="right"/>
              <w:rPr>
                <w:sz w:val="16"/>
              </w:rPr>
            </w:pPr>
            <w:r>
              <w:rPr>
                <w:sz w:val="16"/>
              </w:rPr>
              <w:t>2.</w:t>
            </w:r>
          </w:p>
        </w:tc>
        <w:tc>
          <w:tcPr>
            <w:tcW w:w="3488" w:type="dxa"/>
          </w:tcPr>
          <w:p>
            <w:pPr>
              <w:pStyle w:val="TableParagraph"/>
              <w:spacing w:before="19"/>
              <w:ind w:left="68"/>
              <w:rPr>
                <w:sz w:val="16"/>
              </w:rPr>
            </w:pPr>
            <w:r>
              <w:rPr>
                <w:sz w:val="16"/>
              </w:rPr>
              <w:t>Trabajadores de la educación</w:t>
            </w:r>
          </w:p>
        </w:tc>
        <w:tc>
          <w:tcPr>
            <w:tcW w:w="603" w:type="dxa"/>
          </w:tcPr>
          <w:p>
            <w:pPr>
              <w:pStyle w:val="TableParagraph"/>
              <w:spacing w:before="19"/>
              <w:ind w:right="66"/>
              <w:jc w:val="right"/>
              <w:rPr>
                <w:sz w:val="16"/>
              </w:rPr>
            </w:pPr>
            <w:r>
              <w:rPr>
                <w:sz w:val="16"/>
              </w:rPr>
              <w:t>8.</w:t>
            </w:r>
          </w:p>
        </w:tc>
        <w:tc>
          <w:tcPr>
            <w:tcW w:w="2617" w:type="dxa"/>
          </w:tcPr>
          <w:p>
            <w:pPr>
              <w:pStyle w:val="TableParagraph"/>
              <w:spacing w:before="19"/>
              <w:ind w:left="68"/>
              <w:rPr>
                <w:sz w:val="16"/>
              </w:rPr>
            </w:pPr>
            <w:r>
              <w:rPr>
                <w:sz w:val="16"/>
              </w:rPr>
              <w:t>Trabajadores en servicios personales</w:t>
            </w:r>
          </w:p>
        </w:tc>
      </w:tr>
      <w:tr>
        <w:trPr>
          <w:trHeight w:val="395" w:hRule="exact"/>
        </w:trPr>
        <w:tc>
          <w:tcPr>
            <w:tcW w:w="391" w:type="dxa"/>
          </w:tcPr>
          <w:p>
            <w:pPr>
              <w:pStyle w:val="TableParagraph"/>
              <w:spacing w:before="3"/>
              <w:rPr>
                <w:rFonts w:ascii="Calibri"/>
                <w:sz w:val="14"/>
              </w:rPr>
            </w:pPr>
          </w:p>
          <w:p>
            <w:pPr>
              <w:pStyle w:val="TableParagraph"/>
              <w:ind w:right="66"/>
              <w:jc w:val="right"/>
              <w:rPr>
                <w:sz w:val="16"/>
              </w:rPr>
            </w:pPr>
            <w:r>
              <w:rPr>
                <w:sz w:val="16"/>
              </w:rPr>
              <w:t>3.</w:t>
            </w:r>
          </w:p>
        </w:tc>
        <w:tc>
          <w:tcPr>
            <w:tcW w:w="3488" w:type="dxa"/>
          </w:tcPr>
          <w:p>
            <w:pPr>
              <w:pStyle w:val="TableParagraph"/>
              <w:spacing w:before="3"/>
              <w:rPr>
                <w:rFonts w:ascii="Calibri"/>
                <w:sz w:val="14"/>
              </w:rPr>
            </w:pPr>
          </w:p>
          <w:p>
            <w:pPr>
              <w:pStyle w:val="TableParagraph"/>
              <w:ind w:left="68"/>
              <w:rPr>
                <w:sz w:val="16"/>
              </w:rPr>
            </w:pPr>
            <w:r>
              <w:rPr>
                <w:sz w:val="16"/>
              </w:rPr>
              <w:t>Funcionarios y directivos</w:t>
            </w:r>
          </w:p>
        </w:tc>
        <w:tc>
          <w:tcPr>
            <w:tcW w:w="603" w:type="dxa"/>
          </w:tcPr>
          <w:p>
            <w:pPr>
              <w:pStyle w:val="TableParagraph"/>
              <w:spacing w:before="3"/>
              <w:rPr>
                <w:rFonts w:ascii="Calibri"/>
                <w:sz w:val="14"/>
              </w:rPr>
            </w:pPr>
          </w:p>
          <w:p>
            <w:pPr>
              <w:pStyle w:val="TableParagraph"/>
              <w:ind w:right="66"/>
              <w:jc w:val="right"/>
              <w:rPr>
                <w:sz w:val="16"/>
              </w:rPr>
            </w:pPr>
            <w:r>
              <w:rPr>
                <w:sz w:val="16"/>
              </w:rPr>
              <w:t>9.</w:t>
            </w:r>
          </w:p>
        </w:tc>
        <w:tc>
          <w:tcPr>
            <w:tcW w:w="2617" w:type="dxa"/>
          </w:tcPr>
          <w:p>
            <w:pPr>
              <w:pStyle w:val="TableParagraph"/>
              <w:spacing w:line="237" w:lineRule="auto"/>
              <w:ind w:left="68" w:right="667"/>
              <w:rPr>
                <w:sz w:val="16"/>
              </w:rPr>
            </w:pPr>
            <w:r>
              <w:rPr>
                <w:sz w:val="16"/>
              </w:rPr>
              <w:t>Trabajadores en protección y vigilancia</w:t>
            </w:r>
          </w:p>
        </w:tc>
      </w:tr>
      <w:tr>
        <w:trPr>
          <w:trHeight w:val="240" w:hRule="exact"/>
        </w:trPr>
        <w:tc>
          <w:tcPr>
            <w:tcW w:w="391" w:type="dxa"/>
          </w:tcPr>
          <w:p>
            <w:pPr>
              <w:pStyle w:val="TableParagraph"/>
              <w:spacing w:before="19"/>
              <w:ind w:right="66"/>
              <w:jc w:val="right"/>
              <w:rPr>
                <w:sz w:val="16"/>
              </w:rPr>
            </w:pPr>
            <w:r>
              <w:rPr>
                <w:sz w:val="16"/>
              </w:rPr>
              <w:t>4.</w:t>
            </w:r>
          </w:p>
        </w:tc>
        <w:tc>
          <w:tcPr>
            <w:tcW w:w="3488" w:type="dxa"/>
          </w:tcPr>
          <w:p>
            <w:pPr>
              <w:pStyle w:val="TableParagraph"/>
              <w:spacing w:before="19"/>
              <w:ind w:left="68"/>
              <w:rPr>
                <w:sz w:val="16"/>
              </w:rPr>
            </w:pPr>
            <w:r>
              <w:rPr>
                <w:sz w:val="16"/>
              </w:rPr>
              <w:t>Oficinistas</w:t>
            </w:r>
          </w:p>
        </w:tc>
        <w:tc>
          <w:tcPr>
            <w:tcW w:w="603" w:type="dxa"/>
          </w:tcPr>
          <w:p>
            <w:pPr>
              <w:pStyle w:val="TableParagraph"/>
              <w:spacing w:before="19"/>
              <w:ind w:right="66"/>
              <w:jc w:val="right"/>
              <w:rPr>
                <w:sz w:val="16"/>
              </w:rPr>
            </w:pPr>
            <w:r>
              <w:rPr>
                <w:sz w:val="16"/>
              </w:rPr>
              <w:t>10.</w:t>
            </w:r>
          </w:p>
        </w:tc>
        <w:tc>
          <w:tcPr>
            <w:tcW w:w="2617" w:type="dxa"/>
          </w:tcPr>
          <w:p>
            <w:pPr>
              <w:pStyle w:val="TableParagraph"/>
              <w:spacing w:before="19"/>
              <w:ind w:left="68"/>
              <w:rPr>
                <w:sz w:val="16"/>
              </w:rPr>
            </w:pPr>
            <w:r>
              <w:rPr>
                <w:sz w:val="16"/>
              </w:rPr>
              <w:t>Trabajadores agropecuarios</w:t>
            </w:r>
          </w:p>
        </w:tc>
      </w:tr>
      <w:tr>
        <w:trPr>
          <w:trHeight w:val="240" w:hRule="exact"/>
        </w:trPr>
        <w:tc>
          <w:tcPr>
            <w:tcW w:w="391" w:type="dxa"/>
          </w:tcPr>
          <w:p>
            <w:pPr>
              <w:pStyle w:val="TableParagraph"/>
              <w:spacing w:before="19"/>
              <w:ind w:right="66"/>
              <w:jc w:val="right"/>
              <w:rPr>
                <w:sz w:val="16"/>
              </w:rPr>
            </w:pPr>
            <w:r>
              <w:rPr>
                <w:sz w:val="16"/>
              </w:rPr>
              <w:t>5.</w:t>
            </w:r>
          </w:p>
        </w:tc>
        <w:tc>
          <w:tcPr>
            <w:tcW w:w="3488" w:type="dxa"/>
          </w:tcPr>
          <w:p>
            <w:pPr>
              <w:pStyle w:val="TableParagraph"/>
              <w:spacing w:before="19"/>
              <w:ind w:left="68"/>
              <w:rPr>
                <w:sz w:val="16"/>
              </w:rPr>
            </w:pPr>
            <w:r>
              <w:rPr>
                <w:sz w:val="16"/>
              </w:rPr>
              <w:t>Trabajadores industriales, artesanos y ayudantes</w:t>
            </w:r>
          </w:p>
        </w:tc>
        <w:tc>
          <w:tcPr>
            <w:tcW w:w="603" w:type="dxa"/>
          </w:tcPr>
          <w:p>
            <w:pPr>
              <w:pStyle w:val="TableParagraph"/>
              <w:spacing w:before="19"/>
              <w:ind w:right="66"/>
              <w:jc w:val="right"/>
              <w:rPr>
                <w:sz w:val="16"/>
              </w:rPr>
            </w:pPr>
            <w:r>
              <w:rPr>
                <w:sz w:val="16"/>
              </w:rPr>
              <w:t>11.</w:t>
            </w:r>
          </w:p>
        </w:tc>
        <w:tc>
          <w:tcPr>
            <w:tcW w:w="2617" w:type="dxa"/>
          </w:tcPr>
          <w:p>
            <w:pPr>
              <w:pStyle w:val="TableParagraph"/>
              <w:spacing w:before="19"/>
              <w:ind w:left="68"/>
              <w:rPr>
                <w:sz w:val="16"/>
              </w:rPr>
            </w:pPr>
            <w:r>
              <w:rPr>
                <w:sz w:val="16"/>
              </w:rPr>
              <w:t>No especificado</w:t>
            </w:r>
          </w:p>
        </w:tc>
      </w:tr>
      <w:tr>
        <w:trPr>
          <w:trHeight w:val="200" w:hRule="exact"/>
        </w:trPr>
        <w:tc>
          <w:tcPr>
            <w:tcW w:w="391" w:type="dxa"/>
          </w:tcPr>
          <w:p>
            <w:pPr>
              <w:pStyle w:val="TableParagraph"/>
              <w:spacing w:before="19"/>
              <w:ind w:right="66"/>
              <w:jc w:val="right"/>
              <w:rPr>
                <w:sz w:val="16"/>
              </w:rPr>
            </w:pPr>
            <w:r>
              <w:rPr>
                <w:sz w:val="16"/>
              </w:rPr>
              <w:t>6.</w:t>
            </w:r>
          </w:p>
        </w:tc>
        <w:tc>
          <w:tcPr>
            <w:tcW w:w="3488" w:type="dxa"/>
          </w:tcPr>
          <w:p>
            <w:pPr>
              <w:pStyle w:val="TableParagraph"/>
              <w:spacing w:before="19"/>
              <w:ind w:left="68"/>
              <w:rPr>
                <w:sz w:val="16"/>
              </w:rPr>
            </w:pPr>
            <w:r>
              <w:rPr>
                <w:sz w:val="16"/>
              </w:rPr>
              <w:t>Comerciantes</w:t>
            </w:r>
          </w:p>
        </w:tc>
        <w:tc>
          <w:tcPr>
            <w:tcW w:w="603" w:type="dxa"/>
          </w:tcPr>
          <w:p>
            <w:pPr/>
          </w:p>
        </w:tc>
        <w:tc>
          <w:tcPr>
            <w:tcW w:w="2617" w:type="dxa"/>
          </w:tcPr>
          <w:p>
            <w:pPr/>
          </w:p>
        </w:tc>
      </w:tr>
    </w:tbl>
    <w:p>
      <w:pPr>
        <w:pStyle w:val="BodyText"/>
        <w:spacing w:before="6"/>
        <w:rPr>
          <w:rFonts w:ascii="Calibri"/>
          <w:sz w:val="22"/>
        </w:rPr>
      </w:pPr>
    </w:p>
    <w:p>
      <w:pPr>
        <w:spacing w:before="73"/>
        <w:ind w:left="102" w:right="0" w:firstLine="0"/>
        <w:jc w:val="both"/>
        <w:rPr>
          <w:sz w:val="20"/>
        </w:rPr>
      </w:pPr>
      <w:r>
        <w:rPr>
          <w:sz w:val="20"/>
        </w:rPr>
        <w:t>Fuente: INEGI, 2012</w:t>
      </w:r>
    </w:p>
    <w:p>
      <w:pPr>
        <w:pStyle w:val="BodyText"/>
        <w:rPr>
          <w:sz w:val="20"/>
        </w:rPr>
      </w:pPr>
    </w:p>
    <w:p>
      <w:pPr>
        <w:pStyle w:val="BodyText"/>
        <w:rPr>
          <w:sz w:val="20"/>
        </w:rPr>
      </w:pPr>
    </w:p>
    <w:p>
      <w:pPr>
        <w:pStyle w:val="Heading3"/>
        <w:numPr>
          <w:ilvl w:val="2"/>
          <w:numId w:val="69"/>
        </w:numPr>
        <w:tabs>
          <w:tab w:pos="703" w:val="left" w:leader="none"/>
        </w:tabs>
        <w:spacing w:line="240" w:lineRule="auto" w:before="142" w:after="0"/>
        <w:ind w:left="702" w:right="0" w:hanging="600"/>
        <w:jc w:val="both"/>
      </w:pPr>
      <w:bookmarkStart w:name="_bookmark54" w:id="98"/>
      <w:bookmarkEnd w:id="98"/>
      <w:r>
        <w:rPr>
          <w:b w:val="0"/>
        </w:rPr>
      </w:r>
      <w:bookmarkStart w:name="_bookmark54" w:id="99"/>
      <w:bookmarkEnd w:id="99"/>
      <w:r>
        <w:rPr/>
        <w:t>T</w:t>
      </w:r>
      <w:r>
        <w:rPr/>
        <w:t>asa de</w:t>
      </w:r>
      <w:r>
        <w:rPr>
          <w:spacing w:val="-8"/>
        </w:rPr>
        <w:t> </w:t>
      </w:r>
      <w:r>
        <w:rPr/>
        <w:t>desocupación</w:t>
      </w:r>
    </w:p>
    <w:p>
      <w:pPr>
        <w:pStyle w:val="BodyText"/>
        <w:rPr>
          <w:b/>
        </w:rPr>
      </w:pPr>
    </w:p>
    <w:p>
      <w:pPr>
        <w:pStyle w:val="BodyText"/>
        <w:spacing w:line="360" w:lineRule="auto" w:before="173"/>
        <w:ind w:left="102" w:right="117"/>
        <w:jc w:val="both"/>
      </w:pPr>
      <w:r>
        <w:rPr/>
        <w:t>La tasa de desocupación el mercado de trabajo en diciembre 2012 (gráfica 4.7) registró una disminución anual en el desempleo al pasar de 5.68% a 4.47% de la PEA, que se ubica en</w:t>
      </w:r>
    </w:p>
    <w:p>
      <w:pPr>
        <w:pStyle w:val="BodyText"/>
        <w:spacing w:line="360" w:lineRule="auto" w:before="4"/>
        <w:ind w:left="102" w:right="117"/>
        <w:jc w:val="both"/>
      </w:pPr>
      <w:r>
        <w:rPr/>
        <w:t>48.2 millones de personas; sin embargo, la informalidad tuvo un repunte al pasar  de 28.81% en 2011 a 28.87% en 2012, lo que representó que 17.0 millones de personas se emplearan en este sector (INEGI, 2012).</w:t>
      </w:r>
    </w:p>
    <w:p>
      <w:pPr>
        <w:pStyle w:val="BodyText"/>
      </w:pPr>
    </w:p>
    <w:p>
      <w:pPr>
        <w:pStyle w:val="BodyText"/>
        <w:spacing w:line="360" w:lineRule="auto" w:before="143"/>
        <w:ind w:left="102" w:right="118"/>
        <w:jc w:val="both"/>
      </w:pPr>
      <w:r>
        <w:rPr/>
        <w:t>Así, tres de cada 10 trabajadores en el país efectuaron trabajo en la economía informal en el que no recibieron ninguna prestación de seguridad social o contrato por escrito. De acuerdo con especialistas, el crecimiento del empleo informal, así como las personas que buscan un segundo empleo (subocupación) contribuyó a que la tasa de desempleo registrara su nivel más bajo desde 2009.</w:t>
      </w:r>
    </w:p>
    <w:p>
      <w:pPr>
        <w:spacing w:after="0" w:line="360" w:lineRule="auto"/>
        <w:jc w:val="both"/>
        <w:sectPr>
          <w:pgSz w:w="12240" w:h="15840"/>
          <w:pgMar w:header="0" w:footer="1003" w:top="1360" w:bottom="1200" w:left="1600" w:right="1580"/>
        </w:sectPr>
      </w:pPr>
    </w:p>
    <w:p>
      <w:pPr>
        <w:pStyle w:val="Heading3"/>
        <w:spacing w:line="360" w:lineRule="auto" w:after="5"/>
        <w:ind w:left="1183" w:right="1202"/>
        <w:jc w:val="center"/>
      </w:pPr>
      <w:r>
        <w:rPr/>
        <w:t>Gráfica 4.7. Tasa de desocupación nacional a septiembre de 2012 (% del PEA)</w:t>
      </w:r>
    </w:p>
    <w:p>
      <w:pPr>
        <w:pStyle w:val="BodyText"/>
        <w:ind w:left="450"/>
        <w:rPr>
          <w:sz w:val="20"/>
        </w:rPr>
      </w:pPr>
      <w:r>
        <w:rPr>
          <w:sz w:val="20"/>
        </w:rPr>
        <w:drawing>
          <wp:inline distT="0" distB="0" distL="0" distR="0">
            <wp:extent cx="5179485" cy="3297650"/>
            <wp:effectExtent l="0" t="0" r="0" b="0"/>
            <wp:docPr id="25" name="image39.jpeg" descr=""/>
            <wp:cNvGraphicFramePr>
              <a:graphicFrameLocks noChangeAspect="1"/>
            </wp:cNvGraphicFramePr>
            <a:graphic>
              <a:graphicData uri="http://schemas.openxmlformats.org/drawingml/2006/picture">
                <pic:pic>
                  <pic:nvPicPr>
                    <pic:cNvPr id="26" name="image39.jpeg"/>
                    <pic:cNvPicPr/>
                  </pic:nvPicPr>
                  <pic:blipFill>
                    <a:blip r:embed="rId75" cstate="print"/>
                    <a:stretch>
                      <a:fillRect/>
                    </a:stretch>
                  </pic:blipFill>
                  <pic:spPr>
                    <a:xfrm>
                      <a:off x="0" y="0"/>
                      <a:ext cx="5179485" cy="3297650"/>
                    </a:xfrm>
                    <a:prstGeom prst="rect">
                      <a:avLst/>
                    </a:prstGeom>
                  </pic:spPr>
                </pic:pic>
              </a:graphicData>
            </a:graphic>
          </wp:inline>
        </w:drawing>
      </w:r>
      <w:r>
        <w:rPr>
          <w:sz w:val="20"/>
        </w:rPr>
      </w:r>
    </w:p>
    <w:p>
      <w:pPr>
        <w:spacing w:before="139"/>
        <w:ind w:left="0" w:right="19" w:firstLine="0"/>
        <w:jc w:val="center"/>
        <w:rPr>
          <w:sz w:val="20"/>
        </w:rPr>
      </w:pPr>
      <w:r>
        <w:rPr>
          <w:sz w:val="20"/>
        </w:rPr>
        <w:t>Fuente: INEGI, 2012.</w:t>
      </w:r>
    </w:p>
    <w:p>
      <w:pPr>
        <w:pStyle w:val="BodyText"/>
        <w:rPr>
          <w:sz w:val="20"/>
        </w:rPr>
      </w:pPr>
    </w:p>
    <w:p>
      <w:pPr>
        <w:pStyle w:val="BodyText"/>
        <w:rPr>
          <w:sz w:val="20"/>
        </w:rPr>
      </w:pPr>
    </w:p>
    <w:p>
      <w:pPr>
        <w:pStyle w:val="BodyText"/>
        <w:spacing w:line="360" w:lineRule="auto"/>
        <w:ind w:left="102" w:right="115"/>
        <w:jc w:val="both"/>
      </w:pPr>
      <w:r>
        <w:rPr/>
        <w:t>Por sexo, la tasa de desocupación en los hombres disminuyó de 9.44% a 8.88% entre el cuarto trimestre de 2011 e igual periodo en 2012, y la de las mujeres cayó de 16.06% a 15.37% en el mismo lapso. Un dato interesante que se relaciona directamente con el objeto de estudio de este trabajo es que al menos 22% de la población desocupada en las 32 entidades federativas del país tiene un nivel de estudios superior y medio superior, según cifras de la Secretaría del Trabajo y Previsión Social (STPS, 2012). En Campeche, de cada 100 personas desempleadas, 59 tienen dicho nivel de instrucción; en Chiapas, 55; en Guerrero, 49; en Puebla y Tabasco, 47 en cada caso y en el Estado de México 43.</w:t>
      </w:r>
    </w:p>
    <w:p>
      <w:pPr>
        <w:spacing w:after="0" w:line="360" w:lineRule="auto"/>
        <w:jc w:val="both"/>
        <w:sectPr>
          <w:footerReference w:type="default" r:id="rId74"/>
          <w:pgSz w:w="12240" w:h="15840"/>
          <w:pgMar w:footer="1003" w:header="0" w:top="1360" w:bottom="1200" w:left="1600" w:right="1580"/>
          <w:pgNumType w:start="120"/>
        </w:sectPr>
      </w:pPr>
    </w:p>
    <w:p>
      <w:pPr>
        <w:pStyle w:val="Heading3"/>
        <w:ind w:left="1746" w:right="1552"/>
        <w:jc w:val="left"/>
      </w:pPr>
      <w:r>
        <w:rPr/>
        <w:t>Gráfica 4.8. Preparados pero sin empleo (Cifras en %)</w:t>
      </w:r>
    </w:p>
    <w:p>
      <w:pPr>
        <w:pStyle w:val="BodyText"/>
        <w:spacing w:before="3"/>
        <w:rPr>
          <w:b/>
          <w:sz w:val="27"/>
        </w:rPr>
      </w:pPr>
      <w:r>
        <w:rPr/>
        <w:pict>
          <v:line style="position:absolute;mso-position-horizontal-relative:page;mso-position-vertical-relative:paragraph;z-index:4336;mso-wrap-distance-left:0;mso-wrap-distance-right:0" from="99.480003pt,18.024317pt" to="512.640003pt,18.024317pt" stroked="true" strokeweight=".72pt" strokecolor="#858585">
            <w10:wrap type="topAndBottom"/>
          </v:line>
        </w:pict>
      </w:r>
    </w:p>
    <w:p>
      <w:pPr>
        <w:pStyle w:val="BodyText"/>
        <w:spacing w:before="4"/>
        <w:rPr>
          <w:b/>
          <w:sz w:val="19"/>
        </w:rPr>
      </w:pPr>
    </w:p>
    <w:p>
      <w:pPr>
        <w:spacing w:line="305" w:lineRule="exact" w:before="44"/>
        <w:ind w:left="679" w:right="1552" w:firstLine="0"/>
        <w:jc w:val="left"/>
        <w:rPr>
          <w:rFonts w:ascii="Calibri"/>
          <w:b/>
          <w:sz w:val="28"/>
        </w:rPr>
      </w:pPr>
      <w:r>
        <w:rPr>
          <w:rFonts w:ascii="Calibri"/>
          <w:b/>
          <w:sz w:val="28"/>
        </w:rPr>
        <w:t>59</w:t>
      </w:r>
    </w:p>
    <w:p>
      <w:pPr>
        <w:spacing w:line="305" w:lineRule="exact" w:before="0"/>
        <w:ind w:left="1506" w:right="1552" w:firstLine="0"/>
        <w:jc w:val="left"/>
        <w:rPr>
          <w:rFonts w:ascii="Calibri"/>
          <w:b/>
          <w:sz w:val="28"/>
        </w:rPr>
      </w:pPr>
      <w:r>
        <w:rPr/>
        <w:pict>
          <v:group style="position:absolute;margin-left:99.105003pt;margin-top:2.585153pt;width:413.95pt;height:201.9pt;mso-position-horizontal-relative:page;mso-position-vertical-relative:paragraph;z-index:-398296" coordorigin="1982,52" coordsize="8279,4038">
            <v:shape style="position:absolute;left:1990;top:59;width:8264;height:3346" coordorigin="1990,59" coordsize="8264,3346" path="m1990,3405l10253,3405m1990,2738l10253,2738m1990,2068l10253,2068m1990,1398l10253,1398m1990,729l10253,729m1990,59l10253,59e" filled="false" stroked="true" strokeweight=".72pt" strokecolor="#858585">
              <v:path arrowok="t"/>
            </v:shape>
            <v:shape style="position:absolute;left:2098;top:95;width:607;height:3994" type="#_x0000_t75" stroked="false">
              <v:imagedata r:id="rId76" o:title=""/>
            </v:shape>
            <v:shape style="position:absolute;left:2926;top:364;width:605;height:3725" type="#_x0000_t75" stroked="false">
              <v:imagedata r:id="rId77" o:title=""/>
            </v:shape>
            <v:shape style="position:absolute;left:3751;top:765;width:607;height:3324" type="#_x0000_t75" stroked="false">
              <v:imagedata r:id="rId78" o:title=""/>
            </v:shape>
            <v:shape style="position:absolute;left:4577;top:899;width:607;height:3190" type="#_x0000_t75" stroked="false">
              <v:imagedata r:id="rId79" o:title=""/>
            </v:shape>
            <v:shape style="position:absolute;left:5402;top:899;width:607;height:3190" type="#_x0000_t75" stroked="false">
              <v:imagedata r:id="rId80" o:title=""/>
            </v:shape>
            <v:shape style="position:absolute;left:6230;top:1034;width:607;height:3055" type="#_x0000_t75" stroked="false">
              <v:imagedata r:id="rId81" o:title=""/>
            </v:shape>
            <v:shape style="position:absolute;left:7056;top:1166;width:607;height:2923" type="#_x0000_t75" stroked="false">
              <v:imagedata r:id="rId82" o:title=""/>
            </v:shape>
            <v:shape style="position:absolute;left:7882;top:1166;width:607;height:2923" type="#_x0000_t75" stroked="false">
              <v:imagedata r:id="rId83" o:title=""/>
            </v:shape>
            <v:shape style="position:absolute;left:8710;top:1166;width:605;height:2923" type="#_x0000_t75" stroked="false">
              <v:imagedata r:id="rId84" o:title=""/>
            </v:shape>
            <v:shape style="position:absolute;left:9535;top:1233;width:607;height:2856" type="#_x0000_t75" stroked="false">
              <v:imagedata r:id="rId85" o:title=""/>
            </v:shape>
            <v:shape style="position:absolute;left:2160;top:122;width:485;height:3960" type="#_x0000_t75" stroked="false">
              <v:imagedata r:id="rId86" o:title=""/>
            </v:shape>
            <v:shape style="position:absolute;left:2986;top:388;width:485;height:3694" type="#_x0000_t75" stroked="false">
              <v:imagedata r:id="rId87" o:title=""/>
            </v:shape>
            <v:shape style="position:absolute;left:3811;top:791;width:485;height:3290" type="#_x0000_t75" stroked="false">
              <v:imagedata r:id="rId88" o:title=""/>
            </v:shape>
            <v:shape style="position:absolute;left:4639;top:923;width:482;height:3158" type="#_x0000_t75" stroked="false">
              <v:imagedata r:id="rId89" o:title=""/>
            </v:shape>
            <v:shape style="position:absolute;left:5465;top:923;width:485;height:3158" type="#_x0000_t75" stroked="false">
              <v:imagedata r:id="rId90" o:title=""/>
            </v:shape>
            <v:shape style="position:absolute;left:6290;top:1058;width:485;height:3024" type="#_x0000_t75" stroked="false">
              <v:imagedata r:id="rId91" o:title=""/>
            </v:shape>
            <v:shape style="position:absolute;left:7118;top:1192;width:482;height:2890" type="#_x0000_t75" stroked="false">
              <v:imagedata r:id="rId92" o:title=""/>
            </v:shape>
            <v:shape style="position:absolute;left:7944;top:1192;width:485;height:2890" type="#_x0000_t75" stroked="false">
              <v:imagedata r:id="rId93" o:title=""/>
            </v:shape>
            <v:shape style="position:absolute;left:8770;top:1192;width:485;height:2890" type="#_x0000_t75" stroked="false">
              <v:imagedata r:id="rId94" o:title=""/>
            </v:shape>
            <v:shape style="position:absolute;left:9595;top:1259;width:485;height:2822" type="#_x0000_t75" stroked="false">
              <v:imagedata r:id="rId95" o:title=""/>
            </v:shape>
            <v:line style="position:absolute" from="1990,4074" to="10253,4074" stroked="true" strokeweight=".72pt" strokecolor="#858585"/>
            <w10:wrap type="none"/>
          </v:group>
        </w:pict>
      </w:r>
      <w:r>
        <w:rPr>
          <w:rFonts w:ascii="Calibri"/>
          <w:b/>
          <w:sz w:val="28"/>
        </w:rPr>
        <w:t>55</w:t>
      </w:r>
    </w:p>
    <w:p>
      <w:pPr>
        <w:tabs>
          <w:tab w:pos="3158" w:val="left" w:leader="none"/>
          <w:tab w:pos="3985" w:val="left" w:leader="none"/>
          <w:tab w:pos="4811" w:val="left" w:leader="none"/>
        </w:tabs>
        <w:spacing w:line="500" w:lineRule="exact" w:before="63"/>
        <w:ind w:left="2332" w:right="1552" w:firstLine="0"/>
        <w:jc w:val="left"/>
        <w:rPr>
          <w:rFonts w:ascii="Calibri"/>
          <w:b/>
          <w:sz w:val="28"/>
        </w:rPr>
      </w:pPr>
      <w:r>
        <w:rPr>
          <w:rFonts w:ascii="Calibri"/>
          <w:b/>
          <w:position w:val="13"/>
          <w:sz w:val="28"/>
        </w:rPr>
        <w:t>49</w:t>
        <w:tab/>
      </w:r>
      <w:r>
        <w:rPr>
          <w:rFonts w:ascii="Calibri"/>
          <w:b/>
          <w:sz w:val="28"/>
        </w:rPr>
        <w:t>47</w:t>
        <w:tab/>
        <w:t>47</w:t>
        <w:tab/>
      </w:r>
      <w:r>
        <w:rPr>
          <w:rFonts w:ascii="Calibri"/>
          <w:b/>
          <w:position w:val="-12"/>
          <w:sz w:val="28"/>
        </w:rPr>
        <w:t>45</w:t>
      </w:r>
    </w:p>
    <w:p>
      <w:pPr>
        <w:tabs>
          <w:tab w:pos="6464" w:val="left" w:leader="none"/>
          <w:tab w:pos="7290" w:val="left" w:leader="none"/>
          <w:tab w:pos="8117" w:val="left" w:leader="none"/>
        </w:tabs>
        <w:spacing w:line="310" w:lineRule="exact" w:before="0"/>
        <w:ind w:left="5637" w:right="262" w:firstLine="0"/>
        <w:jc w:val="left"/>
        <w:rPr>
          <w:rFonts w:ascii="Calibri"/>
          <w:b/>
          <w:sz w:val="28"/>
        </w:rPr>
      </w:pPr>
      <w:r>
        <w:rPr>
          <w:rFonts w:ascii="Calibri"/>
          <w:b/>
          <w:sz w:val="28"/>
        </w:rPr>
        <w:t>43</w:t>
        <w:tab/>
        <w:t>43</w:t>
        <w:tab/>
        <w:t>43</w:t>
        <w:tab/>
      </w:r>
      <w:r>
        <w:rPr>
          <w:rFonts w:ascii="Calibri"/>
          <w:b/>
          <w:position w:val="-6"/>
          <w:sz w:val="28"/>
        </w:rPr>
        <w:t>42</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2"/>
        <w:rPr>
          <w:rFonts w:ascii="Calibri"/>
          <w:b/>
        </w:rPr>
      </w:pPr>
    </w:p>
    <w:p>
      <w:pPr>
        <w:tabs>
          <w:tab w:pos="1435" w:val="left" w:leader="none"/>
          <w:tab w:pos="2256" w:val="left" w:leader="none"/>
          <w:tab w:pos="3104" w:val="left" w:leader="none"/>
          <w:tab w:pos="3911" w:val="left" w:leader="none"/>
          <w:tab w:pos="4792" w:val="left" w:leader="none"/>
          <w:tab w:pos="5662" w:val="left" w:leader="none"/>
          <w:tab w:pos="6213" w:val="left" w:leader="none"/>
          <w:tab w:pos="7215" w:val="left" w:leader="none"/>
          <w:tab w:pos="7937" w:val="left" w:leader="none"/>
        </w:tabs>
        <w:spacing w:before="56"/>
        <w:ind w:left="594" w:right="262" w:firstLine="0"/>
        <w:jc w:val="left"/>
        <w:rPr>
          <w:rFonts w:ascii="Calibri"/>
          <w:sz w:val="22"/>
        </w:rPr>
      </w:pPr>
      <w:r>
        <w:rPr>
          <w:rFonts w:ascii="Calibri"/>
          <w:sz w:val="22"/>
        </w:rPr>
        <w:t>Cam.</w:t>
        <w:tab/>
        <w:t>Chis.</w:t>
        <w:tab/>
        <w:t>Gro.</w:t>
        <w:tab/>
        <w:t>Pue.</w:t>
        <w:tab/>
        <w:t>Tab.</w:t>
        <w:tab/>
        <w:t>Sin.</w:t>
        <w:tab/>
        <w:t>DF</w:t>
        <w:tab/>
        <w:t>EdoMex.</w:t>
        <w:tab/>
        <w:t>Mor.</w:t>
        <w:tab/>
        <w:t>Tamps.</w:t>
      </w:r>
    </w:p>
    <w:p>
      <w:pPr>
        <w:pStyle w:val="BodyText"/>
        <w:spacing w:before="5"/>
        <w:rPr>
          <w:rFonts w:ascii="Calibri"/>
          <w:sz w:val="15"/>
        </w:rPr>
      </w:pPr>
    </w:p>
    <w:p>
      <w:pPr>
        <w:spacing w:before="74"/>
        <w:ind w:left="712" w:right="262" w:firstLine="0"/>
        <w:jc w:val="left"/>
        <w:rPr>
          <w:sz w:val="20"/>
        </w:rPr>
      </w:pPr>
      <w:r>
        <w:rPr>
          <w:sz w:val="20"/>
        </w:rPr>
        <w:t>Fuente: elaboración propia con base en Secretaria del Trabajo y Previsión Social – STPS, 2012.</w:t>
      </w:r>
    </w:p>
    <w:p>
      <w:pPr>
        <w:pStyle w:val="BodyText"/>
        <w:rPr>
          <w:sz w:val="20"/>
        </w:rPr>
      </w:pPr>
    </w:p>
    <w:p>
      <w:pPr>
        <w:pStyle w:val="BodyText"/>
        <w:rPr>
          <w:sz w:val="20"/>
        </w:rPr>
      </w:pPr>
    </w:p>
    <w:p>
      <w:pPr>
        <w:pStyle w:val="BodyText"/>
        <w:spacing w:before="1"/>
        <w:rPr>
          <w:sz w:val="16"/>
        </w:rPr>
      </w:pPr>
    </w:p>
    <w:p>
      <w:pPr>
        <w:pStyle w:val="BodyText"/>
        <w:spacing w:line="360" w:lineRule="auto"/>
        <w:ind w:left="122" w:right="115"/>
        <w:jc w:val="both"/>
      </w:pPr>
      <w:r>
        <w:rPr/>
        <w:t>Las cifras presentadas dan una idea de la necesidad de generar empleos para la población con estudios superiores, pues se convierte en una pérdida importante de capital humano y  de desarrollo económico. “Tenemos un desfase entre las profesiones que toma la gente y su ocupación. De entrada, creo que hay un problema en la definición”, comenta Manuel Molano, director adjunto del Instituto Mexicano para la Competitividad (IMCO) (El economista,</w:t>
      </w:r>
      <w:r>
        <w:rPr>
          <w:spacing w:val="-4"/>
        </w:rPr>
        <w:t> </w:t>
      </w:r>
      <w:r>
        <w:rPr/>
        <w:t>2012).</w:t>
      </w:r>
    </w:p>
    <w:p>
      <w:pPr>
        <w:pStyle w:val="BodyText"/>
      </w:pPr>
    </w:p>
    <w:p>
      <w:pPr>
        <w:pStyle w:val="BodyText"/>
        <w:spacing w:line="362" w:lineRule="auto" w:before="143"/>
        <w:ind w:left="122" w:right="119"/>
        <w:jc w:val="both"/>
      </w:pPr>
      <w:r>
        <w:rPr/>
        <w:t>El panorama a nivel Estado de México no es diferente al mostrado hasta el momento. A continuación se desglosa este análisis.</w:t>
      </w:r>
    </w:p>
    <w:p>
      <w:pPr>
        <w:pStyle w:val="BodyText"/>
      </w:pPr>
    </w:p>
    <w:p>
      <w:pPr>
        <w:pStyle w:val="Heading3"/>
        <w:numPr>
          <w:ilvl w:val="1"/>
          <w:numId w:val="70"/>
        </w:numPr>
        <w:tabs>
          <w:tab w:pos="890" w:val="left" w:leader="none"/>
        </w:tabs>
        <w:spacing w:line="240" w:lineRule="auto" w:before="210" w:after="0"/>
        <w:ind w:left="890" w:right="0" w:hanging="790"/>
        <w:jc w:val="both"/>
      </w:pPr>
      <w:bookmarkStart w:name="_bookmark55" w:id="100"/>
      <w:bookmarkEnd w:id="100"/>
      <w:r>
        <w:rPr/>
        <w:t>M</w:t>
      </w:r>
      <w:r>
        <w:rPr/>
        <w:t>ercado de trabajo, situación actual en el Estado de</w:t>
      </w:r>
      <w:r>
        <w:rPr>
          <w:spacing w:val="-6"/>
        </w:rPr>
        <w:t> </w:t>
      </w:r>
      <w:r>
        <w:rPr/>
        <w:t>México</w:t>
      </w:r>
    </w:p>
    <w:p>
      <w:pPr>
        <w:pStyle w:val="BodyText"/>
        <w:rPr>
          <w:b/>
        </w:rPr>
      </w:pPr>
    </w:p>
    <w:p>
      <w:pPr>
        <w:pStyle w:val="BodyText"/>
        <w:spacing w:line="360" w:lineRule="auto" w:before="175"/>
        <w:ind w:left="122" w:right="119"/>
        <w:jc w:val="both"/>
      </w:pPr>
      <w:r>
        <w:rPr/>
        <w:t>De manera similar que a nivel nacional, el Estado de México no está exento de las consecuencias que esta crisis ha dejado, y se encuentra dentro de los 10 primeros estados  de la República Mexicana con mayor desempleo (INEGI,</w:t>
      </w:r>
      <w:r>
        <w:rPr>
          <w:spacing w:val="-12"/>
        </w:rPr>
        <w:t> </w:t>
      </w:r>
      <w:r>
        <w:rPr/>
        <w:t>2012).</w:t>
      </w:r>
    </w:p>
    <w:p>
      <w:pPr>
        <w:spacing w:after="0" w:line="360" w:lineRule="auto"/>
        <w:jc w:val="both"/>
        <w:sectPr>
          <w:pgSz w:w="12240" w:h="15840"/>
          <w:pgMar w:header="0" w:footer="1003" w:top="1360" w:bottom="1200" w:left="1580" w:right="1580"/>
        </w:sectPr>
      </w:pPr>
    </w:p>
    <w:p>
      <w:pPr>
        <w:pStyle w:val="Heading3"/>
        <w:numPr>
          <w:ilvl w:val="2"/>
          <w:numId w:val="70"/>
        </w:numPr>
        <w:tabs>
          <w:tab w:pos="702" w:val="left" w:leader="none"/>
        </w:tabs>
        <w:spacing w:line="240" w:lineRule="auto" w:before="55" w:after="0"/>
        <w:ind w:left="702" w:right="0" w:hanging="600"/>
        <w:jc w:val="both"/>
      </w:pPr>
      <w:bookmarkStart w:name="_bookmark56" w:id="101"/>
      <w:bookmarkEnd w:id="101"/>
      <w:r>
        <w:rPr>
          <w:b w:val="0"/>
        </w:rPr>
      </w:r>
      <w:bookmarkStart w:name="_bookmark56" w:id="102"/>
      <w:bookmarkEnd w:id="102"/>
      <w:r>
        <w:rPr/>
        <w:t>T</w:t>
      </w:r>
      <w:r>
        <w:rPr/>
        <w:t>asa de desempleo en el Estado de</w:t>
      </w:r>
      <w:r>
        <w:rPr>
          <w:spacing w:val="-9"/>
        </w:rPr>
        <w:t> </w:t>
      </w:r>
      <w:r>
        <w:rPr/>
        <w:t>México</w:t>
      </w:r>
    </w:p>
    <w:p>
      <w:pPr>
        <w:pStyle w:val="BodyText"/>
        <w:rPr>
          <w:b/>
        </w:rPr>
      </w:pPr>
    </w:p>
    <w:p>
      <w:pPr>
        <w:pStyle w:val="BodyText"/>
        <w:spacing w:line="360" w:lineRule="auto" w:before="175"/>
        <w:ind w:left="102" w:right="117"/>
        <w:jc w:val="both"/>
      </w:pPr>
      <w:r>
        <w:rPr/>
        <w:t>La población ocupada en la entidad al cuarto semestre de 2012 era de 6’430,695 (ENOE, 2011), lo que representó un 58.1% de participación con respecto a la PEA nacional. El mercado de trabajo de los jóvenes ha sido de los más afectados. La tasa de desempleo juvenil en el Estado de México al 2012 fue más del doble de la media nacional para el mismo periodo de análisis, fue del 12% (INEGI, 2012; El financiero, 2012).</w:t>
      </w:r>
    </w:p>
    <w:p>
      <w:pPr>
        <w:pStyle w:val="BodyText"/>
      </w:pPr>
    </w:p>
    <w:p>
      <w:pPr>
        <w:pStyle w:val="Heading3"/>
        <w:numPr>
          <w:ilvl w:val="2"/>
          <w:numId w:val="70"/>
        </w:numPr>
        <w:tabs>
          <w:tab w:pos="703" w:val="left" w:leader="none"/>
        </w:tabs>
        <w:spacing w:line="240" w:lineRule="auto" w:before="215" w:after="0"/>
        <w:ind w:left="702" w:right="0" w:hanging="600"/>
        <w:jc w:val="both"/>
      </w:pPr>
      <w:bookmarkStart w:name="_bookmark57" w:id="103"/>
      <w:bookmarkEnd w:id="103"/>
      <w:r>
        <w:rPr>
          <w:b w:val="0"/>
        </w:rPr>
      </w:r>
      <w:bookmarkStart w:name="_bookmark57" w:id="104"/>
      <w:bookmarkEnd w:id="104"/>
      <w:r>
        <w:rPr/>
        <w:t>P</w:t>
      </w:r>
      <w:r>
        <w:rPr/>
        <w:t>EA por grupo de ocupación en el Estado de</w:t>
      </w:r>
      <w:r>
        <w:rPr>
          <w:spacing w:val="-12"/>
        </w:rPr>
        <w:t> </w:t>
      </w:r>
      <w:r>
        <w:rPr/>
        <w:t>México</w:t>
      </w:r>
    </w:p>
    <w:p>
      <w:pPr>
        <w:pStyle w:val="BodyText"/>
        <w:rPr>
          <w:b/>
        </w:rPr>
      </w:pPr>
    </w:p>
    <w:p>
      <w:pPr>
        <w:pStyle w:val="BodyText"/>
        <w:spacing w:line="360" w:lineRule="auto" w:before="173"/>
        <w:ind w:left="102" w:right="117"/>
        <w:jc w:val="both"/>
      </w:pPr>
      <w:r>
        <w:rPr/>
        <w:t>Al cuarto trimestre de 2012 el Estado de México, tenía una PEA de 6’831,665, con una tasa de ocupación de 94.1%. Del total de ocupados en el mismo periodo en esta entidad, 75.2% eran asalariados, 17.5% trabajan por su cuenta, 4.0% trabajaban sin pago y 3.0% eran empleadores (INEGI, 2012).</w:t>
      </w:r>
    </w:p>
    <w:p>
      <w:pPr>
        <w:pStyle w:val="BodyText"/>
      </w:pPr>
    </w:p>
    <w:p>
      <w:pPr>
        <w:pStyle w:val="Heading3"/>
        <w:spacing w:line="360" w:lineRule="auto" w:before="148"/>
        <w:ind w:left="4050" w:right="339" w:hanging="3709"/>
        <w:jc w:val="left"/>
      </w:pPr>
      <w:r>
        <w:rPr/>
        <w:t>Gráfica 4.9. Población Estado de México ocupada según posición cuarto trimestre 2012 (%)</w:t>
      </w:r>
    </w:p>
    <w:p>
      <w:pPr>
        <w:spacing w:after="0" w:line="360" w:lineRule="auto"/>
        <w:jc w:val="left"/>
        <w:sectPr>
          <w:pgSz w:w="12240" w:h="15840"/>
          <w:pgMar w:header="0" w:footer="1003" w:top="1360" w:bottom="1200" w:left="1600" w:right="1580"/>
        </w:sectPr>
      </w:pPr>
    </w:p>
    <w:p>
      <w:pPr>
        <w:tabs>
          <w:tab w:pos="4587" w:val="left" w:leader="none"/>
        </w:tabs>
        <w:spacing w:before="80"/>
        <w:ind w:left="1971" w:right="0" w:firstLine="19"/>
        <w:jc w:val="left"/>
        <w:rPr>
          <w:rFonts w:ascii="Calibri"/>
          <w:sz w:val="20"/>
        </w:rPr>
      </w:pPr>
      <w:r>
        <w:rPr/>
        <w:pict>
          <v:group style="position:absolute;margin-left:125.160004pt;margin-top:13.176491pt;width:364.7pt;height:202.9pt;mso-position-horizontal-relative:page;mso-position-vertical-relative:paragraph;z-index:-398272" coordorigin="2503,264" coordsize="7294,4058">
            <v:shape style="position:absolute;left:2503;top:526;width:7294;height:3794" type="#_x0000_t75" stroked="false">
              <v:imagedata r:id="rId96" o:title=""/>
            </v:shape>
            <v:shape style="position:absolute;left:3589;top:271;width:5539;height:3709" coordorigin="3589,271" coordsize="5539,3709" path="m8641,3633l9037,3980m9037,3980l9127,3980m3740,1085l3589,1099m5305,624l5048,271m5893,576l6188,271e" filled="false" stroked="true" strokeweight=".75pt" strokecolor="#000000">
              <v:path arrowok="t"/>
            </v:shape>
            <w10:wrap type="none"/>
          </v:group>
        </w:pict>
      </w:r>
      <w:r>
        <w:rPr>
          <w:rFonts w:ascii="Calibri"/>
          <w:sz w:val="20"/>
        </w:rPr>
        <w:t>Trabajadores</w:t>
      </w:r>
      <w:r>
        <w:rPr>
          <w:rFonts w:ascii="Calibri"/>
          <w:spacing w:val="-7"/>
          <w:sz w:val="20"/>
        </w:rPr>
        <w:t> </w:t>
      </w:r>
      <w:r>
        <w:rPr>
          <w:rFonts w:ascii="Calibri"/>
          <w:sz w:val="20"/>
        </w:rPr>
        <w:t>no</w:t>
      </w:r>
      <w:r>
        <w:rPr>
          <w:rFonts w:ascii="Calibri"/>
          <w:spacing w:val="2"/>
          <w:sz w:val="20"/>
        </w:rPr>
        <w:t> </w:t>
      </w:r>
      <w:r>
        <w:rPr>
          <w:rFonts w:ascii="Calibri"/>
          <w:w w:val="99"/>
          <w:sz w:val="20"/>
          <w:u w:val="single"/>
        </w:rPr>
        <w:t> </w:t>
      </w:r>
      <w:r>
        <w:rPr>
          <w:rFonts w:ascii="Calibri"/>
          <w:sz w:val="20"/>
          <w:u w:val="single"/>
        </w:rPr>
        <w:t> </w:t>
      </w:r>
      <w:r>
        <w:rPr>
          <w:rFonts w:ascii="Calibri"/>
          <w:spacing w:val="-7"/>
          <w:sz w:val="20"/>
          <w:u w:val="single"/>
        </w:rPr>
        <w:t> </w:t>
      </w:r>
      <w:r>
        <w:rPr>
          <w:rFonts w:ascii="Calibri"/>
          <w:sz w:val="20"/>
        </w:rPr>
        <w:tab/>
      </w:r>
      <w:r>
        <w:rPr>
          <w:rFonts w:ascii="Calibri"/>
          <w:w w:val="99"/>
          <w:sz w:val="20"/>
          <w:u w:val="single"/>
        </w:rPr>
        <w:t> </w:t>
      </w:r>
      <w:r>
        <w:rPr>
          <w:rFonts w:ascii="Calibri"/>
          <w:spacing w:val="-4"/>
          <w:sz w:val="20"/>
          <w:u w:val="single"/>
        </w:rPr>
        <w:t> </w:t>
      </w:r>
      <w:r>
        <w:rPr>
          <w:rFonts w:ascii="Calibri"/>
          <w:spacing w:val="-4"/>
          <w:sz w:val="20"/>
        </w:rPr>
        <w:t> </w:t>
      </w:r>
      <w:r>
        <w:rPr>
          <w:rFonts w:ascii="Calibri"/>
          <w:sz w:val="20"/>
        </w:rPr>
        <w:t>remunerados</w:t>
      </w:r>
    </w:p>
    <w:p>
      <w:pPr>
        <w:spacing w:before="0"/>
        <w:ind w:left="2375" w:right="2059" w:firstLine="0"/>
        <w:jc w:val="center"/>
        <w:rPr>
          <w:rFonts w:ascii="Calibri"/>
          <w:sz w:val="20"/>
        </w:rPr>
      </w:pPr>
      <w:r>
        <w:rPr>
          <w:rFonts w:ascii="Calibri"/>
          <w:sz w:val="20"/>
        </w:rPr>
        <w:t>4%</w:t>
      </w:r>
    </w:p>
    <w:p>
      <w:pPr>
        <w:spacing w:before="80"/>
        <w:ind w:left="492" w:right="2849" w:hanging="274"/>
        <w:jc w:val="left"/>
        <w:rPr>
          <w:rFonts w:ascii="Calibri"/>
          <w:sz w:val="20"/>
        </w:rPr>
      </w:pPr>
      <w:r>
        <w:rPr/>
        <w:br w:type="column"/>
      </w:r>
      <w:r>
        <w:rPr>
          <w:rFonts w:ascii="Calibri"/>
          <w:w w:val="95"/>
          <w:sz w:val="20"/>
        </w:rPr>
        <w:t>Empleadores </w:t>
      </w:r>
      <w:r>
        <w:rPr>
          <w:rFonts w:ascii="Calibri"/>
          <w:sz w:val="20"/>
        </w:rPr>
        <w:t>3%</w:t>
      </w:r>
    </w:p>
    <w:p>
      <w:pPr>
        <w:spacing w:after="0"/>
        <w:jc w:val="left"/>
        <w:rPr>
          <w:rFonts w:ascii="Calibri"/>
          <w:sz w:val="20"/>
        </w:rPr>
        <w:sectPr>
          <w:type w:val="continuous"/>
          <w:pgSz w:w="12240" w:h="15840"/>
          <w:pgMar w:top="1340" w:bottom="280" w:left="1600" w:right="1580"/>
          <w:cols w:num="2" w:equalWidth="0">
            <w:col w:w="4720" w:space="40"/>
            <w:col w:w="4300"/>
          </w:cols>
        </w:sectPr>
      </w:pPr>
    </w:p>
    <w:p>
      <w:pPr>
        <w:tabs>
          <w:tab w:pos="1897" w:val="left" w:leader="none"/>
        </w:tabs>
        <w:spacing w:before="91"/>
        <w:ind w:left="205" w:right="7104" w:firstLine="331"/>
        <w:jc w:val="left"/>
        <w:rPr>
          <w:rFonts w:ascii="Calibri"/>
          <w:sz w:val="20"/>
        </w:rPr>
      </w:pPr>
      <w:r>
        <w:rPr>
          <w:rFonts w:ascii="Calibri"/>
          <w:sz w:val="20"/>
        </w:rPr>
        <w:t>Trabajadores</w:t>
        <w:tab/>
      </w:r>
      <w:r>
        <w:rPr>
          <w:rFonts w:ascii="Calibri"/>
          <w:sz w:val="20"/>
        </w:rPr>
        <w:t> por cuenta</w:t>
      </w:r>
      <w:r>
        <w:rPr>
          <w:rFonts w:ascii="Calibri"/>
          <w:spacing w:val="-6"/>
          <w:sz w:val="20"/>
        </w:rPr>
        <w:t> </w:t>
      </w:r>
      <w:r>
        <w:rPr>
          <w:rFonts w:ascii="Calibri"/>
          <w:sz w:val="20"/>
        </w:rPr>
        <w:t>propia</w:t>
      </w:r>
    </w:p>
    <w:p>
      <w:pPr>
        <w:spacing w:before="0"/>
        <w:ind w:left="761" w:right="0" w:firstLine="0"/>
        <w:jc w:val="left"/>
        <w:rPr>
          <w:rFonts w:ascii="Calibri"/>
          <w:sz w:val="20"/>
        </w:rPr>
      </w:pPr>
      <w:r>
        <w:rPr>
          <w:rFonts w:ascii="Calibri"/>
          <w:sz w:val="20"/>
        </w:rPr>
        <w:t>18%</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15"/>
        </w:rPr>
      </w:pPr>
    </w:p>
    <w:p>
      <w:pPr>
        <w:spacing w:after="0"/>
        <w:rPr>
          <w:rFonts w:ascii="Calibri"/>
          <w:sz w:val="15"/>
        </w:rPr>
        <w:sectPr>
          <w:type w:val="continuous"/>
          <w:pgSz w:w="12240" w:h="15840"/>
          <w:pgMar w:top="1340" w:bottom="280" w:left="1600" w:right="158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18"/>
        </w:rPr>
      </w:pPr>
    </w:p>
    <w:p>
      <w:pPr>
        <w:spacing w:before="0"/>
        <w:ind w:left="2341" w:right="-19" w:firstLine="0"/>
        <w:jc w:val="left"/>
        <w:rPr>
          <w:sz w:val="20"/>
        </w:rPr>
      </w:pPr>
      <w:r>
        <w:rPr>
          <w:sz w:val="20"/>
        </w:rPr>
        <w:t>Fuente: elaboración propia con base en INEGI (2012).</w:t>
      </w:r>
    </w:p>
    <w:p>
      <w:pPr>
        <w:spacing w:before="59"/>
        <w:ind w:left="884" w:right="148" w:firstLine="225"/>
        <w:jc w:val="both"/>
        <w:rPr>
          <w:rFonts w:ascii="Calibri"/>
          <w:sz w:val="20"/>
        </w:rPr>
      </w:pPr>
      <w:r>
        <w:rPr/>
        <w:br w:type="column"/>
      </w:r>
      <w:r>
        <w:rPr>
          <w:rFonts w:ascii="Calibri"/>
          <w:w w:val="95"/>
          <w:sz w:val="20"/>
        </w:rPr>
        <w:t>Trabajadores </w:t>
      </w:r>
      <w:r>
        <w:rPr>
          <w:rFonts w:ascii="Calibri"/>
          <w:sz w:val="20"/>
        </w:rPr>
        <w:t>subordinados y remunerados</w:t>
      </w:r>
    </w:p>
    <w:p>
      <w:pPr>
        <w:spacing w:line="242" w:lineRule="exact" w:before="0"/>
        <w:ind w:left="1333" w:right="0" w:firstLine="0"/>
        <w:jc w:val="left"/>
        <w:rPr>
          <w:rFonts w:ascii="Calibri"/>
          <w:sz w:val="20"/>
        </w:rPr>
      </w:pPr>
      <w:r>
        <w:rPr>
          <w:rFonts w:ascii="Calibri"/>
          <w:sz w:val="20"/>
        </w:rPr>
        <w:t>75%</w:t>
      </w:r>
    </w:p>
    <w:p>
      <w:pPr>
        <w:spacing w:after="0" w:line="242" w:lineRule="exact"/>
        <w:jc w:val="left"/>
        <w:rPr>
          <w:rFonts w:ascii="Calibri"/>
          <w:sz w:val="20"/>
        </w:rPr>
        <w:sectPr>
          <w:type w:val="continuous"/>
          <w:pgSz w:w="12240" w:h="15840"/>
          <w:pgMar w:top="1340" w:bottom="280" w:left="1600" w:right="1580"/>
          <w:cols w:num="2" w:equalWidth="0">
            <w:col w:w="6696" w:space="40"/>
            <w:col w:w="2324"/>
          </w:cols>
        </w:sectPr>
      </w:pPr>
    </w:p>
    <w:p>
      <w:pPr>
        <w:pStyle w:val="BodyText"/>
        <w:spacing w:line="360" w:lineRule="auto" w:before="50"/>
        <w:ind w:left="102" w:right="117"/>
        <w:jc w:val="both"/>
      </w:pPr>
      <w:r>
        <w:rPr/>
        <w:t>La población ocupada por sector de actividad se distribuyó de la siguiente manera, al cuarto trimestre de 2012: trabajadores industriales, artesanos y ayudantes, 27.0%; comerciantes, 21%; trabajadores servicios personales, 15.2%; profesionales técnicos y trabajadores del arte, 10.2%; oficinistas 8.8%; operadores de transportes, 5.9%; trabajadores agropecuarios, 4.9%; trabajadores de la educación 3.7%; funcionarios y directivos, 1.9%; trabajadores en protección y vigilancia, 1.4% y en actividades no especificadas 0.1%. Los sectores de comercio y otros servicios los que incrementaron su participación con respecto a 2011 en el Estado de México.</w:t>
      </w:r>
    </w:p>
    <w:p>
      <w:pPr>
        <w:pStyle w:val="BodyText"/>
        <w:spacing w:line="360" w:lineRule="auto" w:before="206"/>
        <w:ind w:left="102" w:right="114"/>
        <w:jc w:val="both"/>
      </w:pPr>
      <w:r>
        <w:rPr/>
        <w:t>La tasa de desocupación para la entidad mexiquense fue de 6.2% al cuarto trimestre de 2012, mostrando una disminución con respecto a los meses anteriores: 40.3% de los desocupados tienen estudios de secundaria, 39.6% estudios de nivel medio superior y superior y 4.2% de desempleados tienen nivel primaria. En donde nuevamente se observa el alto porcentaje de desempleados con estudios superiores.</w:t>
      </w:r>
    </w:p>
    <w:p>
      <w:pPr>
        <w:pStyle w:val="BodyText"/>
      </w:pPr>
    </w:p>
    <w:p>
      <w:pPr>
        <w:pStyle w:val="BodyText"/>
        <w:spacing w:before="1"/>
        <w:rPr>
          <w:sz w:val="19"/>
        </w:rPr>
      </w:pPr>
    </w:p>
    <w:p>
      <w:pPr>
        <w:pStyle w:val="BodyText"/>
        <w:spacing w:line="360" w:lineRule="auto"/>
        <w:ind w:left="102" w:right="119"/>
        <w:jc w:val="both"/>
      </w:pPr>
      <w:r>
        <w:rPr/>
        <w:t>El empleo y desempleo en el país siguen siendo dos de los principales indicadores que miden el progreso económico de México (SER, 2013). De acuerdo a las cifras revisadas hasta el momento, se puede inferir que la situación para los egresados universitarios y su proceso de transición al mercado de trabajo no está sencillo, ni resulta fácil incorporarse en un tiempo corto al mercado de trabajo.</w:t>
      </w:r>
    </w:p>
    <w:p>
      <w:pPr>
        <w:pStyle w:val="BodyText"/>
      </w:pPr>
    </w:p>
    <w:p>
      <w:pPr>
        <w:pStyle w:val="BodyText"/>
        <w:spacing w:line="360" w:lineRule="auto" w:before="143"/>
        <w:ind w:left="102" w:right="113"/>
        <w:jc w:val="both"/>
      </w:pPr>
      <w:r>
        <w:rPr/>
        <w:t>Lo que se pretende en este trabajo de investigación es determinar si existen las condiciones de empleo, salario, prestaciones y seguridad (conservación del trabajo) que ayuden y faciliten el proceso de transición entre universidades-empleadores, y sí tienen una manifestación en la inserción y permanencia en el mercado de trabajo de los egresados de  la licenciatura de Economía de la UAEMéx de las generaciones 2000 a 2010, así como su repercusión en las condiciones laborales de los mismos. En el capítulo siguiente se plantea la metodología</w:t>
      </w:r>
      <w:r>
        <w:rPr>
          <w:spacing w:val="-4"/>
        </w:rPr>
        <w:t> </w:t>
      </w:r>
      <w:r>
        <w:rPr/>
        <w:t>empleada.</w:t>
      </w:r>
    </w:p>
    <w:p>
      <w:pPr>
        <w:spacing w:after="0" w:line="360" w:lineRule="auto"/>
        <w:jc w:val="both"/>
        <w:sectPr>
          <w:pgSz w:w="12240" w:h="15840"/>
          <w:pgMar w:header="0" w:footer="1003" w:top="1360" w:bottom="1200" w:left="1600" w:right="1580"/>
        </w:sectPr>
      </w:pPr>
    </w:p>
    <w:p>
      <w:pPr>
        <w:pStyle w:val="Heading3"/>
        <w:ind w:right="19"/>
        <w:jc w:val="center"/>
      </w:pPr>
      <w:bookmarkStart w:name="_bookmark58" w:id="105"/>
      <w:bookmarkEnd w:id="105"/>
      <w:r>
        <w:rPr>
          <w:b w:val="0"/>
        </w:rPr>
      </w:r>
      <w:r>
        <w:rPr/>
        <w:t>CAPÍTULO 5</w:t>
      </w:r>
    </w:p>
    <w:p>
      <w:pPr>
        <w:spacing w:before="43"/>
        <w:ind w:left="0" w:right="19" w:firstLine="0"/>
        <w:jc w:val="center"/>
        <w:rPr>
          <w:b/>
          <w:sz w:val="24"/>
        </w:rPr>
      </w:pPr>
      <w:r>
        <w:rPr>
          <w:b/>
          <w:sz w:val="24"/>
        </w:rPr>
        <w:t>DISEÑO DE LA INVESTIGACIÓN  Y MÉTODO DE TRABAJO</w:t>
      </w:r>
    </w:p>
    <w:p>
      <w:pPr>
        <w:pStyle w:val="BodyText"/>
        <w:rPr>
          <w:b/>
        </w:rPr>
      </w:pPr>
    </w:p>
    <w:p>
      <w:pPr>
        <w:pStyle w:val="BodyText"/>
        <w:spacing w:before="9"/>
        <w:rPr>
          <w:b/>
          <w:sz w:val="23"/>
        </w:rPr>
      </w:pPr>
    </w:p>
    <w:p>
      <w:pPr>
        <w:spacing w:before="0"/>
        <w:ind w:left="102" w:right="0" w:firstLine="0"/>
        <w:jc w:val="both"/>
        <w:rPr>
          <w:b/>
          <w:sz w:val="24"/>
        </w:rPr>
      </w:pPr>
      <w:r>
        <w:rPr>
          <w:b/>
          <w:sz w:val="24"/>
        </w:rPr>
        <w:t>Introducción</w:t>
      </w:r>
    </w:p>
    <w:p>
      <w:pPr>
        <w:pStyle w:val="BodyText"/>
        <w:spacing w:line="360" w:lineRule="auto" w:before="36"/>
        <w:ind w:left="102" w:right="118"/>
        <w:jc w:val="both"/>
      </w:pPr>
      <w:r>
        <w:rPr/>
        <w:t>Este capítulo se centra en la descripción de la metodología empleada en este trabajo de  tesis, que permitirá alcanzar el objetivo, demostrar la hipótesis y dar respuesta a la pregunta de investigación. Se detalla la explicación de la determinación de la población y selección de la muestra, así como el instrumento aplicado en la recolección de datos, las técnicas estadísticas empleadas para el análisis de</w:t>
      </w:r>
      <w:r>
        <w:rPr>
          <w:spacing w:val="-10"/>
        </w:rPr>
        <w:t> </w:t>
      </w:r>
      <w:r>
        <w:rPr/>
        <w:t>datos.</w:t>
      </w:r>
    </w:p>
    <w:p>
      <w:pPr>
        <w:pStyle w:val="BodyText"/>
      </w:pPr>
    </w:p>
    <w:p>
      <w:pPr>
        <w:pStyle w:val="Heading3"/>
        <w:numPr>
          <w:ilvl w:val="1"/>
          <w:numId w:val="71"/>
        </w:numPr>
        <w:tabs>
          <w:tab w:pos="522" w:val="left" w:leader="none"/>
        </w:tabs>
        <w:spacing w:line="240" w:lineRule="auto" w:before="215" w:after="0"/>
        <w:ind w:left="522" w:right="0" w:hanging="420"/>
        <w:jc w:val="both"/>
      </w:pPr>
      <w:bookmarkStart w:name="_bookmark59" w:id="106"/>
      <w:bookmarkEnd w:id="106"/>
      <w:r>
        <w:rPr>
          <w:b w:val="0"/>
        </w:rPr>
      </w:r>
      <w:bookmarkStart w:name="_bookmark59" w:id="107"/>
      <w:bookmarkEnd w:id="107"/>
      <w:r>
        <w:rPr/>
        <w:t>T</w:t>
      </w:r>
      <w:r>
        <w:rPr/>
        <w:t>ipo de</w:t>
      </w:r>
      <w:r>
        <w:rPr>
          <w:spacing w:val="-4"/>
        </w:rPr>
        <w:t> </w:t>
      </w:r>
      <w:r>
        <w:rPr/>
        <w:t>investigación</w:t>
      </w:r>
    </w:p>
    <w:p>
      <w:pPr>
        <w:pStyle w:val="BodyText"/>
        <w:rPr>
          <w:b/>
        </w:rPr>
      </w:pPr>
    </w:p>
    <w:p>
      <w:pPr>
        <w:pStyle w:val="BodyText"/>
        <w:spacing w:line="360" w:lineRule="auto" w:before="173"/>
        <w:ind w:left="102" w:right="119"/>
        <w:jc w:val="both"/>
      </w:pPr>
      <w:r>
        <w:rPr/>
        <w:t>Se trata de un estudio documental y de campo, se recolectaron los datos primarios en un único momento de marzo a agosto 2013. Para visualizar el comportamiento del proceso de transición se toma como caso de estudio a los egresados de la Licenciatura de Economía de la UAEMEX del periodo de 2000 a 2010 que contaban con correo electrónico.</w:t>
      </w:r>
    </w:p>
    <w:p>
      <w:pPr>
        <w:pStyle w:val="BodyText"/>
      </w:pPr>
    </w:p>
    <w:p>
      <w:pPr>
        <w:pStyle w:val="Heading3"/>
        <w:numPr>
          <w:ilvl w:val="2"/>
          <w:numId w:val="71"/>
        </w:numPr>
        <w:tabs>
          <w:tab w:pos="702" w:val="left" w:leader="none"/>
        </w:tabs>
        <w:spacing w:line="240" w:lineRule="auto" w:before="213" w:after="0"/>
        <w:ind w:left="702" w:right="0" w:hanging="600"/>
        <w:jc w:val="both"/>
      </w:pPr>
      <w:bookmarkStart w:name="_bookmark60" w:id="108"/>
      <w:bookmarkEnd w:id="108"/>
      <w:r>
        <w:rPr>
          <w:b w:val="0"/>
        </w:rPr>
      </w:r>
      <w:bookmarkStart w:name="_bookmark60" w:id="109"/>
      <w:bookmarkEnd w:id="109"/>
      <w:r>
        <w:rPr/>
        <w:t>P</w:t>
      </w:r>
      <w:r>
        <w:rPr/>
        <w:t>lanteamiento del</w:t>
      </w:r>
      <w:r>
        <w:rPr>
          <w:spacing w:val="-11"/>
        </w:rPr>
        <w:t> </w:t>
      </w:r>
      <w:r>
        <w:rPr/>
        <w:t>problema</w:t>
      </w:r>
    </w:p>
    <w:p>
      <w:pPr>
        <w:pStyle w:val="BodyText"/>
        <w:spacing w:before="6"/>
        <w:rPr>
          <w:b/>
          <w:sz w:val="28"/>
        </w:rPr>
      </w:pPr>
    </w:p>
    <w:p>
      <w:pPr>
        <w:pStyle w:val="BodyText"/>
        <w:spacing w:line="360" w:lineRule="auto" w:before="1"/>
        <w:ind w:left="102" w:right="116"/>
        <w:jc w:val="both"/>
      </w:pPr>
      <w:r>
        <w:rPr/>
        <w:t>El proceso de transición de la universidad al mercado de trabajo se ha alargado, retrasado y presenta más complejidad, haciendo que los egresados universitarios tarden un tiempo más prolongado en insertarse adecuadamente a la vida productiva. Esta investigación trata de  dar respuesta a la interrogante de la forma en que se vincula al mercado de trabajo de los egresados de</w:t>
      </w:r>
      <w:r>
        <w:rPr>
          <w:spacing w:val="-5"/>
        </w:rPr>
        <w:t> </w:t>
      </w:r>
      <w:r>
        <w:rPr/>
        <w:t>economía.</w:t>
      </w:r>
    </w:p>
    <w:p>
      <w:pPr>
        <w:pStyle w:val="BodyText"/>
      </w:pPr>
    </w:p>
    <w:p>
      <w:pPr>
        <w:pStyle w:val="Heading3"/>
        <w:numPr>
          <w:ilvl w:val="2"/>
          <w:numId w:val="71"/>
        </w:numPr>
        <w:tabs>
          <w:tab w:pos="703" w:val="left" w:leader="none"/>
        </w:tabs>
        <w:spacing w:line="240" w:lineRule="auto" w:before="148" w:after="0"/>
        <w:ind w:left="702" w:right="0" w:hanging="600"/>
        <w:jc w:val="both"/>
      </w:pPr>
      <w:bookmarkStart w:name="_bookmark61" w:id="110"/>
      <w:bookmarkEnd w:id="110"/>
      <w:r>
        <w:rPr>
          <w:b w:val="0"/>
        </w:rPr>
      </w:r>
      <w:bookmarkStart w:name="_bookmark61" w:id="111"/>
      <w:bookmarkEnd w:id="111"/>
      <w:r>
        <w:rPr/>
        <w:t>Justi</w:t>
      </w:r>
      <w:r>
        <w:rPr/>
        <w:t>ficación</w:t>
      </w:r>
    </w:p>
    <w:p>
      <w:pPr>
        <w:pStyle w:val="BodyText"/>
        <w:rPr>
          <w:b/>
        </w:rPr>
      </w:pPr>
    </w:p>
    <w:p>
      <w:pPr>
        <w:pStyle w:val="BodyText"/>
        <w:spacing w:before="7"/>
        <w:rPr>
          <w:b/>
          <w:sz w:val="23"/>
        </w:rPr>
      </w:pPr>
    </w:p>
    <w:p>
      <w:pPr>
        <w:pStyle w:val="BodyText"/>
        <w:spacing w:line="360" w:lineRule="auto"/>
        <w:ind w:left="102" w:right="119"/>
        <w:jc w:val="both"/>
      </w:pPr>
      <w:r>
        <w:rPr/>
        <w:t>El estudio y análisis del proceso de transición es fundamental para evaluar si la formación que se lleva a cabo al interior de las universidades es la adecuada para el empleo y sí cuentan los egresados con las competencias y habilidades requeridas con respecto a lo que el mercado de trabajo está demando.</w:t>
      </w:r>
    </w:p>
    <w:p>
      <w:pPr>
        <w:spacing w:after="0" w:line="360" w:lineRule="auto"/>
        <w:jc w:val="both"/>
        <w:sectPr>
          <w:pgSz w:w="12240" w:h="15840"/>
          <w:pgMar w:header="0" w:footer="1003" w:top="1360" w:bottom="1200" w:left="1600" w:right="1580"/>
        </w:sectPr>
      </w:pPr>
    </w:p>
    <w:p>
      <w:pPr>
        <w:pStyle w:val="BodyText"/>
        <w:spacing w:line="360" w:lineRule="auto" w:before="50"/>
        <w:ind w:left="102" w:right="115"/>
        <w:jc w:val="both"/>
      </w:pPr>
      <w:r>
        <w:rPr/>
        <w:t>En muchos países incluido México, como afirman Camarena y Velarde (2009) a los problemas en educación en el nivel superior como deserción escolar, reprobación, baja eficiencia terminal, bajo rendimiento académico, cambios de carrera, se suma una  deficiente calidad académica, que se pone de manifiesto en la competitividad de sus egresados. Y en lo que respecta al mercado de trabajo de los egresados, no únicamente se  ha vuelto más competitivo, sino que demanda una mejor calificación y desarrollo por parte de los jóvenes. Con ello la calidad, cobertura y financiamiento de la educación en las universidades han cobrado un especial interés de análisis tanto para el Estado como para las organizaciones.</w:t>
      </w:r>
    </w:p>
    <w:p>
      <w:pPr>
        <w:pStyle w:val="BodyText"/>
      </w:pPr>
    </w:p>
    <w:p>
      <w:pPr>
        <w:pStyle w:val="BodyText"/>
        <w:spacing w:line="360" w:lineRule="auto" w:before="143"/>
        <w:ind w:left="102" w:right="117"/>
        <w:jc w:val="both"/>
      </w:pPr>
      <w:r>
        <w:rPr/>
        <w:t>Bajo la consideración de esta expectativa se genera una oportunidad de análisis e investigación respecto al funcionamiento del proceso de transición entre las universidades y los empleadores y cómo se manifiestan en las condiciones de trabajo de los egresados de la Licenciatura en Economía de la UAEMéx.</w:t>
      </w:r>
    </w:p>
    <w:p>
      <w:pPr>
        <w:pStyle w:val="BodyText"/>
      </w:pPr>
    </w:p>
    <w:p>
      <w:pPr>
        <w:pStyle w:val="BodyText"/>
        <w:spacing w:line="360" w:lineRule="auto" w:before="143"/>
        <w:ind w:left="102" w:right="115"/>
        <w:jc w:val="both"/>
      </w:pPr>
      <w:r>
        <w:rPr/>
        <w:t>Por tanto, este trabajo generará conocimiento respecto a la realidad del proceso de transición universidades-empleadores en el Estado de México, a través del caso de estudio de los egresados de la licenciatura de Economía de la UAEMéx, además que brinda información específica sobre las necesidades del mercado de trabajo y la capacidad de las universidades para generar capital</w:t>
      </w:r>
      <w:r>
        <w:rPr>
          <w:spacing w:val="-10"/>
        </w:rPr>
        <w:t> </w:t>
      </w:r>
      <w:r>
        <w:rPr/>
        <w:t>humano.</w:t>
      </w:r>
    </w:p>
    <w:p>
      <w:pPr>
        <w:pStyle w:val="BodyText"/>
        <w:spacing w:line="360" w:lineRule="auto" w:before="4"/>
        <w:ind w:left="102" w:right="116"/>
        <w:jc w:val="both"/>
      </w:pPr>
      <w:r>
        <w:rPr/>
        <w:t>La aportación al conocimiento radica en la generación de información única, real, de una fuente primaria y que hasta el momento ningún otro trabajo la posee. Por tanto, en esta investigación doctoral se analizan los mecanismos existentes del proceso de transición de los egresados universitarios al mercado de trabajo.</w:t>
      </w:r>
    </w:p>
    <w:p>
      <w:pPr>
        <w:pStyle w:val="BodyText"/>
      </w:pPr>
    </w:p>
    <w:p>
      <w:pPr>
        <w:pStyle w:val="Heading3"/>
        <w:numPr>
          <w:ilvl w:val="1"/>
          <w:numId w:val="72"/>
        </w:numPr>
        <w:tabs>
          <w:tab w:pos="522" w:val="left" w:leader="none"/>
        </w:tabs>
        <w:spacing w:line="240" w:lineRule="auto" w:before="213" w:after="0"/>
        <w:ind w:left="522" w:right="0" w:hanging="420"/>
        <w:jc w:val="both"/>
      </w:pPr>
      <w:bookmarkStart w:name="_bookmark62" w:id="112"/>
      <w:bookmarkEnd w:id="112"/>
      <w:r>
        <w:rPr>
          <w:b w:val="0"/>
        </w:rPr>
      </w:r>
      <w:bookmarkStart w:name="_bookmark62" w:id="113"/>
      <w:bookmarkEnd w:id="113"/>
      <w:r>
        <w:rPr/>
        <w:t>Dis</w:t>
      </w:r>
      <w:r>
        <w:rPr/>
        <w:t>eño de la</w:t>
      </w:r>
      <w:r>
        <w:rPr>
          <w:spacing w:val="-5"/>
        </w:rPr>
        <w:t> </w:t>
      </w:r>
      <w:r>
        <w:rPr/>
        <w:t>investigación</w:t>
      </w:r>
    </w:p>
    <w:p>
      <w:pPr>
        <w:pStyle w:val="BodyText"/>
        <w:rPr>
          <w:b/>
        </w:rPr>
      </w:pPr>
    </w:p>
    <w:p>
      <w:pPr>
        <w:pStyle w:val="BodyText"/>
        <w:spacing w:line="360" w:lineRule="auto" w:before="165"/>
        <w:ind w:left="102" w:right="115"/>
        <w:jc w:val="both"/>
      </w:pPr>
      <w:r>
        <w:rPr/>
        <w:t>Para visualizar el comportamiento del proceso de transición se toma como caso de estudio a los egresados de la Licenciatura de Economía de la UAEMEX del periodo de 2000 a 2010 que contaban con correo electrónico, con base en el objetivo general que guía este trabajo: analizar el proceso de transición al mercado de trabajo de los egresados de la licenciatura</w:t>
      </w:r>
    </w:p>
    <w:p>
      <w:pPr>
        <w:spacing w:after="0" w:line="360" w:lineRule="auto"/>
        <w:jc w:val="both"/>
        <w:sectPr>
          <w:pgSz w:w="12240" w:h="15840"/>
          <w:pgMar w:header="0" w:footer="1003" w:top="1360" w:bottom="1200" w:left="1600" w:right="1580"/>
        </w:sectPr>
      </w:pPr>
    </w:p>
    <w:p>
      <w:pPr>
        <w:pStyle w:val="BodyText"/>
        <w:spacing w:line="360" w:lineRule="auto" w:before="50"/>
        <w:ind w:left="102" w:right="117"/>
        <w:jc w:val="both"/>
      </w:pPr>
      <w:r>
        <w:rPr/>
        <w:t>de Economía de la UAEMéx durante el periodo 2000 – 2010, con la finalidad de determinar si existen las condiciones, oportunidades de acceso y permanencia en el mercado de trabajo para los egresados.</w:t>
      </w:r>
    </w:p>
    <w:p>
      <w:pPr>
        <w:pStyle w:val="BodyText"/>
      </w:pPr>
    </w:p>
    <w:p>
      <w:pPr>
        <w:pStyle w:val="BodyText"/>
        <w:spacing w:line="360" w:lineRule="auto" w:before="143"/>
        <w:ind w:left="102" w:right="112"/>
        <w:jc w:val="both"/>
      </w:pPr>
      <w:r>
        <w:rPr/>
        <w:t>Fue necesario realizar un trabajo de investigación de campo, para alcanzar el objetivo y corroborar la hipótesis, a través del instrumento “Cuestionario transición egresados universitarios-mercado de trabajo” de elaboración propia, se aplicó en los meses de marzo a agosto de 2013; se envió vía correo electrónico mediante encuestafacil.com, plataforma tecnológica especialista en aplicación de encuestas electrónicas, a un grupo de egresados de la Licenciatura de Economía de la UAEMEX de la generación 2000 a la 2010. La intención y objetivo del estudio de campo fue conocer las características que determinan el proceso  de transición de los jóvenes egresados de la escuela a la vida</w:t>
      </w:r>
      <w:r>
        <w:rPr>
          <w:spacing w:val="-13"/>
        </w:rPr>
        <w:t> </w:t>
      </w:r>
      <w:r>
        <w:rPr/>
        <w:t>profesional.</w:t>
      </w:r>
    </w:p>
    <w:p>
      <w:pPr>
        <w:pStyle w:val="BodyText"/>
        <w:spacing w:before="3"/>
        <w:rPr>
          <w:sz w:val="28"/>
        </w:rPr>
      </w:pPr>
    </w:p>
    <w:p>
      <w:pPr>
        <w:pStyle w:val="Heading3"/>
        <w:numPr>
          <w:ilvl w:val="1"/>
          <w:numId w:val="72"/>
        </w:numPr>
        <w:tabs>
          <w:tab w:pos="582" w:val="left" w:leader="none"/>
        </w:tabs>
        <w:spacing w:line="240" w:lineRule="auto" w:before="0" w:after="0"/>
        <w:ind w:left="582" w:right="0" w:hanging="480"/>
        <w:jc w:val="both"/>
      </w:pPr>
      <w:bookmarkStart w:name="_bookmark63" w:id="114"/>
      <w:bookmarkEnd w:id="114"/>
      <w:r>
        <w:rPr>
          <w:b w:val="0"/>
        </w:rPr>
      </w:r>
      <w:bookmarkStart w:name="_bookmark63" w:id="115"/>
      <w:bookmarkEnd w:id="115"/>
      <w:r>
        <w:rPr/>
        <w:t>P</w:t>
      </w:r>
      <w:r>
        <w:rPr/>
        <w:t>regunta de</w:t>
      </w:r>
      <w:r>
        <w:rPr>
          <w:spacing w:val="-6"/>
        </w:rPr>
        <w:t> </w:t>
      </w:r>
      <w:r>
        <w:rPr/>
        <w:t>investigación</w:t>
      </w:r>
    </w:p>
    <w:p>
      <w:pPr>
        <w:pStyle w:val="BodyText"/>
        <w:rPr>
          <w:b/>
        </w:rPr>
      </w:pPr>
    </w:p>
    <w:p>
      <w:pPr>
        <w:pStyle w:val="BodyText"/>
        <w:spacing w:line="360" w:lineRule="auto" w:before="175"/>
        <w:ind w:left="461" w:right="121"/>
        <w:jc w:val="both"/>
      </w:pPr>
      <w:r>
        <w:rPr/>
        <w:t>¿Existen las condiciones, las oportunidades de acceso y permanencia al mercado de trabajo de los egresados de la licenciatura de Economía de la Facultad de Economía de la UAEMéx, que faciliten el proceso de transición de los mismos de la universidad al mercado de trabajo?</w:t>
      </w:r>
    </w:p>
    <w:p>
      <w:pPr>
        <w:pStyle w:val="BodyText"/>
      </w:pPr>
    </w:p>
    <w:p>
      <w:pPr>
        <w:pStyle w:val="Heading3"/>
        <w:numPr>
          <w:ilvl w:val="1"/>
          <w:numId w:val="72"/>
        </w:numPr>
        <w:tabs>
          <w:tab w:pos="522" w:val="left" w:leader="none"/>
        </w:tabs>
        <w:spacing w:line="240" w:lineRule="auto" w:before="212" w:after="0"/>
        <w:ind w:left="522" w:right="0" w:hanging="420"/>
        <w:jc w:val="both"/>
      </w:pPr>
      <w:bookmarkStart w:name="_bookmark64" w:id="116"/>
      <w:bookmarkEnd w:id="116"/>
      <w:r>
        <w:rPr>
          <w:b w:val="0"/>
        </w:rPr>
      </w:r>
      <w:bookmarkStart w:name="_bookmark64" w:id="117"/>
      <w:bookmarkEnd w:id="117"/>
      <w:r>
        <w:rPr/>
        <w:t>O</w:t>
      </w:r>
      <w:r>
        <w:rPr/>
        <w:t>bjetivos</w:t>
      </w:r>
    </w:p>
    <w:p>
      <w:pPr>
        <w:pStyle w:val="BodyText"/>
        <w:rPr>
          <w:b/>
        </w:rPr>
      </w:pPr>
    </w:p>
    <w:p>
      <w:pPr>
        <w:pStyle w:val="BodyText"/>
        <w:spacing w:before="3"/>
        <w:rPr>
          <w:b/>
          <w:sz w:val="21"/>
        </w:rPr>
      </w:pPr>
    </w:p>
    <w:p>
      <w:pPr>
        <w:pStyle w:val="Heading3"/>
        <w:numPr>
          <w:ilvl w:val="2"/>
          <w:numId w:val="72"/>
        </w:numPr>
        <w:tabs>
          <w:tab w:pos="702" w:val="left" w:leader="none"/>
        </w:tabs>
        <w:spacing w:line="240" w:lineRule="auto" w:before="0" w:after="0"/>
        <w:ind w:left="702" w:right="0" w:hanging="600"/>
        <w:jc w:val="both"/>
      </w:pPr>
      <w:bookmarkStart w:name="_bookmark65" w:id="118"/>
      <w:bookmarkEnd w:id="118"/>
      <w:r>
        <w:rPr>
          <w:b w:val="0"/>
        </w:rPr>
      </w:r>
      <w:bookmarkStart w:name="_bookmark65" w:id="119"/>
      <w:bookmarkEnd w:id="119"/>
      <w:r>
        <w:rPr/>
        <w:t>G</w:t>
      </w:r>
      <w:r>
        <w:rPr/>
        <w:t>eneral</w:t>
      </w:r>
    </w:p>
    <w:p>
      <w:pPr>
        <w:pStyle w:val="BodyText"/>
        <w:rPr>
          <w:b/>
        </w:rPr>
      </w:pPr>
    </w:p>
    <w:p>
      <w:pPr>
        <w:pStyle w:val="BodyText"/>
        <w:spacing w:before="10"/>
        <w:rPr>
          <w:b/>
          <w:sz w:val="21"/>
        </w:rPr>
      </w:pPr>
    </w:p>
    <w:p>
      <w:pPr>
        <w:pStyle w:val="ListParagraph"/>
        <w:numPr>
          <w:ilvl w:val="3"/>
          <w:numId w:val="72"/>
        </w:numPr>
        <w:tabs>
          <w:tab w:pos="746" w:val="left" w:leader="none"/>
        </w:tabs>
        <w:spacing w:line="357" w:lineRule="auto" w:before="0" w:after="0"/>
        <w:ind w:left="745" w:right="117" w:hanging="360"/>
        <w:jc w:val="both"/>
        <w:rPr>
          <w:sz w:val="24"/>
        </w:rPr>
      </w:pPr>
      <w:r>
        <w:rPr>
          <w:sz w:val="24"/>
        </w:rPr>
        <w:t>Analizar el proceso de transición al mercado de trabajo de los egresados universitarios de la Licenciatura de Economía de la UAEMéx durante el periodo 2000 – 2010, con la finalidad de determinar si existen las condiciones, oportunidades de acceso y permanencia en el mercado de trabajo para los</w:t>
      </w:r>
      <w:r>
        <w:rPr>
          <w:spacing w:val="-13"/>
          <w:sz w:val="24"/>
        </w:rPr>
        <w:t> </w:t>
      </w:r>
      <w:r>
        <w:rPr>
          <w:sz w:val="24"/>
        </w:rPr>
        <w:t>egresados.</w:t>
      </w:r>
    </w:p>
    <w:p>
      <w:pPr>
        <w:spacing w:after="0" w:line="357" w:lineRule="auto"/>
        <w:jc w:val="both"/>
        <w:rPr>
          <w:sz w:val="24"/>
        </w:rPr>
        <w:sectPr>
          <w:pgSz w:w="12240" w:h="15840"/>
          <w:pgMar w:header="0" w:footer="1003" w:top="1360" w:bottom="1200" w:left="1600" w:right="1580"/>
        </w:sectPr>
      </w:pPr>
    </w:p>
    <w:p>
      <w:pPr>
        <w:pStyle w:val="Heading3"/>
        <w:numPr>
          <w:ilvl w:val="2"/>
          <w:numId w:val="72"/>
        </w:numPr>
        <w:tabs>
          <w:tab w:pos="702" w:val="left" w:leader="none"/>
        </w:tabs>
        <w:spacing w:line="240" w:lineRule="auto" w:before="55" w:after="0"/>
        <w:ind w:left="702" w:right="0" w:hanging="600"/>
        <w:jc w:val="both"/>
      </w:pPr>
      <w:bookmarkStart w:name="_bookmark66" w:id="120"/>
      <w:bookmarkEnd w:id="120"/>
      <w:r>
        <w:rPr>
          <w:b w:val="0"/>
        </w:rPr>
      </w:r>
      <w:bookmarkStart w:name="_bookmark66" w:id="121"/>
      <w:bookmarkEnd w:id="121"/>
      <w:r>
        <w:rPr/>
        <w:t>P</w:t>
      </w:r>
      <w:r>
        <w:rPr/>
        <w:t>articulares</w:t>
      </w:r>
    </w:p>
    <w:p>
      <w:pPr>
        <w:pStyle w:val="BodyText"/>
        <w:rPr>
          <w:b/>
        </w:rPr>
      </w:pPr>
    </w:p>
    <w:p>
      <w:pPr>
        <w:pStyle w:val="BodyText"/>
        <w:spacing w:before="6"/>
        <w:rPr>
          <w:b/>
          <w:sz w:val="32"/>
        </w:rPr>
      </w:pPr>
    </w:p>
    <w:p>
      <w:pPr>
        <w:pStyle w:val="ListParagraph"/>
        <w:numPr>
          <w:ilvl w:val="3"/>
          <w:numId w:val="72"/>
        </w:numPr>
        <w:tabs>
          <w:tab w:pos="1169" w:val="left" w:leader="none"/>
          <w:tab w:pos="1170" w:val="left" w:leader="none"/>
        </w:tabs>
        <w:spacing w:line="352" w:lineRule="auto" w:before="0" w:after="0"/>
        <w:ind w:left="1170" w:right="123" w:hanging="360"/>
        <w:jc w:val="left"/>
        <w:rPr>
          <w:sz w:val="24"/>
        </w:rPr>
      </w:pPr>
      <w:r>
        <w:rPr>
          <w:sz w:val="24"/>
        </w:rPr>
        <w:t>Construir marco teórico que explica y da sustento al proceso de transición entre universidades y mercado de trabajo de los egresados</w:t>
      </w:r>
      <w:r>
        <w:rPr>
          <w:spacing w:val="-10"/>
          <w:sz w:val="24"/>
        </w:rPr>
        <w:t> </w:t>
      </w:r>
      <w:r>
        <w:rPr>
          <w:sz w:val="24"/>
        </w:rPr>
        <w:t>universitarios.</w:t>
      </w:r>
    </w:p>
    <w:p>
      <w:pPr>
        <w:pStyle w:val="ListParagraph"/>
        <w:numPr>
          <w:ilvl w:val="3"/>
          <w:numId w:val="72"/>
        </w:numPr>
        <w:tabs>
          <w:tab w:pos="1169" w:val="left" w:leader="none"/>
          <w:tab w:pos="1170" w:val="left" w:leader="none"/>
        </w:tabs>
        <w:spacing w:line="350" w:lineRule="auto" w:before="14" w:after="0"/>
        <w:ind w:left="1170" w:right="115" w:hanging="360"/>
        <w:jc w:val="left"/>
        <w:rPr>
          <w:sz w:val="24"/>
        </w:rPr>
      </w:pPr>
      <w:r>
        <w:rPr>
          <w:sz w:val="24"/>
        </w:rPr>
        <w:t>Contextualizar el mercado de trabajo nacional y del Estado de México, analizando sus principales variables: empleo, desempleo y</w:t>
      </w:r>
      <w:r>
        <w:rPr>
          <w:spacing w:val="-9"/>
          <w:sz w:val="24"/>
        </w:rPr>
        <w:t> </w:t>
      </w:r>
      <w:r>
        <w:rPr>
          <w:sz w:val="24"/>
        </w:rPr>
        <w:t>salario.</w:t>
      </w:r>
    </w:p>
    <w:p>
      <w:pPr>
        <w:pStyle w:val="ListParagraph"/>
        <w:numPr>
          <w:ilvl w:val="3"/>
          <w:numId w:val="72"/>
        </w:numPr>
        <w:tabs>
          <w:tab w:pos="1169" w:val="left" w:leader="none"/>
          <w:tab w:pos="1170" w:val="left" w:leader="none"/>
        </w:tabs>
        <w:spacing w:line="350" w:lineRule="auto" w:before="16" w:after="0"/>
        <w:ind w:left="1170" w:right="115" w:hanging="360"/>
        <w:jc w:val="left"/>
        <w:rPr>
          <w:sz w:val="24"/>
        </w:rPr>
      </w:pPr>
      <w:r>
        <w:rPr>
          <w:sz w:val="24"/>
        </w:rPr>
        <w:t>Analizar el mercado de trabajo durante el periodo 2000 al 2010 a partir de salarios, contratos y</w:t>
      </w:r>
      <w:r>
        <w:rPr>
          <w:spacing w:val="-9"/>
          <w:sz w:val="24"/>
        </w:rPr>
        <w:t> </w:t>
      </w:r>
      <w:r>
        <w:rPr>
          <w:sz w:val="24"/>
        </w:rPr>
        <w:t>prestaciones.</w:t>
      </w:r>
    </w:p>
    <w:p>
      <w:pPr>
        <w:pStyle w:val="ListParagraph"/>
        <w:numPr>
          <w:ilvl w:val="3"/>
          <w:numId w:val="72"/>
        </w:numPr>
        <w:tabs>
          <w:tab w:pos="1169" w:val="left" w:leader="none"/>
          <w:tab w:pos="1170" w:val="left" w:leader="none"/>
        </w:tabs>
        <w:spacing w:line="352" w:lineRule="auto" w:before="17" w:after="0"/>
        <w:ind w:left="1170" w:right="118" w:hanging="360"/>
        <w:jc w:val="left"/>
        <w:rPr>
          <w:sz w:val="24"/>
        </w:rPr>
      </w:pPr>
      <w:r>
        <w:rPr>
          <w:sz w:val="24"/>
        </w:rPr>
        <w:t>Describir el proceso de transición de los egresados de la Licenciatura en Economía de la</w:t>
      </w:r>
      <w:r>
        <w:rPr>
          <w:spacing w:val="-1"/>
          <w:sz w:val="24"/>
        </w:rPr>
        <w:t> </w:t>
      </w:r>
      <w:r>
        <w:rPr>
          <w:sz w:val="24"/>
        </w:rPr>
        <w:t>UAEMéx.</w:t>
      </w:r>
    </w:p>
    <w:p>
      <w:pPr>
        <w:pStyle w:val="ListParagraph"/>
        <w:numPr>
          <w:ilvl w:val="3"/>
          <w:numId w:val="72"/>
        </w:numPr>
        <w:tabs>
          <w:tab w:pos="1169" w:val="left" w:leader="none"/>
          <w:tab w:pos="1170" w:val="left" w:leader="none"/>
        </w:tabs>
        <w:spacing w:line="352" w:lineRule="auto" w:before="11" w:after="0"/>
        <w:ind w:left="1170" w:right="123" w:hanging="360"/>
        <w:jc w:val="left"/>
        <w:rPr>
          <w:sz w:val="24"/>
        </w:rPr>
      </w:pPr>
      <w:r>
        <w:rPr>
          <w:sz w:val="24"/>
        </w:rPr>
        <w:t>Configurar un índice de la calidad del empleo para los egresados de la Licenciatura en Economía de la</w:t>
      </w:r>
      <w:r>
        <w:rPr>
          <w:spacing w:val="-6"/>
          <w:sz w:val="24"/>
        </w:rPr>
        <w:t> </w:t>
      </w:r>
      <w:r>
        <w:rPr>
          <w:sz w:val="24"/>
        </w:rPr>
        <w:t>UAEMéx.</w:t>
      </w:r>
    </w:p>
    <w:p>
      <w:pPr>
        <w:pStyle w:val="BodyText"/>
      </w:pPr>
    </w:p>
    <w:p>
      <w:pPr>
        <w:pStyle w:val="BodyText"/>
        <w:spacing w:before="2"/>
        <w:rPr>
          <w:sz w:val="19"/>
        </w:rPr>
      </w:pPr>
    </w:p>
    <w:p>
      <w:pPr>
        <w:pStyle w:val="Heading3"/>
        <w:numPr>
          <w:ilvl w:val="1"/>
          <w:numId w:val="73"/>
        </w:numPr>
        <w:tabs>
          <w:tab w:pos="522" w:val="left" w:leader="none"/>
        </w:tabs>
        <w:spacing w:line="240" w:lineRule="auto" w:before="0" w:after="0"/>
        <w:ind w:left="522" w:right="0" w:hanging="420"/>
        <w:jc w:val="both"/>
      </w:pPr>
      <w:bookmarkStart w:name="_bookmark67" w:id="122"/>
      <w:bookmarkEnd w:id="122"/>
      <w:r>
        <w:rPr>
          <w:b w:val="0"/>
        </w:rPr>
      </w:r>
      <w:bookmarkStart w:name="_bookmark67" w:id="123"/>
      <w:bookmarkEnd w:id="123"/>
      <w:r>
        <w:rPr/>
        <w:t>Hi</w:t>
      </w:r>
      <w:r>
        <w:rPr/>
        <w:t>pótesis</w:t>
      </w:r>
    </w:p>
    <w:p>
      <w:pPr>
        <w:pStyle w:val="BodyText"/>
        <w:rPr>
          <w:b/>
        </w:rPr>
      </w:pPr>
    </w:p>
    <w:p>
      <w:pPr>
        <w:pStyle w:val="BodyText"/>
        <w:spacing w:before="10"/>
        <w:rPr>
          <w:b/>
          <w:sz w:val="21"/>
        </w:rPr>
      </w:pPr>
    </w:p>
    <w:p>
      <w:pPr>
        <w:spacing w:line="360" w:lineRule="auto" w:before="0"/>
        <w:ind w:left="102" w:right="0" w:firstLine="0"/>
        <w:jc w:val="left"/>
        <w:rPr>
          <w:i/>
          <w:sz w:val="24"/>
        </w:rPr>
      </w:pPr>
      <w:r>
        <w:rPr>
          <w:i/>
          <w:sz w:val="24"/>
        </w:rPr>
        <w:t>Las condiciones que conllevan el proceso de transición al mercado de trabajo de los </w:t>
      </w:r>
      <w:r>
        <w:rPr>
          <w:i/>
          <w:sz w:val="24"/>
        </w:rPr>
        <w:t>egresados de 2000 a 2010 de la Licenciatura en Economía han sido favorables.</w:t>
      </w:r>
    </w:p>
    <w:p>
      <w:pPr>
        <w:pStyle w:val="BodyText"/>
        <w:rPr>
          <w:i/>
        </w:rPr>
      </w:pPr>
    </w:p>
    <w:p>
      <w:pPr>
        <w:pStyle w:val="Heading3"/>
        <w:numPr>
          <w:ilvl w:val="1"/>
          <w:numId w:val="73"/>
        </w:numPr>
        <w:tabs>
          <w:tab w:pos="522" w:val="left" w:leader="none"/>
        </w:tabs>
        <w:spacing w:line="240" w:lineRule="auto" w:before="215" w:after="0"/>
        <w:ind w:left="522" w:right="0" w:hanging="420"/>
        <w:jc w:val="both"/>
      </w:pPr>
      <w:bookmarkStart w:name="_bookmark68" w:id="124"/>
      <w:bookmarkEnd w:id="124"/>
      <w:r>
        <w:rPr>
          <w:b w:val="0"/>
        </w:rPr>
      </w:r>
      <w:bookmarkStart w:name="_bookmark68" w:id="125"/>
      <w:bookmarkEnd w:id="125"/>
      <w:r>
        <w:rPr/>
        <w:t>Va</w:t>
      </w:r>
      <w:r>
        <w:rPr/>
        <w:t>riables</w:t>
      </w:r>
    </w:p>
    <w:p>
      <w:pPr>
        <w:pStyle w:val="BodyText"/>
        <w:rPr>
          <w:b/>
        </w:rPr>
      </w:pPr>
    </w:p>
    <w:p>
      <w:pPr>
        <w:pStyle w:val="BodyText"/>
        <w:spacing w:line="360" w:lineRule="auto" w:before="175"/>
        <w:ind w:left="102" w:right="112"/>
        <w:jc w:val="both"/>
      </w:pPr>
      <w:r>
        <w:rPr/>
        <w:t>Para dar respuesta a lo aquí planteado, es necesaria la definición de variables observables que expliquen el fenómeno, mismas que se determinaron como: proceso de transición y mercado de trabajo (ver tabla 5.1.)</w:t>
      </w:r>
    </w:p>
    <w:p>
      <w:pPr>
        <w:spacing w:after="0" w:line="360" w:lineRule="auto"/>
        <w:jc w:val="both"/>
        <w:sectPr>
          <w:pgSz w:w="12240" w:h="15840"/>
          <w:pgMar w:header="0" w:footer="1003" w:top="1360" w:bottom="1200" w:left="1600" w:right="1580"/>
        </w:sectPr>
      </w:pPr>
    </w:p>
    <w:p>
      <w:pPr>
        <w:pStyle w:val="Heading3"/>
        <w:ind w:left="2807"/>
        <w:jc w:val="left"/>
      </w:pPr>
      <w:r>
        <w:rPr/>
        <w:t>Tabla 5.1. Definición de variables</w:t>
      </w:r>
    </w:p>
    <w:p>
      <w:pPr>
        <w:pStyle w:val="BodyText"/>
        <w:spacing w:before="2"/>
        <w:rPr>
          <w:b/>
          <w:sz w:val="12"/>
        </w:rPr>
      </w:pPr>
    </w:p>
    <w:tbl>
      <w:tblPr>
        <w:tblW w:w="0" w:type="auto"/>
        <w:jc w:val="left"/>
        <w:tblInd w:w="5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0"/>
        <w:gridCol w:w="3601"/>
        <w:gridCol w:w="3101"/>
      </w:tblGrid>
      <w:tr>
        <w:trPr>
          <w:trHeight w:val="1006" w:hRule="exact"/>
        </w:trPr>
        <w:tc>
          <w:tcPr>
            <w:tcW w:w="1200" w:type="dxa"/>
            <w:shd w:val="clear" w:color="auto" w:fill="BEBEBE"/>
          </w:tcPr>
          <w:p>
            <w:pPr>
              <w:pStyle w:val="TableParagraph"/>
              <w:spacing w:line="273" w:lineRule="exact"/>
              <w:ind w:left="60" w:right="48"/>
              <w:rPr>
                <w:b/>
                <w:sz w:val="24"/>
              </w:rPr>
            </w:pPr>
            <w:r>
              <w:rPr>
                <w:b/>
                <w:sz w:val="24"/>
              </w:rPr>
              <w:t>Variable</w:t>
            </w:r>
          </w:p>
        </w:tc>
        <w:tc>
          <w:tcPr>
            <w:tcW w:w="3601" w:type="dxa"/>
            <w:shd w:val="clear" w:color="auto" w:fill="BEBEBE"/>
          </w:tcPr>
          <w:p>
            <w:pPr>
              <w:pStyle w:val="TableParagraph"/>
              <w:spacing w:line="273" w:lineRule="exact"/>
              <w:ind w:left="59" w:right="377"/>
              <w:rPr>
                <w:b/>
                <w:sz w:val="24"/>
              </w:rPr>
            </w:pPr>
            <w:r>
              <w:rPr>
                <w:b/>
                <w:sz w:val="24"/>
              </w:rPr>
              <w:t>Definición conceptual</w:t>
            </w:r>
          </w:p>
        </w:tc>
        <w:tc>
          <w:tcPr>
            <w:tcW w:w="3101" w:type="dxa"/>
            <w:shd w:val="clear" w:color="auto" w:fill="BEBEBE"/>
          </w:tcPr>
          <w:p>
            <w:pPr>
              <w:pStyle w:val="TableParagraph"/>
              <w:spacing w:line="273" w:lineRule="exact"/>
              <w:ind w:left="381"/>
              <w:rPr>
                <w:b/>
                <w:sz w:val="24"/>
              </w:rPr>
            </w:pPr>
            <w:r>
              <w:rPr>
                <w:b/>
                <w:sz w:val="24"/>
              </w:rPr>
              <w:t>Definición operacional</w:t>
            </w:r>
          </w:p>
        </w:tc>
      </w:tr>
      <w:tr>
        <w:trPr>
          <w:trHeight w:val="438" w:hRule="exact"/>
        </w:trPr>
        <w:tc>
          <w:tcPr>
            <w:tcW w:w="1200" w:type="dxa"/>
            <w:vMerge w:val="restart"/>
          </w:tcPr>
          <w:p>
            <w:pPr>
              <w:pStyle w:val="TableParagraph"/>
              <w:ind w:left="117" w:right="48" w:hanging="51"/>
              <w:rPr>
                <w:sz w:val="24"/>
              </w:rPr>
            </w:pPr>
            <w:r>
              <w:rPr>
                <w:sz w:val="24"/>
              </w:rPr>
              <w:t>Proceso de transición</w:t>
            </w:r>
          </w:p>
        </w:tc>
        <w:tc>
          <w:tcPr>
            <w:tcW w:w="3601" w:type="dxa"/>
            <w:vMerge w:val="restart"/>
          </w:tcPr>
          <w:p>
            <w:pPr>
              <w:pStyle w:val="TableParagraph"/>
              <w:ind w:left="59" w:right="377"/>
              <w:rPr>
                <w:sz w:val="24"/>
              </w:rPr>
            </w:pPr>
            <w:r>
              <w:rPr>
                <w:sz w:val="24"/>
              </w:rPr>
              <w:t>Acceso de los jóvenes al empleo (Cachón, 1999)</w:t>
            </w:r>
          </w:p>
        </w:tc>
        <w:tc>
          <w:tcPr>
            <w:tcW w:w="3101" w:type="dxa"/>
            <w:tcBorders>
              <w:bottom w:val="nil"/>
            </w:tcBorders>
          </w:tcPr>
          <w:p>
            <w:pPr>
              <w:pStyle w:val="TableParagraph"/>
              <w:spacing w:line="268" w:lineRule="exact"/>
              <w:ind w:left="59"/>
              <w:rPr>
                <w:sz w:val="24"/>
              </w:rPr>
            </w:pPr>
            <w:r>
              <w:rPr>
                <w:sz w:val="24"/>
              </w:rPr>
              <w:t>Tiempo de incorporación</w:t>
            </w:r>
          </w:p>
        </w:tc>
      </w:tr>
      <w:tr>
        <w:trPr>
          <w:trHeight w:val="857" w:hRule="exact"/>
        </w:trPr>
        <w:tc>
          <w:tcPr>
            <w:tcW w:w="1200" w:type="dxa"/>
            <w:vMerge/>
          </w:tcPr>
          <w:p>
            <w:pPr/>
          </w:p>
        </w:tc>
        <w:tc>
          <w:tcPr>
            <w:tcW w:w="3601" w:type="dxa"/>
            <w:vMerge/>
          </w:tcPr>
          <w:p>
            <w:pPr/>
          </w:p>
        </w:tc>
        <w:tc>
          <w:tcPr>
            <w:tcW w:w="3101" w:type="dxa"/>
            <w:tcBorders>
              <w:top w:val="nil"/>
              <w:bottom w:val="nil"/>
            </w:tcBorders>
          </w:tcPr>
          <w:p>
            <w:pPr>
              <w:pStyle w:val="TableParagraph"/>
              <w:spacing w:before="134"/>
              <w:ind w:left="59"/>
              <w:rPr>
                <w:sz w:val="24"/>
              </w:rPr>
            </w:pPr>
            <w:r>
              <w:rPr>
                <w:sz w:val="24"/>
              </w:rPr>
              <w:t>Condiciones del mercado de trabajo</w:t>
            </w:r>
          </w:p>
        </w:tc>
      </w:tr>
      <w:tr>
        <w:trPr>
          <w:trHeight w:val="827" w:hRule="exact"/>
        </w:trPr>
        <w:tc>
          <w:tcPr>
            <w:tcW w:w="1200" w:type="dxa"/>
            <w:vMerge/>
          </w:tcPr>
          <w:p>
            <w:pPr/>
          </w:p>
        </w:tc>
        <w:tc>
          <w:tcPr>
            <w:tcW w:w="3601" w:type="dxa"/>
            <w:vMerge/>
          </w:tcPr>
          <w:p>
            <w:pPr/>
          </w:p>
        </w:tc>
        <w:tc>
          <w:tcPr>
            <w:tcW w:w="3101" w:type="dxa"/>
            <w:tcBorders>
              <w:top w:val="nil"/>
            </w:tcBorders>
          </w:tcPr>
          <w:p>
            <w:pPr>
              <w:pStyle w:val="TableParagraph"/>
              <w:spacing w:before="144"/>
              <w:ind w:left="59"/>
              <w:rPr>
                <w:sz w:val="24"/>
              </w:rPr>
            </w:pPr>
            <w:r>
              <w:rPr>
                <w:sz w:val="24"/>
              </w:rPr>
              <w:t>Trayectorias profesionales</w:t>
            </w:r>
          </w:p>
        </w:tc>
      </w:tr>
      <w:tr>
        <w:trPr>
          <w:trHeight w:val="460" w:hRule="exact"/>
        </w:trPr>
        <w:tc>
          <w:tcPr>
            <w:tcW w:w="1200" w:type="dxa"/>
            <w:vMerge w:val="restart"/>
          </w:tcPr>
          <w:p>
            <w:pPr>
              <w:pStyle w:val="TableParagraph"/>
              <w:ind w:left="96" w:right="48" w:firstLine="69"/>
              <w:rPr>
                <w:sz w:val="24"/>
              </w:rPr>
            </w:pPr>
            <w:r>
              <w:rPr>
                <w:sz w:val="24"/>
              </w:rPr>
              <w:t>Mercado de trabajo</w:t>
            </w:r>
          </w:p>
        </w:tc>
        <w:tc>
          <w:tcPr>
            <w:tcW w:w="3601" w:type="dxa"/>
            <w:vMerge w:val="restart"/>
          </w:tcPr>
          <w:p>
            <w:pPr>
              <w:pStyle w:val="TableParagraph"/>
              <w:ind w:left="59" w:right="44"/>
              <w:rPr>
                <w:sz w:val="24"/>
              </w:rPr>
            </w:pPr>
            <w:r>
              <w:rPr>
                <w:sz w:val="24"/>
              </w:rPr>
              <w:t>El área geográfica o territorial donde existen grupos de individuos, más o menos organizados, que buscan y ofrecen bienes o servicios y establecen precios. (Chiavenato, 1988)</w:t>
            </w:r>
          </w:p>
        </w:tc>
        <w:tc>
          <w:tcPr>
            <w:tcW w:w="3101" w:type="dxa"/>
            <w:tcBorders>
              <w:bottom w:val="nil"/>
            </w:tcBorders>
          </w:tcPr>
          <w:p>
            <w:pPr>
              <w:pStyle w:val="TableParagraph"/>
              <w:spacing w:line="270" w:lineRule="exact"/>
              <w:ind w:left="59"/>
              <w:rPr>
                <w:sz w:val="24"/>
              </w:rPr>
            </w:pPr>
            <w:r>
              <w:rPr>
                <w:sz w:val="24"/>
              </w:rPr>
              <w:t>Salario</w:t>
            </w:r>
          </w:p>
        </w:tc>
      </w:tr>
      <w:tr>
        <w:trPr>
          <w:trHeight w:val="590" w:hRule="exact"/>
        </w:trPr>
        <w:tc>
          <w:tcPr>
            <w:tcW w:w="1200" w:type="dxa"/>
            <w:vMerge/>
          </w:tcPr>
          <w:p>
            <w:pPr/>
          </w:p>
        </w:tc>
        <w:tc>
          <w:tcPr>
            <w:tcW w:w="3601" w:type="dxa"/>
            <w:vMerge/>
          </w:tcPr>
          <w:p>
            <w:pPr/>
          </w:p>
        </w:tc>
        <w:tc>
          <w:tcPr>
            <w:tcW w:w="3101" w:type="dxa"/>
            <w:tcBorders>
              <w:top w:val="nil"/>
              <w:bottom w:val="nil"/>
            </w:tcBorders>
          </w:tcPr>
          <w:p>
            <w:pPr>
              <w:pStyle w:val="TableParagraph"/>
              <w:spacing w:before="154"/>
              <w:ind w:left="59"/>
              <w:rPr>
                <w:sz w:val="24"/>
              </w:rPr>
            </w:pPr>
            <w:r>
              <w:rPr>
                <w:sz w:val="24"/>
              </w:rPr>
              <w:t>Sexo (femenino / masculino)</w:t>
            </w:r>
          </w:p>
        </w:tc>
      </w:tr>
      <w:tr>
        <w:trPr>
          <w:trHeight w:val="572" w:hRule="exact"/>
        </w:trPr>
        <w:tc>
          <w:tcPr>
            <w:tcW w:w="1200" w:type="dxa"/>
            <w:vMerge/>
          </w:tcPr>
          <w:p>
            <w:pPr/>
          </w:p>
        </w:tc>
        <w:tc>
          <w:tcPr>
            <w:tcW w:w="3601" w:type="dxa"/>
            <w:vMerge/>
          </w:tcPr>
          <w:p>
            <w:pPr/>
          </w:p>
        </w:tc>
        <w:tc>
          <w:tcPr>
            <w:tcW w:w="3101" w:type="dxa"/>
            <w:tcBorders>
              <w:top w:val="nil"/>
              <w:bottom w:val="nil"/>
            </w:tcBorders>
          </w:tcPr>
          <w:p>
            <w:pPr>
              <w:pStyle w:val="TableParagraph"/>
              <w:spacing w:before="134"/>
              <w:ind w:left="59"/>
              <w:rPr>
                <w:sz w:val="24"/>
              </w:rPr>
            </w:pPr>
            <w:r>
              <w:rPr>
                <w:sz w:val="24"/>
              </w:rPr>
              <w:t>Contrato (tipo y tiempo)</w:t>
            </w:r>
          </w:p>
        </w:tc>
      </w:tr>
      <w:tr>
        <w:trPr>
          <w:trHeight w:val="572" w:hRule="exact"/>
        </w:trPr>
        <w:tc>
          <w:tcPr>
            <w:tcW w:w="1200" w:type="dxa"/>
            <w:vMerge/>
          </w:tcPr>
          <w:p>
            <w:pPr/>
          </w:p>
        </w:tc>
        <w:tc>
          <w:tcPr>
            <w:tcW w:w="3601" w:type="dxa"/>
            <w:vMerge/>
          </w:tcPr>
          <w:p>
            <w:pPr/>
          </w:p>
        </w:tc>
        <w:tc>
          <w:tcPr>
            <w:tcW w:w="3101" w:type="dxa"/>
            <w:tcBorders>
              <w:top w:val="nil"/>
              <w:bottom w:val="nil"/>
            </w:tcBorders>
          </w:tcPr>
          <w:p>
            <w:pPr>
              <w:pStyle w:val="TableParagraph"/>
              <w:spacing w:before="136"/>
              <w:ind w:left="59"/>
              <w:rPr>
                <w:sz w:val="24"/>
              </w:rPr>
            </w:pPr>
            <w:r>
              <w:rPr>
                <w:sz w:val="24"/>
              </w:rPr>
              <w:t>Permanencia</w:t>
            </w:r>
          </w:p>
        </w:tc>
      </w:tr>
      <w:tr>
        <w:trPr>
          <w:trHeight w:val="1139" w:hRule="exact"/>
        </w:trPr>
        <w:tc>
          <w:tcPr>
            <w:tcW w:w="1200" w:type="dxa"/>
            <w:vMerge/>
            <w:tcBorders>
              <w:bottom w:val="single" w:sz="8" w:space="0" w:color="000000"/>
            </w:tcBorders>
          </w:tcPr>
          <w:p>
            <w:pPr/>
          </w:p>
        </w:tc>
        <w:tc>
          <w:tcPr>
            <w:tcW w:w="3601" w:type="dxa"/>
            <w:vMerge/>
            <w:tcBorders>
              <w:bottom w:val="single" w:sz="8" w:space="0" w:color="000000"/>
            </w:tcBorders>
          </w:tcPr>
          <w:p>
            <w:pPr/>
          </w:p>
        </w:tc>
        <w:tc>
          <w:tcPr>
            <w:tcW w:w="3101" w:type="dxa"/>
            <w:tcBorders>
              <w:top w:val="nil"/>
              <w:bottom w:val="single" w:sz="8" w:space="0" w:color="000000"/>
            </w:tcBorders>
          </w:tcPr>
          <w:p>
            <w:pPr>
              <w:pStyle w:val="TableParagraph"/>
              <w:spacing w:before="134"/>
              <w:ind w:left="59"/>
              <w:rPr>
                <w:sz w:val="24"/>
              </w:rPr>
            </w:pPr>
            <w:r>
              <w:rPr>
                <w:sz w:val="24"/>
              </w:rPr>
              <w:t>Prestaciones</w:t>
            </w:r>
          </w:p>
        </w:tc>
      </w:tr>
    </w:tbl>
    <w:p>
      <w:pPr>
        <w:spacing w:line="223" w:lineRule="exact" w:before="0"/>
        <w:ind w:left="1520" w:right="0" w:firstLine="0"/>
        <w:jc w:val="left"/>
        <w:rPr>
          <w:sz w:val="20"/>
        </w:rPr>
      </w:pPr>
      <w:r>
        <w:rPr>
          <w:sz w:val="20"/>
        </w:rPr>
        <w:t>Fuente: elaboración propia con base en Chiavenato, 1988  y Cachón, 1999.</w:t>
      </w:r>
    </w:p>
    <w:p>
      <w:pPr>
        <w:pStyle w:val="BodyText"/>
        <w:rPr>
          <w:sz w:val="20"/>
        </w:rPr>
      </w:pPr>
    </w:p>
    <w:p>
      <w:pPr>
        <w:pStyle w:val="BodyText"/>
        <w:rPr>
          <w:sz w:val="20"/>
        </w:rPr>
      </w:pPr>
    </w:p>
    <w:p>
      <w:pPr>
        <w:pStyle w:val="Heading3"/>
        <w:numPr>
          <w:ilvl w:val="1"/>
          <w:numId w:val="73"/>
        </w:numPr>
        <w:tabs>
          <w:tab w:pos="522" w:val="left" w:leader="none"/>
        </w:tabs>
        <w:spacing w:line="240" w:lineRule="auto" w:before="139" w:after="0"/>
        <w:ind w:left="522" w:right="0" w:hanging="420"/>
        <w:jc w:val="both"/>
      </w:pPr>
      <w:bookmarkStart w:name="_bookmark69" w:id="126"/>
      <w:bookmarkEnd w:id="126"/>
      <w:r>
        <w:rPr>
          <w:b w:val="0"/>
        </w:rPr>
      </w:r>
      <w:bookmarkStart w:name="_bookmark69" w:id="127"/>
      <w:bookmarkEnd w:id="127"/>
      <w:r>
        <w:rPr/>
        <w:t>P</w:t>
      </w:r>
      <w:r>
        <w:rPr/>
        <w:t>oblación y</w:t>
      </w:r>
      <w:r>
        <w:rPr>
          <w:spacing w:val="-7"/>
        </w:rPr>
        <w:t> </w:t>
      </w:r>
      <w:r>
        <w:rPr/>
        <w:t>muestra</w:t>
      </w:r>
    </w:p>
    <w:p>
      <w:pPr>
        <w:pStyle w:val="BodyText"/>
        <w:rPr>
          <w:b/>
        </w:rPr>
      </w:pPr>
    </w:p>
    <w:p>
      <w:pPr>
        <w:pStyle w:val="BodyText"/>
        <w:spacing w:line="360" w:lineRule="auto" w:before="175"/>
        <w:ind w:left="102" w:right="117"/>
        <w:jc w:val="both"/>
      </w:pPr>
      <w:r>
        <w:rPr/>
        <w:t>Para calcular la muestra a encuestar se inició la selección de candidatos a partir  del universo de egresados de las generaciones 2000 a 2010, siendo un total de 513. De los cuáles se consideró como la población de este caso de estudio a aquellos egresados que se pudieran contactar por un medio electrónico. Resultando en una población de 282 egresados.</w:t>
      </w:r>
    </w:p>
    <w:p>
      <w:pPr>
        <w:pStyle w:val="BodyText"/>
      </w:pPr>
    </w:p>
    <w:p>
      <w:pPr>
        <w:pStyle w:val="BodyText"/>
        <w:spacing w:line="360" w:lineRule="auto" w:before="143"/>
        <w:ind w:left="102" w:right="119"/>
        <w:jc w:val="both"/>
      </w:pPr>
      <w:r>
        <w:rPr/>
        <w:t>Se aplicó la fórmula de muestreo, en donde la incógnita es el número de elementos a encuestar y el término que permite despejar la incógnita está compuesto por los factores  que condicionan el tamaño de la muestra. Entre estos factores se encuentran el nivel de confianza, la probabilidad de error, la variación positiva y la variación negativa (Reyes, 1992).</w:t>
      </w:r>
    </w:p>
    <w:p>
      <w:pPr>
        <w:spacing w:after="0" w:line="360" w:lineRule="auto"/>
        <w:jc w:val="both"/>
        <w:sectPr>
          <w:pgSz w:w="12240" w:h="15840"/>
          <w:pgMar w:header="0" w:footer="1003" w:top="1360" w:bottom="1200" w:left="1600" w:right="1580"/>
        </w:sectPr>
      </w:pPr>
    </w:p>
    <w:p>
      <w:pPr>
        <w:pStyle w:val="Heading3"/>
        <w:ind w:left="102"/>
      </w:pPr>
      <w:r>
        <w:rPr/>
        <w:t>Fórmula:</w:t>
      </w:r>
    </w:p>
    <w:p>
      <w:pPr>
        <w:pStyle w:val="BodyText"/>
        <w:rPr>
          <w:b/>
          <w:sz w:val="20"/>
        </w:rPr>
      </w:pPr>
    </w:p>
    <w:p>
      <w:pPr>
        <w:pStyle w:val="BodyText"/>
        <w:spacing w:before="9"/>
        <w:rPr>
          <w:b/>
          <w:sz w:val="17"/>
        </w:rPr>
      </w:pPr>
      <w:r>
        <w:rPr/>
        <w:pict>
          <v:line style="position:absolute;mso-position-horizontal-relative:page;mso-position-vertical-relative:paragraph;z-index:4408;mso-wrap-distance-left:0;mso-wrap-distance-right:0" from="285.170013pt,12.605293pt" to="349.754013pt,12.605293pt" stroked="true" strokeweight=".84pt" strokecolor="#000000">
            <w10:wrap type="topAndBottom"/>
          </v:line>
        </w:pict>
      </w:r>
    </w:p>
    <w:p>
      <w:pPr>
        <w:pStyle w:val="BodyText"/>
        <w:spacing w:before="10"/>
        <w:rPr>
          <w:b/>
          <w:sz w:val="32"/>
        </w:rPr>
      </w:pPr>
    </w:p>
    <w:p>
      <w:pPr>
        <w:pStyle w:val="BodyText"/>
        <w:ind w:left="102"/>
        <w:jc w:val="both"/>
      </w:pPr>
      <w:r>
        <w:rPr/>
        <w:t>Donde:</w:t>
      </w:r>
    </w:p>
    <w:p>
      <w:pPr>
        <w:pStyle w:val="BodyText"/>
        <w:spacing w:line="360" w:lineRule="auto" w:before="139"/>
        <w:ind w:left="102" w:right="6516"/>
      </w:pPr>
      <w:r>
        <w:rPr/>
        <w:t>n = tamaño de la muestra Z = nivel de confianza</w:t>
      </w:r>
    </w:p>
    <w:p>
      <w:pPr>
        <w:pStyle w:val="BodyText"/>
        <w:spacing w:line="360" w:lineRule="auto" w:before="6"/>
        <w:ind w:left="102" w:right="6562"/>
        <w:jc w:val="both"/>
      </w:pPr>
      <w:r>
        <w:rPr/>
        <w:t>p = variabilidad positiva q = variabilidad negativa e = probabilidad de error</w:t>
      </w:r>
    </w:p>
    <w:p>
      <w:pPr>
        <w:pStyle w:val="BodyText"/>
        <w:spacing w:before="4"/>
        <w:ind w:left="102"/>
        <w:jc w:val="both"/>
      </w:pPr>
      <w:r>
        <w:rPr/>
        <w:t>N = tamaño de la población</w:t>
      </w:r>
    </w:p>
    <w:p>
      <w:pPr>
        <w:pStyle w:val="BodyText"/>
      </w:pPr>
    </w:p>
    <w:p>
      <w:pPr>
        <w:pStyle w:val="BodyText"/>
      </w:pPr>
    </w:p>
    <w:p>
      <w:pPr>
        <w:pStyle w:val="BodyText"/>
        <w:spacing w:line="360" w:lineRule="auto"/>
        <w:ind w:left="102" w:right="115"/>
        <w:jc w:val="both"/>
        <w:rPr>
          <w:b/>
        </w:rPr>
      </w:pPr>
      <w:r>
        <w:rPr/>
        <w:t>A partir de la población estimada y con un nivel de confianza de 90 %, con un error  estándar de 5 %, con p y q de 50 % respectivamente, se calculó la muestra quedando en </w:t>
      </w:r>
      <w:r>
        <w:rPr>
          <w:b/>
        </w:rPr>
        <w:t>138 egresados por encuestar </w:t>
      </w:r>
      <w:r>
        <w:rPr/>
        <w:t>de la licenciatura de</w:t>
      </w:r>
      <w:r>
        <w:rPr>
          <w:spacing w:val="-9"/>
        </w:rPr>
        <w:t> </w:t>
      </w:r>
      <w:r>
        <w:rPr/>
        <w:t>Economía</w:t>
      </w:r>
      <w:r>
        <w:rPr>
          <w:b/>
        </w:rPr>
        <w:t>.</w:t>
      </w:r>
    </w:p>
    <w:p>
      <w:pPr>
        <w:pStyle w:val="BodyText"/>
        <w:rPr>
          <w:b/>
        </w:rPr>
      </w:pPr>
    </w:p>
    <w:p>
      <w:pPr>
        <w:pStyle w:val="BodyText"/>
        <w:spacing w:line="360" w:lineRule="auto" w:before="143"/>
        <w:ind w:left="102" w:right="123"/>
      </w:pPr>
      <w:r>
        <w:rPr/>
        <w:t>Para determinar el número exacto de egresados universitarios a encuestar en cada generación se aplica un muestreo estratificado obteniendo los resultados siguientes:</w:t>
      </w:r>
    </w:p>
    <w:p>
      <w:pPr>
        <w:pStyle w:val="Heading3"/>
        <w:spacing w:before="11"/>
        <w:ind w:left="2877"/>
        <w:jc w:val="left"/>
      </w:pPr>
      <w:r>
        <w:rPr/>
        <w:t>Tabla 5.2. Muestra estratificada</w:t>
      </w:r>
    </w:p>
    <w:p>
      <w:pPr>
        <w:pStyle w:val="BodyText"/>
        <w:spacing w:before="11"/>
        <w:rPr>
          <w:b/>
          <w:sz w:val="11"/>
        </w:rPr>
      </w:pPr>
    </w:p>
    <w:tbl>
      <w:tblPr>
        <w:tblW w:w="0" w:type="auto"/>
        <w:jc w:val="left"/>
        <w:tblInd w:w="27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1200"/>
        <w:gridCol w:w="1200"/>
      </w:tblGrid>
      <w:tr>
        <w:trPr>
          <w:trHeight w:val="845" w:hRule="exact"/>
        </w:trPr>
        <w:tc>
          <w:tcPr>
            <w:tcW w:w="1200" w:type="dxa"/>
            <w:tcBorders>
              <w:left w:val="nil"/>
              <w:bottom w:val="nil"/>
              <w:right w:val="nil"/>
            </w:tcBorders>
          </w:tcPr>
          <w:p>
            <w:pPr>
              <w:pStyle w:val="TableParagraph"/>
              <w:ind w:left="107" w:right="373"/>
              <w:rPr>
                <w:sz w:val="24"/>
              </w:rPr>
            </w:pPr>
            <w:r>
              <w:rPr>
                <w:sz w:val="24"/>
              </w:rPr>
              <w:t>Año de egreso</w:t>
            </w:r>
          </w:p>
        </w:tc>
        <w:tc>
          <w:tcPr>
            <w:tcW w:w="1200" w:type="dxa"/>
            <w:tcBorders>
              <w:left w:val="nil"/>
              <w:bottom w:val="nil"/>
              <w:right w:val="nil"/>
            </w:tcBorders>
          </w:tcPr>
          <w:p>
            <w:pPr>
              <w:pStyle w:val="TableParagraph"/>
              <w:spacing w:line="270" w:lineRule="exact"/>
              <w:ind w:right="131"/>
              <w:jc w:val="right"/>
              <w:rPr>
                <w:sz w:val="24"/>
              </w:rPr>
            </w:pPr>
            <w:r>
              <w:rPr>
                <w:sz w:val="24"/>
              </w:rPr>
              <w:t>Población</w:t>
            </w:r>
          </w:p>
        </w:tc>
        <w:tc>
          <w:tcPr>
            <w:tcW w:w="1200" w:type="dxa"/>
            <w:tcBorders>
              <w:left w:val="nil"/>
              <w:bottom w:val="nil"/>
              <w:right w:val="nil"/>
            </w:tcBorders>
          </w:tcPr>
          <w:p>
            <w:pPr>
              <w:pStyle w:val="TableParagraph"/>
              <w:ind w:left="107" w:right="286"/>
              <w:rPr>
                <w:sz w:val="24"/>
              </w:rPr>
            </w:pPr>
            <w:r>
              <w:rPr>
                <w:sz w:val="24"/>
              </w:rPr>
              <w:t>Muestra por</w:t>
            </w:r>
          </w:p>
          <w:p>
            <w:pPr>
              <w:pStyle w:val="TableParagraph"/>
              <w:tabs>
                <w:tab w:pos="107" w:val="left" w:leader="none"/>
                <w:tab w:pos="1199" w:val="left" w:leader="none"/>
              </w:tabs>
              <w:ind w:left="-2401" w:right="-1"/>
              <w:rPr>
                <w:sz w:val="24"/>
              </w:rPr>
            </w:pPr>
            <w:r>
              <w:rPr>
                <w:sz w:val="24"/>
                <w:u w:val="single"/>
              </w:rPr>
              <w:t> </w:t>
              <w:tab/>
              <w:t>estratos</w:t>
              <w:tab/>
            </w:r>
          </w:p>
        </w:tc>
      </w:tr>
      <w:tr>
        <w:trPr>
          <w:trHeight w:val="305" w:hRule="exact"/>
        </w:trPr>
        <w:tc>
          <w:tcPr>
            <w:tcW w:w="1200" w:type="dxa"/>
            <w:tcBorders>
              <w:top w:val="nil"/>
              <w:left w:val="nil"/>
              <w:right w:val="nil"/>
            </w:tcBorders>
          </w:tcPr>
          <w:p>
            <w:pPr>
              <w:pStyle w:val="TableParagraph"/>
              <w:spacing w:line="268" w:lineRule="exact"/>
              <w:ind w:right="107"/>
              <w:jc w:val="right"/>
              <w:rPr>
                <w:sz w:val="24"/>
              </w:rPr>
            </w:pPr>
            <w:r>
              <w:rPr>
                <w:sz w:val="24"/>
              </w:rPr>
              <w:t>2000</w:t>
            </w:r>
          </w:p>
        </w:tc>
        <w:tc>
          <w:tcPr>
            <w:tcW w:w="1200" w:type="dxa"/>
            <w:tcBorders>
              <w:top w:val="nil"/>
              <w:left w:val="nil"/>
              <w:right w:val="nil"/>
            </w:tcBorders>
          </w:tcPr>
          <w:p>
            <w:pPr>
              <w:pStyle w:val="TableParagraph"/>
              <w:spacing w:line="268" w:lineRule="exact"/>
              <w:ind w:right="107"/>
              <w:jc w:val="right"/>
              <w:rPr>
                <w:sz w:val="24"/>
              </w:rPr>
            </w:pPr>
            <w:r>
              <w:rPr>
                <w:sz w:val="24"/>
              </w:rPr>
              <w:t>7</w:t>
            </w:r>
          </w:p>
        </w:tc>
        <w:tc>
          <w:tcPr>
            <w:tcW w:w="1200" w:type="dxa"/>
            <w:tcBorders>
              <w:top w:val="nil"/>
              <w:left w:val="nil"/>
              <w:right w:val="nil"/>
            </w:tcBorders>
          </w:tcPr>
          <w:p>
            <w:pPr>
              <w:pStyle w:val="TableParagraph"/>
              <w:spacing w:line="268" w:lineRule="exact"/>
              <w:ind w:right="107"/>
              <w:jc w:val="right"/>
              <w:rPr>
                <w:sz w:val="24"/>
              </w:rPr>
            </w:pPr>
            <w:r>
              <w:rPr>
                <w:sz w:val="24"/>
              </w:rPr>
              <w:t>4</w:t>
            </w:r>
          </w:p>
        </w:tc>
      </w:tr>
      <w:tr>
        <w:trPr>
          <w:trHeight w:val="310" w:hRule="exact"/>
        </w:trPr>
        <w:tc>
          <w:tcPr>
            <w:tcW w:w="1200" w:type="dxa"/>
            <w:tcBorders>
              <w:left w:val="nil"/>
              <w:right w:val="nil"/>
            </w:tcBorders>
          </w:tcPr>
          <w:p>
            <w:pPr>
              <w:pStyle w:val="TableParagraph"/>
              <w:spacing w:line="268" w:lineRule="exact"/>
              <w:ind w:right="107"/>
              <w:jc w:val="right"/>
              <w:rPr>
                <w:sz w:val="24"/>
              </w:rPr>
            </w:pPr>
            <w:r>
              <w:rPr>
                <w:sz w:val="24"/>
              </w:rPr>
              <w:t>2001</w:t>
            </w:r>
          </w:p>
        </w:tc>
        <w:tc>
          <w:tcPr>
            <w:tcW w:w="1200" w:type="dxa"/>
            <w:tcBorders>
              <w:left w:val="nil"/>
              <w:right w:val="nil"/>
            </w:tcBorders>
          </w:tcPr>
          <w:p>
            <w:pPr>
              <w:pStyle w:val="TableParagraph"/>
              <w:spacing w:line="268" w:lineRule="exact"/>
              <w:ind w:right="106"/>
              <w:jc w:val="right"/>
              <w:rPr>
                <w:sz w:val="24"/>
              </w:rPr>
            </w:pPr>
            <w:r>
              <w:rPr>
                <w:sz w:val="24"/>
              </w:rPr>
              <w:t>18</w:t>
            </w:r>
          </w:p>
        </w:tc>
        <w:tc>
          <w:tcPr>
            <w:tcW w:w="1200" w:type="dxa"/>
            <w:tcBorders>
              <w:left w:val="nil"/>
              <w:right w:val="nil"/>
            </w:tcBorders>
          </w:tcPr>
          <w:p>
            <w:pPr>
              <w:pStyle w:val="TableParagraph"/>
              <w:spacing w:line="268" w:lineRule="exact"/>
              <w:ind w:right="107"/>
              <w:jc w:val="right"/>
              <w:rPr>
                <w:sz w:val="24"/>
              </w:rPr>
            </w:pPr>
            <w:r>
              <w:rPr>
                <w:sz w:val="24"/>
              </w:rPr>
              <w:t>10</w:t>
            </w:r>
          </w:p>
        </w:tc>
      </w:tr>
      <w:tr>
        <w:trPr>
          <w:trHeight w:val="310" w:hRule="exact"/>
        </w:trPr>
        <w:tc>
          <w:tcPr>
            <w:tcW w:w="1200" w:type="dxa"/>
            <w:tcBorders>
              <w:left w:val="nil"/>
              <w:right w:val="nil"/>
            </w:tcBorders>
          </w:tcPr>
          <w:p>
            <w:pPr>
              <w:pStyle w:val="TableParagraph"/>
              <w:spacing w:line="268" w:lineRule="exact"/>
              <w:ind w:right="107"/>
              <w:jc w:val="right"/>
              <w:rPr>
                <w:sz w:val="24"/>
              </w:rPr>
            </w:pPr>
            <w:r>
              <w:rPr>
                <w:sz w:val="24"/>
              </w:rPr>
              <w:t>2002</w:t>
            </w:r>
          </w:p>
        </w:tc>
        <w:tc>
          <w:tcPr>
            <w:tcW w:w="1200" w:type="dxa"/>
            <w:tcBorders>
              <w:left w:val="nil"/>
              <w:right w:val="nil"/>
            </w:tcBorders>
          </w:tcPr>
          <w:p>
            <w:pPr>
              <w:pStyle w:val="TableParagraph"/>
              <w:spacing w:line="268" w:lineRule="exact"/>
              <w:ind w:right="106"/>
              <w:jc w:val="right"/>
              <w:rPr>
                <w:sz w:val="24"/>
              </w:rPr>
            </w:pPr>
            <w:r>
              <w:rPr>
                <w:sz w:val="24"/>
              </w:rPr>
              <w:t>14</w:t>
            </w:r>
          </w:p>
        </w:tc>
        <w:tc>
          <w:tcPr>
            <w:tcW w:w="1200" w:type="dxa"/>
            <w:tcBorders>
              <w:left w:val="nil"/>
              <w:right w:val="nil"/>
            </w:tcBorders>
          </w:tcPr>
          <w:p>
            <w:pPr>
              <w:pStyle w:val="TableParagraph"/>
              <w:spacing w:line="268" w:lineRule="exact"/>
              <w:ind w:right="107"/>
              <w:jc w:val="right"/>
              <w:rPr>
                <w:sz w:val="24"/>
              </w:rPr>
            </w:pPr>
            <w:r>
              <w:rPr>
                <w:sz w:val="24"/>
              </w:rPr>
              <w:t>8</w:t>
            </w:r>
          </w:p>
        </w:tc>
      </w:tr>
      <w:tr>
        <w:trPr>
          <w:trHeight w:val="310" w:hRule="exact"/>
        </w:trPr>
        <w:tc>
          <w:tcPr>
            <w:tcW w:w="1200" w:type="dxa"/>
            <w:tcBorders>
              <w:left w:val="nil"/>
              <w:right w:val="nil"/>
            </w:tcBorders>
          </w:tcPr>
          <w:p>
            <w:pPr>
              <w:pStyle w:val="TableParagraph"/>
              <w:spacing w:line="268" w:lineRule="exact"/>
              <w:ind w:right="107"/>
              <w:jc w:val="right"/>
              <w:rPr>
                <w:sz w:val="24"/>
              </w:rPr>
            </w:pPr>
            <w:r>
              <w:rPr>
                <w:sz w:val="24"/>
              </w:rPr>
              <w:t>2003</w:t>
            </w:r>
          </w:p>
        </w:tc>
        <w:tc>
          <w:tcPr>
            <w:tcW w:w="1200" w:type="dxa"/>
            <w:tcBorders>
              <w:left w:val="nil"/>
              <w:right w:val="nil"/>
            </w:tcBorders>
          </w:tcPr>
          <w:p>
            <w:pPr>
              <w:pStyle w:val="TableParagraph"/>
              <w:spacing w:line="268" w:lineRule="exact"/>
              <w:ind w:right="106"/>
              <w:jc w:val="right"/>
              <w:rPr>
                <w:sz w:val="24"/>
              </w:rPr>
            </w:pPr>
            <w:r>
              <w:rPr>
                <w:sz w:val="24"/>
              </w:rPr>
              <w:t>13</w:t>
            </w:r>
          </w:p>
        </w:tc>
        <w:tc>
          <w:tcPr>
            <w:tcW w:w="1200" w:type="dxa"/>
            <w:tcBorders>
              <w:left w:val="nil"/>
              <w:right w:val="nil"/>
            </w:tcBorders>
          </w:tcPr>
          <w:p>
            <w:pPr>
              <w:pStyle w:val="TableParagraph"/>
              <w:spacing w:line="268" w:lineRule="exact"/>
              <w:ind w:right="107"/>
              <w:jc w:val="right"/>
              <w:rPr>
                <w:sz w:val="24"/>
              </w:rPr>
            </w:pPr>
            <w:r>
              <w:rPr>
                <w:sz w:val="24"/>
              </w:rPr>
              <w:t>8</w:t>
            </w:r>
          </w:p>
        </w:tc>
      </w:tr>
      <w:tr>
        <w:trPr>
          <w:trHeight w:val="310" w:hRule="exact"/>
        </w:trPr>
        <w:tc>
          <w:tcPr>
            <w:tcW w:w="1200" w:type="dxa"/>
            <w:tcBorders>
              <w:left w:val="nil"/>
              <w:right w:val="nil"/>
            </w:tcBorders>
          </w:tcPr>
          <w:p>
            <w:pPr>
              <w:pStyle w:val="TableParagraph"/>
              <w:spacing w:line="268" w:lineRule="exact"/>
              <w:ind w:right="107"/>
              <w:jc w:val="right"/>
              <w:rPr>
                <w:sz w:val="24"/>
              </w:rPr>
            </w:pPr>
            <w:r>
              <w:rPr>
                <w:sz w:val="24"/>
              </w:rPr>
              <w:t>2004</w:t>
            </w:r>
          </w:p>
        </w:tc>
        <w:tc>
          <w:tcPr>
            <w:tcW w:w="1200" w:type="dxa"/>
            <w:tcBorders>
              <w:left w:val="nil"/>
              <w:right w:val="nil"/>
            </w:tcBorders>
          </w:tcPr>
          <w:p>
            <w:pPr>
              <w:pStyle w:val="TableParagraph"/>
              <w:spacing w:line="268" w:lineRule="exact"/>
              <w:ind w:right="106"/>
              <w:jc w:val="right"/>
              <w:rPr>
                <w:sz w:val="24"/>
              </w:rPr>
            </w:pPr>
            <w:r>
              <w:rPr>
                <w:sz w:val="24"/>
              </w:rPr>
              <w:t>17</w:t>
            </w:r>
          </w:p>
        </w:tc>
        <w:tc>
          <w:tcPr>
            <w:tcW w:w="1200" w:type="dxa"/>
            <w:tcBorders>
              <w:left w:val="nil"/>
              <w:right w:val="nil"/>
            </w:tcBorders>
          </w:tcPr>
          <w:p>
            <w:pPr>
              <w:pStyle w:val="TableParagraph"/>
              <w:spacing w:line="268" w:lineRule="exact"/>
              <w:ind w:right="107"/>
              <w:jc w:val="right"/>
              <w:rPr>
                <w:sz w:val="24"/>
              </w:rPr>
            </w:pPr>
            <w:r>
              <w:rPr>
                <w:sz w:val="24"/>
              </w:rPr>
              <w:t>10</w:t>
            </w:r>
          </w:p>
        </w:tc>
      </w:tr>
      <w:tr>
        <w:trPr>
          <w:trHeight w:val="312" w:hRule="exact"/>
        </w:trPr>
        <w:tc>
          <w:tcPr>
            <w:tcW w:w="1200" w:type="dxa"/>
            <w:tcBorders>
              <w:left w:val="nil"/>
              <w:right w:val="nil"/>
            </w:tcBorders>
          </w:tcPr>
          <w:p>
            <w:pPr>
              <w:pStyle w:val="TableParagraph"/>
              <w:spacing w:line="270" w:lineRule="exact"/>
              <w:ind w:right="107"/>
              <w:jc w:val="right"/>
              <w:rPr>
                <w:sz w:val="24"/>
              </w:rPr>
            </w:pPr>
            <w:r>
              <w:rPr>
                <w:sz w:val="24"/>
              </w:rPr>
              <w:t>2005</w:t>
            </w:r>
          </w:p>
        </w:tc>
        <w:tc>
          <w:tcPr>
            <w:tcW w:w="1200" w:type="dxa"/>
            <w:tcBorders>
              <w:left w:val="nil"/>
              <w:right w:val="nil"/>
            </w:tcBorders>
          </w:tcPr>
          <w:p>
            <w:pPr>
              <w:pStyle w:val="TableParagraph"/>
              <w:spacing w:line="270" w:lineRule="exact"/>
              <w:ind w:right="106"/>
              <w:jc w:val="right"/>
              <w:rPr>
                <w:sz w:val="24"/>
              </w:rPr>
            </w:pPr>
            <w:r>
              <w:rPr>
                <w:sz w:val="24"/>
              </w:rPr>
              <w:t>29</w:t>
            </w:r>
          </w:p>
        </w:tc>
        <w:tc>
          <w:tcPr>
            <w:tcW w:w="1200" w:type="dxa"/>
            <w:tcBorders>
              <w:left w:val="nil"/>
              <w:right w:val="nil"/>
            </w:tcBorders>
          </w:tcPr>
          <w:p>
            <w:pPr>
              <w:pStyle w:val="TableParagraph"/>
              <w:spacing w:line="270" w:lineRule="exact"/>
              <w:ind w:right="107"/>
              <w:jc w:val="right"/>
              <w:rPr>
                <w:sz w:val="24"/>
              </w:rPr>
            </w:pPr>
            <w:r>
              <w:rPr>
                <w:sz w:val="24"/>
              </w:rPr>
              <w:t>17</w:t>
            </w:r>
          </w:p>
        </w:tc>
      </w:tr>
      <w:tr>
        <w:trPr>
          <w:trHeight w:val="310" w:hRule="exact"/>
        </w:trPr>
        <w:tc>
          <w:tcPr>
            <w:tcW w:w="1200" w:type="dxa"/>
            <w:tcBorders>
              <w:left w:val="nil"/>
              <w:right w:val="nil"/>
            </w:tcBorders>
          </w:tcPr>
          <w:p>
            <w:pPr>
              <w:pStyle w:val="TableParagraph"/>
              <w:spacing w:line="269" w:lineRule="exact"/>
              <w:ind w:right="107"/>
              <w:jc w:val="right"/>
              <w:rPr>
                <w:sz w:val="24"/>
              </w:rPr>
            </w:pPr>
            <w:r>
              <w:rPr>
                <w:sz w:val="24"/>
              </w:rPr>
              <w:t>2006</w:t>
            </w:r>
          </w:p>
        </w:tc>
        <w:tc>
          <w:tcPr>
            <w:tcW w:w="1200" w:type="dxa"/>
            <w:tcBorders>
              <w:left w:val="nil"/>
              <w:right w:val="nil"/>
            </w:tcBorders>
          </w:tcPr>
          <w:p>
            <w:pPr>
              <w:pStyle w:val="TableParagraph"/>
              <w:spacing w:line="269" w:lineRule="exact"/>
              <w:ind w:right="106"/>
              <w:jc w:val="right"/>
              <w:rPr>
                <w:sz w:val="24"/>
              </w:rPr>
            </w:pPr>
            <w:r>
              <w:rPr>
                <w:sz w:val="24"/>
              </w:rPr>
              <w:t>39</w:t>
            </w:r>
          </w:p>
        </w:tc>
        <w:tc>
          <w:tcPr>
            <w:tcW w:w="1200" w:type="dxa"/>
            <w:tcBorders>
              <w:left w:val="nil"/>
              <w:right w:val="nil"/>
            </w:tcBorders>
          </w:tcPr>
          <w:p>
            <w:pPr>
              <w:pStyle w:val="TableParagraph"/>
              <w:spacing w:line="269" w:lineRule="exact"/>
              <w:ind w:right="107"/>
              <w:jc w:val="right"/>
              <w:rPr>
                <w:sz w:val="24"/>
              </w:rPr>
            </w:pPr>
            <w:r>
              <w:rPr>
                <w:sz w:val="24"/>
              </w:rPr>
              <w:t>23</w:t>
            </w:r>
          </w:p>
        </w:tc>
      </w:tr>
      <w:tr>
        <w:trPr>
          <w:trHeight w:val="310" w:hRule="exact"/>
        </w:trPr>
        <w:tc>
          <w:tcPr>
            <w:tcW w:w="1200" w:type="dxa"/>
            <w:tcBorders>
              <w:left w:val="nil"/>
              <w:right w:val="nil"/>
            </w:tcBorders>
          </w:tcPr>
          <w:p>
            <w:pPr>
              <w:pStyle w:val="TableParagraph"/>
              <w:spacing w:line="268" w:lineRule="exact"/>
              <w:ind w:right="107"/>
              <w:jc w:val="right"/>
              <w:rPr>
                <w:sz w:val="24"/>
              </w:rPr>
            </w:pPr>
            <w:r>
              <w:rPr>
                <w:sz w:val="24"/>
              </w:rPr>
              <w:t>2007</w:t>
            </w:r>
          </w:p>
        </w:tc>
        <w:tc>
          <w:tcPr>
            <w:tcW w:w="1200" w:type="dxa"/>
            <w:tcBorders>
              <w:left w:val="nil"/>
              <w:right w:val="nil"/>
            </w:tcBorders>
          </w:tcPr>
          <w:p>
            <w:pPr>
              <w:pStyle w:val="TableParagraph"/>
              <w:spacing w:line="268" w:lineRule="exact"/>
              <w:ind w:right="106"/>
              <w:jc w:val="right"/>
              <w:rPr>
                <w:sz w:val="24"/>
              </w:rPr>
            </w:pPr>
            <w:r>
              <w:rPr>
                <w:sz w:val="24"/>
              </w:rPr>
              <w:t>32</w:t>
            </w:r>
          </w:p>
        </w:tc>
        <w:tc>
          <w:tcPr>
            <w:tcW w:w="1200" w:type="dxa"/>
            <w:tcBorders>
              <w:left w:val="nil"/>
              <w:right w:val="nil"/>
            </w:tcBorders>
          </w:tcPr>
          <w:p>
            <w:pPr>
              <w:pStyle w:val="TableParagraph"/>
              <w:spacing w:line="268" w:lineRule="exact"/>
              <w:ind w:right="107"/>
              <w:jc w:val="right"/>
              <w:rPr>
                <w:sz w:val="24"/>
              </w:rPr>
            </w:pPr>
            <w:r>
              <w:rPr>
                <w:sz w:val="24"/>
              </w:rPr>
              <w:t>18</w:t>
            </w:r>
          </w:p>
        </w:tc>
      </w:tr>
      <w:tr>
        <w:trPr>
          <w:trHeight w:val="310" w:hRule="exact"/>
        </w:trPr>
        <w:tc>
          <w:tcPr>
            <w:tcW w:w="1200" w:type="dxa"/>
            <w:tcBorders>
              <w:left w:val="nil"/>
              <w:right w:val="nil"/>
            </w:tcBorders>
          </w:tcPr>
          <w:p>
            <w:pPr>
              <w:pStyle w:val="TableParagraph"/>
              <w:spacing w:line="268" w:lineRule="exact"/>
              <w:ind w:right="107"/>
              <w:jc w:val="right"/>
              <w:rPr>
                <w:sz w:val="24"/>
              </w:rPr>
            </w:pPr>
            <w:r>
              <w:rPr>
                <w:sz w:val="24"/>
              </w:rPr>
              <w:t>2008</w:t>
            </w:r>
          </w:p>
        </w:tc>
        <w:tc>
          <w:tcPr>
            <w:tcW w:w="1200" w:type="dxa"/>
            <w:tcBorders>
              <w:left w:val="nil"/>
              <w:right w:val="nil"/>
            </w:tcBorders>
          </w:tcPr>
          <w:p>
            <w:pPr>
              <w:pStyle w:val="TableParagraph"/>
              <w:spacing w:line="268" w:lineRule="exact"/>
              <w:ind w:right="106"/>
              <w:jc w:val="right"/>
              <w:rPr>
                <w:sz w:val="24"/>
              </w:rPr>
            </w:pPr>
            <w:r>
              <w:rPr>
                <w:sz w:val="24"/>
              </w:rPr>
              <w:t>38</w:t>
            </w:r>
          </w:p>
        </w:tc>
        <w:tc>
          <w:tcPr>
            <w:tcW w:w="1200" w:type="dxa"/>
            <w:tcBorders>
              <w:left w:val="nil"/>
              <w:right w:val="nil"/>
            </w:tcBorders>
          </w:tcPr>
          <w:p>
            <w:pPr>
              <w:pStyle w:val="TableParagraph"/>
              <w:spacing w:line="268" w:lineRule="exact"/>
              <w:ind w:right="107"/>
              <w:jc w:val="right"/>
              <w:rPr>
                <w:sz w:val="24"/>
              </w:rPr>
            </w:pPr>
            <w:r>
              <w:rPr>
                <w:sz w:val="24"/>
              </w:rPr>
              <w:t>22</w:t>
            </w:r>
          </w:p>
        </w:tc>
      </w:tr>
      <w:tr>
        <w:trPr>
          <w:trHeight w:val="310" w:hRule="exact"/>
        </w:trPr>
        <w:tc>
          <w:tcPr>
            <w:tcW w:w="1200" w:type="dxa"/>
            <w:tcBorders>
              <w:left w:val="nil"/>
              <w:right w:val="nil"/>
            </w:tcBorders>
          </w:tcPr>
          <w:p>
            <w:pPr>
              <w:pStyle w:val="TableParagraph"/>
              <w:spacing w:line="268" w:lineRule="exact"/>
              <w:ind w:right="107"/>
              <w:jc w:val="right"/>
              <w:rPr>
                <w:sz w:val="24"/>
              </w:rPr>
            </w:pPr>
            <w:r>
              <w:rPr>
                <w:sz w:val="24"/>
              </w:rPr>
              <w:t>2009</w:t>
            </w:r>
          </w:p>
        </w:tc>
        <w:tc>
          <w:tcPr>
            <w:tcW w:w="1200" w:type="dxa"/>
            <w:tcBorders>
              <w:left w:val="nil"/>
              <w:right w:val="nil"/>
            </w:tcBorders>
          </w:tcPr>
          <w:p>
            <w:pPr>
              <w:pStyle w:val="TableParagraph"/>
              <w:spacing w:line="268" w:lineRule="exact"/>
              <w:ind w:right="106"/>
              <w:jc w:val="right"/>
              <w:rPr>
                <w:sz w:val="24"/>
              </w:rPr>
            </w:pPr>
            <w:r>
              <w:rPr>
                <w:sz w:val="24"/>
              </w:rPr>
              <w:t>38</w:t>
            </w:r>
          </w:p>
        </w:tc>
        <w:tc>
          <w:tcPr>
            <w:tcW w:w="1200" w:type="dxa"/>
            <w:tcBorders>
              <w:left w:val="nil"/>
              <w:right w:val="nil"/>
            </w:tcBorders>
          </w:tcPr>
          <w:p>
            <w:pPr>
              <w:pStyle w:val="TableParagraph"/>
              <w:spacing w:line="268" w:lineRule="exact"/>
              <w:ind w:right="107"/>
              <w:jc w:val="right"/>
              <w:rPr>
                <w:sz w:val="24"/>
              </w:rPr>
            </w:pPr>
            <w:r>
              <w:rPr>
                <w:sz w:val="24"/>
              </w:rPr>
              <w:t>22</w:t>
            </w:r>
          </w:p>
        </w:tc>
      </w:tr>
      <w:tr>
        <w:trPr>
          <w:trHeight w:val="312" w:hRule="exact"/>
        </w:trPr>
        <w:tc>
          <w:tcPr>
            <w:tcW w:w="1200" w:type="dxa"/>
            <w:tcBorders>
              <w:left w:val="nil"/>
              <w:right w:val="nil"/>
            </w:tcBorders>
          </w:tcPr>
          <w:p>
            <w:pPr>
              <w:pStyle w:val="TableParagraph"/>
              <w:spacing w:line="268" w:lineRule="exact"/>
              <w:ind w:right="107"/>
              <w:jc w:val="right"/>
              <w:rPr>
                <w:sz w:val="24"/>
              </w:rPr>
            </w:pPr>
            <w:r>
              <w:rPr>
                <w:sz w:val="24"/>
              </w:rPr>
              <w:t>2010</w:t>
            </w:r>
          </w:p>
        </w:tc>
        <w:tc>
          <w:tcPr>
            <w:tcW w:w="1200" w:type="dxa"/>
            <w:tcBorders>
              <w:left w:val="nil"/>
              <w:right w:val="nil"/>
            </w:tcBorders>
          </w:tcPr>
          <w:p>
            <w:pPr>
              <w:pStyle w:val="TableParagraph"/>
              <w:spacing w:line="268" w:lineRule="exact"/>
              <w:ind w:right="106"/>
              <w:jc w:val="right"/>
              <w:rPr>
                <w:sz w:val="24"/>
              </w:rPr>
            </w:pPr>
            <w:r>
              <w:rPr>
                <w:sz w:val="24"/>
              </w:rPr>
              <w:t>37</w:t>
            </w:r>
          </w:p>
        </w:tc>
        <w:tc>
          <w:tcPr>
            <w:tcW w:w="1200" w:type="dxa"/>
            <w:tcBorders>
              <w:left w:val="nil"/>
              <w:right w:val="nil"/>
            </w:tcBorders>
          </w:tcPr>
          <w:p>
            <w:pPr>
              <w:pStyle w:val="TableParagraph"/>
              <w:spacing w:line="268" w:lineRule="exact"/>
              <w:ind w:right="107"/>
              <w:jc w:val="right"/>
              <w:rPr>
                <w:sz w:val="24"/>
              </w:rPr>
            </w:pPr>
            <w:r>
              <w:rPr>
                <w:sz w:val="24"/>
              </w:rPr>
              <w:t>21</w:t>
            </w:r>
          </w:p>
        </w:tc>
      </w:tr>
    </w:tbl>
    <w:p>
      <w:pPr>
        <w:spacing w:line="223" w:lineRule="exact" w:before="0"/>
        <w:ind w:left="0" w:right="16" w:firstLine="0"/>
        <w:jc w:val="center"/>
        <w:rPr>
          <w:sz w:val="20"/>
        </w:rPr>
      </w:pPr>
      <w:r>
        <w:rPr>
          <w:sz w:val="20"/>
        </w:rPr>
        <w:t>Fuente: elaboración propia</w:t>
      </w:r>
    </w:p>
    <w:p>
      <w:pPr>
        <w:spacing w:after="0" w:line="223" w:lineRule="exact"/>
        <w:jc w:val="center"/>
        <w:rPr>
          <w:sz w:val="20"/>
        </w:rPr>
        <w:sectPr>
          <w:pgSz w:w="12240" w:h="15840"/>
          <w:pgMar w:header="0" w:footer="1003" w:top="1360" w:bottom="1200" w:left="1600" w:right="1580"/>
        </w:sectPr>
      </w:pPr>
    </w:p>
    <w:p>
      <w:pPr>
        <w:pStyle w:val="BodyText"/>
        <w:spacing w:line="355" w:lineRule="auto" w:before="50"/>
        <w:ind w:left="122" w:right="112"/>
        <w:jc w:val="both"/>
      </w:pPr>
      <w:r>
        <w:rPr/>
        <w:t>Se enviaron encuestas electrónicas al total de la muestra (138) con una recolección de 127 cuestionarios válidos</w:t>
      </w:r>
      <w:r>
        <w:rPr>
          <w:position w:val="11"/>
          <w:sz w:val="16"/>
        </w:rPr>
        <w:t>24</w:t>
      </w:r>
      <w:r>
        <w:rPr/>
        <w:t>. Con una tasa de respuesta de 92% obteniéndose resultados muy cercanos a la muestra calculada, que permiten el estudio del comportamiento del fenómeno. Por lo que respecta a la respuesta por generación se muestra en la tabla 5.3., se tuvo una aceptable participación, con un porcentaje alto en las generaciones en donde se contaba, en la base de datos, con un menor número de correos electrónicos.</w:t>
      </w:r>
    </w:p>
    <w:p>
      <w:pPr>
        <w:pStyle w:val="BodyText"/>
      </w:pPr>
    </w:p>
    <w:p>
      <w:pPr>
        <w:pStyle w:val="BodyText"/>
        <w:rPr>
          <w:sz w:val="25"/>
        </w:rPr>
      </w:pPr>
    </w:p>
    <w:p>
      <w:pPr>
        <w:pStyle w:val="Heading3"/>
        <w:spacing w:before="0"/>
        <w:ind w:left="2306" w:right="1552"/>
        <w:jc w:val="left"/>
      </w:pPr>
      <w:r>
        <w:rPr/>
        <w:t>Tabla 5.3. Tasa de respuesta al cuestionario</w:t>
      </w:r>
    </w:p>
    <w:p>
      <w:pPr>
        <w:pStyle w:val="BodyText"/>
        <w:spacing w:before="3" w:after="1"/>
        <w:rPr>
          <w:b/>
        </w:rPr>
      </w:pPr>
    </w:p>
    <w:tbl>
      <w:tblPr>
        <w:tblW w:w="0" w:type="auto"/>
        <w:jc w:val="left"/>
        <w:tblInd w:w="1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4"/>
        <w:gridCol w:w="1204"/>
        <w:gridCol w:w="2183"/>
      </w:tblGrid>
      <w:tr>
        <w:trPr>
          <w:trHeight w:val="341" w:hRule="exact"/>
        </w:trPr>
        <w:tc>
          <w:tcPr>
            <w:tcW w:w="1894" w:type="dxa"/>
            <w:tcBorders>
              <w:left w:val="nil"/>
              <w:right w:val="nil"/>
            </w:tcBorders>
          </w:tcPr>
          <w:p>
            <w:pPr>
              <w:pStyle w:val="TableParagraph"/>
              <w:spacing w:line="273" w:lineRule="exact"/>
              <w:ind w:left="249" w:right="164"/>
              <w:jc w:val="center"/>
              <w:rPr>
                <w:b/>
                <w:sz w:val="24"/>
              </w:rPr>
            </w:pPr>
            <w:r>
              <w:rPr>
                <w:b/>
                <w:sz w:val="24"/>
              </w:rPr>
              <w:t>Año de egreso</w:t>
            </w:r>
          </w:p>
        </w:tc>
        <w:tc>
          <w:tcPr>
            <w:tcW w:w="1204" w:type="dxa"/>
            <w:tcBorders>
              <w:left w:val="nil"/>
              <w:right w:val="nil"/>
            </w:tcBorders>
          </w:tcPr>
          <w:p>
            <w:pPr>
              <w:pStyle w:val="TableParagraph"/>
              <w:spacing w:line="273" w:lineRule="exact"/>
              <w:ind w:left="163" w:right="133"/>
              <w:jc w:val="center"/>
              <w:rPr>
                <w:b/>
                <w:sz w:val="24"/>
              </w:rPr>
            </w:pPr>
            <w:r>
              <w:rPr>
                <w:b/>
                <w:sz w:val="24"/>
              </w:rPr>
              <w:t>Muestra</w:t>
            </w:r>
          </w:p>
        </w:tc>
        <w:tc>
          <w:tcPr>
            <w:tcW w:w="2183" w:type="dxa"/>
            <w:tcBorders>
              <w:left w:val="nil"/>
              <w:right w:val="nil"/>
            </w:tcBorders>
          </w:tcPr>
          <w:p>
            <w:pPr>
              <w:pStyle w:val="TableParagraph"/>
              <w:spacing w:line="273" w:lineRule="exact"/>
              <w:ind w:left="136" w:right="180"/>
              <w:jc w:val="center"/>
              <w:rPr>
                <w:b/>
                <w:sz w:val="24"/>
              </w:rPr>
            </w:pPr>
            <w:r>
              <w:rPr>
                <w:b/>
                <w:sz w:val="24"/>
              </w:rPr>
              <w:t>Tasa de respuesta</w:t>
            </w:r>
          </w:p>
        </w:tc>
      </w:tr>
      <w:tr>
        <w:trPr>
          <w:trHeight w:val="324" w:hRule="exact"/>
        </w:trPr>
        <w:tc>
          <w:tcPr>
            <w:tcW w:w="1894" w:type="dxa"/>
            <w:tcBorders>
              <w:left w:val="nil"/>
              <w:right w:val="nil"/>
            </w:tcBorders>
          </w:tcPr>
          <w:p>
            <w:pPr>
              <w:pStyle w:val="TableParagraph"/>
              <w:spacing w:line="268" w:lineRule="exact"/>
              <w:ind w:left="249" w:right="160"/>
              <w:jc w:val="center"/>
              <w:rPr>
                <w:sz w:val="24"/>
              </w:rPr>
            </w:pPr>
            <w:r>
              <w:rPr>
                <w:sz w:val="24"/>
              </w:rPr>
              <w:t>2000</w:t>
            </w:r>
          </w:p>
        </w:tc>
        <w:tc>
          <w:tcPr>
            <w:tcW w:w="1204" w:type="dxa"/>
            <w:tcBorders>
              <w:left w:val="nil"/>
              <w:right w:val="nil"/>
            </w:tcBorders>
          </w:tcPr>
          <w:p>
            <w:pPr>
              <w:pStyle w:val="TableParagraph"/>
              <w:spacing w:line="268" w:lineRule="exact"/>
              <w:ind w:left="30"/>
              <w:jc w:val="center"/>
              <w:rPr>
                <w:sz w:val="24"/>
              </w:rPr>
            </w:pPr>
            <w:r>
              <w:rPr>
                <w:sz w:val="24"/>
              </w:rPr>
              <w:t>3</w:t>
            </w:r>
          </w:p>
        </w:tc>
        <w:tc>
          <w:tcPr>
            <w:tcW w:w="2183" w:type="dxa"/>
            <w:tcBorders>
              <w:left w:val="nil"/>
              <w:right w:val="nil"/>
            </w:tcBorders>
          </w:tcPr>
          <w:p>
            <w:pPr>
              <w:pStyle w:val="TableParagraph"/>
              <w:spacing w:line="268" w:lineRule="exact"/>
              <w:ind w:left="136" w:right="177"/>
              <w:jc w:val="center"/>
              <w:rPr>
                <w:sz w:val="24"/>
              </w:rPr>
            </w:pPr>
            <w:r>
              <w:rPr>
                <w:sz w:val="24"/>
              </w:rPr>
              <w:t>71 %</w:t>
            </w:r>
          </w:p>
        </w:tc>
      </w:tr>
      <w:tr>
        <w:trPr>
          <w:trHeight w:val="326" w:hRule="exact"/>
        </w:trPr>
        <w:tc>
          <w:tcPr>
            <w:tcW w:w="1894" w:type="dxa"/>
            <w:tcBorders>
              <w:left w:val="nil"/>
              <w:right w:val="nil"/>
            </w:tcBorders>
          </w:tcPr>
          <w:p>
            <w:pPr>
              <w:pStyle w:val="TableParagraph"/>
              <w:spacing w:line="270" w:lineRule="exact"/>
              <w:ind w:left="249" w:right="160"/>
              <w:jc w:val="center"/>
              <w:rPr>
                <w:sz w:val="24"/>
              </w:rPr>
            </w:pPr>
            <w:r>
              <w:rPr>
                <w:sz w:val="24"/>
              </w:rPr>
              <w:t>2001</w:t>
            </w:r>
          </w:p>
        </w:tc>
        <w:tc>
          <w:tcPr>
            <w:tcW w:w="1204" w:type="dxa"/>
            <w:tcBorders>
              <w:left w:val="nil"/>
              <w:right w:val="nil"/>
            </w:tcBorders>
          </w:tcPr>
          <w:p>
            <w:pPr>
              <w:pStyle w:val="TableParagraph"/>
              <w:spacing w:line="270" w:lineRule="exact"/>
              <w:ind w:left="30"/>
              <w:jc w:val="center"/>
              <w:rPr>
                <w:sz w:val="24"/>
              </w:rPr>
            </w:pPr>
            <w:r>
              <w:rPr>
                <w:sz w:val="24"/>
              </w:rPr>
              <w:t>9</w:t>
            </w:r>
          </w:p>
        </w:tc>
        <w:tc>
          <w:tcPr>
            <w:tcW w:w="2183" w:type="dxa"/>
            <w:tcBorders>
              <w:left w:val="nil"/>
              <w:right w:val="nil"/>
            </w:tcBorders>
          </w:tcPr>
          <w:p>
            <w:pPr>
              <w:pStyle w:val="TableParagraph"/>
              <w:spacing w:line="270" w:lineRule="exact"/>
              <w:ind w:left="136" w:right="177"/>
              <w:jc w:val="center"/>
              <w:rPr>
                <w:sz w:val="24"/>
              </w:rPr>
            </w:pPr>
            <w:r>
              <w:rPr>
                <w:sz w:val="24"/>
              </w:rPr>
              <w:t>61 %</w:t>
            </w:r>
          </w:p>
        </w:tc>
      </w:tr>
      <w:tr>
        <w:trPr>
          <w:trHeight w:val="324" w:hRule="exact"/>
        </w:trPr>
        <w:tc>
          <w:tcPr>
            <w:tcW w:w="1894" w:type="dxa"/>
            <w:tcBorders>
              <w:left w:val="nil"/>
              <w:right w:val="nil"/>
            </w:tcBorders>
          </w:tcPr>
          <w:p>
            <w:pPr>
              <w:pStyle w:val="TableParagraph"/>
              <w:spacing w:line="268" w:lineRule="exact"/>
              <w:ind w:left="249" w:right="160"/>
              <w:jc w:val="center"/>
              <w:rPr>
                <w:sz w:val="24"/>
              </w:rPr>
            </w:pPr>
            <w:r>
              <w:rPr>
                <w:sz w:val="24"/>
              </w:rPr>
              <w:t>2002</w:t>
            </w:r>
          </w:p>
        </w:tc>
        <w:tc>
          <w:tcPr>
            <w:tcW w:w="1204" w:type="dxa"/>
            <w:tcBorders>
              <w:left w:val="nil"/>
              <w:right w:val="nil"/>
            </w:tcBorders>
          </w:tcPr>
          <w:p>
            <w:pPr>
              <w:pStyle w:val="TableParagraph"/>
              <w:spacing w:line="268" w:lineRule="exact"/>
              <w:ind w:left="30"/>
              <w:jc w:val="center"/>
              <w:rPr>
                <w:sz w:val="24"/>
              </w:rPr>
            </w:pPr>
            <w:r>
              <w:rPr>
                <w:sz w:val="24"/>
              </w:rPr>
              <w:t>7</w:t>
            </w:r>
          </w:p>
        </w:tc>
        <w:tc>
          <w:tcPr>
            <w:tcW w:w="2183" w:type="dxa"/>
            <w:tcBorders>
              <w:left w:val="nil"/>
              <w:right w:val="nil"/>
            </w:tcBorders>
          </w:tcPr>
          <w:p>
            <w:pPr>
              <w:pStyle w:val="TableParagraph"/>
              <w:spacing w:line="268" w:lineRule="exact"/>
              <w:ind w:left="136" w:right="177"/>
              <w:jc w:val="center"/>
              <w:rPr>
                <w:sz w:val="24"/>
              </w:rPr>
            </w:pPr>
            <w:r>
              <w:rPr>
                <w:sz w:val="24"/>
              </w:rPr>
              <w:t>36 %</w:t>
            </w:r>
          </w:p>
        </w:tc>
      </w:tr>
      <w:tr>
        <w:trPr>
          <w:trHeight w:val="326" w:hRule="exact"/>
        </w:trPr>
        <w:tc>
          <w:tcPr>
            <w:tcW w:w="1894" w:type="dxa"/>
            <w:tcBorders>
              <w:left w:val="nil"/>
              <w:right w:val="nil"/>
            </w:tcBorders>
          </w:tcPr>
          <w:p>
            <w:pPr>
              <w:pStyle w:val="TableParagraph"/>
              <w:spacing w:line="268" w:lineRule="exact"/>
              <w:ind w:left="249" w:right="160"/>
              <w:jc w:val="center"/>
              <w:rPr>
                <w:sz w:val="24"/>
              </w:rPr>
            </w:pPr>
            <w:r>
              <w:rPr>
                <w:sz w:val="24"/>
              </w:rPr>
              <w:t>2003</w:t>
            </w:r>
          </w:p>
        </w:tc>
        <w:tc>
          <w:tcPr>
            <w:tcW w:w="1204" w:type="dxa"/>
            <w:tcBorders>
              <w:left w:val="nil"/>
              <w:right w:val="nil"/>
            </w:tcBorders>
          </w:tcPr>
          <w:p>
            <w:pPr>
              <w:pStyle w:val="TableParagraph"/>
              <w:spacing w:line="268" w:lineRule="exact"/>
              <w:ind w:left="30"/>
              <w:jc w:val="center"/>
              <w:rPr>
                <w:sz w:val="24"/>
              </w:rPr>
            </w:pPr>
            <w:r>
              <w:rPr>
                <w:sz w:val="24"/>
              </w:rPr>
              <w:t>6</w:t>
            </w:r>
          </w:p>
        </w:tc>
        <w:tc>
          <w:tcPr>
            <w:tcW w:w="2183" w:type="dxa"/>
            <w:tcBorders>
              <w:left w:val="nil"/>
              <w:right w:val="nil"/>
            </w:tcBorders>
          </w:tcPr>
          <w:p>
            <w:pPr>
              <w:pStyle w:val="TableParagraph"/>
              <w:spacing w:line="268" w:lineRule="exact"/>
              <w:ind w:left="136" w:right="177"/>
              <w:jc w:val="center"/>
              <w:rPr>
                <w:sz w:val="24"/>
              </w:rPr>
            </w:pPr>
            <w:r>
              <w:rPr>
                <w:sz w:val="24"/>
              </w:rPr>
              <w:t>46 %</w:t>
            </w:r>
          </w:p>
        </w:tc>
      </w:tr>
      <w:tr>
        <w:trPr>
          <w:trHeight w:val="324" w:hRule="exact"/>
        </w:trPr>
        <w:tc>
          <w:tcPr>
            <w:tcW w:w="1894" w:type="dxa"/>
            <w:tcBorders>
              <w:left w:val="nil"/>
              <w:right w:val="nil"/>
            </w:tcBorders>
          </w:tcPr>
          <w:p>
            <w:pPr>
              <w:pStyle w:val="TableParagraph"/>
              <w:spacing w:line="268" w:lineRule="exact"/>
              <w:ind w:left="249" w:right="160"/>
              <w:jc w:val="center"/>
              <w:rPr>
                <w:sz w:val="24"/>
              </w:rPr>
            </w:pPr>
            <w:r>
              <w:rPr>
                <w:sz w:val="24"/>
              </w:rPr>
              <w:t>2004</w:t>
            </w:r>
          </w:p>
        </w:tc>
        <w:tc>
          <w:tcPr>
            <w:tcW w:w="1204" w:type="dxa"/>
            <w:tcBorders>
              <w:left w:val="nil"/>
              <w:right w:val="nil"/>
            </w:tcBorders>
          </w:tcPr>
          <w:p>
            <w:pPr>
              <w:pStyle w:val="TableParagraph"/>
              <w:spacing w:line="268" w:lineRule="exact"/>
              <w:ind w:left="30"/>
              <w:jc w:val="center"/>
              <w:rPr>
                <w:sz w:val="24"/>
              </w:rPr>
            </w:pPr>
            <w:r>
              <w:rPr>
                <w:sz w:val="24"/>
              </w:rPr>
              <w:t>8</w:t>
            </w:r>
          </w:p>
        </w:tc>
        <w:tc>
          <w:tcPr>
            <w:tcW w:w="2183" w:type="dxa"/>
            <w:tcBorders>
              <w:left w:val="nil"/>
              <w:right w:val="nil"/>
            </w:tcBorders>
          </w:tcPr>
          <w:p>
            <w:pPr>
              <w:pStyle w:val="TableParagraph"/>
              <w:spacing w:line="268" w:lineRule="exact"/>
              <w:ind w:left="136" w:right="177"/>
              <w:jc w:val="center"/>
              <w:rPr>
                <w:sz w:val="24"/>
              </w:rPr>
            </w:pPr>
            <w:r>
              <w:rPr>
                <w:sz w:val="24"/>
              </w:rPr>
              <w:t>29 %</w:t>
            </w:r>
          </w:p>
        </w:tc>
      </w:tr>
      <w:tr>
        <w:trPr>
          <w:trHeight w:val="324" w:hRule="exact"/>
        </w:trPr>
        <w:tc>
          <w:tcPr>
            <w:tcW w:w="1894" w:type="dxa"/>
            <w:tcBorders>
              <w:left w:val="nil"/>
              <w:right w:val="nil"/>
            </w:tcBorders>
          </w:tcPr>
          <w:p>
            <w:pPr>
              <w:pStyle w:val="TableParagraph"/>
              <w:spacing w:line="268" w:lineRule="exact"/>
              <w:ind w:left="249" w:right="160"/>
              <w:jc w:val="center"/>
              <w:rPr>
                <w:sz w:val="24"/>
              </w:rPr>
            </w:pPr>
            <w:r>
              <w:rPr>
                <w:sz w:val="24"/>
              </w:rPr>
              <w:t>2005</w:t>
            </w:r>
          </w:p>
        </w:tc>
        <w:tc>
          <w:tcPr>
            <w:tcW w:w="1204" w:type="dxa"/>
            <w:tcBorders>
              <w:left w:val="nil"/>
              <w:right w:val="nil"/>
            </w:tcBorders>
          </w:tcPr>
          <w:p>
            <w:pPr>
              <w:pStyle w:val="TableParagraph"/>
              <w:spacing w:line="268" w:lineRule="exact"/>
              <w:ind w:left="163" w:right="133"/>
              <w:jc w:val="center"/>
              <w:rPr>
                <w:sz w:val="24"/>
              </w:rPr>
            </w:pPr>
            <w:r>
              <w:rPr>
                <w:sz w:val="24"/>
              </w:rPr>
              <w:t>14</w:t>
            </w:r>
          </w:p>
        </w:tc>
        <w:tc>
          <w:tcPr>
            <w:tcW w:w="2183" w:type="dxa"/>
            <w:tcBorders>
              <w:left w:val="nil"/>
              <w:right w:val="nil"/>
            </w:tcBorders>
          </w:tcPr>
          <w:p>
            <w:pPr>
              <w:pStyle w:val="TableParagraph"/>
              <w:spacing w:line="268" w:lineRule="exact"/>
              <w:ind w:left="136" w:right="177"/>
              <w:jc w:val="center"/>
              <w:rPr>
                <w:sz w:val="24"/>
              </w:rPr>
            </w:pPr>
            <w:r>
              <w:rPr>
                <w:sz w:val="24"/>
              </w:rPr>
              <w:t>34 %</w:t>
            </w:r>
          </w:p>
        </w:tc>
      </w:tr>
      <w:tr>
        <w:trPr>
          <w:trHeight w:val="326" w:hRule="exact"/>
        </w:trPr>
        <w:tc>
          <w:tcPr>
            <w:tcW w:w="1894" w:type="dxa"/>
            <w:tcBorders>
              <w:left w:val="nil"/>
              <w:right w:val="nil"/>
            </w:tcBorders>
          </w:tcPr>
          <w:p>
            <w:pPr>
              <w:pStyle w:val="TableParagraph"/>
              <w:spacing w:line="270" w:lineRule="exact"/>
              <w:ind w:left="249" w:right="160"/>
              <w:jc w:val="center"/>
              <w:rPr>
                <w:sz w:val="24"/>
              </w:rPr>
            </w:pPr>
            <w:r>
              <w:rPr>
                <w:sz w:val="24"/>
              </w:rPr>
              <w:t>2006</w:t>
            </w:r>
          </w:p>
        </w:tc>
        <w:tc>
          <w:tcPr>
            <w:tcW w:w="1204" w:type="dxa"/>
            <w:tcBorders>
              <w:left w:val="nil"/>
              <w:right w:val="nil"/>
            </w:tcBorders>
          </w:tcPr>
          <w:p>
            <w:pPr>
              <w:pStyle w:val="TableParagraph"/>
              <w:spacing w:line="270" w:lineRule="exact"/>
              <w:ind w:left="163" w:right="133"/>
              <w:jc w:val="center"/>
              <w:rPr>
                <w:sz w:val="24"/>
              </w:rPr>
            </w:pPr>
            <w:r>
              <w:rPr>
                <w:sz w:val="24"/>
              </w:rPr>
              <w:t>19</w:t>
            </w:r>
          </w:p>
        </w:tc>
        <w:tc>
          <w:tcPr>
            <w:tcW w:w="2183" w:type="dxa"/>
            <w:tcBorders>
              <w:left w:val="nil"/>
              <w:right w:val="nil"/>
            </w:tcBorders>
          </w:tcPr>
          <w:p>
            <w:pPr>
              <w:pStyle w:val="TableParagraph"/>
              <w:spacing w:line="270" w:lineRule="exact"/>
              <w:ind w:left="136" w:right="177"/>
              <w:jc w:val="center"/>
              <w:rPr>
                <w:sz w:val="24"/>
              </w:rPr>
            </w:pPr>
            <w:r>
              <w:rPr>
                <w:sz w:val="24"/>
              </w:rPr>
              <w:t>49 %</w:t>
            </w:r>
          </w:p>
        </w:tc>
      </w:tr>
      <w:tr>
        <w:trPr>
          <w:trHeight w:val="324" w:hRule="exact"/>
        </w:trPr>
        <w:tc>
          <w:tcPr>
            <w:tcW w:w="1894" w:type="dxa"/>
            <w:tcBorders>
              <w:left w:val="nil"/>
              <w:right w:val="nil"/>
            </w:tcBorders>
          </w:tcPr>
          <w:p>
            <w:pPr>
              <w:pStyle w:val="TableParagraph"/>
              <w:spacing w:line="268" w:lineRule="exact"/>
              <w:ind w:left="249" w:right="160"/>
              <w:jc w:val="center"/>
              <w:rPr>
                <w:sz w:val="24"/>
              </w:rPr>
            </w:pPr>
            <w:r>
              <w:rPr>
                <w:sz w:val="24"/>
              </w:rPr>
              <w:t>2007</w:t>
            </w:r>
          </w:p>
        </w:tc>
        <w:tc>
          <w:tcPr>
            <w:tcW w:w="1204" w:type="dxa"/>
            <w:tcBorders>
              <w:left w:val="nil"/>
              <w:right w:val="nil"/>
            </w:tcBorders>
          </w:tcPr>
          <w:p>
            <w:pPr>
              <w:pStyle w:val="TableParagraph"/>
              <w:spacing w:line="268" w:lineRule="exact"/>
              <w:ind w:left="163" w:right="133"/>
              <w:jc w:val="center"/>
              <w:rPr>
                <w:sz w:val="24"/>
              </w:rPr>
            </w:pPr>
            <w:r>
              <w:rPr>
                <w:sz w:val="24"/>
              </w:rPr>
              <w:t>16</w:t>
            </w:r>
          </w:p>
        </w:tc>
        <w:tc>
          <w:tcPr>
            <w:tcW w:w="2183" w:type="dxa"/>
            <w:tcBorders>
              <w:left w:val="nil"/>
              <w:right w:val="nil"/>
            </w:tcBorders>
          </w:tcPr>
          <w:p>
            <w:pPr>
              <w:pStyle w:val="TableParagraph"/>
              <w:spacing w:line="268" w:lineRule="exact"/>
              <w:ind w:left="136" w:right="177"/>
              <w:jc w:val="center"/>
              <w:rPr>
                <w:sz w:val="24"/>
              </w:rPr>
            </w:pPr>
            <w:r>
              <w:rPr>
                <w:sz w:val="24"/>
              </w:rPr>
              <w:t>31 %</w:t>
            </w:r>
          </w:p>
        </w:tc>
      </w:tr>
      <w:tr>
        <w:trPr>
          <w:trHeight w:val="326" w:hRule="exact"/>
        </w:trPr>
        <w:tc>
          <w:tcPr>
            <w:tcW w:w="1894" w:type="dxa"/>
            <w:tcBorders>
              <w:left w:val="nil"/>
              <w:right w:val="nil"/>
            </w:tcBorders>
          </w:tcPr>
          <w:p>
            <w:pPr>
              <w:pStyle w:val="TableParagraph"/>
              <w:spacing w:line="268" w:lineRule="exact"/>
              <w:ind w:left="249" w:right="160"/>
              <w:jc w:val="center"/>
              <w:rPr>
                <w:sz w:val="24"/>
              </w:rPr>
            </w:pPr>
            <w:r>
              <w:rPr>
                <w:sz w:val="24"/>
              </w:rPr>
              <w:t>2008</w:t>
            </w:r>
          </w:p>
        </w:tc>
        <w:tc>
          <w:tcPr>
            <w:tcW w:w="1204" w:type="dxa"/>
            <w:tcBorders>
              <w:left w:val="nil"/>
              <w:right w:val="nil"/>
            </w:tcBorders>
          </w:tcPr>
          <w:p>
            <w:pPr>
              <w:pStyle w:val="TableParagraph"/>
              <w:spacing w:line="268" w:lineRule="exact"/>
              <w:ind w:left="163" w:right="133"/>
              <w:jc w:val="center"/>
              <w:rPr>
                <w:sz w:val="24"/>
              </w:rPr>
            </w:pPr>
            <w:r>
              <w:rPr>
                <w:sz w:val="24"/>
              </w:rPr>
              <w:t>19</w:t>
            </w:r>
          </w:p>
        </w:tc>
        <w:tc>
          <w:tcPr>
            <w:tcW w:w="2183" w:type="dxa"/>
            <w:tcBorders>
              <w:left w:val="nil"/>
              <w:right w:val="nil"/>
            </w:tcBorders>
          </w:tcPr>
          <w:p>
            <w:pPr>
              <w:pStyle w:val="TableParagraph"/>
              <w:spacing w:line="268" w:lineRule="exact"/>
              <w:ind w:left="136" w:right="177"/>
              <w:jc w:val="center"/>
              <w:rPr>
                <w:sz w:val="24"/>
              </w:rPr>
            </w:pPr>
            <w:r>
              <w:rPr>
                <w:sz w:val="24"/>
              </w:rPr>
              <w:t>37 %</w:t>
            </w:r>
          </w:p>
        </w:tc>
      </w:tr>
      <w:tr>
        <w:trPr>
          <w:trHeight w:val="324" w:hRule="exact"/>
        </w:trPr>
        <w:tc>
          <w:tcPr>
            <w:tcW w:w="1894" w:type="dxa"/>
            <w:tcBorders>
              <w:left w:val="nil"/>
              <w:right w:val="nil"/>
            </w:tcBorders>
          </w:tcPr>
          <w:p>
            <w:pPr>
              <w:pStyle w:val="TableParagraph"/>
              <w:spacing w:line="268" w:lineRule="exact"/>
              <w:ind w:left="249" w:right="160"/>
              <w:jc w:val="center"/>
              <w:rPr>
                <w:sz w:val="24"/>
              </w:rPr>
            </w:pPr>
            <w:r>
              <w:rPr>
                <w:sz w:val="24"/>
              </w:rPr>
              <w:t>2009</w:t>
            </w:r>
          </w:p>
        </w:tc>
        <w:tc>
          <w:tcPr>
            <w:tcW w:w="1204" w:type="dxa"/>
            <w:tcBorders>
              <w:left w:val="nil"/>
              <w:right w:val="nil"/>
            </w:tcBorders>
          </w:tcPr>
          <w:p>
            <w:pPr>
              <w:pStyle w:val="TableParagraph"/>
              <w:spacing w:line="268" w:lineRule="exact"/>
              <w:ind w:left="163" w:right="133"/>
              <w:jc w:val="center"/>
              <w:rPr>
                <w:sz w:val="24"/>
              </w:rPr>
            </w:pPr>
            <w:r>
              <w:rPr>
                <w:sz w:val="24"/>
              </w:rPr>
              <w:t>19</w:t>
            </w:r>
          </w:p>
        </w:tc>
        <w:tc>
          <w:tcPr>
            <w:tcW w:w="2183" w:type="dxa"/>
            <w:tcBorders>
              <w:left w:val="nil"/>
              <w:right w:val="nil"/>
            </w:tcBorders>
          </w:tcPr>
          <w:p>
            <w:pPr>
              <w:pStyle w:val="TableParagraph"/>
              <w:spacing w:line="268" w:lineRule="exact"/>
              <w:ind w:left="136" w:right="177"/>
              <w:jc w:val="center"/>
              <w:rPr>
                <w:sz w:val="24"/>
              </w:rPr>
            </w:pPr>
            <w:r>
              <w:rPr>
                <w:sz w:val="24"/>
              </w:rPr>
              <w:t>50 %</w:t>
            </w:r>
          </w:p>
        </w:tc>
      </w:tr>
      <w:tr>
        <w:trPr>
          <w:trHeight w:val="326" w:hRule="exact"/>
        </w:trPr>
        <w:tc>
          <w:tcPr>
            <w:tcW w:w="1894" w:type="dxa"/>
            <w:tcBorders>
              <w:left w:val="nil"/>
              <w:right w:val="nil"/>
            </w:tcBorders>
          </w:tcPr>
          <w:p>
            <w:pPr>
              <w:pStyle w:val="TableParagraph"/>
              <w:spacing w:line="268" w:lineRule="exact"/>
              <w:ind w:left="249" w:right="160"/>
              <w:jc w:val="center"/>
              <w:rPr>
                <w:sz w:val="24"/>
              </w:rPr>
            </w:pPr>
            <w:r>
              <w:rPr>
                <w:sz w:val="24"/>
              </w:rPr>
              <w:t>2010</w:t>
            </w:r>
          </w:p>
        </w:tc>
        <w:tc>
          <w:tcPr>
            <w:tcW w:w="1204" w:type="dxa"/>
            <w:tcBorders>
              <w:left w:val="nil"/>
              <w:right w:val="nil"/>
            </w:tcBorders>
          </w:tcPr>
          <w:p>
            <w:pPr>
              <w:pStyle w:val="TableParagraph"/>
              <w:spacing w:line="268" w:lineRule="exact"/>
              <w:ind w:left="163" w:right="133"/>
              <w:jc w:val="center"/>
              <w:rPr>
                <w:sz w:val="24"/>
              </w:rPr>
            </w:pPr>
            <w:r>
              <w:rPr>
                <w:sz w:val="24"/>
              </w:rPr>
              <w:t>18</w:t>
            </w:r>
          </w:p>
        </w:tc>
        <w:tc>
          <w:tcPr>
            <w:tcW w:w="2183" w:type="dxa"/>
            <w:tcBorders>
              <w:left w:val="nil"/>
              <w:right w:val="nil"/>
            </w:tcBorders>
          </w:tcPr>
          <w:p>
            <w:pPr>
              <w:pStyle w:val="TableParagraph"/>
              <w:spacing w:line="268" w:lineRule="exact"/>
              <w:ind w:left="136" w:right="177"/>
              <w:jc w:val="center"/>
              <w:rPr>
                <w:sz w:val="24"/>
              </w:rPr>
            </w:pPr>
            <w:r>
              <w:rPr>
                <w:sz w:val="24"/>
              </w:rPr>
              <w:t>62 %</w:t>
            </w:r>
          </w:p>
        </w:tc>
      </w:tr>
      <w:tr>
        <w:trPr>
          <w:trHeight w:val="338" w:hRule="exact"/>
        </w:trPr>
        <w:tc>
          <w:tcPr>
            <w:tcW w:w="1894" w:type="dxa"/>
            <w:tcBorders>
              <w:left w:val="nil"/>
              <w:right w:val="nil"/>
            </w:tcBorders>
          </w:tcPr>
          <w:p>
            <w:pPr/>
          </w:p>
        </w:tc>
        <w:tc>
          <w:tcPr>
            <w:tcW w:w="1204" w:type="dxa"/>
            <w:tcBorders>
              <w:left w:val="nil"/>
              <w:right w:val="nil"/>
            </w:tcBorders>
          </w:tcPr>
          <w:p>
            <w:pPr>
              <w:pStyle w:val="TableParagraph"/>
              <w:spacing w:line="268" w:lineRule="exact"/>
              <w:ind w:left="163" w:right="133"/>
              <w:jc w:val="center"/>
              <w:rPr>
                <w:sz w:val="24"/>
              </w:rPr>
            </w:pPr>
            <w:r>
              <w:rPr>
                <w:sz w:val="24"/>
              </w:rPr>
              <w:t>138</w:t>
            </w:r>
          </w:p>
        </w:tc>
        <w:tc>
          <w:tcPr>
            <w:tcW w:w="2183" w:type="dxa"/>
            <w:tcBorders>
              <w:left w:val="nil"/>
              <w:right w:val="nil"/>
            </w:tcBorders>
          </w:tcPr>
          <w:p>
            <w:pPr/>
          </w:p>
        </w:tc>
      </w:tr>
    </w:tbl>
    <w:p>
      <w:pPr>
        <w:spacing w:line="242" w:lineRule="auto" w:before="0"/>
        <w:ind w:left="2899" w:right="378" w:hanging="2509"/>
        <w:jc w:val="left"/>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spacing w:before="10"/>
        <w:rPr>
          <w:sz w:val="21"/>
        </w:rPr>
      </w:pPr>
    </w:p>
    <w:p>
      <w:pPr>
        <w:pStyle w:val="Heading3"/>
        <w:numPr>
          <w:ilvl w:val="1"/>
          <w:numId w:val="73"/>
        </w:numPr>
        <w:tabs>
          <w:tab w:pos="542" w:val="left" w:leader="none"/>
        </w:tabs>
        <w:spacing w:line="240" w:lineRule="auto" w:before="0" w:after="0"/>
        <w:ind w:left="542" w:right="0" w:hanging="420"/>
        <w:jc w:val="both"/>
      </w:pPr>
      <w:bookmarkStart w:name="_bookmark70" w:id="128"/>
      <w:bookmarkEnd w:id="128"/>
      <w:r>
        <w:rPr>
          <w:b w:val="0"/>
        </w:rPr>
      </w:r>
      <w:bookmarkStart w:name="_bookmark70" w:id="129"/>
      <w:bookmarkEnd w:id="129"/>
      <w:r>
        <w:rPr/>
        <w:t>In</w:t>
      </w:r>
      <w:r>
        <w:rPr/>
        <w:t>strumento de medición-</w:t>
      </w:r>
      <w:r>
        <w:rPr>
          <w:spacing w:val="-8"/>
        </w:rPr>
        <w:t> </w:t>
      </w:r>
      <w:r>
        <w:rPr/>
        <w:t>cuestionario</w:t>
      </w:r>
    </w:p>
    <w:p>
      <w:pPr>
        <w:pStyle w:val="BodyText"/>
        <w:rPr>
          <w:b/>
        </w:rPr>
      </w:pPr>
    </w:p>
    <w:p>
      <w:pPr>
        <w:pStyle w:val="BodyText"/>
        <w:spacing w:before="6"/>
        <w:rPr>
          <w:b/>
          <w:sz w:val="23"/>
        </w:rPr>
      </w:pPr>
    </w:p>
    <w:p>
      <w:pPr>
        <w:pStyle w:val="BodyText"/>
        <w:spacing w:line="360" w:lineRule="auto"/>
        <w:ind w:left="122" w:right="118"/>
        <w:jc w:val="both"/>
      </w:pPr>
      <w:r>
        <w:rPr/>
        <w:t>El instrumento: “Cuestionario transición egresados universitarios-mercado de trabajo”, consta de 77 </w:t>
      </w:r>
      <w:r>
        <w:rPr>
          <w:i/>
        </w:rPr>
        <w:t>ítems </w:t>
      </w:r>
      <w:r>
        <w:rPr/>
        <w:t>planteados para identificar las principales características del proceso de transición, clasificados en cuatro constructos: asertividad de la transición, calidad de la transición y consolidación de la transición (ver anexo 4). Se elaboró en seis etapas (ver gráfica 5.4.):</w:t>
      </w:r>
    </w:p>
    <w:p>
      <w:pPr>
        <w:pStyle w:val="BodyText"/>
        <w:rPr>
          <w:sz w:val="20"/>
        </w:rPr>
      </w:pPr>
    </w:p>
    <w:p>
      <w:pPr>
        <w:pStyle w:val="BodyText"/>
        <w:rPr>
          <w:sz w:val="20"/>
        </w:rPr>
      </w:pPr>
    </w:p>
    <w:p>
      <w:pPr>
        <w:pStyle w:val="BodyText"/>
        <w:spacing w:before="5"/>
        <w:rPr>
          <w:sz w:val="20"/>
        </w:rPr>
      </w:pPr>
      <w:r>
        <w:rPr/>
        <w:pict>
          <v:line style="position:absolute;mso-position-horizontal-relative:page;mso-position-vertical-relative:paragraph;z-index:4432;mso-wrap-distance-left:0;mso-wrap-distance-right:0" from="85.103996pt,14.077737pt" to="229.123996pt,14.077737pt" stroked="true" strokeweight=".71997pt" strokecolor="#000000">
            <w10:wrap type="topAndBottom"/>
          </v:line>
        </w:pict>
      </w:r>
    </w:p>
    <w:p>
      <w:pPr>
        <w:spacing w:line="244" w:lineRule="auto" w:before="39"/>
        <w:ind w:left="122" w:right="262" w:firstLine="0"/>
        <w:jc w:val="left"/>
        <w:rPr>
          <w:sz w:val="20"/>
        </w:rPr>
      </w:pPr>
      <w:r>
        <w:rPr>
          <w:rFonts w:ascii="Calibri" w:hAnsi="Calibri"/>
          <w:position w:val="10"/>
          <w:sz w:val="13"/>
        </w:rPr>
        <w:t>24</w:t>
      </w:r>
      <w:r>
        <w:rPr>
          <w:sz w:val="20"/>
        </w:rPr>
        <w:t>Cuando no se alcanza la muestra teórica se considera que se presenta un problema de autoselección, para más detalles al respecto se recomienda revisar a Wooldrige, 2006 y Novales, 1996.</w:t>
      </w:r>
    </w:p>
    <w:p>
      <w:pPr>
        <w:spacing w:after="0" w:line="244" w:lineRule="auto"/>
        <w:jc w:val="left"/>
        <w:rPr>
          <w:sz w:val="20"/>
        </w:rPr>
        <w:sectPr>
          <w:footerReference w:type="default" r:id="rId97"/>
          <w:pgSz w:w="12240" w:h="15840"/>
          <w:pgMar w:footer="1003" w:header="0" w:top="1360" w:bottom="1200" w:left="1580" w:right="1580"/>
          <w:pgNumType w:start="130"/>
        </w:sectPr>
      </w:pPr>
    </w:p>
    <w:p>
      <w:pPr>
        <w:pStyle w:val="ListParagraph"/>
        <w:numPr>
          <w:ilvl w:val="2"/>
          <w:numId w:val="73"/>
        </w:numPr>
        <w:tabs>
          <w:tab w:pos="822" w:val="left" w:leader="none"/>
        </w:tabs>
        <w:spacing w:line="352" w:lineRule="auto" w:before="30" w:after="0"/>
        <w:ind w:left="822" w:right="600" w:hanging="360"/>
        <w:jc w:val="both"/>
        <w:rPr>
          <w:sz w:val="24"/>
        </w:rPr>
      </w:pPr>
      <w:r>
        <w:rPr>
          <w:b/>
          <w:i/>
          <w:sz w:val="24"/>
        </w:rPr>
        <w:t>Primera etapa: construcción.- </w:t>
      </w:r>
      <w:r>
        <w:rPr>
          <w:sz w:val="24"/>
        </w:rPr>
        <w:t>consistió en la revisión, selección, definición de los constructos.</w:t>
      </w:r>
    </w:p>
    <w:p>
      <w:pPr>
        <w:pStyle w:val="ListParagraph"/>
        <w:numPr>
          <w:ilvl w:val="2"/>
          <w:numId w:val="73"/>
        </w:numPr>
        <w:tabs>
          <w:tab w:pos="822" w:val="left" w:leader="none"/>
        </w:tabs>
        <w:spacing w:line="355" w:lineRule="auto" w:before="14" w:after="0"/>
        <w:ind w:left="822" w:right="595" w:hanging="360"/>
        <w:jc w:val="both"/>
        <w:rPr>
          <w:i/>
          <w:sz w:val="24"/>
        </w:rPr>
      </w:pPr>
      <w:r>
        <w:rPr>
          <w:b/>
          <w:i/>
          <w:sz w:val="24"/>
        </w:rPr>
        <w:t>Segunda etapa: elaboración de la encuesta. </w:t>
      </w:r>
      <w:r>
        <w:rPr>
          <w:sz w:val="24"/>
        </w:rPr>
        <w:t>En esta etapa se formularon y  revisaron los reactivos, así como se introdujo el cuestionario en la plataforma </w:t>
      </w:r>
      <w:r>
        <w:rPr>
          <w:i/>
          <w:sz w:val="24"/>
        </w:rPr>
        <w:t>encuestafacil.com.</w:t>
      </w:r>
    </w:p>
    <w:p>
      <w:pPr>
        <w:pStyle w:val="ListParagraph"/>
        <w:numPr>
          <w:ilvl w:val="2"/>
          <w:numId w:val="73"/>
        </w:numPr>
        <w:tabs>
          <w:tab w:pos="822" w:val="left" w:leader="none"/>
        </w:tabs>
        <w:spacing w:line="352" w:lineRule="auto" w:before="9" w:after="0"/>
        <w:ind w:left="822" w:right="598" w:hanging="360"/>
        <w:jc w:val="both"/>
        <w:rPr>
          <w:sz w:val="24"/>
        </w:rPr>
      </w:pPr>
      <w:r>
        <w:rPr>
          <w:b/>
          <w:i/>
          <w:sz w:val="24"/>
        </w:rPr>
        <w:t>Tercera etapa: validez de contenido. </w:t>
      </w:r>
      <w:r>
        <w:rPr>
          <w:sz w:val="24"/>
        </w:rPr>
        <w:t>El cuestionario fue enviado a ocho expertos quienes emitieron comentarios y validaron el contenido del</w:t>
      </w:r>
      <w:r>
        <w:rPr>
          <w:spacing w:val="-12"/>
          <w:sz w:val="24"/>
        </w:rPr>
        <w:t> </w:t>
      </w:r>
      <w:r>
        <w:rPr>
          <w:sz w:val="24"/>
        </w:rPr>
        <w:t>cuestionario.</w:t>
      </w:r>
    </w:p>
    <w:p>
      <w:pPr>
        <w:pStyle w:val="ListParagraph"/>
        <w:numPr>
          <w:ilvl w:val="2"/>
          <w:numId w:val="73"/>
        </w:numPr>
        <w:tabs>
          <w:tab w:pos="822" w:val="left" w:leader="none"/>
        </w:tabs>
        <w:spacing w:line="352" w:lineRule="auto" w:before="11" w:after="0"/>
        <w:ind w:left="822" w:right="601" w:hanging="360"/>
        <w:jc w:val="both"/>
        <w:rPr>
          <w:sz w:val="24"/>
        </w:rPr>
      </w:pPr>
      <w:r>
        <w:rPr>
          <w:b/>
          <w:i/>
          <w:sz w:val="24"/>
        </w:rPr>
        <w:t>Cuarta etapa: prueba piloto. </w:t>
      </w:r>
      <w:r>
        <w:rPr>
          <w:sz w:val="24"/>
        </w:rPr>
        <w:t>Se corrió una prueba piloto con dos grupos de la Maestría en Economía de la UAEMéx, con un total de 40</w:t>
      </w:r>
      <w:r>
        <w:rPr>
          <w:spacing w:val="-11"/>
          <w:sz w:val="24"/>
        </w:rPr>
        <w:t> </w:t>
      </w:r>
      <w:r>
        <w:rPr>
          <w:sz w:val="24"/>
        </w:rPr>
        <w:t>participantes.</w:t>
      </w:r>
    </w:p>
    <w:p>
      <w:pPr>
        <w:pStyle w:val="ListParagraph"/>
        <w:numPr>
          <w:ilvl w:val="2"/>
          <w:numId w:val="73"/>
        </w:numPr>
        <w:tabs>
          <w:tab w:pos="822" w:val="left" w:leader="none"/>
        </w:tabs>
        <w:spacing w:line="357" w:lineRule="auto" w:before="11" w:after="0"/>
        <w:ind w:left="822" w:right="596" w:hanging="360"/>
        <w:jc w:val="both"/>
        <w:rPr>
          <w:i/>
          <w:sz w:val="24"/>
        </w:rPr>
      </w:pPr>
      <w:r>
        <w:rPr>
          <w:b/>
          <w:i/>
          <w:sz w:val="24"/>
        </w:rPr>
        <w:t>Quinta etapa: ajuste y revisión final. </w:t>
      </w:r>
      <w:r>
        <w:rPr>
          <w:sz w:val="24"/>
        </w:rPr>
        <w:t>En esta etapa se consideraron los resultados de la prueba piloto, se realizaron los ajustes a las preguntas de acuerdo a los comentarios de los participantes de la etapa anterior. Se revisó y actualizó el cuestionario en la plataforma</w:t>
      </w:r>
      <w:r>
        <w:rPr>
          <w:spacing w:val="-6"/>
          <w:sz w:val="24"/>
        </w:rPr>
        <w:t> </w:t>
      </w:r>
      <w:r>
        <w:rPr>
          <w:i/>
          <w:sz w:val="24"/>
        </w:rPr>
        <w:t>encuestafacil.com</w:t>
      </w:r>
    </w:p>
    <w:p>
      <w:pPr>
        <w:pStyle w:val="ListParagraph"/>
        <w:numPr>
          <w:ilvl w:val="2"/>
          <w:numId w:val="73"/>
        </w:numPr>
        <w:tabs>
          <w:tab w:pos="822" w:val="left" w:leader="none"/>
        </w:tabs>
        <w:spacing w:line="357" w:lineRule="auto" w:before="8" w:after="0"/>
        <w:ind w:left="822" w:right="596" w:hanging="360"/>
        <w:jc w:val="both"/>
        <w:rPr>
          <w:sz w:val="24"/>
        </w:rPr>
      </w:pPr>
      <w:r>
        <w:rPr>
          <w:b/>
          <w:i/>
          <w:sz w:val="24"/>
        </w:rPr>
        <w:t>Sexta etapa: aplicación del instrumento. </w:t>
      </w:r>
      <w:r>
        <w:rPr>
          <w:sz w:val="24"/>
        </w:rPr>
        <w:t>Para esta etapa se conjuntó una base de datos de los egresados de la Licenciatura en Economía de la UAEMéx, se depuró teniendo como criterio descartar a todos aquellos que no contaran con un correo electrónico. Se envió el instrumento al grupo seleccionado para el estudio en marzo de</w:t>
      </w:r>
      <w:r>
        <w:rPr>
          <w:spacing w:val="-1"/>
          <w:sz w:val="24"/>
        </w:rPr>
        <w:t> </w:t>
      </w:r>
      <w:r>
        <w:rPr>
          <w:sz w:val="24"/>
        </w:rPr>
        <w:t>2013.</w:t>
      </w:r>
    </w:p>
    <w:p>
      <w:pPr>
        <w:pStyle w:val="BodyText"/>
      </w:pPr>
    </w:p>
    <w:p>
      <w:pPr>
        <w:pStyle w:val="Heading3"/>
        <w:spacing w:before="150"/>
        <w:ind w:left="1940"/>
        <w:jc w:val="left"/>
      </w:pPr>
      <w:r>
        <w:rPr/>
        <w:t>Gráfica 5.4. Etapas de la elaboración del instrumento.</w:t>
      </w:r>
    </w:p>
    <w:p>
      <w:pPr>
        <w:pStyle w:val="BodyText"/>
        <w:rPr>
          <w:b/>
          <w:sz w:val="20"/>
        </w:rPr>
      </w:pPr>
    </w:p>
    <w:p>
      <w:pPr>
        <w:pStyle w:val="BodyText"/>
        <w:spacing w:before="7"/>
        <w:rPr>
          <w:b/>
        </w:rPr>
      </w:pPr>
      <w:r>
        <w:rPr/>
        <w:pict>
          <v:group style="position:absolute;margin-left:88.050003pt;margin-top:16.125286pt;width:58pt;height:65.6pt;mso-position-horizontal-relative:page;mso-position-vertical-relative:paragraph;z-index:4480;mso-wrap-distance-left:0;mso-wrap-distance-right:0" coordorigin="1761,323" coordsize="1160,1312">
            <v:shape style="position:absolute;left:1761;top:323;width:1160;height:1312" coordorigin="1761,323" coordsize="1160,1312" path="m2805,323l1877,323,1832,332,1795,356,1770,393,1761,439,1761,1518,1770,1563,1795,1600,1832,1625,1877,1634,2805,1634,2850,1625,2887,1600,2912,1563,2921,1518,2921,439,2912,393,2887,356,2850,332,2805,323xe" filled="true" fillcolor="#c0504d" stroked="false">
              <v:path arrowok="t"/>
              <v:fill type="solid"/>
            </v:shape>
            <v:shape style="position:absolute;left:1761;top:323;width:1160;height:1312" type="#_x0000_t202" filled="false" stroked="false">
              <v:textbox inset="0,0,0,0">
                <w:txbxContent>
                  <w:p>
                    <w:pPr>
                      <w:spacing w:line="240" w:lineRule="auto" w:before="0"/>
                      <w:rPr>
                        <w:b/>
                        <w:sz w:val="18"/>
                      </w:rPr>
                    </w:pPr>
                  </w:p>
                  <w:p>
                    <w:pPr>
                      <w:spacing w:line="216" w:lineRule="auto" w:before="148"/>
                      <w:ind w:left="88" w:right="88" w:firstLine="2"/>
                      <w:jc w:val="center"/>
                      <w:rPr>
                        <w:rFonts w:ascii="Calibri" w:hAnsi="Calibri"/>
                        <w:sz w:val="18"/>
                      </w:rPr>
                    </w:pPr>
                    <w:r>
                      <w:rPr>
                        <w:rFonts w:ascii="Calibri" w:hAnsi="Calibri"/>
                        <w:b/>
                        <w:color w:val="FFFFFF"/>
                        <w:sz w:val="18"/>
                      </w:rPr>
                      <w:t>Primera etapa: </w:t>
                    </w:r>
                    <w:r>
                      <w:rPr>
                        <w:rFonts w:ascii="Calibri" w:hAnsi="Calibri"/>
                        <w:color w:val="FFFFFF"/>
                        <w:sz w:val="18"/>
                      </w:rPr>
                      <w:t>construcción.</w:t>
                    </w:r>
                  </w:p>
                </w:txbxContent>
              </v:textbox>
              <w10:wrap type="none"/>
            </v:shape>
            <w10:wrap type="topAndBottom"/>
          </v:group>
        </w:pict>
      </w:r>
      <w:r>
        <w:rPr/>
        <w:drawing>
          <wp:anchor distT="0" distB="0" distL="0" distR="0" allowOverlap="1" layoutInCell="1" locked="0" behindDoc="0" simplePos="0" relativeHeight="4504">
            <wp:simplePos x="0" y="0"/>
            <wp:positionH relativeFrom="page">
              <wp:posOffset>1928367</wp:posOffset>
            </wp:positionH>
            <wp:positionV relativeFrom="paragraph">
              <wp:posOffset>529911</wp:posOffset>
            </wp:positionV>
            <wp:extent cx="155567" cy="182022"/>
            <wp:effectExtent l="0" t="0" r="0" b="0"/>
            <wp:wrapTopAndBottom/>
            <wp:docPr id="27" name="image61.png" descr=""/>
            <wp:cNvGraphicFramePr>
              <a:graphicFrameLocks noChangeAspect="1"/>
            </wp:cNvGraphicFramePr>
            <a:graphic>
              <a:graphicData uri="http://schemas.openxmlformats.org/drawingml/2006/picture">
                <pic:pic>
                  <pic:nvPicPr>
                    <pic:cNvPr id="28" name="image61.png"/>
                    <pic:cNvPicPr/>
                  </pic:nvPicPr>
                  <pic:blipFill>
                    <a:blip r:embed="rId98" cstate="print"/>
                    <a:stretch>
                      <a:fillRect/>
                    </a:stretch>
                  </pic:blipFill>
                  <pic:spPr>
                    <a:xfrm>
                      <a:off x="0" y="0"/>
                      <a:ext cx="155567" cy="182022"/>
                    </a:xfrm>
                    <a:prstGeom prst="rect">
                      <a:avLst/>
                    </a:prstGeom>
                  </pic:spPr>
                </pic:pic>
              </a:graphicData>
            </a:graphic>
          </wp:anchor>
        </w:drawing>
      </w:r>
      <w:r>
        <w:rPr/>
        <w:pict>
          <v:group style="position:absolute;margin-left:169.240005pt;margin-top:16.125286pt;width:58pt;height:65.6pt;mso-position-horizontal-relative:page;mso-position-vertical-relative:paragraph;z-index:4552;mso-wrap-distance-left:0;mso-wrap-distance-right:0" coordorigin="3385,323" coordsize="1160,1312">
            <v:shape style="position:absolute;left:3385;top:323;width:1160;height:1312" coordorigin="3385,323" coordsize="1160,1312" path="m4429,323l3501,323,3456,332,3419,356,3394,393,3385,439,3385,1518,3394,1563,3419,1600,3456,1625,3501,1634,4429,1634,4474,1625,4511,1600,4535,1563,4545,1518,4545,439,4535,393,4511,356,4474,332,4429,323xe" filled="true" fillcolor="#9bba58" stroked="false">
              <v:path arrowok="t"/>
              <v:fill type="solid"/>
            </v:shape>
            <v:shape style="position:absolute;left:3385;top:323;width:1160;height:1312" type="#_x0000_t202" filled="false" stroked="false">
              <v:textbox inset="0,0,0,0">
                <w:txbxContent>
                  <w:p>
                    <w:pPr>
                      <w:spacing w:line="216" w:lineRule="auto" w:before="102"/>
                      <w:ind w:left="101" w:right="99" w:hanging="2"/>
                      <w:jc w:val="center"/>
                      <w:rPr>
                        <w:rFonts w:ascii="Calibri" w:hAnsi="Calibri"/>
                        <w:sz w:val="20"/>
                      </w:rPr>
                    </w:pPr>
                    <w:r>
                      <w:rPr>
                        <w:rFonts w:ascii="Calibri" w:hAnsi="Calibri"/>
                        <w:b/>
                        <w:color w:val="FFFFFF"/>
                        <w:sz w:val="20"/>
                      </w:rPr>
                      <w:t>Segunda etapa</w:t>
                    </w:r>
                    <w:r>
                      <w:rPr>
                        <w:rFonts w:ascii="Calibri" w:hAnsi="Calibri"/>
                        <w:color w:val="FFFFFF"/>
                        <w:sz w:val="20"/>
                      </w:rPr>
                      <w:t>: </w:t>
                    </w:r>
                    <w:r>
                      <w:rPr>
                        <w:rFonts w:ascii="Calibri" w:hAnsi="Calibri"/>
                        <w:color w:val="FFFFFF"/>
                        <w:w w:val="95"/>
                        <w:sz w:val="20"/>
                      </w:rPr>
                      <w:t>elaboración </w:t>
                    </w:r>
                    <w:r>
                      <w:rPr>
                        <w:rFonts w:ascii="Calibri" w:hAnsi="Calibri"/>
                        <w:color w:val="FFFFFF"/>
                        <w:sz w:val="20"/>
                      </w:rPr>
                      <w:t>de la encuesta</w:t>
                    </w:r>
                  </w:p>
                </w:txbxContent>
              </v:textbox>
              <w10:wrap type="none"/>
            </v:shape>
            <w10:wrap type="topAndBottom"/>
          </v:group>
        </w:pict>
      </w:r>
      <w:r>
        <w:rPr/>
        <w:drawing>
          <wp:anchor distT="0" distB="0" distL="0" distR="0" allowOverlap="1" layoutInCell="1" locked="0" behindDoc="0" simplePos="0" relativeHeight="4576">
            <wp:simplePos x="0" y="0"/>
            <wp:positionH relativeFrom="page">
              <wp:posOffset>2959480</wp:posOffset>
            </wp:positionH>
            <wp:positionV relativeFrom="paragraph">
              <wp:posOffset>529911</wp:posOffset>
            </wp:positionV>
            <wp:extent cx="155567" cy="182022"/>
            <wp:effectExtent l="0" t="0" r="0" b="0"/>
            <wp:wrapTopAndBottom/>
            <wp:docPr id="29" name="image62.png" descr=""/>
            <wp:cNvGraphicFramePr>
              <a:graphicFrameLocks noChangeAspect="1"/>
            </wp:cNvGraphicFramePr>
            <a:graphic>
              <a:graphicData uri="http://schemas.openxmlformats.org/drawingml/2006/picture">
                <pic:pic>
                  <pic:nvPicPr>
                    <pic:cNvPr id="30" name="image62.png"/>
                    <pic:cNvPicPr/>
                  </pic:nvPicPr>
                  <pic:blipFill>
                    <a:blip r:embed="rId99" cstate="print"/>
                    <a:stretch>
                      <a:fillRect/>
                    </a:stretch>
                  </pic:blipFill>
                  <pic:spPr>
                    <a:xfrm>
                      <a:off x="0" y="0"/>
                      <a:ext cx="155567" cy="182022"/>
                    </a:xfrm>
                    <a:prstGeom prst="rect">
                      <a:avLst/>
                    </a:prstGeom>
                  </pic:spPr>
                </pic:pic>
              </a:graphicData>
            </a:graphic>
          </wp:anchor>
        </w:drawing>
      </w:r>
      <w:r>
        <w:rPr/>
        <w:pict>
          <v:group style="position:absolute;margin-left:250.429993pt;margin-top:16.125286pt;width:58pt;height:65.6pt;mso-position-horizontal-relative:page;mso-position-vertical-relative:paragraph;z-index:4624;mso-wrap-distance-left:0;mso-wrap-distance-right:0" coordorigin="5009,323" coordsize="1160,1312">
            <v:shape style="position:absolute;left:5009;top:323;width:1160;height:1312" coordorigin="5009,323" coordsize="1160,1312" path="m6052,323l5125,323,5079,332,5043,356,5018,393,5009,439,5009,1518,5018,1563,5043,1600,5079,1625,5125,1634,6052,1634,6098,1625,6134,1600,6159,1563,6168,1518,6168,439,6159,393,6134,356,6098,332,6052,323xe" filled="true" fillcolor="#8063a1" stroked="false">
              <v:path arrowok="t"/>
              <v:fill type="solid"/>
            </v:shape>
            <v:shape style="position:absolute;left:5009;top:323;width:1160;height:1312" type="#_x0000_t202" filled="false" stroked="false">
              <v:textbox inset="0,0,0,0">
                <w:txbxContent>
                  <w:p>
                    <w:pPr>
                      <w:spacing w:line="240" w:lineRule="auto" w:before="5"/>
                      <w:rPr>
                        <w:b/>
                        <w:sz w:val="18"/>
                      </w:rPr>
                    </w:pPr>
                  </w:p>
                  <w:p>
                    <w:pPr>
                      <w:spacing w:line="216" w:lineRule="auto" w:before="0"/>
                      <w:ind w:left="116" w:right="113" w:firstLine="0"/>
                      <w:jc w:val="center"/>
                      <w:rPr>
                        <w:rFonts w:ascii="Calibri"/>
                        <w:sz w:val="20"/>
                      </w:rPr>
                    </w:pPr>
                    <w:r>
                      <w:rPr>
                        <w:rFonts w:ascii="Calibri"/>
                        <w:b/>
                        <w:color w:val="FFFFFF"/>
                        <w:sz w:val="20"/>
                      </w:rPr>
                      <w:t>Tercera etapa</w:t>
                    </w:r>
                    <w:r>
                      <w:rPr>
                        <w:rFonts w:ascii="Calibri"/>
                        <w:color w:val="FFFFFF"/>
                        <w:sz w:val="20"/>
                      </w:rPr>
                      <w:t>: validez de </w:t>
                    </w:r>
                    <w:r>
                      <w:rPr>
                        <w:rFonts w:ascii="Calibri"/>
                        <w:color w:val="FFFFFF"/>
                        <w:w w:val="95"/>
                        <w:sz w:val="20"/>
                      </w:rPr>
                      <w:t>contenido</w:t>
                    </w:r>
                  </w:p>
                </w:txbxContent>
              </v:textbox>
              <w10:wrap type="none"/>
            </v:shape>
            <w10:wrap type="topAndBottom"/>
          </v:group>
        </w:pict>
      </w:r>
      <w:r>
        <w:rPr/>
        <w:drawing>
          <wp:anchor distT="0" distB="0" distL="0" distR="0" allowOverlap="1" layoutInCell="1" locked="0" behindDoc="0" simplePos="0" relativeHeight="4648">
            <wp:simplePos x="0" y="0"/>
            <wp:positionH relativeFrom="page">
              <wp:posOffset>3990594</wp:posOffset>
            </wp:positionH>
            <wp:positionV relativeFrom="paragraph">
              <wp:posOffset>529911</wp:posOffset>
            </wp:positionV>
            <wp:extent cx="155567" cy="182022"/>
            <wp:effectExtent l="0" t="0" r="0" b="0"/>
            <wp:wrapTopAndBottom/>
            <wp:docPr id="31" name="image63.png" descr=""/>
            <wp:cNvGraphicFramePr>
              <a:graphicFrameLocks noChangeAspect="1"/>
            </wp:cNvGraphicFramePr>
            <a:graphic>
              <a:graphicData uri="http://schemas.openxmlformats.org/drawingml/2006/picture">
                <pic:pic>
                  <pic:nvPicPr>
                    <pic:cNvPr id="32" name="image63.png"/>
                    <pic:cNvPicPr/>
                  </pic:nvPicPr>
                  <pic:blipFill>
                    <a:blip r:embed="rId100" cstate="print"/>
                    <a:stretch>
                      <a:fillRect/>
                    </a:stretch>
                  </pic:blipFill>
                  <pic:spPr>
                    <a:xfrm>
                      <a:off x="0" y="0"/>
                      <a:ext cx="155567" cy="182022"/>
                    </a:xfrm>
                    <a:prstGeom prst="rect">
                      <a:avLst/>
                    </a:prstGeom>
                  </pic:spPr>
                </pic:pic>
              </a:graphicData>
            </a:graphic>
          </wp:anchor>
        </w:drawing>
      </w:r>
      <w:r>
        <w:rPr/>
        <w:pict>
          <v:group style="position:absolute;margin-left:331.609985pt;margin-top:16.125286pt;width:58pt;height:65.6pt;mso-position-horizontal-relative:page;mso-position-vertical-relative:paragraph;z-index:4696;mso-wrap-distance-left:0;mso-wrap-distance-right:0" coordorigin="6632,323" coordsize="1160,1312">
            <v:shape style="position:absolute;left:6632;top:323;width:1160;height:1312" coordorigin="6632,323" coordsize="1160,1312" path="m7676,323l6748,323,6703,332,6666,356,6641,393,6632,439,6632,1518,6641,1563,6666,1600,6703,1625,6748,1634,7676,1634,7721,1625,7758,1600,7783,1563,7792,1518,7792,439,7783,393,7758,356,7721,332,7676,323xe" filled="true" fillcolor="#4aacc5" stroked="false">
              <v:path arrowok="t"/>
              <v:fill type="solid"/>
            </v:shape>
            <v:shape style="position:absolute;left:6632;top:323;width:1160;height:1312" type="#_x0000_t202" filled="false" stroked="false">
              <v:textbox inset="0,0,0,0">
                <w:txbxContent>
                  <w:p>
                    <w:pPr>
                      <w:spacing w:line="240" w:lineRule="auto" w:before="5"/>
                      <w:rPr>
                        <w:b/>
                        <w:sz w:val="18"/>
                      </w:rPr>
                    </w:pPr>
                  </w:p>
                  <w:p>
                    <w:pPr>
                      <w:spacing w:line="216" w:lineRule="auto" w:before="0"/>
                      <w:ind w:left="289" w:right="288" w:firstLine="14"/>
                      <w:jc w:val="both"/>
                      <w:rPr>
                        <w:rFonts w:ascii="Calibri"/>
                        <w:sz w:val="20"/>
                      </w:rPr>
                    </w:pPr>
                    <w:r>
                      <w:rPr>
                        <w:rFonts w:ascii="Calibri"/>
                        <w:b/>
                        <w:color w:val="FFFFFF"/>
                        <w:sz w:val="20"/>
                      </w:rPr>
                      <w:t>Cuarta etapa</w:t>
                    </w:r>
                    <w:r>
                      <w:rPr>
                        <w:rFonts w:ascii="Calibri"/>
                        <w:color w:val="FFFFFF"/>
                        <w:sz w:val="20"/>
                      </w:rPr>
                      <w:t>: prueba piloto</w:t>
                    </w:r>
                  </w:p>
                </w:txbxContent>
              </v:textbox>
              <w10:wrap type="none"/>
            </v:shape>
            <w10:wrap type="topAndBottom"/>
          </v:group>
        </w:pict>
      </w:r>
      <w:r>
        <w:rPr/>
        <w:drawing>
          <wp:anchor distT="0" distB="0" distL="0" distR="0" allowOverlap="1" layoutInCell="1" locked="0" behindDoc="0" simplePos="0" relativeHeight="4720">
            <wp:simplePos x="0" y="0"/>
            <wp:positionH relativeFrom="page">
              <wp:posOffset>5021707</wp:posOffset>
            </wp:positionH>
            <wp:positionV relativeFrom="paragraph">
              <wp:posOffset>529911</wp:posOffset>
            </wp:positionV>
            <wp:extent cx="155567" cy="182022"/>
            <wp:effectExtent l="0" t="0" r="0" b="0"/>
            <wp:wrapTopAndBottom/>
            <wp:docPr id="33" name="image64.png" descr=""/>
            <wp:cNvGraphicFramePr>
              <a:graphicFrameLocks noChangeAspect="1"/>
            </wp:cNvGraphicFramePr>
            <a:graphic>
              <a:graphicData uri="http://schemas.openxmlformats.org/drawingml/2006/picture">
                <pic:pic>
                  <pic:nvPicPr>
                    <pic:cNvPr id="34" name="image64.png"/>
                    <pic:cNvPicPr/>
                  </pic:nvPicPr>
                  <pic:blipFill>
                    <a:blip r:embed="rId101" cstate="print"/>
                    <a:stretch>
                      <a:fillRect/>
                    </a:stretch>
                  </pic:blipFill>
                  <pic:spPr>
                    <a:xfrm>
                      <a:off x="0" y="0"/>
                      <a:ext cx="155567" cy="182022"/>
                    </a:xfrm>
                    <a:prstGeom prst="rect">
                      <a:avLst/>
                    </a:prstGeom>
                  </pic:spPr>
                </pic:pic>
              </a:graphicData>
            </a:graphic>
          </wp:anchor>
        </w:drawing>
      </w:r>
      <w:r>
        <w:rPr/>
        <w:pict>
          <v:group style="position:absolute;margin-left:412.799988pt;margin-top:16.125286pt;width:58pt;height:65.6pt;mso-position-horizontal-relative:page;mso-position-vertical-relative:paragraph;z-index:4768;mso-wrap-distance-left:0;mso-wrap-distance-right:0" coordorigin="8256,323" coordsize="1160,1312">
            <v:shape style="position:absolute;left:8256;top:323;width:1160;height:1312" coordorigin="8256,323" coordsize="1160,1312" path="m9300,323l8372,323,8327,332,8290,356,8265,393,8256,439,8256,1518,8265,1563,8290,1600,8327,1625,8372,1634,9300,1634,9345,1625,9382,1600,9407,1563,9416,1518,9416,439,9407,393,9382,356,9345,332,9300,323xe" filled="true" fillcolor="#f79546" stroked="false">
              <v:path arrowok="t"/>
              <v:fill type="solid"/>
            </v:shape>
            <v:shape style="position:absolute;left:8256;top:323;width:1160;height:1312" type="#_x0000_t202" filled="false" stroked="false">
              <v:textbox inset="0,0,0,0">
                <w:txbxContent>
                  <w:p>
                    <w:pPr>
                      <w:spacing w:line="216" w:lineRule="auto" w:before="102"/>
                      <w:ind w:left="116" w:right="112" w:firstLine="0"/>
                      <w:jc w:val="center"/>
                      <w:rPr>
                        <w:rFonts w:ascii="Calibri" w:hAnsi="Calibri"/>
                        <w:sz w:val="20"/>
                      </w:rPr>
                    </w:pPr>
                    <w:r>
                      <w:rPr>
                        <w:rFonts w:ascii="Calibri" w:hAnsi="Calibri"/>
                        <w:b/>
                        <w:color w:val="FFFFFF"/>
                        <w:sz w:val="20"/>
                      </w:rPr>
                      <w:t>Quinta etapa: </w:t>
                    </w:r>
                    <w:r>
                      <w:rPr>
                        <w:rFonts w:ascii="Calibri" w:hAnsi="Calibri"/>
                        <w:color w:val="FFFFFF"/>
                        <w:sz w:val="20"/>
                      </w:rPr>
                      <w:t>ajuste y revisión final</w:t>
                    </w:r>
                  </w:p>
                </w:txbxContent>
              </v:textbox>
              <w10:wrap type="none"/>
            </v:shape>
            <w10:wrap type="topAndBottom"/>
          </v:group>
        </w:pict>
      </w:r>
      <w:r>
        <w:rPr/>
        <w:drawing>
          <wp:anchor distT="0" distB="0" distL="0" distR="0" allowOverlap="1" layoutInCell="1" locked="0" behindDoc="0" simplePos="0" relativeHeight="4792">
            <wp:simplePos x="0" y="0"/>
            <wp:positionH relativeFrom="page">
              <wp:posOffset>6052692</wp:posOffset>
            </wp:positionH>
            <wp:positionV relativeFrom="paragraph">
              <wp:posOffset>529911</wp:posOffset>
            </wp:positionV>
            <wp:extent cx="155694" cy="182022"/>
            <wp:effectExtent l="0" t="0" r="0" b="0"/>
            <wp:wrapTopAndBottom/>
            <wp:docPr id="35" name="image65.png" descr=""/>
            <wp:cNvGraphicFramePr>
              <a:graphicFrameLocks noChangeAspect="1"/>
            </wp:cNvGraphicFramePr>
            <a:graphic>
              <a:graphicData uri="http://schemas.openxmlformats.org/drawingml/2006/picture">
                <pic:pic>
                  <pic:nvPicPr>
                    <pic:cNvPr id="36" name="image65.png"/>
                    <pic:cNvPicPr/>
                  </pic:nvPicPr>
                  <pic:blipFill>
                    <a:blip r:embed="rId102" cstate="print"/>
                    <a:stretch>
                      <a:fillRect/>
                    </a:stretch>
                  </pic:blipFill>
                  <pic:spPr>
                    <a:xfrm>
                      <a:off x="0" y="0"/>
                      <a:ext cx="155694" cy="182022"/>
                    </a:xfrm>
                    <a:prstGeom prst="rect">
                      <a:avLst/>
                    </a:prstGeom>
                  </pic:spPr>
                </pic:pic>
              </a:graphicData>
            </a:graphic>
          </wp:anchor>
        </w:drawing>
      </w:r>
      <w:r>
        <w:rPr/>
        <w:pict>
          <v:group style="position:absolute;margin-left:493.98999pt;margin-top:16.125286pt;width:58pt;height:65.6pt;mso-position-horizontal-relative:page;mso-position-vertical-relative:paragraph;z-index:4840;mso-wrap-distance-left:0;mso-wrap-distance-right:0" coordorigin="9880,323" coordsize="1160,1312">
            <v:shape style="position:absolute;left:9880;top:323;width:1160;height:1312" coordorigin="9880,323" coordsize="1160,1312" path="m10924,323l9996,323,9951,332,9914,356,9889,393,9880,439,9880,1518,9889,1563,9914,1600,9951,1625,9996,1634,10924,1634,10969,1625,11006,1600,11031,1563,11040,1518,11040,439,11031,393,11006,356,10969,332,10924,323xe" filled="true" fillcolor="#c0504d" stroked="false">
              <v:path arrowok="t"/>
              <v:fill type="solid"/>
            </v:shape>
            <v:shape style="position:absolute;left:9880;top:323;width:1160;height:1312" type="#_x0000_t202" filled="false" stroked="false">
              <v:textbox inset="0,0,0,0">
                <w:txbxContent>
                  <w:p>
                    <w:pPr>
                      <w:spacing w:line="240" w:lineRule="auto" w:before="3"/>
                      <w:rPr>
                        <w:b/>
                        <w:sz w:val="22"/>
                      </w:rPr>
                    </w:pPr>
                  </w:p>
                  <w:p>
                    <w:pPr>
                      <w:spacing w:line="216" w:lineRule="auto" w:before="0"/>
                      <w:ind w:left="116" w:right="113" w:firstLine="0"/>
                      <w:jc w:val="center"/>
                      <w:rPr>
                        <w:rFonts w:ascii="Calibri" w:hAnsi="Calibri"/>
                        <w:sz w:val="18"/>
                      </w:rPr>
                    </w:pPr>
                    <w:r>
                      <w:rPr>
                        <w:rFonts w:ascii="Calibri" w:hAnsi="Calibri"/>
                        <w:b/>
                        <w:color w:val="FFFFFF"/>
                        <w:sz w:val="18"/>
                      </w:rPr>
                      <w:t>Sexta etapa: </w:t>
                    </w:r>
                    <w:r>
                      <w:rPr>
                        <w:rFonts w:ascii="Calibri" w:hAnsi="Calibri"/>
                        <w:color w:val="FFFFFF"/>
                        <w:sz w:val="18"/>
                      </w:rPr>
                      <w:t>aplicación del    instrumento</w:t>
                    </w:r>
                  </w:p>
                </w:txbxContent>
              </v:textbox>
              <w10:wrap type="none"/>
            </v:shape>
            <w10:wrap type="topAndBottom"/>
          </v:group>
        </w:pict>
      </w:r>
    </w:p>
    <w:p>
      <w:pPr>
        <w:pStyle w:val="BodyText"/>
        <w:rPr>
          <w:b/>
        </w:rPr>
      </w:pPr>
    </w:p>
    <w:p>
      <w:pPr>
        <w:pStyle w:val="BodyText"/>
        <w:spacing w:before="3"/>
        <w:rPr>
          <w:b/>
          <w:sz w:val="21"/>
        </w:rPr>
      </w:pPr>
    </w:p>
    <w:p>
      <w:pPr>
        <w:spacing w:before="0"/>
        <w:ind w:left="3429" w:right="3927" w:firstLine="0"/>
        <w:jc w:val="center"/>
        <w:rPr>
          <w:sz w:val="20"/>
        </w:rPr>
      </w:pPr>
      <w:r>
        <w:rPr>
          <w:sz w:val="20"/>
        </w:rPr>
        <w:t>Fuente: elaboración propia</w:t>
      </w:r>
    </w:p>
    <w:p>
      <w:pPr>
        <w:pStyle w:val="BodyText"/>
        <w:rPr>
          <w:sz w:val="20"/>
        </w:rPr>
      </w:pPr>
    </w:p>
    <w:p>
      <w:pPr>
        <w:pStyle w:val="BodyText"/>
        <w:rPr>
          <w:sz w:val="26"/>
        </w:rPr>
      </w:pPr>
    </w:p>
    <w:p>
      <w:pPr>
        <w:pStyle w:val="BodyText"/>
        <w:spacing w:line="360" w:lineRule="auto"/>
        <w:ind w:left="102" w:right="598"/>
        <w:jc w:val="both"/>
      </w:pPr>
      <w:r>
        <w:rPr/>
        <w:t>Se diseñó en cinco secciones, en donde la primera se refiere a la información general del encuestado. De la segunda a cuarta corresponden a los constructos: asertividad de la transición, la calidad de la transición y la consolidación de la transición a la que se llamó</w:t>
      </w:r>
    </w:p>
    <w:p>
      <w:pPr>
        <w:spacing w:after="0" w:line="360" w:lineRule="auto"/>
        <w:jc w:val="both"/>
        <w:sectPr>
          <w:pgSz w:w="12240" w:h="15840"/>
          <w:pgMar w:header="0" w:footer="1003" w:top="1380" w:bottom="1200" w:left="1600" w:right="1100"/>
        </w:sectPr>
      </w:pPr>
    </w:p>
    <w:p>
      <w:pPr>
        <w:pStyle w:val="BodyText"/>
        <w:spacing w:line="360" w:lineRule="auto" w:before="50"/>
        <w:ind w:left="142" w:right="616"/>
      </w:pPr>
      <w:r>
        <w:rPr/>
        <w:t>trabajo actual, respectivamente. En la tabla siguiente se muestran las dimensiones empleadas y su respectiva relación con las variables de estudio.</w:t>
      </w:r>
    </w:p>
    <w:p>
      <w:pPr>
        <w:pStyle w:val="Heading3"/>
        <w:spacing w:before="8"/>
        <w:ind w:left="3353" w:right="3832"/>
        <w:jc w:val="center"/>
      </w:pPr>
      <w:r>
        <w:rPr/>
        <w:t>Tabla 5.5. Dimensiones</w:t>
      </w:r>
    </w:p>
    <w:p>
      <w:pPr>
        <w:pStyle w:val="BodyText"/>
        <w:spacing w:before="2"/>
        <w:rPr>
          <w:b/>
          <w:sz w:val="12"/>
        </w:rPr>
      </w:pPr>
    </w:p>
    <w:tbl>
      <w:tblPr>
        <w:tblW w:w="0" w:type="auto"/>
        <w:jc w:val="left"/>
        <w:tblInd w:w="1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0"/>
        <w:gridCol w:w="2542"/>
        <w:gridCol w:w="5600"/>
      </w:tblGrid>
      <w:tr>
        <w:trPr>
          <w:trHeight w:val="336" w:hRule="exact"/>
        </w:trPr>
        <w:tc>
          <w:tcPr>
            <w:tcW w:w="1200" w:type="dxa"/>
            <w:shd w:val="clear" w:color="auto" w:fill="BEBEBE"/>
          </w:tcPr>
          <w:p>
            <w:pPr>
              <w:pStyle w:val="TableParagraph"/>
              <w:spacing w:before="47"/>
              <w:ind w:left="129" w:right="48"/>
              <w:rPr>
                <w:sz w:val="24"/>
              </w:rPr>
            </w:pPr>
            <w:r>
              <w:rPr>
                <w:sz w:val="24"/>
              </w:rPr>
              <w:t>Variables</w:t>
            </w:r>
          </w:p>
        </w:tc>
        <w:tc>
          <w:tcPr>
            <w:tcW w:w="2542" w:type="dxa"/>
            <w:shd w:val="clear" w:color="auto" w:fill="BEBEBE"/>
          </w:tcPr>
          <w:p>
            <w:pPr>
              <w:pStyle w:val="TableParagraph"/>
              <w:spacing w:before="47"/>
              <w:ind w:left="732" w:right="422"/>
              <w:rPr>
                <w:sz w:val="24"/>
              </w:rPr>
            </w:pPr>
            <w:r>
              <w:rPr>
                <w:sz w:val="24"/>
              </w:rPr>
              <w:t>Dimensión</w:t>
            </w:r>
          </w:p>
        </w:tc>
        <w:tc>
          <w:tcPr>
            <w:tcW w:w="5600" w:type="dxa"/>
            <w:shd w:val="clear" w:color="auto" w:fill="BEBEBE"/>
          </w:tcPr>
          <w:p>
            <w:pPr>
              <w:pStyle w:val="TableParagraph"/>
              <w:spacing w:before="18"/>
              <w:ind w:left="2309" w:right="2312"/>
              <w:jc w:val="center"/>
              <w:rPr>
                <w:sz w:val="24"/>
              </w:rPr>
            </w:pPr>
            <w:r>
              <w:rPr>
                <w:sz w:val="24"/>
              </w:rPr>
              <w:t>Medición</w:t>
            </w:r>
          </w:p>
        </w:tc>
      </w:tr>
      <w:tr>
        <w:trPr>
          <w:trHeight w:val="454" w:hRule="exact"/>
        </w:trPr>
        <w:tc>
          <w:tcPr>
            <w:tcW w:w="1200" w:type="dxa"/>
            <w:vMerge w:val="restart"/>
            <w:tcBorders>
              <w:left w:val="nil"/>
              <w:right w:val="nil"/>
            </w:tcBorders>
            <w:shd w:val="clear" w:color="auto" w:fill="C5D9F0"/>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2"/>
              <w:rPr>
                <w:b/>
                <w:sz w:val="29"/>
              </w:rPr>
            </w:pPr>
          </w:p>
          <w:p>
            <w:pPr>
              <w:pStyle w:val="TableParagraph"/>
              <w:ind w:left="122" w:right="105" w:firstLine="52"/>
              <w:rPr>
                <w:sz w:val="24"/>
              </w:rPr>
            </w:pPr>
            <w:r>
              <w:rPr>
                <w:sz w:val="24"/>
              </w:rPr>
              <w:t>Mercado de trabajo</w:t>
            </w:r>
          </w:p>
        </w:tc>
        <w:tc>
          <w:tcPr>
            <w:tcW w:w="2542" w:type="dxa"/>
            <w:vMerge w:val="restart"/>
            <w:tcBorders>
              <w:left w:val="nil"/>
              <w:right w:val="nil"/>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96"/>
              <w:ind w:left="578"/>
              <w:rPr>
                <w:sz w:val="24"/>
              </w:rPr>
            </w:pPr>
            <w:r>
              <w:rPr>
                <w:sz w:val="24"/>
              </w:rPr>
              <w:t>Trabajo actual</w:t>
            </w:r>
          </w:p>
        </w:tc>
        <w:tc>
          <w:tcPr>
            <w:tcW w:w="5600" w:type="dxa"/>
            <w:tcBorders>
              <w:top w:val="single" w:sz="12" w:space="0" w:color="BEBEBE"/>
              <w:left w:val="nil"/>
              <w:bottom w:val="nil"/>
              <w:right w:val="nil"/>
            </w:tcBorders>
          </w:tcPr>
          <w:p>
            <w:pPr>
              <w:pStyle w:val="TableParagraph"/>
              <w:spacing w:before="100"/>
              <w:ind w:left="67"/>
              <w:rPr>
                <w:sz w:val="24"/>
              </w:rPr>
            </w:pPr>
            <w:r>
              <w:rPr>
                <w:sz w:val="24"/>
              </w:rPr>
              <w:t>Tipo de contrato</w:t>
            </w:r>
          </w:p>
        </w:tc>
      </w:tr>
      <w:tr>
        <w:trPr>
          <w:trHeight w:val="376" w:hRule="exact"/>
        </w:trPr>
        <w:tc>
          <w:tcPr>
            <w:tcW w:w="1200" w:type="dxa"/>
            <w:vMerge/>
            <w:tcBorders>
              <w:left w:val="nil"/>
              <w:right w:val="nil"/>
            </w:tcBorders>
            <w:shd w:val="clear" w:color="auto" w:fill="C5D9F0"/>
          </w:tcPr>
          <w:p>
            <w:pPr/>
          </w:p>
        </w:tc>
        <w:tc>
          <w:tcPr>
            <w:tcW w:w="2542" w:type="dxa"/>
            <w:vMerge/>
            <w:tcBorders>
              <w:left w:val="nil"/>
              <w:right w:val="nil"/>
            </w:tcBorders>
          </w:tcPr>
          <w:p>
            <w:pPr/>
          </w:p>
        </w:tc>
        <w:tc>
          <w:tcPr>
            <w:tcW w:w="5600" w:type="dxa"/>
            <w:tcBorders>
              <w:top w:val="nil"/>
              <w:left w:val="nil"/>
              <w:bottom w:val="nil"/>
              <w:right w:val="nil"/>
            </w:tcBorders>
          </w:tcPr>
          <w:p>
            <w:pPr>
              <w:pStyle w:val="TableParagraph"/>
              <w:spacing w:before="37"/>
              <w:ind w:left="67"/>
              <w:rPr>
                <w:sz w:val="24"/>
              </w:rPr>
            </w:pPr>
            <w:r>
              <w:rPr>
                <w:sz w:val="24"/>
              </w:rPr>
              <w:t>Sexo</w:t>
            </w:r>
          </w:p>
        </w:tc>
      </w:tr>
      <w:tr>
        <w:trPr>
          <w:trHeight w:val="374" w:hRule="exact"/>
        </w:trPr>
        <w:tc>
          <w:tcPr>
            <w:tcW w:w="1200" w:type="dxa"/>
            <w:vMerge/>
            <w:tcBorders>
              <w:left w:val="nil"/>
              <w:right w:val="nil"/>
            </w:tcBorders>
            <w:shd w:val="clear" w:color="auto" w:fill="C5D9F0"/>
          </w:tcPr>
          <w:p>
            <w:pPr/>
          </w:p>
        </w:tc>
        <w:tc>
          <w:tcPr>
            <w:tcW w:w="2542" w:type="dxa"/>
            <w:vMerge/>
            <w:tcBorders>
              <w:left w:val="nil"/>
              <w:right w:val="nil"/>
            </w:tcBorders>
          </w:tcPr>
          <w:p>
            <w:pPr/>
          </w:p>
        </w:tc>
        <w:tc>
          <w:tcPr>
            <w:tcW w:w="5600" w:type="dxa"/>
            <w:tcBorders>
              <w:top w:val="nil"/>
              <w:left w:val="nil"/>
              <w:bottom w:val="nil"/>
              <w:right w:val="nil"/>
            </w:tcBorders>
          </w:tcPr>
          <w:p>
            <w:pPr>
              <w:pStyle w:val="TableParagraph"/>
              <w:spacing w:before="36"/>
              <w:ind w:left="67"/>
              <w:rPr>
                <w:sz w:val="24"/>
              </w:rPr>
            </w:pPr>
            <w:r>
              <w:rPr>
                <w:sz w:val="24"/>
              </w:rPr>
              <w:t>Salario</w:t>
            </w:r>
          </w:p>
        </w:tc>
      </w:tr>
      <w:tr>
        <w:trPr>
          <w:trHeight w:val="374" w:hRule="exact"/>
        </w:trPr>
        <w:tc>
          <w:tcPr>
            <w:tcW w:w="1200" w:type="dxa"/>
            <w:vMerge/>
            <w:tcBorders>
              <w:left w:val="nil"/>
              <w:right w:val="nil"/>
            </w:tcBorders>
            <w:shd w:val="clear" w:color="auto" w:fill="C5D9F0"/>
          </w:tcPr>
          <w:p>
            <w:pPr/>
          </w:p>
        </w:tc>
        <w:tc>
          <w:tcPr>
            <w:tcW w:w="2542" w:type="dxa"/>
            <w:vMerge/>
            <w:tcBorders>
              <w:left w:val="nil"/>
              <w:right w:val="nil"/>
            </w:tcBorders>
          </w:tcPr>
          <w:p>
            <w:pPr/>
          </w:p>
        </w:tc>
        <w:tc>
          <w:tcPr>
            <w:tcW w:w="5600" w:type="dxa"/>
            <w:tcBorders>
              <w:top w:val="nil"/>
              <w:left w:val="nil"/>
              <w:bottom w:val="nil"/>
              <w:right w:val="nil"/>
            </w:tcBorders>
          </w:tcPr>
          <w:p>
            <w:pPr>
              <w:pStyle w:val="TableParagraph"/>
              <w:spacing w:before="36"/>
              <w:ind w:left="67"/>
              <w:rPr>
                <w:sz w:val="24"/>
              </w:rPr>
            </w:pPr>
            <w:r>
              <w:rPr>
                <w:sz w:val="24"/>
              </w:rPr>
              <w:t>Demanda laboral</w:t>
            </w:r>
          </w:p>
        </w:tc>
      </w:tr>
      <w:tr>
        <w:trPr>
          <w:trHeight w:val="376" w:hRule="exact"/>
        </w:trPr>
        <w:tc>
          <w:tcPr>
            <w:tcW w:w="1200" w:type="dxa"/>
            <w:vMerge/>
            <w:tcBorders>
              <w:left w:val="nil"/>
              <w:right w:val="nil"/>
            </w:tcBorders>
            <w:shd w:val="clear" w:color="auto" w:fill="C5D9F0"/>
          </w:tcPr>
          <w:p>
            <w:pPr/>
          </w:p>
        </w:tc>
        <w:tc>
          <w:tcPr>
            <w:tcW w:w="2542" w:type="dxa"/>
            <w:vMerge/>
            <w:tcBorders>
              <w:left w:val="nil"/>
              <w:right w:val="nil"/>
            </w:tcBorders>
          </w:tcPr>
          <w:p>
            <w:pPr/>
          </w:p>
        </w:tc>
        <w:tc>
          <w:tcPr>
            <w:tcW w:w="5600" w:type="dxa"/>
            <w:tcBorders>
              <w:top w:val="nil"/>
              <w:left w:val="nil"/>
              <w:bottom w:val="nil"/>
              <w:right w:val="nil"/>
            </w:tcBorders>
          </w:tcPr>
          <w:p>
            <w:pPr>
              <w:pStyle w:val="TableParagraph"/>
              <w:spacing w:before="36"/>
              <w:ind w:left="67"/>
              <w:rPr>
                <w:sz w:val="24"/>
              </w:rPr>
            </w:pPr>
            <w:r>
              <w:rPr>
                <w:sz w:val="24"/>
              </w:rPr>
              <w:t>Actividad relacionada con su profesión</w:t>
            </w:r>
          </w:p>
        </w:tc>
      </w:tr>
      <w:tr>
        <w:trPr>
          <w:trHeight w:val="376" w:hRule="exact"/>
        </w:trPr>
        <w:tc>
          <w:tcPr>
            <w:tcW w:w="1200" w:type="dxa"/>
            <w:vMerge/>
            <w:tcBorders>
              <w:left w:val="nil"/>
              <w:right w:val="nil"/>
            </w:tcBorders>
            <w:shd w:val="clear" w:color="auto" w:fill="C5D9F0"/>
          </w:tcPr>
          <w:p>
            <w:pPr/>
          </w:p>
        </w:tc>
        <w:tc>
          <w:tcPr>
            <w:tcW w:w="2542" w:type="dxa"/>
            <w:vMerge/>
            <w:tcBorders>
              <w:left w:val="nil"/>
              <w:right w:val="nil"/>
            </w:tcBorders>
          </w:tcPr>
          <w:p>
            <w:pPr/>
          </w:p>
        </w:tc>
        <w:tc>
          <w:tcPr>
            <w:tcW w:w="5600" w:type="dxa"/>
            <w:tcBorders>
              <w:top w:val="nil"/>
              <w:left w:val="nil"/>
              <w:bottom w:val="nil"/>
              <w:right w:val="nil"/>
            </w:tcBorders>
          </w:tcPr>
          <w:p>
            <w:pPr>
              <w:pStyle w:val="TableParagraph"/>
              <w:spacing w:before="37"/>
              <w:ind w:left="67"/>
              <w:rPr>
                <w:sz w:val="24"/>
              </w:rPr>
            </w:pPr>
            <w:r>
              <w:rPr>
                <w:sz w:val="24"/>
              </w:rPr>
              <w:t>Empleado de confianza</w:t>
            </w:r>
          </w:p>
        </w:tc>
      </w:tr>
      <w:tr>
        <w:trPr>
          <w:trHeight w:val="374" w:hRule="exact"/>
        </w:trPr>
        <w:tc>
          <w:tcPr>
            <w:tcW w:w="1200" w:type="dxa"/>
            <w:vMerge/>
            <w:tcBorders>
              <w:left w:val="nil"/>
              <w:right w:val="nil"/>
            </w:tcBorders>
            <w:shd w:val="clear" w:color="auto" w:fill="C5D9F0"/>
          </w:tcPr>
          <w:p>
            <w:pPr/>
          </w:p>
        </w:tc>
        <w:tc>
          <w:tcPr>
            <w:tcW w:w="2542" w:type="dxa"/>
            <w:vMerge/>
            <w:tcBorders>
              <w:left w:val="nil"/>
              <w:right w:val="nil"/>
            </w:tcBorders>
          </w:tcPr>
          <w:p>
            <w:pPr/>
          </w:p>
        </w:tc>
        <w:tc>
          <w:tcPr>
            <w:tcW w:w="5600" w:type="dxa"/>
            <w:tcBorders>
              <w:top w:val="nil"/>
              <w:left w:val="nil"/>
              <w:bottom w:val="nil"/>
              <w:right w:val="nil"/>
            </w:tcBorders>
          </w:tcPr>
          <w:p>
            <w:pPr>
              <w:pStyle w:val="TableParagraph"/>
              <w:spacing w:before="36"/>
              <w:ind w:left="67"/>
              <w:rPr>
                <w:sz w:val="24"/>
              </w:rPr>
            </w:pPr>
            <w:r>
              <w:rPr>
                <w:sz w:val="24"/>
              </w:rPr>
              <w:t>Empleado sindicalizado</w:t>
            </w:r>
          </w:p>
        </w:tc>
      </w:tr>
      <w:tr>
        <w:trPr>
          <w:trHeight w:val="374" w:hRule="exact"/>
        </w:trPr>
        <w:tc>
          <w:tcPr>
            <w:tcW w:w="1200" w:type="dxa"/>
            <w:vMerge/>
            <w:tcBorders>
              <w:left w:val="nil"/>
              <w:right w:val="nil"/>
            </w:tcBorders>
            <w:shd w:val="clear" w:color="auto" w:fill="C5D9F0"/>
          </w:tcPr>
          <w:p>
            <w:pPr/>
          </w:p>
        </w:tc>
        <w:tc>
          <w:tcPr>
            <w:tcW w:w="2542" w:type="dxa"/>
            <w:vMerge/>
            <w:tcBorders>
              <w:left w:val="nil"/>
              <w:right w:val="nil"/>
            </w:tcBorders>
          </w:tcPr>
          <w:p>
            <w:pPr/>
          </w:p>
        </w:tc>
        <w:tc>
          <w:tcPr>
            <w:tcW w:w="5600" w:type="dxa"/>
            <w:tcBorders>
              <w:top w:val="nil"/>
              <w:left w:val="nil"/>
              <w:bottom w:val="nil"/>
              <w:right w:val="nil"/>
            </w:tcBorders>
          </w:tcPr>
          <w:p>
            <w:pPr>
              <w:pStyle w:val="TableParagraph"/>
              <w:spacing w:before="36"/>
              <w:ind w:left="67"/>
              <w:rPr>
                <w:sz w:val="24"/>
              </w:rPr>
            </w:pPr>
            <w:r>
              <w:rPr>
                <w:sz w:val="24"/>
              </w:rPr>
              <w:t>Tiempo que tardó en encontrar primer empleo</w:t>
            </w:r>
          </w:p>
        </w:tc>
      </w:tr>
      <w:tr>
        <w:trPr>
          <w:trHeight w:val="376" w:hRule="exact"/>
        </w:trPr>
        <w:tc>
          <w:tcPr>
            <w:tcW w:w="1200" w:type="dxa"/>
            <w:vMerge/>
            <w:tcBorders>
              <w:left w:val="nil"/>
              <w:right w:val="nil"/>
            </w:tcBorders>
            <w:shd w:val="clear" w:color="auto" w:fill="C5D9F0"/>
          </w:tcPr>
          <w:p>
            <w:pPr/>
          </w:p>
        </w:tc>
        <w:tc>
          <w:tcPr>
            <w:tcW w:w="2542" w:type="dxa"/>
            <w:vMerge/>
            <w:tcBorders>
              <w:left w:val="nil"/>
              <w:right w:val="nil"/>
            </w:tcBorders>
          </w:tcPr>
          <w:p>
            <w:pPr/>
          </w:p>
        </w:tc>
        <w:tc>
          <w:tcPr>
            <w:tcW w:w="5600" w:type="dxa"/>
            <w:tcBorders>
              <w:top w:val="nil"/>
              <w:left w:val="nil"/>
              <w:bottom w:val="nil"/>
              <w:right w:val="nil"/>
            </w:tcBorders>
          </w:tcPr>
          <w:p>
            <w:pPr>
              <w:pStyle w:val="TableParagraph"/>
              <w:spacing w:before="36"/>
              <w:ind w:left="67"/>
              <w:rPr>
                <w:sz w:val="24"/>
              </w:rPr>
            </w:pPr>
            <w:r>
              <w:rPr>
                <w:sz w:val="24"/>
              </w:rPr>
              <w:t>Tiempo que duró  contratado en primer empleo</w:t>
            </w:r>
          </w:p>
        </w:tc>
      </w:tr>
      <w:tr>
        <w:trPr>
          <w:trHeight w:val="376" w:hRule="exact"/>
        </w:trPr>
        <w:tc>
          <w:tcPr>
            <w:tcW w:w="1200" w:type="dxa"/>
            <w:vMerge/>
            <w:tcBorders>
              <w:left w:val="nil"/>
              <w:right w:val="nil"/>
            </w:tcBorders>
            <w:shd w:val="clear" w:color="auto" w:fill="C5D9F0"/>
          </w:tcPr>
          <w:p>
            <w:pPr/>
          </w:p>
        </w:tc>
        <w:tc>
          <w:tcPr>
            <w:tcW w:w="2542" w:type="dxa"/>
            <w:vMerge/>
            <w:tcBorders>
              <w:left w:val="nil"/>
              <w:right w:val="nil"/>
            </w:tcBorders>
          </w:tcPr>
          <w:p>
            <w:pPr/>
          </w:p>
        </w:tc>
        <w:tc>
          <w:tcPr>
            <w:tcW w:w="5600" w:type="dxa"/>
            <w:tcBorders>
              <w:top w:val="nil"/>
              <w:left w:val="nil"/>
              <w:bottom w:val="nil"/>
              <w:right w:val="nil"/>
            </w:tcBorders>
          </w:tcPr>
          <w:p>
            <w:pPr>
              <w:pStyle w:val="TableParagraph"/>
              <w:spacing w:before="37"/>
              <w:ind w:left="67"/>
              <w:rPr>
                <w:sz w:val="24"/>
              </w:rPr>
            </w:pPr>
            <w:r>
              <w:rPr>
                <w:sz w:val="24"/>
              </w:rPr>
              <w:t>Nivel de decisión del primer empleo</w:t>
            </w:r>
          </w:p>
        </w:tc>
      </w:tr>
      <w:tr>
        <w:trPr>
          <w:trHeight w:val="374" w:hRule="exact"/>
        </w:trPr>
        <w:tc>
          <w:tcPr>
            <w:tcW w:w="1200" w:type="dxa"/>
            <w:vMerge/>
            <w:tcBorders>
              <w:left w:val="nil"/>
              <w:right w:val="nil"/>
            </w:tcBorders>
            <w:shd w:val="clear" w:color="auto" w:fill="C5D9F0"/>
          </w:tcPr>
          <w:p>
            <w:pPr/>
          </w:p>
        </w:tc>
        <w:tc>
          <w:tcPr>
            <w:tcW w:w="2542" w:type="dxa"/>
            <w:vMerge/>
            <w:tcBorders>
              <w:left w:val="nil"/>
              <w:right w:val="nil"/>
            </w:tcBorders>
          </w:tcPr>
          <w:p>
            <w:pPr/>
          </w:p>
        </w:tc>
        <w:tc>
          <w:tcPr>
            <w:tcW w:w="5600" w:type="dxa"/>
            <w:tcBorders>
              <w:top w:val="nil"/>
              <w:left w:val="nil"/>
              <w:bottom w:val="nil"/>
              <w:right w:val="nil"/>
            </w:tcBorders>
          </w:tcPr>
          <w:p>
            <w:pPr>
              <w:pStyle w:val="TableParagraph"/>
              <w:spacing w:before="36"/>
              <w:ind w:left="67"/>
              <w:rPr>
                <w:sz w:val="24"/>
              </w:rPr>
            </w:pPr>
            <w:r>
              <w:rPr>
                <w:sz w:val="24"/>
              </w:rPr>
              <w:t>Forma en que encontró primer empleo</w:t>
            </w:r>
          </w:p>
        </w:tc>
      </w:tr>
      <w:tr>
        <w:trPr>
          <w:trHeight w:val="374" w:hRule="exact"/>
        </w:trPr>
        <w:tc>
          <w:tcPr>
            <w:tcW w:w="1200" w:type="dxa"/>
            <w:vMerge/>
            <w:tcBorders>
              <w:left w:val="nil"/>
              <w:right w:val="nil"/>
            </w:tcBorders>
            <w:shd w:val="clear" w:color="auto" w:fill="C5D9F0"/>
          </w:tcPr>
          <w:p>
            <w:pPr/>
          </w:p>
        </w:tc>
        <w:tc>
          <w:tcPr>
            <w:tcW w:w="2542" w:type="dxa"/>
            <w:vMerge/>
            <w:tcBorders>
              <w:left w:val="nil"/>
              <w:right w:val="nil"/>
            </w:tcBorders>
          </w:tcPr>
          <w:p>
            <w:pPr/>
          </w:p>
        </w:tc>
        <w:tc>
          <w:tcPr>
            <w:tcW w:w="5600" w:type="dxa"/>
            <w:tcBorders>
              <w:top w:val="nil"/>
              <w:left w:val="nil"/>
              <w:bottom w:val="nil"/>
              <w:right w:val="nil"/>
            </w:tcBorders>
          </w:tcPr>
          <w:p>
            <w:pPr>
              <w:pStyle w:val="TableParagraph"/>
              <w:spacing w:before="36"/>
              <w:ind w:left="67"/>
              <w:rPr>
                <w:sz w:val="24"/>
              </w:rPr>
            </w:pPr>
            <w:r>
              <w:rPr>
                <w:sz w:val="24"/>
              </w:rPr>
              <w:t>Oportunidad de crecimiento (promoción)</w:t>
            </w:r>
          </w:p>
        </w:tc>
      </w:tr>
      <w:tr>
        <w:trPr>
          <w:trHeight w:val="376" w:hRule="exact"/>
        </w:trPr>
        <w:tc>
          <w:tcPr>
            <w:tcW w:w="1200" w:type="dxa"/>
            <w:vMerge/>
            <w:tcBorders>
              <w:left w:val="nil"/>
              <w:right w:val="nil"/>
            </w:tcBorders>
            <w:shd w:val="clear" w:color="auto" w:fill="C5D9F0"/>
          </w:tcPr>
          <w:p>
            <w:pPr/>
          </w:p>
        </w:tc>
        <w:tc>
          <w:tcPr>
            <w:tcW w:w="2542" w:type="dxa"/>
            <w:vMerge/>
            <w:tcBorders>
              <w:left w:val="nil"/>
              <w:right w:val="nil"/>
            </w:tcBorders>
          </w:tcPr>
          <w:p>
            <w:pPr/>
          </w:p>
        </w:tc>
        <w:tc>
          <w:tcPr>
            <w:tcW w:w="5600" w:type="dxa"/>
            <w:tcBorders>
              <w:top w:val="nil"/>
              <w:left w:val="nil"/>
              <w:bottom w:val="nil"/>
              <w:right w:val="nil"/>
            </w:tcBorders>
          </w:tcPr>
          <w:p>
            <w:pPr>
              <w:pStyle w:val="TableParagraph"/>
              <w:spacing w:before="36"/>
              <w:ind w:left="67"/>
              <w:rPr>
                <w:sz w:val="24"/>
              </w:rPr>
            </w:pPr>
            <w:r>
              <w:rPr>
                <w:sz w:val="24"/>
              </w:rPr>
              <w:t>Aprender nuevas cosas</w:t>
            </w:r>
          </w:p>
        </w:tc>
      </w:tr>
      <w:tr>
        <w:trPr>
          <w:trHeight w:val="376" w:hRule="exact"/>
        </w:trPr>
        <w:tc>
          <w:tcPr>
            <w:tcW w:w="1200" w:type="dxa"/>
            <w:vMerge/>
            <w:tcBorders>
              <w:left w:val="nil"/>
              <w:right w:val="nil"/>
            </w:tcBorders>
            <w:shd w:val="clear" w:color="auto" w:fill="C5D9F0"/>
          </w:tcPr>
          <w:p>
            <w:pPr/>
          </w:p>
        </w:tc>
        <w:tc>
          <w:tcPr>
            <w:tcW w:w="2542" w:type="dxa"/>
            <w:vMerge/>
            <w:tcBorders>
              <w:left w:val="nil"/>
              <w:right w:val="nil"/>
            </w:tcBorders>
          </w:tcPr>
          <w:p>
            <w:pPr/>
          </w:p>
        </w:tc>
        <w:tc>
          <w:tcPr>
            <w:tcW w:w="5600" w:type="dxa"/>
            <w:tcBorders>
              <w:top w:val="nil"/>
              <w:left w:val="nil"/>
              <w:bottom w:val="nil"/>
              <w:right w:val="nil"/>
            </w:tcBorders>
          </w:tcPr>
          <w:p>
            <w:pPr>
              <w:pStyle w:val="TableParagraph"/>
              <w:spacing w:before="37"/>
              <w:ind w:left="67"/>
              <w:rPr>
                <w:sz w:val="24"/>
              </w:rPr>
            </w:pPr>
            <w:r>
              <w:rPr>
                <w:sz w:val="24"/>
              </w:rPr>
              <w:t>Reconocimiento y prestigio</w:t>
            </w:r>
          </w:p>
        </w:tc>
      </w:tr>
      <w:tr>
        <w:trPr>
          <w:trHeight w:val="330" w:hRule="exact"/>
        </w:trPr>
        <w:tc>
          <w:tcPr>
            <w:tcW w:w="1200" w:type="dxa"/>
            <w:vMerge/>
            <w:tcBorders>
              <w:left w:val="nil"/>
              <w:right w:val="nil"/>
            </w:tcBorders>
            <w:shd w:val="clear" w:color="auto" w:fill="C5D9F0"/>
          </w:tcPr>
          <w:p>
            <w:pPr/>
          </w:p>
        </w:tc>
        <w:tc>
          <w:tcPr>
            <w:tcW w:w="2542" w:type="dxa"/>
            <w:vMerge/>
            <w:tcBorders>
              <w:left w:val="nil"/>
              <w:right w:val="nil"/>
            </w:tcBorders>
          </w:tcPr>
          <w:p>
            <w:pPr/>
          </w:p>
        </w:tc>
        <w:tc>
          <w:tcPr>
            <w:tcW w:w="5600" w:type="dxa"/>
            <w:tcBorders>
              <w:top w:val="nil"/>
              <w:left w:val="nil"/>
              <w:right w:val="nil"/>
            </w:tcBorders>
          </w:tcPr>
          <w:p>
            <w:pPr>
              <w:pStyle w:val="TableParagraph"/>
              <w:spacing w:before="36"/>
              <w:ind w:left="67"/>
              <w:rPr>
                <w:sz w:val="24"/>
              </w:rPr>
            </w:pPr>
            <w:r>
              <w:rPr>
                <w:sz w:val="24"/>
              </w:rPr>
              <w:t>Logró contrato permanente</w:t>
            </w:r>
          </w:p>
        </w:tc>
      </w:tr>
      <w:tr>
        <w:trPr>
          <w:trHeight w:val="596" w:hRule="exact"/>
        </w:trPr>
        <w:tc>
          <w:tcPr>
            <w:tcW w:w="1200" w:type="dxa"/>
            <w:vMerge w:val="restart"/>
            <w:shd w:val="clear" w:color="auto" w:fill="FBD4B4"/>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9"/>
              <w:rPr>
                <w:b/>
                <w:sz w:val="26"/>
              </w:rPr>
            </w:pPr>
          </w:p>
          <w:p>
            <w:pPr>
              <w:pStyle w:val="TableParagraph"/>
              <w:spacing w:before="1"/>
              <w:ind w:left="117" w:right="48" w:hanging="51"/>
              <w:rPr>
                <w:sz w:val="24"/>
              </w:rPr>
            </w:pPr>
            <w:r>
              <w:rPr>
                <w:sz w:val="24"/>
              </w:rPr>
              <w:t>Proceso de transición</w:t>
            </w:r>
          </w:p>
        </w:tc>
        <w:tc>
          <w:tcPr>
            <w:tcW w:w="2542" w:type="dxa"/>
            <w:vMerge w:val="restart"/>
          </w:tcPr>
          <w:p>
            <w:pPr>
              <w:pStyle w:val="TableParagraph"/>
              <w:rPr>
                <w:b/>
                <w:sz w:val="24"/>
              </w:rPr>
            </w:pPr>
          </w:p>
          <w:p>
            <w:pPr>
              <w:pStyle w:val="TableParagraph"/>
              <w:spacing w:before="1"/>
              <w:rPr>
                <w:b/>
                <w:sz w:val="34"/>
              </w:rPr>
            </w:pPr>
          </w:p>
          <w:p>
            <w:pPr>
              <w:pStyle w:val="TableParagraph"/>
              <w:ind w:left="787" w:right="422" w:hanging="346"/>
              <w:rPr>
                <w:sz w:val="24"/>
              </w:rPr>
            </w:pPr>
            <w:r>
              <w:rPr>
                <w:sz w:val="24"/>
              </w:rPr>
              <w:t>Asertividad de la transición</w:t>
            </w:r>
          </w:p>
        </w:tc>
        <w:tc>
          <w:tcPr>
            <w:tcW w:w="5600" w:type="dxa"/>
            <w:tcBorders>
              <w:bottom w:val="nil"/>
            </w:tcBorders>
          </w:tcPr>
          <w:p>
            <w:pPr>
              <w:pStyle w:val="TableParagraph"/>
              <w:ind w:left="57"/>
              <w:rPr>
                <w:sz w:val="24"/>
              </w:rPr>
            </w:pPr>
            <w:r>
              <w:rPr>
                <w:sz w:val="24"/>
              </w:rPr>
              <w:t>Compatibilidad de los programas con el mercado de trabajo</w:t>
            </w:r>
          </w:p>
        </w:tc>
      </w:tr>
      <w:tr>
        <w:trPr>
          <w:trHeight w:val="335" w:hRule="exact"/>
        </w:trPr>
        <w:tc>
          <w:tcPr>
            <w:tcW w:w="1200" w:type="dxa"/>
            <w:vMerge/>
            <w:shd w:val="clear" w:color="auto" w:fill="FBD4B4"/>
          </w:tcPr>
          <w:p>
            <w:pPr/>
          </w:p>
        </w:tc>
        <w:tc>
          <w:tcPr>
            <w:tcW w:w="2542" w:type="dxa"/>
            <w:vMerge/>
          </w:tcPr>
          <w:p>
            <w:pPr/>
          </w:p>
        </w:tc>
        <w:tc>
          <w:tcPr>
            <w:tcW w:w="5600" w:type="dxa"/>
            <w:tcBorders>
              <w:top w:val="nil"/>
              <w:bottom w:val="nil"/>
            </w:tcBorders>
          </w:tcPr>
          <w:p>
            <w:pPr>
              <w:pStyle w:val="TableParagraph"/>
              <w:spacing w:before="17"/>
              <w:ind w:left="57"/>
              <w:rPr>
                <w:sz w:val="24"/>
              </w:rPr>
            </w:pPr>
            <w:r>
              <w:rPr>
                <w:sz w:val="24"/>
              </w:rPr>
              <w:t>Nivel educativo con respecto al resto de la oferta</w:t>
            </w:r>
          </w:p>
        </w:tc>
      </w:tr>
      <w:tr>
        <w:trPr>
          <w:trHeight w:val="335" w:hRule="exact"/>
        </w:trPr>
        <w:tc>
          <w:tcPr>
            <w:tcW w:w="1200" w:type="dxa"/>
            <w:vMerge/>
            <w:shd w:val="clear" w:color="auto" w:fill="FBD4B4"/>
          </w:tcPr>
          <w:p>
            <w:pPr/>
          </w:p>
        </w:tc>
        <w:tc>
          <w:tcPr>
            <w:tcW w:w="2542" w:type="dxa"/>
            <w:vMerge/>
          </w:tcPr>
          <w:p>
            <w:pPr/>
          </w:p>
        </w:tc>
        <w:tc>
          <w:tcPr>
            <w:tcW w:w="5600" w:type="dxa"/>
            <w:tcBorders>
              <w:top w:val="nil"/>
              <w:bottom w:val="nil"/>
            </w:tcBorders>
          </w:tcPr>
          <w:p>
            <w:pPr>
              <w:pStyle w:val="TableParagraph"/>
              <w:spacing w:before="16"/>
              <w:ind w:left="57"/>
              <w:rPr>
                <w:sz w:val="24"/>
              </w:rPr>
            </w:pPr>
            <w:r>
              <w:rPr>
                <w:sz w:val="24"/>
              </w:rPr>
              <w:t>Calificación que le da el mercado de trabajo a su carrera</w:t>
            </w:r>
          </w:p>
        </w:tc>
      </w:tr>
      <w:tr>
        <w:trPr>
          <w:trHeight w:val="343" w:hRule="exact"/>
        </w:trPr>
        <w:tc>
          <w:tcPr>
            <w:tcW w:w="1200" w:type="dxa"/>
            <w:vMerge/>
            <w:shd w:val="clear" w:color="auto" w:fill="FBD4B4"/>
          </w:tcPr>
          <w:p>
            <w:pPr/>
          </w:p>
        </w:tc>
        <w:tc>
          <w:tcPr>
            <w:tcW w:w="2542" w:type="dxa"/>
            <w:vMerge/>
          </w:tcPr>
          <w:p>
            <w:pPr/>
          </w:p>
        </w:tc>
        <w:tc>
          <w:tcPr>
            <w:tcW w:w="5600" w:type="dxa"/>
            <w:tcBorders>
              <w:top w:val="nil"/>
              <w:bottom w:val="nil"/>
            </w:tcBorders>
          </w:tcPr>
          <w:p>
            <w:pPr>
              <w:pStyle w:val="TableParagraph"/>
              <w:spacing w:before="17"/>
              <w:ind w:left="57"/>
              <w:rPr>
                <w:sz w:val="24"/>
              </w:rPr>
            </w:pPr>
            <w:r>
              <w:rPr>
                <w:sz w:val="24"/>
              </w:rPr>
              <w:t>Prestigio</w:t>
            </w:r>
          </w:p>
        </w:tc>
      </w:tr>
      <w:tr>
        <w:trPr>
          <w:trHeight w:val="318" w:hRule="exact"/>
        </w:trPr>
        <w:tc>
          <w:tcPr>
            <w:tcW w:w="1200" w:type="dxa"/>
            <w:vMerge/>
            <w:shd w:val="clear" w:color="auto" w:fill="FBD4B4"/>
          </w:tcPr>
          <w:p>
            <w:pPr/>
          </w:p>
        </w:tc>
        <w:tc>
          <w:tcPr>
            <w:tcW w:w="2542" w:type="dxa"/>
            <w:vMerge/>
          </w:tcPr>
          <w:p>
            <w:pPr/>
          </w:p>
        </w:tc>
        <w:tc>
          <w:tcPr>
            <w:tcW w:w="5600" w:type="dxa"/>
            <w:tcBorders>
              <w:top w:val="nil"/>
            </w:tcBorders>
          </w:tcPr>
          <w:p>
            <w:pPr>
              <w:pStyle w:val="TableParagraph"/>
              <w:spacing w:before="24"/>
              <w:ind w:left="57"/>
              <w:rPr>
                <w:sz w:val="24"/>
              </w:rPr>
            </w:pPr>
            <w:r>
              <w:rPr>
                <w:sz w:val="24"/>
              </w:rPr>
              <w:t>Promedio general obtenido</w:t>
            </w:r>
          </w:p>
        </w:tc>
      </w:tr>
      <w:tr>
        <w:trPr>
          <w:trHeight w:val="359" w:hRule="exact"/>
        </w:trPr>
        <w:tc>
          <w:tcPr>
            <w:tcW w:w="1200" w:type="dxa"/>
            <w:vMerge/>
            <w:shd w:val="clear" w:color="auto" w:fill="FBD4B4"/>
          </w:tcPr>
          <w:p>
            <w:pPr/>
          </w:p>
        </w:tc>
        <w:tc>
          <w:tcPr>
            <w:tcW w:w="2542" w:type="dxa"/>
            <w:vMerge w:val="restart"/>
          </w:tcPr>
          <w:p>
            <w:pPr>
              <w:pStyle w:val="TableParagraph"/>
              <w:spacing w:before="9"/>
              <w:rPr>
                <w:b/>
                <w:sz w:val="30"/>
              </w:rPr>
            </w:pPr>
          </w:p>
          <w:p>
            <w:pPr>
              <w:pStyle w:val="TableParagraph"/>
              <w:ind w:left="122"/>
              <w:rPr>
                <w:sz w:val="24"/>
              </w:rPr>
            </w:pPr>
            <w:r>
              <w:rPr>
                <w:sz w:val="24"/>
              </w:rPr>
              <w:t>Calidad de la transición</w:t>
            </w:r>
          </w:p>
        </w:tc>
        <w:tc>
          <w:tcPr>
            <w:tcW w:w="5600" w:type="dxa"/>
            <w:tcBorders>
              <w:bottom w:val="nil"/>
            </w:tcBorders>
          </w:tcPr>
          <w:p>
            <w:pPr>
              <w:pStyle w:val="TableParagraph"/>
              <w:spacing w:before="30"/>
              <w:ind w:left="57"/>
              <w:rPr>
                <w:sz w:val="24"/>
              </w:rPr>
            </w:pPr>
            <w:r>
              <w:rPr>
                <w:sz w:val="24"/>
              </w:rPr>
              <w:t>Resultados en base a sus habilidades y conocimientos</w:t>
            </w:r>
          </w:p>
        </w:tc>
      </w:tr>
      <w:tr>
        <w:trPr>
          <w:trHeight w:val="343" w:hRule="exact"/>
        </w:trPr>
        <w:tc>
          <w:tcPr>
            <w:tcW w:w="1200" w:type="dxa"/>
            <w:vMerge/>
            <w:shd w:val="clear" w:color="auto" w:fill="FBD4B4"/>
          </w:tcPr>
          <w:p>
            <w:pPr/>
          </w:p>
        </w:tc>
        <w:tc>
          <w:tcPr>
            <w:tcW w:w="2542" w:type="dxa"/>
            <w:vMerge/>
          </w:tcPr>
          <w:p>
            <w:pPr/>
          </w:p>
        </w:tc>
        <w:tc>
          <w:tcPr>
            <w:tcW w:w="5600" w:type="dxa"/>
            <w:tcBorders>
              <w:top w:val="nil"/>
              <w:bottom w:val="nil"/>
            </w:tcBorders>
          </w:tcPr>
          <w:p>
            <w:pPr>
              <w:pStyle w:val="TableParagraph"/>
              <w:spacing w:before="17"/>
              <w:ind w:left="57"/>
              <w:rPr>
                <w:sz w:val="24"/>
              </w:rPr>
            </w:pPr>
            <w:r>
              <w:rPr>
                <w:sz w:val="24"/>
              </w:rPr>
              <w:t>Experiencia previa</w:t>
            </w:r>
          </w:p>
        </w:tc>
      </w:tr>
      <w:tr>
        <w:trPr>
          <w:trHeight w:val="318" w:hRule="exact"/>
        </w:trPr>
        <w:tc>
          <w:tcPr>
            <w:tcW w:w="1200" w:type="dxa"/>
            <w:vMerge/>
            <w:shd w:val="clear" w:color="auto" w:fill="FBD4B4"/>
          </w:tcPr>
          <w:p>
            <w:pPr/>
          </w:p>
        </w:tc>
        <w:tc>
          <w:tcPr>
            <w:tcW w:w="2542" w:type="dxa"/>
            <w:vMerge/>
          </w:tcPr>
          <w:p>
            <w:pPr/>
          </w:p>
        </w:tc>
        <w:tc>
          <w:tcPr>
            <w:tcW w:w="5600" w:type="dxa"/>
            <w:tcBorders>
              <w:top w:val="nil"/>
            </w:tcBorders>
          </w:tcPr>
          <w:p>
            <w:pPr>
              <w:pStyle w:val="TableParagraph"/>
              <w:spacing w:before="24"/>
              <w:ind w:left="57"/>
              <w:rPr>
                <w:sz w:val="24"/>
              </w:rPr>
            </w:pPr>
            <w:r>
              <w:rPr>
                <w:sz w:val="24"/>
              </w:rPr>
              <w:t>Capacitación adicional (extra)</w:t>
            </w:r>
          </w:p>
        </w:tc>
      </w:tr>
      <w:tr>
        <w:trPr>
          <w:trHeight w:val="359" w:hRule="exact"/>
        </w:trPr>
        <w:tc>
          <w:tcPr>
            <w:tcW w:w="1200" w:type="dxa"/>
            <w:vMerge/>
            <w:shd w:val="clear" w:color="auto" w:fill="FBD4B4"/>
          </w:tcPr>
          <w:p>
            <w:pPr/>
          </w:p>
        </w:tc>
        <w:tc>
          <w:tcPr>
            <w:tcW w:w="2542" w:type="dxa"/>
            <w:vMerge w:val="restart"/>
          </w:tcPr>
          <w:p>
            <w:pPr>
              <w:pStyle w:val="TableParagraph"/>
              <w:spacing w:before="215"/>
              <w:ind w:left="787" w:right="289" w:hanging="480"/>
              <w:rPr>
                <w:sz w:val="24"/>
              </w:rPr>
            </w:pPr>
            <w:r>
              <w:rPr>
                <w:sz w:val="24"/>
              </w:rPr>
              <w:t>Consolidación de la transición</w:t>
            </w:r>
          </w:p>
        </w:tc>
        <w:tc>
          <w:tcPr>
            <w:tcW w:w="5600" w:type="dxa"/>
            <w:tcBorders>
              <w:bottom w:val="nil"/>
            </w:tcBorders>
          </w:tcPr>
          <w:p>
            <w:pPr>
              <w:pStyle w:val="TableParagraph"/>
              <w:spacing w:before="31"/>
              <w:ind w:left="57"/>
              <w:rPr>
                <w:sz w:val="24"/>
              </w:rPr>
            </w:pPr>
            <w:r>
              <w:rPr>
                <w:sz w:val="24"/>
              </w:rPr>
              <w:t>Seguimiento a egresados</w:t>
            </w:r>
          </w:p>
        </w:tc>
      </w:tr>
      <w:tr>
        <w:trPr>
          <w:trHeight w:val="343" w:hRule="exact"/>
        </w:trPr>
        <w:tc>
          <w:tcPr>
            <w:tcW w:w="1200" w:type="dxa"/>
            <w:vMerge/>
            <w:shd w:val="clear" w:color="auto" w:fill="FBD4B4"/>
          </w:tcPr>
          <w:p>
            <w:pPr/>
          </w:p>
        </w:tc>
        <w:tc>
          <w:tcPr>
            <w:tcW w:w="2542" w:type="dxa"/>
            <w:vMerge/>
          </w:tcPr>
          <w:p>
            <w:pPr/>
          </w:p>
        </w:tc>
        <w:tc>
          <w:tcPr>
            <w:tcW w:w="5600" w:type="dxa"/>
            <w:tcBorders>
              <w:top w:val="nil"/>
              <w:bottom w:val="nil"/>
            </w:tcBorders>
          </w:tcPr>
          <w:p>
            <w:pPr>
              <w:pStyle w:val="TableParagraph"/>
              <w:spacing w:before="17"/>
              <w:ind w:left="57"/>
              <w:rPr>
                <w:sz w:val="24"/>
              </w:rPr>
            </w:pPr>
            <w:r>
              <w:rPr>
                <w:sz w:val="24"/>
              </w:rPr>
              <w:t>Apoyo a egresados</w:t>
            </w:r>
          </w:p>
        </w:tc>
      </w:tr>
      <w:tr>
        <w:trPr>
          <w:trHeight w:val="318" w:hRule="exact"/>
        </w:trPr>
        <w:tc>
          <w:tcPr>
            <w:tcW w:w="1200" w:type="dxa"/>
            <w:vMerge/>
            <w:shd w:val="clear" w:color="auto" w:fill="FBD4B4"/>
          </w:tcPr>
          <w:p>
            <w:pPr/>
          </w:p>
        </w:tc>
        <w:tc>
          <w:tcPr>
            <w:tcW w:w="2542" w:type="dxa"/>
            <w:vMerge/>
          </w:tcPr>
          <w:p>
            <w:pPr/>
          </w:p>
        </w:tc>
        <w:tc>
          <w:tcPr>
            <w:tcW w:w="5600" w:type="dxa"/>
            <w:tcBorders>
              <w:top w:val="nil"/>
            </w:tcBorders>
          </w:tcPr>
          <w:p>
            <w:pPr>
              <w:pStyle w:val="TableParagraph"/>
              <w:spacing w:before="24"/>
              <w:ind w:left="57"/>
              <w:rPr>
                <w:sz w:val="24"/>
              </w:rPr>
            </w:pPr>
            <w:r>
              <w:rPr>
                <w:sz w:val="24"/>
              </w:rPr>
              <w:t>Facilidades para ayudar a encontrar primer empleo</w:t>
            </w:r>
          </w:p>
        </w:tc>
      </w:tr>
    </w:tbl>
    <w:p>
      <w:pPr>
        <w:pStyle w:val="BodyText"/>
        <w:rPr>
          <w:b/>
          <w:sz w:val="20"/>
        </w:rPr>
      </w:pPr>
    </w:p>
    <w:p>
      <w:pPr>
        <w:pStyle w:val="BodyText"/>
        <w:spacing w:before="1"/>
        <w:rPr>
          <w:b/>
          <w:sz w:val="20"/>
        </w:rPr>
      </w:pPr>
    </w:p>
    <w:p>
      <w:pPr>
        <w:spacing w:before="0"/>
        <w:ind w:left="3353" w:right="3829" w:firstLine="0"/>
        <w:jc w:val="center"/>
        <w:rPr>
          <w:sz w:val="20"/>
        </w:rPr>
      </w:pPr>
      <w:r>
        <w:rPr>
          <w:sz w:val="20"/>
        </w:rPr>
        <w:t>Fuente: elaboración propia</w:t>
      </w:r>
    </w:p>
    <w:p>
      <w:pPr>
        <w:spacing w:after="0"/>
        <w:jc w:val="center"/>
        <w:rPr>
          <w:sz w:val="20"/>
        </w:rPr>
        <w:sectPr>
          <w:pgSz w:w="12240" w:h="15840"/>
          <w:pgMar w:header="0" w:footer="1003" w:top="1360" w:bottom="1200" w:left="1560" w:right="1080"/>
        </w:sectPr>
      </w:pPr>
    </w:p>
    <w:p>
      <w:pPr>
        <w:pStyle w:val="BodyText"/>
        <w:spacing w:line="360" w:lineRule="auto" w:before="50"/>
        <w:ind w:left="222" w:right="167"/>
      </w:pPr>
      <w:r>
        <w:rPr/>
        <w:t>Cada apartado tuvo una relación con las preguntas planteadas y su correspondencia entre los apartados  y  los  </w:t>
      </w:r>
      <w:r>
        <w:rPr>
          <w:i/>
        </w:rPr>
        <w:t>ítems </w:t>
      </w:r>
      <w:r>
        <w:rPr/>
        <w:t>de la siguiente manera:</w:t>
      </w:r>
    </w:p>
    <w:p>
      <w:pPr>
        <w:spacing w:before="210"/>
        <w:ind w:left="3119" w:right="167" w:firstLine="0"/>
        <w:jc w:val="left"/>
        <w:rPr>
          <w:b/>
          <w:sz w:val="24"/>
        </w:rPr>
      </w:pPr>
      <w:r>
        <w:rPr>
          <w:b/>
          <w:sz w:val="24"/>
        </w:rPr>
        <w:t>Tabla 5.6. </w:t>
      </w:r>
      <w:r>
        <w:rPr>
          <w:b/>
          <w:i/>
          <w:sz w:val="24"/>
        </w:rPr>
        <w:t>Ítems </w:t>
      </w:r>
      <w:r>
        <w:rPr>
          <w:b/>
          <w:sz w:val="24"/>
        </w:rPr>
        <w:t>por apartado</w:t>
      </w:r>
    </w:p>
    <w:p>
      <w:pPr>
        <w:pStyle w:val="BodyText"/>
        <w:spacing w:before="10" w:after="1"/>
        <w:rPr>
          <w:b/>
          <w:sz w:val="20"/>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15"/>
        <w:gridCol w:w="5691"/>
      </w:tblGrid>
      <w:tr>
        <w:trPr>
          <w:trHeight w:val="264" w:hRule="exact"/>
        </w:trPr>
        <w:tc>
          <w:tcPr>
            <w:tcW w:w="2915" w:type="dxa"/>
            <w:tcBorders>
              <w:left w:val="nil"/>
              <w:right w:val="nil"/>
            </w:tcBorders>
          </w:tcPr>
          <w:p>
            <w:pPr>
              <w:pStyle w:val="TableParagraph"/>
              <w:spacing w:line="247" w:lineRule="exact"/>
              <w:ind w:left="108"/>
              <w:rPr>
                <w:i/>
                <w:sz w:val="22"/>
              </w:rPr>
            </w:pPr>
            <w:r>
              <w:rPr>
                <w:i/>
                <w:sz w:val="22"/>
              </w:rPr>
              <w:t>Apartado</w:t>
            </w:r>
          </w:p>
        </w:tc>
        <w:tc>
          <w:tcPr>
            <w:tcW w:w="5691" w:type="dxa"/>
            <w:tcBorders>
              <w:left w:val="nil"/>
              <w:right w:val="nil"/>
            </w:tcBorders>
          </w:tcPr>
          <w:p>
            <w:pPr>
              <w:pStyle w:val="TableParagraph"/>
              <w:spacing w:line="247" w:lineRule="exact"/>
              <w:ind w:left="136"/>
              <w:rPr>
                <w:i/>
                <w:sz w:val="22"/>
              </w:rPr>
            </w:pPr>
            <w:r>
              <w:rPr>
                <w:i/>
                <w:sz w:val="22"/>
              </w:rPr>
              <w:t>Ítems</w:t>
            </w:r>
          </w:p>
        </w:tc>
      </w:tr>
      <w:tr>
        <w:trPr>
          <w:trHeight w:val="262" w:hRule="exact"/>
        </w:trPr>
        <w:tc>
          <w:tcPr>
            <w:tcW w:w="2915" w:type="dxa"/>
            <w:tcBorders>
              <w:left w:val="nil"/>
              <w:right w:val="nil"/>
            </w:tcBorders>
          </w:tcPr>
          <w:p>
            <w:pPr>
              <w:pStyle w:val="TableParagraph"/>
              <w:spacing w:line="247" w:lineRule="exact"/>
              <w:ind w:left="108"/>
              <w:rPr>
                <w:sz w:val="22"/>
              </w:rPr>
            </w:pPr>
            <w:r>
              <w:rPr>
                <w:sz w:val="22"/>
              </w:rPr>
              <w:t>Factores socio-demográficos</w:t>
            </w:r>
          </w:p>
        </w:tc>
        <w:tc>
          <w:tcPr>
            <w:tcW w:w="5691" w:type="dxa"/>
            <w:tcBorders>
              <w:left w:val="nil"/>
              <w:right w:val="nil"/>
            </w:tcBorders>
          </w:tcPr>
          <w:p>
            <w:pPr>
              <w:pStyle w:val="TableParagraph"/>
              <w:spacing w:line="247" w:lineRule="exact"/>
              <w:ind w:left="136"/>
              <w:rPr>
                <w:i/>
                <w:sz w:val="22"/>
              </w:rPr>
            </w:pPr>
            <w:r>
              <w:rPr>
                <w:i/>
                <w:sz w:val="22"/>
              </w:rPr>
              <w:t>1,2</w:t>
            </w:r>
          </w:p>
        </w:tc>
      </w:tr>
      <w:tr>
        <w:trPr>
          <w:trHeight w:val="264" w:hRule="exact"/>
        </w:trPr>
        <w:tc>
          <w:tcPr>
            <w:tcW w:w="2915" w:type="dxa"/>
            <w:tcBorders>
              <w:left w:val="nil"/>
              <w:right w:val="nil"/>
            </w:tcBorders>
          </w:tcPr>
          <w:p>
            <w:pPr>
              <w:pStyle w:val="TableParagraph"/>
              <w:spacing w:line="249" w:lineRule="exact"/>
              <w:ind w:left="108"/>
              <w:rPr>
                <w:sz w:val="22"/>
              </w:rPr>
            </w:pPr>
            <w:r>
              <w:rPr>
                <w:sz w:val="22"/>
              </w:rPr>
              <w:t>Asertividad de la transición</w:t>
            </w:r>
          </w:p>
        </w:tc>
        <w:tc>
          <w:tcPr>
            <w:tcW w:w="5691" w:type="dxa"/>
            <w:tcBorders>
              <w:left w:val="nil"/>
              <w:right w:val="nil"/>
            </w:tcBorders>
          </w:tcPr>
          <w:p>
            <w:pPr>
              <w:pStyle w:val="TableParagraph"/>
              <w:spacing w:line="249" w:lineRule="exact"/>
              <w:ind w:left="136"/>
              <w:rPr>
                <w:sz w:val="22"/>
              </w:rPr>
            </w:pPr>
            <w:r>
              <w:rPr>
                <w:sz w:val="22"/>
              </w:rPr>
              <w:t>3,4,5,6,7,8,9,10,11,12,13,14,15,16,17,18,19,20,21,22</w:t>
            </w:r>
          </w:p>
        </w:tc>
      </w:tr>
      <w:tr>
        <w:trPr>
          <w:trHeight w:val="264" w:hRule="exact"/>
        </w:trPr>
        <w:tc>
          <w:tcPr>
            <w:tcW w:w="2915" w:type="dxa"/>
            <w:tcBorders>
              <w:left w:val="nil"/>
              <w:right w:val="nil"/>
            </w:tcBorders>
          </w:tcPr>
          <w:p>
            <w:pPr>
              <w:pStyle w:val="TableParagraph"/>
              <w:spacing w:line="247" w:lineRule="exact"/>
              <w:ind w:left="108"/>
              <w:rPr>
                <w:sz w:val="22"/>
              </w:rPr>
            </w:pPr>
            <w:r>
              <w:rPr>
                <w:sz w:val="22"/>
              </w:rPr>
              <w:t>Calidad de la transición</w:t>
            </w:r>
          </w:p>
        </w:tc>
        <w:tc>
          <w:tcPr>
            <w:tcW w:w="5691" w:type="dxa"/>
            <w:tcBorders>
              <w:left w:val="nil"/>
              <w:right w:val="nil"/>
            </w:tcBorders>
          </w:tcPr>
          <w:p>
            <w:pPr>
              <w:pStyle w:val="TableParagraph"/>
              <w:spacing w:line="247" w:lineRule="exact"/>
              <w:ind w:left="136"/>
              <w:rPr>
                <w:sz w:val="22"/>
              </w:rPr>
            </w:pPr>
            <w:r>
              <w:rPr>
                <w:sz w:val="22"/>
              </w:rPr>
              <w:t>23,24,25,26,27,28,29,30,31,32,33,34,35,36,37,38,39,40,41,42</w:t>
            </w:r>
          </w:p>
        </w:tc>
      </w:tr>
      <w:tr>
        <w:trPr>
          <w:trHeight w:val="253" w:hRule="exact"/>
        </w:trPr>
        <w:tc>
          <w:tcPr>
            <w:tcW w:w="2915" w:type="dxa"/>
            <w:tcBorders>
              <w:left w:val="nil"/>
              <w:right w:val="nil"/>
            </w:tcBorders>
          </w:tcPr>
          <w:p>
            <w:pPr>
              <w:pStyle w:val="TableParagraph"/>
              <w:spacing w:line="247" w:lineRule="exact"/>
              <w:ind w:left="108"/>
              <w:rPr>
                <w:sz w:val="22"/>
              </w:rPr>
            </w:pPr>
            <w:r>
              <w:rPr>
                <w:sz w:val="22"/>
              </w:rPr>
              <w:t>Consolidación de la transición</w:t>
            </w:r>
          </w:p>
        </w:tc>
        <w:tc>
          <w:tcPr>
            <w:tcW w:w="5691" w:type="dxa"/>
            <w:tcBorders>
              <w:left w:val="nil"/>
              <w:right w:val="nil"/>
            </w:tcBorders>
          </w:tcPr>
          <w:p>
            <w:pPr>
              <w:pStyle w:val="TableParagraph"/>
              <w:spacing w:line="247" w:lineRule="exact"/>
              <w:ind w:left="136"/>
              <w:rPr>
                <w:sz w:val="22"/>
              </w:rPr>
            </w:pPr>
            <w:r>
              <w:rPr>
                <w:sz w:val="22"/>
              </w:rPr>
              <w:t>43,44,45,46,47,48</w:t>
            </w:r>
          </w:p>
        </w:tc>
      </w:tr>
      <w:tr>
        <w:trPr>
          <w:trHeight w:val="525" w:hRule="exact"/>
        </w:trPr>
        <w:tc>
          <w:tcPr>
            <w:tcW w:w="2915" w:type="dxa"/>
            <w:tcBorders>
              <w:left w:val="nil"/>
              <w:right w:val="nil"/>
            </w:tcBorders>
          </w:tcPr>
          <w:p>
            <w:pPr>
              <w:pStyle w:val="TableParagraph"/>
              <w:spacing w:line="247" w:lineRule="exact"/>
              <w:ind w:left="108"/>
              <w:rPr>
                <w:sz w:val="14"/>
              </w:rPr>
            </w:pPr>
            <w:r>
              <w:rPr>
                <w:sz w:val="22"/>
              </w:rPr>
              <w:t>Trabajo actual</w:t>
            </w:r>
            <w:r>
              <w:rPr>
                <w:position w:val="10"/>
                <w:sz w:val="14"/>
              </w:rPr>
              <w:t>25</w:t>
            </w:r>
          </w:p>
        </w:tc>
        <w:tc>
          <w:tcPr>
            <w:tcW w:w="5691" w:type="dxa"/>
            <w:tcBorders>
              <w:left w:val="nil"/>
              <w:right w:val="nil"/>
            </w:tcBorders>
          </w:tcPr>
          <w:p>
            <w:pPr>
              <w:pStyle w:val="TableParagraph"/>
              <w:spacing w:line="247" w:lineRule="exact"/>
              <w:ind w:left="136"/>
              <w:rPr>
                <w:sz w:val="22"/>
              </w:rPr>
            </w:pPr>
            <w:r>
              <w:rPr>
                <w:sz w:val="22"/>
              </w:rPr>
              <w:t>49,</w:t>
            </w:r>
          </w:p>
          <w:p>
            <w:pPr>
              <w:pStyle w:val="TableParagraph"/>
              <w:spacing w:before="1"/>
              <w:ind w:left="136"/>
              <w:rPr>
                <w:sz w:val="22"/>
              </w:rPr>
            </w:pPr>
            <w:r>
              <w:rPr>
                <w:sz w:val="22"/>
              </w:rPr>
              <w:t>50,51,52,53,54,55,56,57,58,59,60,61,62,63,64,65,66,67,68</w:t>
            </w:r>
          </w:p>
        </w:tc>
      </w:tr>
      <w:tr>
        <w:trPr>
          <w:trHeight w:val="265" w:hRule="exact"/>
        </w:trPr>
        <w:tc>
          <w:tcPr>
            <w:tcW w:w="2915" w:type="dxa"/>
            <w:tcBorders>
              <w:left w:val="nil"/>
              <w:right w:val="nil"/>
            </w:tcBorders>
          </w:tcPr>
          <w:p>
            <w:pPr>
              <w:pStyle w:val="TableParagraph"/>
              <w:spacing w:line="247" w:lineRule="exact"/>
              <w:ind w:left="108"/>
              <w:rPr>
                <w:sz w:val="22"/>
              </w:rPr>
            </w:pPr>
            <w:r>
              <w:rPr>
                <w:sz w:val="22"/>
              </w:rPr>
              <w:t>Redes sociales</w:t>
            </w:r>
          </w:p>
        </w:tc>
        <w:tc>
          <w:tcPr>
            <w:tcW w:w="5691" w:type="dxa"/>
            <w:tcBorders>
              <w:left w:val="nil"/>
              <w:right w:val="nil"/>
            </w:tcBorders>
          </w:tcPr>
          <w:p>
            <w:pPr>
              <w:pStyle w:val="TableParagraph"/>
              <w:spacing w:line="247" w:lineRule="exact"/>
              <w:ind w:left="136"/>
              <w:rPr>
                <w:sz w:val="22"/>
              </w:rPr>
            </w:pPr>
            <w:r>
              <w:rPr>
                <w:sz w:val="22"/>
              </w:rPr>
              <w:t>69,70,71,72,73,74,75,76,77</w:t>
            </w:r>
          </w:p>
        </w:tc>
      </w:tr>
    </w:tbl>
    <w:p>
      <w:pPr>
        <w:spacing w:line="226" w:lineRule="exact" w:before="0"/>
        <w:ind w:left="3548" w:right="3447" w:firstLine="0"/>
        <w:jc w:val="center"/>
        <w:rPr>
          <w:sz w:val="20"/>
        </w:rPr>
      </w:pPr>
      <w:r>
        <w:rPr>
          <w:sz w:val="20"/>
        </w:rPr>
        <w:t>Fuente: elaboración propia</w:t>
      </w:r>
    </w:p>
    <w:p>
      <w:pPr>
        <w:pStyle w:val="BodyText"/>
        <w:rPr>
          <w:sz w:val="20"/>
        </w:rPr>
      </w:pPr>
    </w:p>
    <w:p>
      <w:pPr>
        <w:pStyle w:val="BodyText"/>
        <w:rPr>
          <w:sz w:val="20"/>
        </w:rPr>
      </w:pPr>
    </w:p>
    <w:p>
      <w:pPr>
        <w:pStyle w:val="BodyText"/>
        <w:spacing w:before="3"/>
        <w:rPr>
          <w:sz w:val="16"/>
        </w:rPr>
      </w:pPr>
    </w:p>
    <w:p>
      <w:pPr>
        <w:pStyle w:val="BodyText"/>
        <w:spacing w:line="360" w:lineRule="auto"/>
        <w:ind w:left="222" w:right="116"/>
        <w:jc w:val="both"/>
      </w:pPr>
      <w:r>
        <w:rPr/>
        <w:t>El tiempo de aplicación de dicho instrumento fue de seis meses (de marzo a agosto 2013) y fue aplicado a una muestra estratificada de egresados de la Licenciatura de Economía de la UAEMéx. El estudio realizado mediante la encuesta consideró egresados en un periodo de tiempo de 11 años (de 2000 a 2010), es de tipo retrospectivo, fijando como el periodo cero: el momento de egreso de la universidad, con ello se buscó determinar el proceso de transición, la inserción y permanencia en el mercado de trabajo, evaluar las condiciones laborales obtenidas por los egresados universitarios en ese mismo periodo de tiempo.</w:t>
      </w:r>
    </w:p>
    <w:p>
      <w:pPr>
        <w:pStyle w:val="BodyText"/>
      </w:pPr>
    </w:p>
    <w:p>
      <w:pPr>
        <w:pStyle w:val="Heading3"/>
        <w:numPr>
          <w:ilvl w:val="1"/>
          <w:numId w:val="73"/>
        </w:numPr>
        <w:tabs>
          <w:tab w:pos="642" w:val="left" w:leader="none"/>
        </w:tabs>
        <w:spacing w:line="240" w:lineRule="auto" w:before="212" w:after="0"/>
        <w:ind w:left="642" w:right="0" w:hanging="420"/>
        <w:jc w:val="both"/>
      </w:pPr>
      <w:bookmarkStart w:name="_bookmark71" w:id="130"/>
      <w:bookmarkEnd w:id="130"/>
      <w:r>
        <w:rPr>
          <w:b w:val="0"/>
        </w:rPr>
      </w:r>
      <w:bookmarkStart w:name="_bookmark71" w:id="131"/>
      <w:bookmarkEnd w:id="131"/>
      <w:r>
        <w:rPr/>
        <w:t>Vali</w:t>
      </w:r>
      <w:r>
        <w:rPr/>
        <w:t>dez y confiabilidad del</w:t>
      </w:r>
      <w:r>
        <w:rPr>
          <w:spacing w:val="-13"/>
        </w:rPr>
        <w:t> </w:t>
      </w:r>
      <w:r>
        <w:rPr/>
        <w:t>instrumento</w:t>
      </w:r>
    </w:p>
    <w:p>
      <w:pPr>
        <w:pStyle w:val="BodyText"/>
        <w:rPr>
          <w:b/>
          <w:sz w:val="30"/>
        </w:rPr>
      </w:pPr>
    </w:p>
    <w:p>
      <w:pPr>
        <w:pStyle w:val="BodyText"/>
        <w:spacing w:line="360" w:lineRule="auto"/>
        <w:ind w:left="222" w:right="116"/>
        <w:jc w:val="both"/>
      </w:pPr>
      <w:r>
        <w:rPr/>
        <w:t>El instrumento empleado en este estudio fue evaluado en cuanto a validez de contenido, validez de constructo y confiabilidad mediante la fórmula de Lawshe (1975). De acuerdo con las propiedades numéricas de los reactivos no es pertinente la realización de los análisis estadísticos. Por el tipo de instrumento (descriptivo) y los reactivos que lo componen (categóricos y secuenciales) el análisis de validación estadística es innecesario. Al ser un instrumento mayoritariamente descriptivo, la prueba de Lawshe es la más apropiada, a través del criterio de jueces expertos quienes mediante una valoración de tipo cualitativa brindan su opinión acerca de los reactivos que integran el instrumento y evalúan su pertinencia para la medición del objeto de estudio.</w:t>
      </w:r>
    </w:p>
    <w:p>
      <w:pPr>
        <w:pStyle w:val="BodyText"/>
        <w:spacing w:before="2"/>
        <w:rPr>
          <w:sz w:val="11"/>
        </w:rPr>
      </w:pPr>
      <w:r>
        <w:rPr/>
        <w:pict>
          <v:line style="position:absolute;mso-position-horizontal-relative:page;mso-position-vertical-relative:paragraph;z-index:4864;mso-wrap-distance-left:0;mso-wrap-distance-right:0" from="85.103996pt,8.755784pt" to="229.123996pt,8.755784pt" stroked="true" strokeweight=".71997pt" strokecolor="#000000">
            <w10:wrap type="topAndBottom"/>
          </v:line>
        </w:pict>
      </w:r>
    </w:p>
    <w:p>
      <w:pPr>
        <w:spacing w:line="244" w:lineRule="auto" w:before="39"/>
        <w:ind w:left="222" w:right="991" w:firstLine="0"/>
        <w:jc w:val="left"/>
        <w:rPr>
          <w:sz w:val="20"/>
        </w:rPr>
      </w:pPr>
      <w:r>
        <w:rPr>
          <w:rFonts w:ascii="Calibri" w:hAnsi="Calibri"/>
          <w:position w:val="10"/>
          <w:sz w:val="13"/>
        </w:rPr>
        <w:t>25 </w:t>
      </w:r>
      <w:r>
        <w:rPr>
          <w:sz w:val="20"/>
        </w:rPr>
        <w:t>Para efectos de esta investigación y en la elaboración del cuestionario el constructo trabajo actual corresponde a mercado de trabajo.</w:t>
      </w:r>
    </w:p>
    <w:p>
      <w:pPr>
        <w:spacing w:after="0" w:line="244" w:lineRule="auto"/>
        <w:jc w:val="left"/>
        <w:rPr>
          <w:sz w:val="20"/>
        </w:rPr>
        <w:sectPr>
          <w:pgSz w:w="12240" w:h="15840"/>
          <w:pgMar w:header="0" w:footer="1003" w:top="1360" w:bottom="1200" w:left="1480" w:right="1580"/>
        </w:sectPr>
      </w:pPr>
    </w:p>
    <w:p>
      <w:pPr>
        <w:pStyle w:val="BodyText"/>
        <w:spacing w:before="3"/>
        <w:rPr>
          <w:sz w:val="22"/>
        </w:rPr>
      </w:pPr>
    </w:p>
    <w:p>
      <w:pPr>
        <w:pStyle w:val="BodyText"/>
        <w:spacing w:line="328" w:lineRule="auto" w:before="70"/>
        <w:ind w:left="122" w:right="119"/>
        <w:jc w:val="both"/>
      </w:pPr>
      <w:r>
        <w:rPr/>
        <w:t>Lawshe (1975) definió a la validez de contenido de un instrumento de medición como la comunalidad</w:t>
      </w:r>
      <w:r>
        <w:rPr>
          <w:position w:val="11"/>
          <w:sz w:val="16"/>
        </w:rPr>
        <w:t>26 </w:t>
      </w:r>
      <w:r>
        <w:rPr/>
        <w:t>o traslapo que existe entre la ejecución en la prueba bajo investigación y la habilidad para funcionar en el dominio</w:t>
      </w:r>
      <w:r>
        <w:rPr>
          <w:position w:val="11"/>
          <w:sz w:val="16"/>
        </w:rPr>
        <w:t>27  </w:t>
      </w:r>
      <w:r>
        <w:rPr/>
        <w:t>de ejecución asociado a una tarea determinada.</w:t>
      </w:r>
    </w:p>
    <w:p>
      <w:pPr>
        <w:pStyle w:val="BodyText"/>
        <w:spacing w:line="360" w:lineRule="auto" w:before="225"/>
        <w:ind w:left="122" w:right="120"/>
        <w:jc w:val="both"/>
      </w:pPr>
      <w:r>
        <w:rPr/>
        <w:t>Por su parte Novick y Botstein (1985) establecieron que dicha prueba es la forma mediante la cual los miembros del panel de evaluación (expertos) del instrumento perciben traslapo entre la prueba y el dominio que se está analizando.</w:t>
      </w:r>
    </w:p>
    <w:p>
      <w:pPr>
        <w:pStyle w:val="BodyText"/>
      </w:pPr>
    </w:p>
    <w:p>
      <w:pPr>
        <w:pStyle w:val="BodyText"/>
        <w:spacing w:line="360" w:lineRule="auto" w:before="143"/>
        <w:ind w:left="122" w:right="120"/>
        <w:jc w:val="both"/>
      </w:pPr>
      <w:r>
        <w:rPr/>
        <w:t>Muchinsky (2006) a su vez, la definió como el grado al cual la prueba contenga una muestra representativa de la conducta a</w:t>
      </w:r>
      <w:r>
        <w:rPr>
          <w:spacing w:val="-8"/>
        </w:rPr>
        <w:t> </w:t>
      </w:r>
      <w:r>
        <w:rPr/>
        <w:t>medirse.</w:t>
      </w:r>
    </w:p>
    <w:p>
      <w:pPr>
        <w:pStyle w:val="BodyText"/>
      </w:pPr>
    </w:p>
    <w:p>
      <w:pPr>
        <w:pStyle w:val="BodyText"/>
        <w:spacing w:line="360" w:lineRule="auto" w:before="143"/>
        <w:ind w:left="122" w:right="119"/>
        <w:jc w:val="both"/>
      </w:pPr>
      <w:r>
        <w:rPr/>
        <w:t>En 1975 Lawshe desarrolló un modelo matemático que utiliza la opinión de una muestra de jueces con el objetivo de identificar sí el </w:t>
      </w:r>
      <w:r>
        <w:rPr>
          <w:i/>
        </w:rPr>
        <w:t>ítem </w:t>
      </w:r>
      <w:r>
        <w:rPr/>
        <w:t>es pertinente o no para el medir el constructo bajo estudio:</w:t>
      </w:r>
    </w:p>
    <w:p>
      <w:pPr>
        <w:pStyle w:val="BodyText"/>
        <w:spacing w:before="6"/>
        <w:rPr>
          <w:sz w:val="23"/>
        </w:rPr>
      </w:pPr>
      <w:r>
        <w:rPr/>
        <w:pict>
          <v:line style="position:absolute;mso-position-horizontal-relative:page;mso-position-vertical-relative:paragraph;z-index:4888;mso-wrap-distance-left:0;mso-wrap-distance-right:0" from="306.049988pt,15.899751pt" to="344.353988pt,15.899751pt" stroked="true" strokeweight=".84pt" strokecolor="#000000">
            <w10:wrap type="topAndBottom"/>
          </v:line>
        </w:pict>
      </w:r>
    </w:p>
    <w:p>
      <w:pPr>
        <w:pStyle w:val="BodyText"/>
        <w:rPr>
          <w:sz w:val="20"/>
        </w:rPr>
      </w:pPr>
    </w:p>
    <w:p>
      <w:pPr>
        <w:pStyle w:val="BodyText"/>
        <w:rPr>
          <w:sz w:val="20"/>
        </w:rPr>
      </w:pPr>
    </w:p>
    <w:p>
      <w:pPr>
        <w:pStyle w:val="BodyText"/>
        <w:spacing w:before="1"/>
        <w:rPr>
          <w:sz w:val="16"/>
        </w:rPr>
      </w:pPr>
    </w:p>
    <w:p>
      <w:pPr>
        <w:pStyle w:val="Heading3"/>
        <w:spacing w:before="69"/>
        <w:ind w:left="122" w:right="1552"/>
        <w:jc w:val="left"/>
      </w:pPr>
      <w:r>
        <w:rPr/>
        <w:t>Donde:</w:t>
      </w:r>
    </w:p>
    <w:p>
      <w:pPr>
        <w:spacing w:line="552" w:lineRule="auto" w:before="36"/>
        <w:ind w:left="122" w:right="2431" w:firstLine="0"/>
        <w:jc w:val="left"/>
        <w:rPr>
          <w:i/>
          <w:sz w:val="24"/>
        </w:rPr>
      </w:pPr>
      <w:r>
        <w:rPr>
          <w:i/>
          <w:sz w:val="24"/>
        </w:rPr>
        <w:t>CVR </w:t>
      </w:r>
      <w:r>
        <w:rPr>
          <w:sz w:val="24"/>
        </w:rPr>
        <w:t>= </w:t>
      </w:r>
      <w:r>
        <w:rPr>
          <w:i/>
          <w:sz w:val="24"/>
        </w:rPr>
        <w:t>Content Validity Ratio </w:t>
      </w:r>
      <w:r>
        <w:rPr>
          <w:sz w:val="24"/>
        </w:rPr>
        <w:t>(Cociente de la validez de contenido) n</w:t>
      </w:r>
      <w:r>
        <w:rPr>
          <w:position w:val="-2"/>
          <w:sz w:val="16"/>
        </w:rPr>
        <w:t>e </w:t>
      </w:r>
      <w:r>
        <w:rPr>
          <w:sz w:val="24"/>
        </w:rPr>
        <w:t>= número de expertos que consideró válido el </w:t>
      </w:r>
      <w:r>
        <w:rPr>
          <w:i/>
          <w:sz w:val="24"/>
        </w:rPr>
        <w:t>ítem.</w:t>
      </w:r>
    </w:p>
    <w:p>
      <w:pPr>
        <w:pStyle w:val="BodyText"/>
        <w:spacing w:line="259" w:lineRule="exact"/>
        <w:ind w:left="122" w:right="1552"/>
      </w:pPr>
      <w:r>
        <w:rPr/>
        <w:t>N = total de expertos consultados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r>
        <w:rPr/>
        <w:pict>
          <v:line style="position:absolute;mso-position-horizontal-relative:page;mso-position-vertical-relative:paragraph;z-index:4912;mso-wrap-distance-left:0;mso-wrap-distance-right:0" from="85.103996pt,13.86505pt" to="229.123996pt,13.86505pt" stroked="true" strokeweight=".71997pt" strokecolor="#000000">
            <w10:wrap type="topAndBottom"/>
          </v:line>
        </w:pict>
      </w:r>
    </w:p>
    <w:p>
      <w:pPr>
        <w:spacing w:line="242" w:lineRule="auto" w:before="39"/>
        <w:ind w:left="122" w:right="0" w:firstLine="0"/>
        <w:jc w:val="left"/>
        <w:rPr>
          <w:sz w:val="20"/>
        </w:rPr>
      </w:pPr>
      <w:r>
        <w:rPr>
          <w:rFonts w:ascii="Calibri" w:hAnsi="Calibri"/>
          <w:position w:val="10"/>
          <w:sz w:val="13"/>
        </w:rPr>
        <w:t>26 </w:t>
      </w:r>
      <w:r>
        <w:rPr>
          <w:sz w:val="20"/>
        </w:rPr>
        <w:t>A la cantidad de varianza que es compartida con las demás variables en análisis se le conoce como varianza común o comunalidad.</w:t>
      </w:r>
    </w:p>
    <w:p>
      <w:pPr>
        <w:spacing w:line="230" w:lineRule="exact" w:before="1"/>
        <w:ind w:left="122" w:right="262" w:firstLine="0"/>
        <w:jc w:val="left"/>
        <w:rPr>
          <w:sz w:val="20"/>
        </w:rPr>
      </w:pPr>
      <w:r>
        <w:rPr>
          <w:position w:val="9"/>
          <w:sz w:val="13"/>
        </w:rPr>
        <w:t>27 </w:t>
      </w:r>
      <w:r>
        <w:rPr>
          <w:sz w:val="20"/>
        </w:rPr>
        <w:t>El dominio de contenido normalmente es definido o establecido por la literatura, teoría y estudios antecedentes.</w:t>
      </w:r>
    </w:p>
    <w:p>
      <w:pPr>
        <w:spacing w:after="0" w:line="230" w:lineRule="exact"/>
        <w:jc w:val="left"/>
        <w:rPr>
          <w:sz w:val="20"/>
        </w:rPr>
        <w:sectPr>
          <w:pgSz w:w="12240" w:h="15840"/>
          <w:pgMar w:header="0" w:footer="1003" w:top="1500" w:bottom="1200" w:left="1580" w:right="1580"/>
        </w:sectPr>
      </w:pPr>
    </w:p>
    <w:p>
      <w:pPr>
        <w:pStyle w:val="Heading3"/>
        <w:ind w:right="18"/>
        <w:jc w:val="center"/>
      </w:pPr>
      <w:r>
        <w:rPr/>
        <w:t>Tabla 5.7. Valores mínimos de CVR</w:t>
      </w:r>
    </w:p>
    <w:p>
      <w:pPr>
        <w:pStyle w:val="BodyText"/>
        <w:spacing w:before="38" w:after="46"/>
        <w:ind w:right="18"/>
        <w:jc w:val="center"/>
      </w:pPr>
      <w:r>
        <w:rPr/>
        <w:t>(Prueba de una cola, p= 0.05)</w:t>
      </w:r>
    </w:p>
    <w:tbl>
      <w:tblPr>
        <w:tblW w:w="0" w:type="auto"/>
        <w:jc w:val="left"/>
        <w:tblInd w:w="3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8"/>
        <w:gridCol w:w="1440"/>
      </w:tblGrid>
      <w:tr>
        <w:trPr>
          <w:trHeight w:val="838" w:hRule="exact"/>
        </w:trPr>
        <w:tc>
          <w:tcPr>
            <w:tcW w:w="1188" w:type="dxa"/>
          </w:tcPr>
          <w:p>
            <w:pPr>
              <w:pStyle w:val="TableParagraph"/>
              <w:ind w:left="180" w:right="183" w:firstLine="1"/>
              <w:jc w:val="center"/>
              <w:rPr>
                <w:sz w:val="24"/>
              </w:rPr>
            </w:pPr>
            <w:r>
              <w:rPr>
                <w:sz w:val="24"/>
              </w:rPr>
              <w:t>Número de  expertos</w:t>
            </w:r>
          </w:p>
        </w:tc>
        <w:tc>
          <w:tcPr>
            <w:tcW w:w="1440" w:type="dxa"/>
          </w:tcPr>
          <w:p>
            <w:pPr>
              <w:pStyle w:val="TableParagraph"/>
              <w:ind w:left="338" w:right="326" w:firstLine="101"/>
              <w:rPr>
                <w:sz w:val="24"/>
              </w:rPr>
            </w:pPr>
            <w:r>
              <w:rPr>
                <w:sz w:val="24"/>
              </w:rPr>
              <w:t>Valor mínimo</w:t>
            </w:r>
          </w:p>
        </w:tc>
      </w:tr>
      <w:tr>
        <w:trPr>
          <w:trHeight w:val="286" w:hRule="exact"/>
        </w:trPr>
        <w:tc>
          <w:tcPr>
            <w:tcW w:w="1188" w:type="dxa"/>
          </w:tcPr>
          <w:p>
            <w:pPr>
              <w:pStyle w:val="TableParagraph"/>
              <w:spacing w:line="268" w:lineRule="exact"/>
              <w:ind w:right="103"/>
              <w:jc w:val="right"/>
              <w:rPr>
                <w:sz w:val="24"/>
              </w:rPr>
            </w:pPr>
            <w:r>
              <w:rPr>
                <w:sz w:val="24"/>
              </w:rPr>
              <w:t>5</w:t>
            </w:r>
          </w:p>
        </w:tc>
        <w:tc>
          <w:tcPr>
            <w:tcW w:w="1440" w:type="dxa"/>
          </w:tcPr>
          <w:p>
            <w:pPr>
              <w:pStyle w:val="TableParagraph"/>
              <w:spacing w:line="268" w:lineRule="exact"/>
              <w:ind w:right="103"/>
              <w:jc w:val="right"/>
              <w:rPr>
                <w:sz w:val="24"/>
              </w:rPr>
            </w:pPr>
            <w:r>
              <w:rPr>
                <w:sz w:val="24"/>
              </w:rPr>
              <w:t>0.99</w:t>
            </w:r>
          </w:p>
        </w:tc>
      </w:tr>
      <w:tr>
        <w:trPr>
          <w:trHeight w:val="286" w:hRule="exact"/>
        </w:trPr>
        <w:tc>
          <w:tcPr>
            <w:tcW w:w="1188" w:type="dxa"/>
          </w:tcPr>
          <w:p>
            <w:pPr>
              <w:pStyle w:val="TableParagraph"/>
              <w:spacing w:line="268" w:lineRule="exact"/>
              <w:ind w:right="103"/>
              <w:jc w:val="right"/>
              <w:rPr>
                <w:sz w:val="24"/>
              </w:rPr>
            </w:pPr>
            <w:r>
              <w:rPr>
                <w:sz w:val="24"/>
              </w:rPr>
              <w:t>6</w:t>
            </w:r>
          </w:p>
        </w:tc>
        <w:tc>
          <w:tcPr>
            <w:tcW w:w="1440" w:type="dxa"/>
          </w:tcPr>
          <w:p>
            <w:pPr>
              <w:pStyle w:val="TableParagraph"/>
              <w:spacing w:line="268" w:lineRule="exact"/>
              <w:ind w:right="103"/>
              <w:jc w:val="right"/>
              <w:rPr>
                <w:sz w:val="24"/>
              </w:rPr>
            </w:pPr>
            <w:r>
              <w:rPr>
                <w:sz w:val="24"/>
              </w:rPr>
              <w:t>0.99</w:t>
            </w:r>
          </w:p>
        </w:tc>
      </w:tr>
      <w:tr>
        <w:trPr>
          <w:trHeight w:val="288" w:hRule="exact"/>
        </w:trPr>
        <w:tc>
          <w:tcPr>
            <w:tcW w:w="1188" w:type="dxa"/>
          </w:tcPr>
          <w:p>
            <w:pPr>
              <w:pStyle w:val="TableParagraph"/>
              <w:spacing w:line="270" w:lineRule="exact"/>
              <w:ind w:right="103"/>
              <w:jc w:val="right"/>
              <w:rPr>
                <w:sz w:val="24"/>
              </w:rPr>
            </w:pPr>
            <w:r>
              <w:rPr>
                <w:sz w:val="24"/>
              </w:rPr>
              <w:t>7</w:t>
            </w:r>
          </w:p>
        </w:tc>
        <w:tc>
          <w:tcPr>
            <w:tcW w:w="1440" w:type="dxa"/>
          </w:tcPr>
          <w:p>
            <w:pPr>
              <w:pStyle w:val="TableParagraph"/>
              <w:spacing w:line="270" w:lineRule="exact"/>
              <w:ind w:right="103"/>
              <w:jc w:val="right"/>
              <w:rPr>
                <w:sz w:val="24"/>
              </w:rPr>
            </w:pPr>
            <w:r>
              <w:rPr>
                <w:sz w:val="24"/>
              </w:rPr>
              <w:t>0.99</w:t>
            </w:r>
          </w:p>
        </w:tc>
      </w:tr>
      <w:tr>
        <w:trPr>
          <w:trHeight w:val="286" w:hRule="exact"/>
        </w:trPr>
        <w:tc>
          <w:tcPr>
            <w:tcW w:w="1188" w:type="dxa"/>
          </w:tcPr>
          <w:p>
            <w:pPr>
              <w:pStyle w:val="TableParagraph"/>
              <w:spacing w:line="268" w:lineRule="exact"/>
              <w:ind w:right="103"/>
              <w:jc w:val="right"/>
              <w:rPr>
                <w:sz w:val="24"/>
              </w:rPr>
            </w:pPr>
            <w:r>
              <w:rPr>
                <w:sz w:val="24"/>
              </w:rPr>
              <w:t>8</w:t>
            </w:r>
          </w:p>
        </w:tc>
        <w:tc>
          <w:tcPr>
            <w:tcW w:w="1440" w:type="dxa"/>
          </w:tcPr>
          <w:p>
            <w:pPr>
              <w:pStyle w:val="TableParagraph"/>
              <w:spacing w:line="268" w:lineRule="exact"/>
              <w:ind w:right="103"/>
              <w:jc w:val="right"/>
              <w:rPr>
                <w:sz w:val="24"/>
              </w:rPr>
            </w:pPr>
            <w:r>
              <w:rPr>
                <w:sz w:val="24"/>
              </w:rPr>
              <w:t>0.78</w:t>
            </w:r>
          </w:p>
        </w:tc>
      </w:tr>
      <w:tr>
        <w:trPr>
          <w:trHeight w:val="286" w:hRule="exact"/>
        </w:trPr>
        <w:tc>
          <w:tcPr>
            <w:tcW w:w="1188" w:type="dxa"/>
          </w:tcPr>
          <w:p>
            <w:pPr>
              <w:pStyle w:val="TableParagraph"/>
              <w:spacing w:line="268" w:lineRule="exact"/>
              <w:ind w:right="103"/>
              <w:jc w:val="right"/>
              <w:rPr>
                <w:sz w:val="24"/>
              </w:rPr>
            </w:pPr>
            <w:r>
              <w:rPr>
                <w:sz w:val="24"/>
              </w:rPr>
              <w:t>9</w:t>
            </w:r>
          </w:p>
        </w:tc>
        <w:tc>
          <w:tcPr>
            <w:tcW w:w="1440" w:type="dxa"/>
          </w:tcPr>
          <w:p>
            <w:pPr>
              <w:pStyle w:val="TableParagraph"/>
              <w:spacing w:line="268" w:lineRule="exact"/>
              <w:ind w:right="103"/>
              <w:jc w:val="right"/>
              <w:rPr>
                <w:sz w:val="24"/>
              </w:rPr>
            </w:pPr>
            <w:r>
              <w:rPr>
                <w:sz w:val="24"/>
              </w:rPr>
              <w:t>0.75</w:t>
            </w:r>
          </w:p>
        </w:tc>
      </w:tr>
      <w:tr>
        <w:trPr>
          <w:trHeight w:val="286" w:hRule="exact"/>
        </w:trPr>
        <w:tc>
          <w:tcPr>
            <w:tcW w:w="1188" w:type="dxa"/>
          </w:tcPr>
          <w:p>
            <w:pPr>
              <w:pStyle w:val="TableParagraph"/>
              <w:spacing w:line="268" w:lineRule="exact"/>
              <w:ind w:right="103"/>
              <w:jc w:val="right"/>
              <w:rPr>
                <w:sz w:val="24"/>
              </w:rPr>
            </w:pPr>
            <w:r>
              <w:rPr>
                <w:sz w:val="24"/>
              </w:rPr>
              <w:t>10</w:t>
            </w:r>
          </w:p>
        </w:tc>
        <w:tc>
          <w:tcPr>
            <w:tcW w:w="1440" w:type="dxa"/>
          </w:tcPr>
          <w:p>
            <w:pPr>
              <w:pStyle w:val="TableParagraph"/>
              <w:spacing w:line="268" w:lineRule="exact"/>
              <w:ind w:right="103"/>
              <w:jc w:val="right"/>
              <w:rPr>
                <w:sz w:val="24"/>
              </w:rPr>
            </w:pPr>
            <w:r>
              <w:rPr>
                <w:sz w:val="24"/>
              </w:rPr>
              <w:t>0.62</w:t>
            </w:r>
          </w:p>
        </w:tc>
      </w:tr>
      <w:tr>
        <w:trPr>
          <w:trHeight w:val="286" w:hRule="exact"/>
        </w:trPr>
        <w:tc>
          <w:tcPr>
            <w:tcW w:w="1188" w:type="dxa"/>
          </w:tcPr>
          <w:p>
            <w:pPr>
              <w:pStyle w:val="TableParagraph"/>
              <w:spacing w:line="268" w:lineRule="exact"/>
              <w:ind w:right="103"/>
              <w:jc w:val="right"/>
              <w:rPr>
                <w:sz w:val="24"/>
              </w:rPr>
            </w:pPr>
            <w:r>
              <w:rPr>
                <w:sz w:val="24"/>
              </w:rPr>
              <w:t>11</w:t>
            </w:r>
          </w:p>
        </w:tc>
        <w:tc>
          <w:tcPr>
            <w:tcW w:w="1440" w:type="dxa"/>
          </w:tcPr>
          <w:p>
            <w:pPr>
              <w:pStyle w:val="TableParagraph"/>
              <w:spacing w:line="268" w:lineRule="exact"/>
              <w:ind w:right="103"/>
              <w:jc w:val="right"/>
              <w:rPr>
                <w:sz w:val="24"/>
              </w:rPr>
            </w:pPr>
            <w:r>
              <w:rPr>
                <w:sz w:val="24"/>
              </w:rPr>
              <w:t>0.59</w:t>
            </w:r>
          </w:p>
        </w:tc>
      </w:tr>
      <w:tr>
        <w:trPr>
          <w:trHeight w:val="286" w:hRule="exact"/>
        </w:trPr>
        <w:tc>
          <w:tcPr>
            <w:tcW w:w="1188" w:type="dxa"/>
          </w:tcPr>
          <w:p>
            <w:pPr>
              <w:pStyle w:val="TableParagraph"/>
              <w:spacing w:line="269" w:lineRule="exact"/>
              <w:ind w:right="103"/>
              <w:jc w:val="right"/>
              <w:rPr>
                <w:sz w:val="24"/>
              </w:rPr>
            </w:pPr>
            <w:r>
              <w:rPr>
                <w:sz w:val="24"/>
              </w:rPr>
              <w:t>12</w:t>
            </w:r>
          </w:p>
        </w:tc>
        <w:tc>
          <w:tcPr>
            <w:tcW w:w="1440" w:type="dxa"/>
          </w:tcPr>
          <w:p>
            <w:pPr>
              <w:pStyle w:val="TableParagraph"/>
              <w:spacing w:line="269" w:lineRule="exact"/>
              <w:ind w:right="103"/>
              <w:jc w:val="right"/>
              <w:rPr>
                <w:sz w:val="24"/>
              </w:rPr>
            </w:pPr>
            <w:r>
              <w:rPr>
                <w:sz w:val="24"/>
              </w:rPr>
              <w:t>0.56</w:t>
            </w:r>
          </w:p>
        </w:tc>
      </w:tr>
      <w:tr>
        <w:trPr>
          <w:trHeight w:val="286" w:hRule="exact"/>
        </w:trPr>
        <w:tc>
          <w:tcPr>
            <w:tcW w:w="1188" w:type="dxa"/>
          </w:tcPr>
          <w:p>
            <w:pPr>
              <w:pStyle w:val="TableParagraph"/>
              <w:spacing w:line="268" w:lineRule="exact"/>
              <w:ind w:right="103"/>
              <w:jc w:val="right"/>
              <w:rPr>
                <w:sz w:val="24"/>
              </w:rPr>
            </w:pPr>
            <w:r>
              <w:rPr>
                <w:sz w:val="24"/>
              </w:rPr>
              <w:t>13</w:t>
            </w:r>
          </w:p>
        </w:tc>
        <w:tc>
          <w:tcPr>
            <w:tcW w:w="1440" w:type="dxa"/>
          </w:tcPr>
          <w:p>
            <w:pPr>
              <w:pStyle w:val="TableParagraph"/>
              <w:spacing w:line="268" w:lineRule="exact"/>
              <w:ind w:right="103"/>
              <w:jc w:val="right"/>
              <w:rPr>
                <w:sz w:val="24"/>
              </w:rPr>
            </w:pPr>
            <w:r>
              <w:rPr>
                <w:sz w:val="24"/>
              </w:rPr>
              <w:t>0.54</w:t>
            </w:r>
          </w:p>
        </w:tc>
      </w:tr>
      <w:tr>
        <w:trPr>
          <w:trHeight w:val="288" w:hRule="exact"/>
        </w:trPr>
        <w:tc>
          <w:tcPr>
            <w:tcW w:w="1188" w:type="dxa"/>
          </w:tcPr>
          <w:p>
            <w:pPr>
              <w:pStyle w:val="TableParagraph"/>
              <w:spacing w:line="270" w:lineRule="exact"/>
              <w:ind w:right="103"/>
              <w:jc w:val="right"/>
              <w:rPr>
                <w:sz w:val="24"/>
              </w:rPr>
            </w:pPr>
            <w:r>
              <w:rPr>
                <w:sz w:val="24"/>
              </w:rPr>
              <w:t>14</w:t>
            </w:r>
          </w:p>
        </w:tc>
        <w:tc>
          <w:tcPr>
            <w:tcW w:w="1440" w:type="dxa"/>
          </w:tcPr>
          <w:p>
            <w:pPr>
              <w:pStyle w:val="TableParagraph"/>
              <w:spacing w:line="270" w:lineRule="exact"/>
              <w:ind w:right="103"/>
              <w:jc w:val="right"/>
              <w:rPr>
                <w:sz w:val="24"/>
              </w:rPr>
            </w:pPr>
            <w:r>
              <w:rPr>
                <w:sz w:val="24"/>
              </w:rPr>
              <w:t>0.51</w:t>
            </w:r>
          </w:p>
        </w:tc>
      </w:tr>
      <w:tr>
        <w:trPr>
          <w:trHeight w:val="286" w:hRule="exact"/>
        </w:trPr>
        <w:tc>
          <w:tcPr>
            <w:tcW w:w="1188" w:type="dxa"/>
          </w:tcPr>
          <w:p>
            <w:pPr>
              <w:pStyle w:val="TableParagraph"/>
              <w:spacing w:line="268" w:lineRule="exact"/>
              <w:ind w:right="103"/>
              <w:jc w:val="right"/>
              <w:rPr>
                <w:sz w:val="24"/>
              </w:rPr>
            </w:pPr>
            <w:r>
              <w:rPr>
                <w:sz w:val="24"/>
              </w:rPr>
              <w:t>15</w:t>
            </w:r>
          </w:p>
        </w:tc>
        <w:tc>
          <w:tcPr>
            <w:tcW w:w="1440" w:type="dxa"/>
          </w:tcPr>
          <w:p>
            <w:pPr>
              <w:pStyle w:val="TableParagraph"/>
              <w:spacing w:line="268" w:lineRule="exact"/>
              <w:ind w:right="103"/>
              <w:jc w:val="right"/>
              <w:rPr>
                <w:sz w:val="24"/>
              </w:rPr>
            </w:pPr>
            <w:r>
              <w:rPr>
                <w:sz w:val="24"/>
              </w:rPr>
              <w:t>0.49</w:t>
            </w:r>
          </w:p>
        </w:tc>
      </w:tr>
      <w:tr>
        <w:trPr>
          <w:trHeight w:val="286" w:hRule="exact"/>
        </w:trPr>
        <w:tc>
          <w:tcPr>
            <w:tcW w:w="1188" w:type="dxa"/>
          </w:tcPr>
          <w:p>
            <w:pPr>
              <w:pStyle w:val="TableParagraph"/>
              <w:spacing w:line="268" w:lineRule="exact"/>
              <w:ind w:right="103"/>
              <w:jc w:val="right"/>
              <w:rPr>
                <w:sz w:val="24"/>
              </w:rPr>
            </w:pPr>
            <w:r>
              <w:rPr>
                <w:sz w:val="24"/>
              </w:rPr>
              <w:t>20</w:t>
            </w:r>
          </w:p>
        </w:tc>
        <w:tc>
          <w:tcPr>
            <w:tcW w:w="1440" w:type="dxa"/>
          </w:tcPr>
          <w:p>
            <w:pPr>
              <w:pStyle w:val="TableParagraph"/>
              <w:spacing w:line="268" w:lineRule="exact"/>
              <w:ind w:right="103"/>
              <w:jc w:val="right"/>
              <w:rPr>
                <w:sz w:val="24"/>
              </w:rPr>
            </w:pPr>
            <w:r>
              <w:rPr>
                <w:sz w:val="24"/>
              </w:rPr>
              <w:t>0.42</w:t>
            </w:r>
          </w:p>
        </w:tc>
      </w:tr>
      <w:tr>
        <w:trPr>
          <w:trHeight w:val="286" w:hRule="exact"/>
        </w:trPr>
        <w:tc>
          <w:tcPr>
            <w:tcW w:w="1188" w:type="dxa"/>
          </w:tcPr>
          <w:p>
            <w:pPr>
              <w:pStyle w:val="TableParagraph"/>
              <w:spacing w:line="268" w:lineRule="exact"/>
              <w:ind w:right="103"/>
              <w:jc w:val="right"/>
              <w:rPr>
                <w:sz w:val="24"/>
              </w:rPr>
            </w:pPr>
            <w:r>
              <w:rPr>
                <w:sz w:val="24"/>
              </w:rPr>
              <w:t>25</w:t>
            </w:r>
          </w:p>
        </w:tc>
        <w:tc>
          <w:tcPr>
            <w:tcW w:w="1440" w:type="dxa"/>
          </w:tcPr>
          <w:p>
            <w:pPr>
              <w:pStyle w:val="TableParagraph"/>
              <w:spacing w:line="268" w:lineRule="exact"/>
              <w:ind w:right="103"/>
              <w:jc w:val="right"/>
              <w:rPr>
                <w:sz w:val="24"/>
              </w:rPr>
            </w:pPr>
            <w:r>
              <w:rPr>
                <w:sz w:val="24"/>
              </w:rPr>
              <w:t>0.37</w:t>
            </w:r>
          </w:p>
        </w:tc>
      </w:tr>
      <w:tr>
        <w:trPr>
          <w:trHeight w:val="286" w:hRule="exact"/>
        </w:trPr>
        <w:tc>
          <w:tcPr>
            <w:tcW w:w="1188" w:type="dxa"/>
          </w:tcPr>
          <w:p>
            <w:pPr>
              <w:pStyle w:val="TableParagraph"/>
              <w:spacing w:line="268" w:lineRule="exact"/>
              <w:ind w:right="103"/>
              <w:jc w:val="right"/>
              <w:rPr>
                <w:sz w:val="24"/>
              </w:rPr>
            </w:pPr>
            <w:r>
              <w:rPr>
                <w:sz w:val="24"/>
              </w:rPr>
              <w:t>30</w:t>
            </w:r>
          </w:p>
        </w:tc>
        <w:tc>
          <w:tcPr>
            <w:tcW w:w="1440" w:type="dxa"/>
          </w:tcPr>
          <w:p>
            <w:pPr>
              <w:pStyle w:val="TableParagraph"/>
              <w:spacing w:line="268" w:lineRule="exact"/>
              <w:ind w:right="103"/>
              <w:jc w:val="right"/>
              <w:rPr>
                <w:sz w:val="24"/>
              </w:rPr>
            </w:pPr>
            <w:r>
              <w:rPr>
                <w:sz w:val="24"/>
              </w:rPr>
              <w:t>0.33</w:t>
            </w:r>
          </w:p>
        </w:tc>
      </w:tr>
      <w:tr>
        <w:trPr>
          <w:trHeight w:val="286" w:hRule="exact"/>
        </w:trPr>
        <w:tc>
          <w:tcPr>
            <w:tcW w:w="1188" w:type="dxa"/>
          </w:tcPr>
          <w:p>
            <w:pPr>
              <w:pStyle w:val="TableParagraph"/>
              <w:spacing w:line="268" w:lineRule="exact"/>
              <w:ind w:right="103"/>
              <w:jc w:val="right"/>
              <w:rPr>
                <w:sz w:val="24"/>
              </w:rPr>
            </w:pPr>
            <w:r>
              <w:rPr>
                <w:sz w:val="24"/>
              </w:rPr>
              <w:t>35</w:t>
            </w:r>
          </w:p>
        </w:tc>
        <w:tc>
          <w:tcPr>
            <w:tcW w:w="1440" w:type="dxa"/>
          </w:tcPr>
          <w:p>
            <w:pPr>
              <w:pStyle w:val="TableParagraph"/>
              <w:spacing w:line="268" w:lineRule="exact"/>
              <w:ind w:right="103"/>
              <w:jc w:val="right"/>
              <w:rPr>
                <w:sz w:val="24"/>
              </w:rPr>
            </w:pPr>
            <w:r>
              <w:rPr>
                <w:sz w:val="24"/>
              </w:rPr>
              <w:t>0.31</w:t>
            </w:r>
          </w:p>
        </w:tc>
      </w:tr>
      <w:tr>
        <w:trPr>
          <w:trHeight w:val="288" w:hRule="exact"/>
        </w:trPr>
        <w:tc>
          <w:tcPr>
            <w:tcW w:w="1188" w:type="dxa"/>
          </w:tcPr>
          <w:p>
            <w:pPr>
              <w:pStyle w:val="TableParagraph"/>
              <w:spacing w:line="270" w:lineRule="exact"/>
              <w:ind w:right="103"/>
              <w:jc w:val="right"/>
              <w:rPr>
                <w:sz w:val="24"/>
              </w:rPr>
            </w:pPr>
            <w:r>
              <w:rPr>
                <w:sz w:val="24"/>
              </w:rPr>
              <w:t>40</w:t>
            </w:r>
          </w:p>
        </w:tc>
        <w:tc>
          <w:tcPr>
            <w:tcW w:w="1440" w:type="dxa"/>
          </w:tcPr>
          <w:p>
            <w:pPr>
              <w:pStyle w:val="TableParagraph"/>
              <w:spacing w:line="270" w:lineRule="exact"/>
              <w:ind w:right="103"/>
              <w:jc w:val="right"/>
              <w:rPr>
                <w:sz w:val="24"/>
              </w:rPr>
            </w:pPr>
            <w:r>
              <w:rPr>
                <w:sz w:val="24"/>
              </w:rPr>
              <w:t>0.29</w:t>
            </w:r>
          </w:p>
        </w:tc>
      </w:tr>
    </w:tbl>
    <w:p>
      <w:pPr>
        <w:spacing w:line="226" w:lineRule="exact" w:before="0"/>
        <w:ind w:left="0" w:right="16" w:firstLine="0"/>
        <w:jc w:val="center"/>
        <w:rPr>
          <w:sz w:val="20"/>
        </w:rPr>
      </w:pPr>
      <w:r>
        <w:rPr>
          <w:sz w:val="20"/>
        </w:rPr>
        <w:t>Fuente: Lawshe, 1975</w:t>
      </w:r>
    </w:p>
    <w:p>
      <w:pPr>
        <w:pStyle w:val="BodyText"/>
        <w:spacing w:before="1"/>
        <w:rPr>
          <w:sz w:val="20"/>
        </w:rPr>
      </w:pPr>
    </w:p>
    <w:p>
      <w:pPr>
        <w:pStyle w:val="BodyText"/>
        <w:spacing w:before="1"/>
        <w:ind w:left="102"/>
        <w:jc w:val="both"/>
      </w:pPr>
      <w:r>
        <w:rPr/>
        <w:t>Los pasos a seguir para calcular el CVR son:</w:t>
      </w:r>
    </w:p>
    <w:p>
      <w:pPr>
        <w:pStyle w:val="BodyText"/>
        <w:spacing w:before="1"/>
        <w:rPr>
          <w:sz w:val="21"/>
        </w:rPr>
      </w:pPr>
    </w:p>
    <w:p>
      <w:pPr>
        <w:pStyle w:val="ListParagraph"/>
        <w:numPr>
          <w:ilvl w:val="0"/>
          <w:numId w:val="74"/>
        </w:numPr>
        <w:tabs>
          <w:tab w:pos="822" w:val="left" w:leader="none"/>
        </w:tabs>
        <w:spacing w:line="240" w:lineRule="auto" w:before="0" w:after="0"/>
        <w:ind w:left="822" w:right="0" w:hanging="360"/>
        <w:jc w:val="left"/>
        <w:rPr>
          <w:sz w:val="24"/>
        </w:rPr>
      </w:pPr>
      <w:r>
        <w:rPr>
          <w:sz w:val="24"/>
        </w:rPr>
        <w:t>Definir las características que deben tener los</w:t>
      </w:r>
      <w:r>
        <w:rPr>
          <w:spacing w:val="-6"/>
          <w:sz w:val="24"/>
        </w:rPr>
        <w:t> </w:t>
      </w:r>
      <w:r>
        <w:rPr>
          <w:sz w:val="24"/>
        </w:rPr>
        <w:t>expertos.</w:t>
      </w:r>
    </w:p>
    <w:p>
      <w:pPr>
        <w:pStyle w:val="ListParagraph"/>
        <w:numPr>
          <w:ilvl w:val="0"/>
          <w:numId w:val="74"/>
        </w:numPr>
        <w:tabs>
          <w:tab w:pos="822" w:val="left" w:leader="none"/>
        </w:tabs>
        <w:spacing w:line="240" w:lineRule="auto" w:before="41" w:after="0"/>
        <w:ind w:left="822" w:right="0" w:hanging="360"/>
        <w:jc w:val="left"/>
        <w:rPr>
          <w:sz w:val="24"/>
        </w:rPr>
      </w:pPr>
      <w:r>
        <w:rPr>
          <w:sz w:val="24"/>
        </w:rPr>
        <w:t>Seleccionar una muestra de</w:t>
      </w:r>
      <w:r>
        <w:rPr>
          <w:spacing w:val="-6"/>
          <w:sz w:val="24"/>
        </w:rPr>
        <w:t> </w:t>
      </w:r>
      <w:r>
        <w:rPr>
          <w:sz w:val="24"/>
        </w:rPr>
        <w:t>expertos.</w:t>
      </w:r>
    </w:p>
    <w:p>
      <w:pPr>
        <w:pStyle w:val="ListParagraph"/>
        <w:numPr>
          <w:ilvl w:val="0"/>
          <w:numId w:val="74"/>
        </w:numPr>
        <w:tabs>
          <w:tab w:pos="822" w:val="left" w:leader="none"/>
        </w:tabs>
        <w:spacing w:line="240" w:lineRule="auto" w:before="41" w:after="0"/>
        <w:ind w:left="822" w:right="0" w:hanging="360"/>
        <w:jc w:val="left"/>
        <w:rPr>
          <w:sz w:val="24"/>
        </w:rPr>
      </w:pPr>
      <w:r>
        <w:rPr>
          <w:sz w:val="24"/>
        </w:rPr>
        <w:t>Administrar el instrumento a los</w:t>
      </w:r>
      <w:r>
        <w:rPr>
          <w:spacing w:val="-6"/>
          <w:sz w:val="24"/>
        </w:rPr>
        <w:t> </w:t>
      </w:r>
      <w:r>
        <w:rPr>
          <w:sz w:val="24"/>
        </w:rPr>
        <w:t>expertos.</w:t>
      </w:r>
    </w:p>
    <w:p>
      <w:pPr>
        <w:pStyle w:val="ListParagraph"/>
        <w:numPr>
          <w:ilvl w:val="0"/>
          <w:numId w:val="74"/>
        </w:numPr>
        <w:tabs>
          <w:tab w:pos="822" w:val="left" w:leader="none"/>
        </w:tabs>
        <w:spacing w:line="240" w:lineRule="auto" w:before="43" w:after="0"/>
        <w:ind w:left="822" w:right="0" w:hanging="360"/>
        <w:jc w:val="left"/>
        <w:rPr>
          <w:sz w:val="24"/>
        </w:rPr>
      </w:pPr>
      <w:r>
        <w:rPr>
          <w:sz w:val="24"/>
        </w:rPr>
        <w:t>Hallar el coeficiente de validez de contenido del</w:t>
      </w:r>
      <w:r>
        <w:rPr>
          <w:spacing w:val="-10"/>
          <w:sz w:val="24"/>
        </w:rPr>
        <w:t> </w:t>
      </w:r>
      <w:r>
        <w:rPr>
          <w:i/>
          <w:sz w:val="24"/>
        </w:rPr>
        <w:t>ítem</w:t>
      </w:r>
      <w:r>
        <w:rPr>
          <w:sz w:val="24"/>
        </w:rPr>
        <w:t>.</w:t>
      </w:r>
    </w:p>
    <w:p>
      <w:pPr>
        <w:pStyle w:val="ListParagraph"/>
        <w:numPr>
          <w:ilvl w:val="0"/>
          <w:numId w:val="74"/>
        </w:numPr>
        <w:tabs>
          <w:tab w:pos="822" w:val="left" w:leader="none"/>
        </w:tabs>
        <w:spacing w:line="240" w:lineRule="auto" w:before="41" w:after="0"/>
        <w:ind w:left="822" w:right="0" w:hanging="360"/>
        <w:jc w:val="left"/>
        <w:rPr>
          <w:sz w:val="24"/>
        </w:rPr>
      </w:pPr>
      <w:r>
        <w:rPr>
          <w:sz w:val="24"/>
        </w:rPr>
        <w:t>Eliminar del instrumento todos los </w:t>
      </w:r>
      <w:r>
        <w:rPr>
          <w:i/>
          <w:sz w:val="24"/>
        </w:rPr>
        <w:t>ítems </w:t>
      </w:r>
      <w:r>
        <w:rPr>
          <w:sz w:val="24"/>
        </w:rPr>
        <w:t>que no cumplen con el criterio</w:t>
      </w:r>
      <w:r>
        <w:rPr>
          <w:spacing w:val="-13"/>
          <w:sz w:val="24"/>
        </w:rPr>
        <w:t> </w:t>
      </w:r>
      <w:r>
        <w:rPr>
          <w:sz w:val="24"/>
        </w:rPr>
        <w:t>establecido.</w:t>
      </w:r>
    </w:p>
    <w:p>
      <w:pPr>
        <w:pStyle w:val="ListParagraph"/>
        <w:numPr>
          <w:ilvl w:val="0"/>
          <w:numId w:val="74"/>
        </w:numPr>
        <w:tabs>
          <w:tab w:pos="822" w:val="left" w:leader="none"/>
        </w:tabs>
        <w:spacing w:line="240" w:lineRule="auto" w:before="41" w:after="0"/>
        <w:ind w:left="822" w:right="0" w:hanging="360"/>
        <w:jc w:val="left"/>
        <w:rPr>
          <w:sz w:val="24"/>
        </w:rPr>
      </w:pPr>
      <w:r>
        <w:rPr>
          <w:sz w:val="24"/>
        </w:rPr>
        <w:t>Calcular  de contenido del</w:t>
      </w:r>
      <w:r>
        <w:rPr>
          <w:spacing w:val="-1"/>
          <w:sz w:val="24"/>
        </w:rPr>
        <w:t> </w:t>
      </w:r>
      <w:r>
        <w:rPr>
          <w:sz w:val="24"/>
        </w:rPr>
        <w:t>instrumento.</w:t>
      </w:r>
    </w:p>
    <w:p>
      <w:pPr>
        <w:pStyle w:val="BodyText"/>
      </w:pPr>
    </w:p>
    <w:p>
      <w:pPr>
        <w:pStyle w:val="BodyText"/>
      </w:pPr>
    </w:p>
    <w:p>
      <w:pPr>
        <w:spacing w:line="360" w:lineRule="auto" w:before="206"/>
        <w:ind w:left="102" w:right="115" w:firstLine="0"/>
        <w:jc w:val="both"/>
        <w:rPr>
          <w:sz w:val="24"/>
        </w:rPr>
      </w:pPr>
      <w:r>
        <w:rPr>
          <w:sz w:val="24"/>
        </w:rPr>
        <w:t>La evaluación se realizó para cada </w:t>
      </w:r>
      <w:r>
        <w:rPr>
          <w:i/>
          <w:sz w:val="24"/>
        </w:rPr>
        <w:t>ítem, </w:t>
      </w:r>
      <w:r>
        <w:rPr>
          <w:sz w:val="24"/>
        </w:rPr>
        <w:t>se obtuvo un 0.98 de CVR (ver tabla 5.8. y anexo 5), de acuerdo con los valores propuestos por Lawshe para ocho expertos debe ser mínimo de 0.78, por lo tanto la </w:t>
      </w:r>
      <w:r>
        <w:rPr>
          <w:b/>
          <w:sz w:val="24"/>
        </w:rPr>
        <w:t>validez de contenido del instrumento es aceptable</w:t>
      </w:r>
      <w:r>
        <w:rPr>
          <w:sz w:val="24"/>
        </w:rPr>
        <w:t>.</w:t>
      </w:r>
    </w:p>
    <w:p>
      <w:pPr>
        <w:spacing w:after="0" w:line="360" w:lineRule="auto"/>
        <w:jc w:val="both"/>
        <w:rPr>
          <w:sz w:val="24"/>
        </w:rPr>
        <w:sectPr>
          <w:pgSz w:w="12240" w:h="15840"/>
          <w:pgMar w:header="0" w:footer="1003" w:top="1360" w:bottom="1200" w:left="1600" w:right="1580"/>
        </w:sectPr>
      </w:pPr>
    </w:p>
    <w:p>
      <w:pPr>
        <w:pStyle w:val="Heading3"/>
        <w:ind w:left="2437"/>
        <w:jc w:val="left"/>
      </w:pPr>
      <w:r>
        <w:rPr/>
        <w:t>Tabla 5.8. Resumen CVR por constructo</w:t>
      </w:r>
    </w:p>
    <w:p>
      <w:pPr>
        <w:pStyle w:val="BodyText"/>
        <w:spacing w:before="5" w:after="1"/>
        <w:rPr>
          <w:b/>
          <w:sz w:val="29"/>
        </w:rPr>
      </w:pPr>
    </w:p>
    <w:tbl>
      <w:tblPr>
        <w:tblW w:w="0" w:type="auto"/>
        <w:jc w:val="left"/>
        <w:tblInd w:w="7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68"/>
        <w:gridCol w:w="1870"/>
        <w:gridCol w:w="3188"/>
        <w:gridCol w:w="593"/>
      </w:tblGrid>
      <w:tr>
        <w:trPr>
          <w:trHeight w:val="336" w:hRule="exact"/>
        </w:trPr>
        <w:tc>
          <w:tcPr>
            <w:tcW w:w="1868" w:type="dxa"/>
            <w:tcBorders>
              <w:left w:val="nil"/>
              <w:right w:val="nil"/>
            </w:tcBorders>
          </w:tcPr>
          <w:p>
            <w:pPr>
              <w:pStyle w:val="TableParagraph"/>
              <w:spacing w:line="249" w:lineRule="exact"/>
              <w:ind w:left="58" w:right="58"/>
              <w:jc w:val="center"/>
              <w:rPr>
                <w:sz w:val="22"/>
              </w:rPr>
            </w:pPr>
            <w:r>
              <w:rPr>
                <w:sz w:val="22"/>
              </w:rPr>
              <w:t>Variable</w:t>
            </w:r>
          </w:p>
        </w:tc>
        <w:tc>
          <w:tcPr>
            <w:tcW w:w="1870" w:type="dxa"/>
            <w:tcBorders>
              <w:left w:val="nil"/>
              <w:right w:val="nil"/>
            </w:tcBorders>
          </w:tcPr>
          <w:p>
            <w:pPr>
              <w:pStyle w:val="TableParagraph"/>
              <w:spacing w:before="25"/>
              <w:ind w:left="209" w:right="209"/>
              <w:jc w:val="center"/>
              <w:rPr>
                <w:sz w:val="22"/>
              </w:rPr>
            </w:pPr>
            <w:r>
              <w:rPr>
                <w:sz w:val="22"/>
              </w:rPr>
              <w:t>Dimensión</w:t>
            </w:r>
          </w:p>
        </w:tc>
        <w:tc>
          <w:tcPr>
            <w:tcW w:w="3188" w:type="dxa"/>
            <w:tcBorders>
              <w:left w:val="nil"/>
              <w:right w:val="nil"/>
            </w:tcBorders>
          </w:tcPr>
          <w:p>
            <w:pPr>
              <w:pStyle w:val="TableParagraph"/>
              <w:spacing w:before="25"/>
              <w:ind w:left="1335" w:right="1335"/>
              <w:jc w:val="center"/>
              <w:rPr>
                <w:i/>
                <w:sz w:val="22"/>
              </w:rPr>
            </w:pPr>
            <w:r>
              <w:rPr>
                <w:i/>
                <w:sz w:val="22"/>
              </w:rPr>
              <w:t>Ítems</w:t>
            </w:r>
          </w:p>
        </w:tc>
        <w:tc>
          <w:tcPr>
            <w:tcW w:w="593" w:type="dxa"/>
            <w:tcBorders>
              <w:left w:val="nil"/>
              <w:right w:val="nil"/>
            </w:tcBorders>
          </w:tcPr>
          <w:p>
            <w:pPr>
              <w:pStyle w:val="TableParagraph"/>
              <w:spacing w:before="25"/>
              <w:ind w:left="69"/>
              <w:rPr>
                <w:sz w:val="22"/>
              </w:rPr>
            </w:pPr>
            <w:r>
              <w:rPr>
                <w:sz w:val="22"/>
              </w:rPr>
              <w:t>CVR</w:t>
            </w:r>
          </w:p>
        </w:tc>
      </w:tr>
      <w:tr>
        <w:trPr>
          <w:trHeight w:val="802" w:hRule="exact"/>
        </w:trPr>
        <w:tc>
          <w:tcPr>
            <w:tcW w:w="1868" w:type="dxa"/>
            <w:vMerge w:val="restart"/>
            <w:tcBorders>
              <w:left w:val="nil"/>
            </w:tcBorders>
          </w:tcPr>
          <w:p>
            <w:pPr>
              <w:pStyle w:val="TableParagraph"/>
              <w:rPr>
                <w:b/>
                <w:sz w:val="22"/>
              </w:rPr>
            </w:pPr>
          </w:p>
          <w:p>
            <w:pPr>
              <w:pStyle w:val="TableParagraph"/>
              <w:rPr>
                <w:b/>
                <w:sz w:val="22"/>
              </w:rPr>
            </w:pPr>
          </w:p>
          <w:p>
            <w:pPr>
              <w:pStyle w:val="TableParagraph"/>
              <w:spacing w:before="11"/>
              <w:rPr>
                <w:b/>
                <w:sz w:val="29"/>
              </w:rPr>
            </w:pPr>
          </w:p>
          <w:p>
            <w:pPr>
              <w:pStyle w:val="TableParagraph"/>
              <w:ind w:left="499" w:right="428" w:hanging="48"/>
              <w:rPr>
                <w:sz w:val="22"/>
              </w:rPr>
            </w:pPr>
            <w:r>
              <w:rPr>
                <w:sz w:val="22"/>
              </w:rPr>
              <w:t>Proceso de transición</w:t>
            </w:r>
          </w:p>
        </w:tc>
        <w:tc>
          <w:tcPr>
            <w:tcW w:w="1870" w:type="dxa"/>
          </w:tcPr>
          <w:p>
            <w:pPr>
              <w:pStyle w:val="TableParagraph"/>
              <w:spacing w:before="133"/>
              <w:ind w:left="489" w:right="158" w:hanging="320"/>
              <w:rPr>
                <w:sz w:val="22"/>
              </w:rPr>
            </w:pPr>
            <w:r>
              <w:rPr>
                <w:sz w:val="22"/>
              </w:rPr>
              <w:t>Asertividad de la transición</w:t>
            </w:r>
          </w:p>
        </w:tc>
        <w:tc>
          <w:tcPr>
            <w:tcW w:w="3188" w:type="dxa"/>
          </w:tcPr>
          <w:p>
            <w:pPr>
              <w:pStyle w:val="TableParagraph"/>
              <w:spacing w:line="247" w:lineRule="exact"/>
              <w:ind w:left="60"/>
              <w:rPr>
                <w:sz w:val="22"/>
              </w:rPr>
            </w:pPr>
            <w:r>
              <w:rPr>
                <w:sz w:val="22"/>
              </w:rPr>
              <w:t>3,4,5,6,7,8,9,10,11,12,13,14,15,16</w:t>
            </w:r>
          </w:p>
          <w:p>
            <w:pPr>
              <w:pStyle w:val="TableParagraph"/>
              <w:spacing w:before="37"/>
              <w:ind w:left="60"/>
              <w:rPr>
                <w:sz w:val="22"/>
              </w:rPr>
            </w:pPr>
            <w:r>
              <w:rPr>
                <w:sz w:val="22"/>
              </w:rPr>
              <w:t>,17,18,19,20,21,22</w:t>
            </w:r>
          </w:p>
        </w:tc>
        <w:tc>
          <w:tcPr>
            <w:tcW w:w="593" w:type="dxa"/>
            <w:tcBorders>
              <w:right w:val="nil"/>
            </w:tcBorders>
          </w:tcPr>
          <w:p>
            <w:pPr>
              <w:pStyle w:val="TableParagraph"/>
              <w:spacing w:before="4"/>
              <w:rPr>
                <w:b/>
                <w:sz w:val="22"/>
              </w:rPr>
            </w:pPr>
          </w:p>
          <w:p>
            <w:pPr>
              <w:pStyle w:val="TableParagraph"/>
              <w:spacing w:before="1"/>
              <w:ind w:left="93"/>
              <w:rPr>
                <w:sz w:val="22"/>
              </w:rPr>
            </w:pPr>
            <w:r>
              <w:rPr>
                <w:sz w:val="22"/>
              </w:rPr>
              <w:t>0.98</w:t>
            </w:r>
          </w:p>
        </w:tc>
      </w:tr>
      <w:tr>
        <w:trPr>
          <w:trHeight w:val="802" w:hRule="exact"/>
        </w:trPr>
        <w:tc>
          <w:tcPr>
            <w:tcW w:w="1868" w:type="dxa"/>
            <w:vMerge/>
            <w:tcBorders>
              <w:left w:val="nil"/>
            </w:tcBorders>
          </w:tcPr>
          <w:p>
            <w:pPr/>
          </w:p>
        </w:tc>
        <w:tc>
          <w:tcPr>
            <w:tcW w:w="1870" w:type="dxa"/>
          </w:tcPr>
          <w:p>
            <w:pPr>
              <w:pStyle w:val="TableParagraph"/>
              <w:spacing w:before="133"/>
              <w:ind w:left="489" w:right="329" w:hanging="149"/>
              <w:rPr>
                <w:sz w:val="22"/>
              </w:rPr>
            </w:pPr>
            <w:r>
              <w:rPr>
                <w:sz w:val="22"/>
              </w:rPr>
              <w:t>Calidad de la transición</w:t>
            </w:r>
          </w:p>
        </w:tc>
        <w:tc>
          <w:tcPr>
            <w:tcW w:w="3188" w:type="dxa"/>
          </w:tcPr>
          <w:p>
            <w:pPr>
              <w:pStyle w:val="TableParagraph"/>
              <w:spacing w:line="247" w:lineRule="exact"/>
              <w:ind w:left="60"/>
              <w:rPr>
                <w:sz w:val="22"/>
              </w:rPr>
            </w:pPr>
            <w:r>
              <w:rPr>
                <w:sz w:val="22"/>
              </w:rPr>
              <w:t>23,24,25,26,27,28,29,30,31,32,33,</w:t>
            </w:r>
          </w:p>
          <w:p>
            <w:pPr>
              <w:pStyle w:val="TableParagraph"/>
              <w:spacing w:before="37"/>
              <w:ind w:left="60"/>
              <w:rPr>
                <w:sz w:val="22"/>
              </w:rPr>
            </w:pPr>
            <w:r>
              <w:rPr>
                <w:sz w:val="22"/>
              </w:rPr>
              <w:t>34,35,36,37,38,39,40,41,42</w:t>
            </w:r>
          </w:p>
        </w:tc>
        <w:tc>
          <w:tcPr>
            <w:tcW w:w="593" w:type="dxa"/>
            <w:tcBorders>
              <w:right w:val="nil"/>
            </w:tcBorders>
          </w:tcPr>
          <w:p>
            <w:pPr>
              <w:pStyle w:val="TableParagraph"/>
              <w:spacing w:before="4"/>
              <w:rPr>
                <w:b/>
                <w:sz w:val="22"/>
              </w:rPr>
            </w:pPr>
          </w:p>
          <w:p>
            <w:pPr>
              <w:pStyle w:val="TableParagraph"/>
              <w:spacing w:before="1"/>
              <w:ind w:left="93"/>
              <w:rPr>
                <w:sz w:val="22"/>
              </w:rPr>
            </w:pPr>
            <w:r>
              <w:rPr>
                <w:sz w:val="22"/>
              </w:rPr>
              <w:t>0.97</w:t>
            </w:r>
          </w:p>
        </w:tc>
      </w:tr>
      <w:tr>
        <w:trPr>
          <w:trHeight w:val="636" w:hRule="exact"/>
        </w:trPr>
        <w:tc>
          <w:tcPr>
            <w:tcW w:w="1868" w:type="dxa"/>
            <w:vMerge/>
            <w:tcBorders>
              <w:left w:val="nil"/>
            </w:tcBorders>
          </w:tcPr>
          <w:p>
            <w:pPr/>
          </w:p>
        </w:tc>
        <w:tc>
          <w:tcPr>
            <w:tcW w:w="1870" w:type="dxa"/>
          </w:tcPr>
          <w:p>
            <w:pPr>
              <w:pStyle w:val="TableParagraph"/>
              <w:spacing w:before="49"/>
              <w:ind w:left="381" w:right="141" w:hanging="226"/>
              <w:rPr>
                <w:sz w:val="22"/>
              </w:rPr>
            </w:pPr>
            <w:r>
              <w:rPr>
                <w:sz w:val="22"/>
              </w:rPr>
              <w:t>Consolidación de la transición</w:t>
            </w:r>
          </w:p>
        </w:tc>
        <w:tc>
          <w:tcPr>
            <w:tcW w:w="3188" w:type="dxa"/>
          </w:tcPr>
          <w:p>
            <w:pPr>
              <w:pStyle w:val="TableParagraph"/>
              <w:spacing w:line="247" w:lineRule="exact"/>
              <w:ind w:left="60"/>
              <w:rPr>
                <w:sz w:val="22"/>
              </w:rPr>
            </w:pPr>
            <w:r>
              <w:rPr>
                <w:sz w:val="22"/>
              </w:rPr>
              <w:t>43,44,45,46,47,48</w:t>
            </w:r>
          </w:p>
        </w:tc>
        <w:tc>
          <w:tcPr>
            <w:tcW w:w="593" w:type="dxa"/>
            <w:tcBorders>
              <w:right w:val="nil"/>
            </w:tcBorders>
          </w:tcPr>
          <w:p>
            <w:pPr>
              <w:pStyle w:val="TableParagraph"/>
              <w:spacing w:before="176"/>
              <w:ind w:left="93"/>
              <w:rPr>
                <w:sz w:val="22"/>
              </w:rPr>
            </w:pPr>
            <w:r>
              <w:rPr>
                <w:sz w:val="22"/>
              </w:rPr>
              <w:t>0.99</w:t>
            </w:r>
          </w:p>
        </w:tc>
      </w:tr>
      <w:tr>
        <w:trPr>
          <w:trHeight w:val="1093" w:hRule="exact"/>
        </w:trPr>
        <w:tc>
          <w:tcPr>
            <w:tcW w:w="1868" w:type="dxa"/>
            <w:tcBorders>
              <w:left w:val="nil"/>
              <w:right w:val="nil"/>
            </w:tcBorders>
          </w:tcPr>
          <w:p>
            <w:pPr>
              <w:pStyle w:val="TableParagraph"/>
              <w:rPr>
                <w:b/>
                <w:sz w:val="22"/>
              </w:rPr>
            </w:pPr>
          </w:p>
          <w:p>
            <w:pPr>
              <w:pStyle w:val="TableParagraph"/>
              <w:spacing w:before="152"/>
              <w:ind w:left="58" w:right="59"/>
              <w:jc w:val="center"/>
              <w:rPr>
                <w:sz w:val="22"/>
              </w:rPr>
            </w:pPr>
            <w:r>
              <w:rPr>
                <w:sz w:val="22"/>
              </w:rPr>
              <w:t>Mercado de trabajo</w:t>
            </w:r>
          </w:p>
        </w:tc>
        <w:tc>
          <w:tcPr>
            <w:tcW w:w="1870" w:type="dxa"/>
            <w:tcBorders>
              <w:left w:val="nil"/>
              <w:right w:val="nil"/>
            </w:tcBorders>
          </w:tcPr>
          <w:p>
            <w:pPr>
              <w:pStyle w:val="TableParagraph"/>
              <w:rPr>
                <w:b/>
                <w:sz w:val="22"/>
              </w:rPr>
            </w:pPr>
          </w:p>
          <w:p>
            <w:pPr>
              <w:pStyle w:val="TableParagraph"/>
              <w:spacing w:before="152"/>
              <w:ind w:left="209" w:right="209"/>
              <w:jc w:val="center"/>
              <w:rPr>
                <w:sz w:val="22"/>
              </w:rPr>
            </w:pPr>
            <w:r>
              <w:rPr>
                <w:sz w:val="22"/>
              </w:rPr>
              <w:t>(Trabajo actual)</w:t>
            </w:r>
          </w:p>
        </w:tc>
        <w:tc>
          <w:tcPr>
            <w:tcW w:w="3188" w:type="dxa"/>
            <w:tcBorders>
              <w:left w:val="nil"/>
            </w:tcBorders>
          </w:tcPr>
          <w:p>
            <w:pPr>
              <w:pStyle w:val="TableParagraph"/>
              <w:spacing w:line="247" w:lineRule="exact"/>
              <w:ind w:left="69"/>
              <w:rPr>
                <w:sz w:val="22"/>
              </w:rPr>
            </w:pPr>
            <w:r>
              <w:rPr>
                <w:sz w:val="22"/>
              </w:rPr>
              <w:t>49,</w:t>
            </w:r>
          </w:p>
          <w:p>
            <w:pPr>
              <w:pStyle w:val="TableParagraph"/>
              <w:spacing w:before="38"/>
              <w:ind w:left="69"/>
              <w:rPr>
                <w:sz w:val="22"/>
              </w:rPr>
            </w:pPr>
            <w:r>
              <w:rPr>
                <w:sz w:val="22"/>
              </w:rPr>
              <w:t>50,51,52,53,54,55,56,57,58,59,60,</w:t>
            </w:r>
          </w:p>
          <w:p>
            <w:pPr>
              <w:pStyle w:val="TableParagraph"/>
              <w:spacing w:before="37"/>
              <w:ind w:left="69"/>
              <w:rPr>
                <w:sz w:val="22"/>
              </w:rPr>
            </w:pPr>
            <w:r>
              <w:rPr>
                <w:sz w:val="22"/>
              </w:rPr>
              <w:t>61,62,63,64,65,66,67,68</w:t>
            </w:r>
          </w:p>
        </w:tc>
        <w:tc>
          <w:tcPr>
            <w:tcW w:w="593" w:type="dxa"/>
            <w:tcBorders>
              <w:right w:val="nil"/>
            </w:tcBorders>
          </w:tcPr>
          <w:p>
            <w:pPr>
              <w:pStyle w:val="TableParagraph"/>
              <w:rPr>
                <w:b/>
                <w:sz w:val="22"/>
              </w:rPr>
            </w:pPr>
          </w:p>
          <w:p>
            <w:pPr>
              <w:pStyle w:val="TableParagraph"/>
              <w:spacing w:before="152"/>
              <w:ind w:left="93"/>
              <w:rPr>
                <w:sz w:val="22"/>
              </w:rPr>
            </w:pPr>
            <w:r>
              <w:rPr>
                <w:sz w:val="22"/>
              </w:rPr>
              <w:t>0.99</w:t>
            </w:r>
          </w:p>
        </w:tc>
      </w:tr>
      <w:tr>
        <w:trPr>
          <w:trHeight w:val="341" w:hRule="exact"/>
        </w:trPr>
        <w:tc>
          <w:tcPr>
            <w:tcW w:w="1868" w:type="dxa"/>
            <w:tcBorders>
              <w:right w:val="nil"/>
            </w:tcBorders>
          </w:tcPr>
          <w:p>
            <w:pPr/>
          </w:p>
        </w:tc>
        <w:tc>
          <w:tcPr>
            <w:tcW w:w="5058" w:type="dxa"/>
            <w:gridSpan w:val="2"/>
            <w:tcBorders>
              <w:left w:val="nil"/>
              <w:right w:val="nil"/>
            </w:tcBorders>
          </w:tcPr>
          <w:p>
            <w:pPr>
              <w:pStyle w:val="TableParagraph"/>
              <w:spacing w:before="45"/>
              <w:ind w:left="285"/>
              <w:rPr>
                <w:rFonts w:ascii="Calibri"/>
                <w:sz w:val="22"/>
              </w:rPr>
            </w:pPr>
            <w:r>
              <w:rPr>
                <w:rFonts w:ascii="Calibri"/>
                <w:sz w:val="22"/>
              </w:rPr>
              <w:t>Media de la validez del contenido del instrumento</w:t>
            </w:r>
          </w:p>
        </w:tc>
        <w:tc>
          <w:tcPr>
            <w:tcW w:w="593" w:type="dxa"/>
            <w:tcBorders>
              <w:left w:val="nil"/>
            </w:tcBorders>
          </w:tcPr>
          <w:p>
            <w:pPr>
              <w:pStyle w:val="TableParagraph"/>
              <w:spacing w:before="45"/>
              <w:ind w:left="129"/>
              <w:rPr>
                <w:rFonts w:ascii="Calibri"/>
                <w:b/>
                <w:sz w:val="22"/>
              </w:rPr>
            </w:pPr>
            <w:r>
              <w:rPr>
                <w:rFonts w:ascii="Calibri"/>
                <w:b/>
                <w:sz w:val="22"/>
              </w:rPr>
              <w:t>0.98</w:t>
            </w:r>
          </w:p>
        </w:tc>
      </w:tr>
    </w:tbl>
    <w:p>
      <w:pPr>
        <w:spacing w:line="221" w:lineRule="exact" w:before="0"/>
        <w:ind w:left="0" w:right="18" w:firstLine="0"/>
        <w:jc w:val="center"/>
        <w:rPr>
          <w:sz w:val="20"/>
        </w:rPr>
      </w:pPr>
      <w:r>
        <w:rPr>
          <w:sz w:val="20"/>
        </w:rPr>
        <w:t>Fuente: elaboración propia</w:t>
      </w:r>
    </w:p>
    <w:p>
      <w:pPr>
        <w:pStyle w:val="BodyText"/>
        <w:rPr>
          <w:sz w:val="20"/>
        </w:rPr>
      </w:pPr>
    </w:p>
    <w:p>
      <w:pPr>
        <w:pStyle w:val="BodyText"/>
        <w:rPr>
          <w:sz w:val="20"/>
        </w:rPr>
      </w:pPr>
    </w:p>
    <w:p>
      <w:pPr>
        <w:pStyle w:val="BodyText"/>
        <w:rPr>
          <w:sz w:val="20"/>
        </w:rPr>
      </w:pPr>
    </w:p>
    <w:p>
      <w:pPr>
        <w:pStyle w:val="BodyText"/>
        <w:spacing w:before="1"/>
        <w:rPr>
          <w:sz w:val="27"/>
        </w:rPr>
      </w:pPr>
    </w:p>
    <w:p>
      <w:pPr>
        <w:pStyle w:val="BodyText"/>
        <w:spacing w:line="360" w:lineRule="auto" w:before="1"/>
        <w:ind w:left="102" w:right="112"/>
        <w:jc w:val="both"/>
      </w:pPr>
      <w:r>
        <w:rPr/>
        <w:t>En el siguiente capítulo se presentan los análisis descriptivos iníciales con base en los resultados obtenidos de la investigación de campo con ello se busca evaluar y conocer si existieron las condiciones respecto al proceso de transición de los egresados de la Licenciatura de Economía de las generaciones 2000 a 2010 en cuanto al tiempo y asertividad de dicho proceso.</w:t>
      </w:r>
    </w:p>
    <w:p>
      <w:pPr>
        <w:spacing w:after="0" w:line="360" w:lineRule="auto"/>
        <w:jc w:val="both"/>
        <w:sectPr>
          <w:pgSz w:w="12240" w:h="15840"/>
          <w:pgMar w:header="0" w:footer="1003" w:top="1360" w:bottom="1200" w:left="1600" w:right="1580"/>
        </w:sectPr>
      </w:pPr>
    </w:p>
    <w:p>
      <w:pPr>
        <w:pStyle w:val="Heading3"/>
        <w:spacing w:line="278" w:lineRule="auto"/>
        <w:ind w:left="2901" w:right="2887" w:firstLine="914"/>
        <w:jc w:val="left"/>
      </w:pPr>
      <w:bookmarkStart w:name="_bookmark72" w:id="132"/>
      <w:bookmarkEnd w:id="132"/>
      <w:r>
        <w:rPr>
          <w:b w:val="0"/>
        </w:rPr>
      </w:r>
      <w:r>
        <w:rPr/>
        <w:t>CAPÍTULO 6 ANÁLISIS DE</w:t>
      </w:r>
      <w:r>
        <w:rPr>
          <w:spacing w:val="57"/>
        </w:rPr>
        <w:t> </w:t>
      </w:r>
      <w:r>
        <w:rPr/>
        <w:t>RESULTADOS</w:t>
      </w:r>
    </w:p>
    <w:p>
      <w:pPr>
        <w:pStyle w:val="BodyText"/>
        <w:rPr>
          <w:b/>
        </w:rPr>
      </w:pPr>
    </w:p>
    <w:p>
      <w:pPr>
        <w:pStyle w:val="BodyText"/>
        <w:spacing w:before="1"/>
        <w:rPr>
          <w:b/>
          <w:sz w:val="20"/>
        </w:rPr>
      </w:pPr>
    </w:p>
    <w:p>
      <w:pPr>
        <w:spacing w:before="0"/>
        <w:ind w:left="122" w:right="0" w:firstLine="0"/>
        <w:jc w:val="both"/>
        <w:rPr>
          <w:b/>
          <w:sz w:val="24"/>
        </w:rPr>
      </w:pPr>
      <w:r>
        <w:rPr>
          <w:b/>
          <w:sz w:val="24"/>
        </w:rPr>
        <w:t>Introducción</w:t>
      </w:r>
    </w:p>
    <w:p>
      <w:pPr>
        <w:pStyle w:val="BodyText"/>
        <w:spacing w:line="360" w:lineRule="auto" w:before="132"/>
        <w:ind w:left="122" w:right="117"/>
        <w:jc w:val="both"/>
      </w:pPr>
      <w:r>
        <w:rPr/>
        <w:t>El presente capítulo muestra, con base en los datos obtenidos, un análisis de todos los </w:t>
      </w:r>
      <w:r>
        <w:rPr>
          <w:i/>
        </w:rPr>
        <w:t>ítems </w:t>
      </w:r>
      <w:r>
        <w:rPr/>
        <w:t>que integran el cuestionario, con la finalidad de examinar y entender el comportamiento del proceso de transición de los egresados de la licenciatura de Economía de la UAEMéx al mercado de trabajo, generaciones 2000 a 2010.</w:t>
      </w:r>
    </w:p>
    <w:p>
      <w:pPr>
        <w:pStyle w:val="BodyText"/>
      </w:pPr>
    </w:p>
    <w:p>
      <w:pPr>
        <w:pStyle w:val="BodyText"/>
        <w:spacing w:line="360" w:lineRule="auto" w:before="143"/>
        <w:ind w:left="122" w:right="115"/>
        <w:jc w:val="both"/>
      </w:pPr>
      <w:r>
        <w:rPr/>
        <w:t>Este capítulo se divide en seis bloques que corresponden a los apartados del cuestionario. Primero se encuentra la información general de los encuestados. Segundo, se concentraron las preguntas relacionadas con la asertividad de la transición. Tercero, la calidad de la transición. Cuarto apartado, la consolidación de la transición. Quinto y último bloque está relacionado con la pesquisa respecto al trabajo actual.</w:t>
      </w:r>
    </w:p>
    <w:p>
      <w:pPr>
        <w:pStyle w:val="BodyText"/>
      </w:pPr>
    </w:p>
    <w:p>
      <w:pPr>
        <w:pStyle w:val="BodyText"/>
        <w:spacing w:line="360" w:lineRule="auto" w:before="143"/>
        <w:ind w:left="122" w:right="117"/>
        <w:jc w:val="both"/>
      </w:pPr>
      <w:r>
        <w:rPr/>
        <w:t>Fue necesario realizar un trabajo de investigación de campo a través del instrumento “Cuestionario transición egresados universitarios-mercado de trabajo” de elaboración propia, se aplicó en los meses de marzo y abril de 2013; se envió vía correo electrónico mediante encuestafacil.com, plataforma tecnológica especialista en aplicación de encuestas electrónicas, a un grupo de egresados de la Licenciatura de Economía de la UAEMEX de la generación 2000 a la 2010. La intención y objetivo del estudio de campo fue conocer las características que determinan el proceso de transición de los jóvenes egresados de la escuela a la vida profesional.</w:t>
      </w:r>
    </w:p>
    <w:p>
      <w:pPr>
        <w:pStyle w:val="BodyText"/>
      </w:pPr>
    </w:p>
    <w:p>
      <w:pPr>
        <w:pStyle w:val="Heading3"/>
        <w:numPr>
          <w:ilvl w:val="1"/>
          <w:numId w:val="75"/>
        </w:numPr>
        <w:tabs>
          <w:tab w:pos="830" w:val="left" w:leader="none"/>
        </w:tabs>
        <w:spacing w:line="240" w:lineRule="auto" w:before="215" w:after="0"/>
        <w:ind w:left="830" w:right="0" w:hanging="720"/>
        <w:jc w:val="both"/>
      </w:pPr>
      <w:bookmarkStart w:name="_bookmark73" w:id="133"/>
      <w:bookmarkEnd w:id="133"/>
      <w:r>
        <w:rPr>
          <w:b w:val="0"/>
        </w:rPr>
      </w:r>
      <w:bookmarkStart w:name="_bookmark73" w:id="134"/>
      <w:bookmarkEnd w:id="134"/>
      <w:r>
        <w:rPr/>
        <w:t>C</w:t>
      </w:r>
      <w:r>
        <w:rPr/>
        <w:t>aracterización de la</w:t>
      </w:r>
      <w:r>
        <w:rPr>
          <w:spacing w:val="-7"/>
        </w:rPr>
        <w:t> </w:t>
      </w:r>
      <w:r>
        <w:rPr/>
        <w:t>muestra</w:t>
      </w:r>
    </w:p>
    <w:p>
      <w:pPr>
        <w:pStyle w:val="BodyText"/>
        <w:rPr>
          <w:b/>
        </w:rPr>
      </w:pPr>
    </w:p>
    <w:p>
      <w:pPr>
        <w:pStyle w:val="BodyText"/>
        <w:spacing w:before="4"/>
        <w:rPr>
          <w:b/>
          <w:sz w:val="23"/>
        </w:rPr>
      </w:pPr>
    </w:p>
    <w:p>
      <w:pPr>
        <w:pStyle w:val="BodyText"/>
        <w:spacing w:line="360" w:lineRule="auto" w:before="1"/>
        <w:ind w:left="122" w:right="117"/>
        <w:jc w:val="both"/>
      </w:pPr>
      <w:r>
        <w:rPr/>
        <w:t>Con una respuesta de 154 cuestionarios retornados, se descartaron aquellos que no  contaban con las características estadísticas para ser evaluados, por lo que al final se contó con 126 cuestionarios para</w:t>
      </w:r>
      <w:r>
        <w:rPr>
          <w:spacing w:val="-8"/>
        </w:rPr>
        <w:t> </w:t>
      </w:r>
      <w:r>
        <w:rPr/>
        <w:t>análisis.</w:t>
      </w:r>
    </w:p>
    <w:p>
      <w:pPr>
        <w:spacing w:after="0" w:line="360" w:lineRule="auto"/>
        <w:jc w:val="both"/>
        <w:sectPr>
          <w:pgSz w:w="12240" w:h="15840"/>
          <w:pgMar w:header="0" w:footer="1003" w:top="1360" w:bottom="1200" w:left="1580" w:right="1580"/>
        </w:sectPr>
      </w:pPr>
    </w:p>
    <w:p>
      <w:pPr>
        <w:pStyle w:val="BodyText"/>
        <w:spacing w:line="360" w:lineRule="auto" w:before="50"/>
        <w:ind w:left="102" w:right="117"/>
        <w:jc w:val="both"/>
      </w:pPr>
      <w:r>
        <w:rPr/>
        <w:t>Se obtuvo una participación del 51% mujeres y 49% hombres. La participación fue mayor en las generaciones 2006 a 2010 en comparación con las generaciones más alejadas al presente, esto demuestra que las últimas generaciones están más vinculadas con la Facultad de Economía y por ende fue más fácil localizarlos (ver tabla 6.1.).</w:t>
      </w:r>
    </w:p>
    <w:p>
      <w:pPr>
        <w:pStyle w:val="Heading3"/>
        <w:spacing w:before="210"/>
        <w:ind w:left="2437"/>
        <w:jc w:val="left"/>
      </w:pPr>
      <w:r>
        <w:rPr/>
        <w:t>Tabla 6.1. Caracterización de la muestra</w:t>
      </w:r>
    </w:p>
    <w:p>
      <w:pPr>
        <w:pStyle w:val="BodyText"/>
        <w:spacing w:before="5" w:after="1"/>
        <w:rPr>
          <w:b/>
          <w:sz w:val="29"/>
        </w:rPr>
      </w:pPr>
    </w:p>
    <w:tbl>
      <w:tblPr>
        <w:tblW w:w="0" w:type="auto"/>
        <w:jc w:val="left"/>
        <w:tblInd w:w="2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40"/>
        <w:gridCol w:w="859"/>
        <w:gridCol w:w="1162"/>
        <w:gridCol w:w="1118"/>
      </w:tblGrid>
      <w:tr>
        <w:trPr>
          <w:trHeight w:val="324" w:hRule="exact"/>
        </w:trPr>
        <w:tc>
          <w:tcPr>
            <w:tcW w:w="1440" w:type="dxa"/>
          </w:tcPr>
          <w:p>
            <w:pPr>
              <w:pStyle w:val="TableParagraph"/>
              <w:spacing w:before="82"/>
              <w:ind w:left="115"/>
              <w:rPr>
                <w:b/>
                <w:sz w:val="20"/>
              </w:rPr>
            </w:pPr>
            <w:r>
              <w:rPr>
                <w:b/>
                <w:sz w:val="20"/>
              </w:rPr>
              <w:t>Año de egreso</w:t>
            </w:r>
          </w:p>
        </w:tc>
        <w:tc>
          <w:tcPr>
            <w:tcW w:w="859" w:type="dxa"/>
          </w:tcPr>
          <w:p>
            <w:pPr>
              <w:pStyle w:val="TableParagraph"/>
              <w:spacing w:before="82"/>
              <w:ind w:left="223"/>
              <w:rPr>
                <w:b/>
                <w:sz w:val="20"/>
              </w:rPr>
            </w:pPr>
            <w:r>
              <w:rPr>
                <w:b/>
                <w:sz w:val="20"/>
              </w:rPr>
              <w:t>Sexo</w:t>
            </w:r>
          </w:p>
        </w:tc>
        <w:tc>
          <w:tcPr>
            <w:tcW w:w="1162" w:type="dxa"/>
          </w:tcPr>
          <w:p>
            <w:pPr>
              <w:pStyle w:val="TableParagraph"/>
              <w:spacing w:before="82"/>
              <w:ind w:right="106"/>
              <w:jc w:val="right"/>
              <w:rPr>
                <w:b/>
                <w:sz w:val="20"/>
              </w:rPr>
            </w:pPr>
            <w:r>
              <w:rPr>
                <w:b/>
                <w:w w:val="95"/>
                <w:sz w:val="20"/>
              </w:rPr>
              <w:t>Respuestas</w:t>
            </w:r>
          </w:p>
        </w:tc>
        <w:tc>
          <w:tcPr>
            <w:tcW w:w="1118" w:type="dxa"/>
          </w:tcPr>
          <w:p>
            <w:pPr>
              <w:pStyle w:val="TableParagraph"/>
              <w:spacing w:before="82"/>
              <w:ind w:right="90"/>
              <w:jc w:val="right"/>
              <w:rPr>
                <w:b/>
                <w:sz w:val="20"/>
              </w:rPr>
            </w:pPr>
            <w:r>
              <w:rPr>
                <w:b/>
                <w:w w:val="95"/>
                <w:sz w:val="20"/>
              </w:rPr>
              <w:t>Porcentaje</w:t>
            </w:r>
          </w:p>
        </w:tc>
      </w:tr>
      <w:tr>
        <w:trPr>
          <w:trHeight w:val="324" w:hRule="exact"/>
        </w:trPr>
        <w:tc>
          <w:tcPr>
            <w:tcW w:w="1440" w:type="dxa"/>
            <w:vMerge w:val="restart"/>
          </w:tcPr>
          <w:p>
            <w:pPr>
              <w:pStyle w:val="TableParagraph"/>
              <w:spacing w:before="9"/>
              <w:rPr>
                <w:b/>
                <w:sz w:val="17"/>
              </w:rPr>
            </w:pPr>
          </w:p>
          <w:p>
            <w:pPr>
              <w:pStyle w:val="TableParagraph"/>
              <w:ind w:left="495" w:right="495"/>
              <w:jc w:val="center"/>
              <w:rPr>
                <w:b/>
                <w:sz w:val="20"/>
              </w:rPr>
            </w:pPr>
            <w:r>
              <w:rPr>
                <w:b/>
                <w:sz w:val="20"/>
              </w:rPr>
              <w:t>2000</w:t>
            </w:r>
          </w:p>
        </w:tc>
        <w:tc>
          <w:tcPr>
            <w:tcW w:w="859" w:type="dxa"/>
          </w:tcPr>
          <w:p>
            <w:pPr>
              <w:pStyle w:val="TableParagraph"/>
              <w:spacing w:before="79"/>
              <w:ind w:left="64"/>
              <w:rPr>
                <w:sz w:val="20"/>
              </w:rPr>
            </w:pPr>
            <w:r>
              <w:rPr>
                <w:sz w:val="20"/>
              </w:rPr>
              <w:t>Hombre</w:t>
            </w:r>
          </w:p>
        </w:tc>
        <w:tc>
          <w:tcPr>
            <w:tcW w:w="1162" w:type="dxa"/>
          </w:tcPr>
          <w:p>
            <w:pPr>
              <w:pStyle w:val="TableParagraph"/>
              <w:spacing w:before="79"/>
              <w:ind w:right="66"/>
              <w:jc w:val="right"/>
              <w:rPr>
                <w:sz w:val="20"/>
              </w:rPr>
            </w:pPr>
            <w:r>
              <w:rPr>
                <w:w w:val="99"/>
                <w:sz w:val="20"/>
              </w:rPr>
              <w:t>4</w:t>
            </w:r>
          </w:p>
        </w:tc>
        <w:tc>
          <w:tcPr>
            <w:tcW w:w="1118" w:type="dxa"/>
          </w:tcPr>
          <w:p>
            <w:pPr>
              <w:pStyle w:val="TableParagraph"/>
              <w:spacing w:before="79"/>
              <w:ind w:right="61"/>
              <w:jc w:val="right"/>
              <w:rPr>
                <w:sz w:val="20"/>
              </w:rPr>
            </w:pPr>
            <w:r>
              <w:rPr>
                <w:sz w:val="20"/>
              </w:rPr>
              <w:t>80%</w:t>
            </w:r>
          </w:p>
        </w:tc>
      </w:tr>
      <w:tr>
        <w:trPr>
          <w:trHeight w:val="326" w:hRule="exact"/>
        </w:trPr>
        <w:tc>
          <w:tcPr>
            <w:tcW w:w="1440" w:type="dxa"/>
            <w:vMerge/>
          </w:tcPr>
          <w:p>
            <w:pPr/>
          </w:p>
        </w:tc>
        <w:tc>
          <w:tcPr>
            <w:tcW w:w="859" w:type="dxa"/>
          </w:tcPr>
          <w:p>
            <w:pPr>
              <w:pStyle w:val="TableParagraph"/>
              <w:spacing w:before="79"/>
              <w:ind w:left="64"/>
              <w:rPr>
                <w:sz w:val="20"/>
              </w:rPr>
            </w:pPr>
            <w:r>
              <w:rPr>
                <w:sz w:val="20"/>
              </w:rPr>
              <w:t>Mujer</w:t>
            </w:r>
          </w:p>
        </w:tc>
        <w:tc>
          <w:tcPr>
            <w:tcW w:w="1162" w:type="dxa"/>
          </w:tcPr>
          <w:p>
            <w:pPr>
              <w:pStyle w:val="TableParagraph"/>
              <w:spacing w:before="79"/>
              <w:ind w:right="66"/>
              <w:jc w:val="right"/>
              <w:rPr>
                <w:sz w:val="20"/>
              </w:rPr>
            </w:pPr>
            <w:r>
              <w:rPr>
                <w:w w:val="99"/>
                <w:sz w:val="20"/>
              </w:rPr>
              <w:t>1</w:t>
            </w:r>
          </w:p>
        </w:tc>
        <w:tc>
          <w:tcPr>
            <w:tcW w:w="1118" w:type="dxa"/>
          </w:tcPr>
          <w:p>
            <w:pPr>
              <w:pStyle w:val="TableParagraph"/>
              <w:spacing w:before="79"/>
              <w:ind w:right="61"/>
              <w:jc w:val="right"/>
              <w:rPr>
                <w:sz w:val="20"/>
              </w:rPr>
            </w:pPr>
            <w:r>
              <w:rPr>
                <w:sz w:val="20"/>
              </w:rPr>
              <w:t>20%</w:t>
            </w:r>
          </w:p>
        </w:tc>
      </w:tr>
      <w:tr>
        <w:trPr>
          <w:trHeight w:val="325" w:hRule="exact"/>
        </w:trPr>
        <w:tc>
          <w:tcPr>
            <w:tcW w:w="1440" w:type="dxa"/>
            <w:vMerge w:val="restart"/>
          </w:tcPr>
          <w:p>
            <w:pPr>
              <w:pStyle w:val="TableParagraph"/>
              <w:spacing w:before="7"/>
              <w:rPr>
                <w:b/>
                <w:sz w:val="17"/>
              </w:rPr>
            </w:pPr>
          </w:p>
          <w:p>
            <w:pPr>
              <w:pStyle w:val="TableParagraph"/>
              <w:ind w:left="495" w:right="495"/>
              <w:jc w:val="center"/>
              <w:rPr>
                <w:b/>
                <w:sz w:val="20"/>
              </w:rPr>
            </w:pPr>
            <w:r>
              <w:rPr>
                <w:b/>
                <w:sz w:val="20"/>
              </w:rPr>
              <w:t>2001</w:t>
            </w:r>
          </w:p>
        </w:tc>
        <w:tc>
          <w:tcPr>
            <w:tcW w:w="859" w:type="dxa"/>
          </w:tcPr>
          <w:p>
            <w:pPr>
              <w:pStyle w:val="TableParagraph"/>
              <w:spacing w:before="78"/>
              <w:ind w:left="64"/>
              <w:rPr>
                <w:sz w:val="20"/>
              </w:rPr>
            </w:pPr>
            <w:r>
              <w:rPr>
                <w:sz w:val="20"/>
              </w:rPr>
              <w:t>Hombre</w:t>
            </w:r>
          </w:p>
        </w:tc>
        <w:tc>
          <w:tcPr>
            <w:tcW w:w="1162" w:type="dxa"/>
          </w:tcPr>
          <w:p>
            <w:pPr>
              <w:pStyle w:val="TableParagraph"/>
              <w:spacing w:before="78"/>
              <w:ind w:right="66"/>
              <w:jc w:val="right"/>
              <w:rPr>
                <w:sz w:val="20"/>
              </w:rPr>
            </w:pPr>
            <w:r>
              <w:rPr>
                <w:w w:val="99"/>
                <w:sz w:val="20"/>
              </w:rPr>
              <w:t>5</w:t>
            </w:r>
          </w:p>
        </w:tc>
        <w:tc>
          <w:tcPr>
            <w:tcW w:w="1118" w:type="dxa"/>
          </w:tcPr>
          <w:p>
            <w:pPr>
              <w:pStyle w:val="TableParagraph"/>
              <w:spacing w:before="78"/>
              <w:ind w:right="61"/>
              <w:jc w:val="right"/>
              <w:rPr>
                <w:sz w:val="20"/>
              </w:rPr>
            </w:pPr>
            <w:r>
              <w:rPr>
                <w:sz w:val="20"/>
              </w:rPr>
              <w:t>45%</w:t>
            </w:r>
          </w:p>
        </w:tc>
      </w:tr>
      <w:tr>
        <w:trPr>
          <w:trHeight w:val="326" w:hRule="exact"/>
        </w:trPr>
        <w:tc>
          <w:tcPr>
            <w:tcW w:w="1440" w:type="dxa"/>
            <w:vMerge/>
          </w:tcPr>
          <w:p>
            <w:pPr/>
          </w:p>
        </w:tc>
        <w:tc>
          <w:tcPr>
            <w:tcW w:w="859" w:type="dxa"/>
          </w:tcPr>
          <w:p>
            <w:pPr>
              <w:pStyle w:val="TableParagraph"/>
              <w:spacing w:before="79"/>
              <w:ind w:left="64"/>
              <w:rPr>
                <w:sz w:val="20"/>
              </w:rPr>
            </w:pPr>
            <w:r>
              <w:rPr>
                <w:sz w:val="20"/>
              </w:rPr>
              <w:t>Mujer</w:t>
            </w:r>
          </w:p>
        </w:tc>
        <w:tc>
          <w:tcPr>
            <w:tcW w:w="1162" w:type="dxa"/>
          </w:tcPr>
          <w:p>
            <w:pPr>
              <w:pStyle w:val="TableParagraph"/>
              <w:spacing w:before="79"/>
              <w:ind w:right="66"/>
              <w:jc w:val="right"/>
              <w:rPr>
                <w:sz w:val="20"/>
              </w:rPr>
            </w:pPr>
            <w:r>
              <w:rPr>
                <w:w w:val="99"/>
                <w:sz w:val="20"/>
              </w:rPr>
              <w:t>6</w:t>
            </w:r>
          </w:p>
        </w:tc>
        <w:tc>
          <w:tcPr>
            <w:tcW w:w="1118" w:type="dxa"/>
          </w:tcPr>
          <w:p>
            <w:pPr>
              <w:pStyle w:val="TableParagraph"/>
              <w:spacing w:before="79"/>
              <w:ind w:right="61"/>
              <w:jc w:val="right"/>
              <w:rPr>
                <w:sz w:val="20"/>
              </w:rPr>
            </w:pPr>
            <w:r>
              <w:rPr>
                <w:sz w:val="20"/>
              </w:rPr>
              <w:t>55%</w:t>
            </w:r>
          </w:p>
        </w:tc>
      </w:tr>
      <w:tr>
        <w:trPr>
          <w:trHeight w:val="324" w:hRule="exact"/>
        </w:trPr>
        <w:tc>
          <w:tcPr>
            <w:tcW w:w="1440" w:type="dxa"/>
            <w:vMerge w:val="restart"/>
          </w:tcPr>
          <w:p>
            <w:pPr>
              <w:pStyle w:val="TableParagraph"/>
              <w:spacing w:before="6"/>
              <w:rPr>
                <w:b/>
                <w:sz w:val="17"/>
              </w:rPr>
            </w:pPr>
          </w:p>
          <w:p>
            <w:pPr>
              <w:pStyle w:val="TableParagraph"/>
              <w:ind w:left="495" w:right="495"/>
              <w:jc w:val="center"/>
              <w:rPr>
                <w:b/>
                <w:sz w:val="20"/>
              </w:rPr>
            </w:pPr>
            <w:r>
              <w:rPr>
                <w:b/>
                <w:sz w:val="20"/>
              </w:rPr>
              <w:t>2002</w:t>
            </w:r>
          </w:p>
        </w:tc>
        <w:tc>
          <w:tcPr>
            <w:tcW w:w="859" w:type="dxa"/>
          </w:tcPr>
          <w:p>
            <w:pPr>
              <w:pStyle w:val="TableParagraph"/>
              <w:spacing w:before="77"/>
              <w:ind w:left="64"/>
              <w:rPr>
                <w:sz w:val="20"/>
              </w:rPr>
            </w:pPr>
            <w:r>
              <w:rPr>
                <w:sz w:val="20"/>
              </w:rPr>
              <w:t>Hombre</w:t>
            </w:r>
          </w:p>
        </w:tc>
        <w:tc>
          <w:tcPr>
            <w:tcW w:w="1162" w:type="dxa"/>
          </w:tcPr>
          <w:p>
            <w:pPr>
              <w:pStyle w:val="TableParagraph"/>
              <w:spacing w:before="77"/>
              <w:ind w:right="66"/>
              <w:jc w:val="right"/>
              <w:rPr>
                <w:sz w:val="20"/>
              </w:rPr>
            </w:pPr>
            <w:r>
              <w:rPr>
                <w:w w:val="99"/>
                <w:sz w:val="20"/>
              </w:rPr>
              <w:t>4</w:t>
            </w:r>
          </w:p>
        </w:tc>
        <w:tc>
          <w:tcPr>
            <w:tcW w:w="1118" w:type="dxa"/>
          </w:tcPr>
          <w:p>
            <w:pPr>
              <w:pStyle w:val="TableParagraph"/>
              <w:spacing w:before="77"/>
              <w:ind w:right="61"/>
              <w:jc w:val="right"/>
              <w:rPr>
                <w:sz w:val="20"/>
              </w:rPr>
            </w:pPr>
            <w:r>
              <w:rPr>
                <w:sz w:val="20"/>
              </w:rPr>
              <w:t>80%</w:t>
            </w:r>
          </w:p>
        </w:tc>
      </w:tr>
      <w:tr>
        <w:trPr>
          <w:trHeight w:val="324" w:hRule="exact"/>
        </w:trPr>
        <w:tc>
          <w:tcPr>
            <w:tcW w:w="1440" w:type="dxa"/>
            <w:vMerge/>
          </w:tcPr>
          <w:p>
            <w:pPr/>
          </w:p>
        </w:tc>
        <w:tc>
          <w:tcPr>
            <w:tcW w:w="859" w:type="dxa"/>
          </w:tcPr>
          <w:p>
            <w:pPr>
              <w:pStyle w:val="TableParagraph"/>
              <w:spacing w:before="79"/>
              <w:ind w:left="64"/>
              <w:rPr>
                <w:sz w:val="20"/>
              </w:rPr>
            </w:pPr>
            <w:r>
              <w:rPr>
                <w:sz w:val="20"/>
              </w:rPr>
              <w:t>Mujer</w:t>
            </w:r>
          </w:p>
        </w:tc>
        <w:tc>
          <w:tcPr>
            <w:tcW w:w="1162" w:type="dxa"/>
          </w:tcPr>
          <w:p>
            <w:pPr>
              <w:pStyle w:val="TableParagraph"/>
              <w:spacing w:before="79"/>
              <w:ind w:right="66"/>
              <w:jc w:val="right"/>
              <w:rPr>
                <w:sz w:val="20"/>
              </w:rPr>
            </w:pPr>
            <w:r>
              <w:rPr>
                <w:w w:val="99"/>
                <w:sz w:val="20"/>
              </w:rPr>
              <w:t>1</w:t>
            </w:r>
          </w:p>
        </w:tc>
        <w:tc>
          <w:tcPr>
            <w:tcW w:w="1118" w:type="dxa"/>
          </w:tcPr>
          <w:p>
            <w:pPr>
              <w:pStyle w:val="TableParagraph"/>
              <w:spacing w:before="79"/>
              <w:ind w:right="61"/>
              <w:jc w:val="right"/>
              <w:rPr>
                <w:sz w:val="20"/>
              </w:rPr>
            </w:pPr>
            <w:r>
              <w:rPr>
                <w:sz w:val="20"/>
              </w:rPr>
              <w:t>20%</w:t>
            </w:r>
          </w:p>
        </w:tc>
      </w:tr>
      <w:tr>
        <w:trPr>
          <w:trHeight w:val="326" w:hRule="exact"/>
        </w:trPr>
        <w:tc>
          <w:tcPr>
            <w:tcW w:w="1440" w:type="dxa"/>
            <w:vMerge w:val="restart"/>
          </w:tcPr>
          <w:p>
            <w:pPr>
              <w:pStyle w:val="TableParagraph"/>
              <w:spacing w:before="9"/>
              <w:rPr>
                <w:b/>
                <w:sz w:val="17"/>
              </w:rPr>
            </w:pPr>
          </w:p>
          <w:p>
            <w:pPr>
              <w:pStyle w:val="TableParagraph"/>
              <w:ind w:left="495" w:right="495"/>
              <w:jc w:val="center"/>
              <w:rPr>
                <w:b/>
                <w:sz w:val="20"/>
              </w:rPr>
            </w:pPr>
            <w:r>
              <w:rPr>
                <w:b/>
                <w:sz w:val="20"/>
              </w:rPr>
              <w:t>2003</w:t>
            </w:r>
          </w:p>
        </w:tc>
        <w:tc>
          <w:tcPr>
            <w:tcW w:w="859" w:type="dxa"/>
          </w:tcPr>
          <w:p>
            <w:pPr>
              <w:pStyle w:val="TableParagraph"/>
              <w:spacing w:before="79"/>
              <w:ind w:left="64"/>
              <w:rPr>
                <w:sz w:val="20"/>
              </w:rPr>
            </w:pPr>
            <w:r>
              <w:rPr>
                <w:sz w:val="20"/>
              </w:rPr>
              <w:t>Hombre</w:t>
            </w:r>
          </w:p>
        </w:tc>
        <w:tc>
          <w:tcPr>
            <w:tcW w:w="1162" w:type="dxa"/>
          </w:tcPr>
          <w:p>
            <w:pPr>
              <w:pStyle w:val="TableParagraph"/>
              <w:spacing w:before="79"/>
              <w:ind w:right="66"/>
              <w:jc w:val="right"/>
              <w:rPr>
                <w:sz w:val="20"/>
              </w:rPr>
            </w:pPr>
            <w:r>
              <w:rPr>
                <w:w w:val="99"/>
                <w:sz w:val="20"/>
              </w:rPr>
              <w:t>4</w:t>
            </w:r>
          </w:p>
        </w:tc>
        <w:tc>
          <w:tcPr>
            <w:tcW w:w="1118" w:type="dxa"/>
          </w:tcPr>
          <w:p>
            <w:pPr>
              <w:pStyle w:val="TableParagraph"/>
              <w:spacing w:before="79"/>
              <w:ind w:right="61"/>
              <w:jc w:val="right"/>
              <w:rPr>
                <w:sz w:val="20"/>
              </w:rPr>
            </w:pPr>
            <w:r>
              <w:rPr>
                <w:sz w:val="20"/>
              </w:rPr>
              <w:t>67%</w:t>
            </w:r>
          </w:p>
        </w:tc>
      </w:tr>
      <w:tr>
        <w:trPr>
          <w:trHeight w:val="324" w:hRule="exact"/>
        </w:trPr>
        <w:tc>
          <w:tcPr>
            <w:tcW w:w="1440" w:type="dxa"/>
            <w:vMerge/>
          </w:tcPr>
          <w:p>
            <w:pPr/>
          </w:p>
        </w:tc>
        <w:tc>
          <w:tcPr>
            <w:tcW w:w="859" w:type="dxa"/>
          </w:tcPr>
          <w:p>
            <w:pPr>
              <w:pStyle w:val="TableParagraph"/>
              <w:spacing w:before="77"/>
              <w:ind w:left="64"/>
              <w:rPr>
                <w:sz w:val="20"/>
              </w:rPr>
            </w:pPr>
            <w:r>
              <w:rPr>
                <w:sz w:val="20"/>
              </w:rPr>
              <w:t>Mujer</w:t>
            </w:r>
          </w:p>
        </w:tc>
        <w:tc>
          <w:tcPr>
            <w:tcW w:w="1162" w:type="dxa"/>
          </w:tcPr>
          <w:p>
            <w:pPr>
              <w:pStyle w:val="TableParagraph"/>
              <w:spacing w:before="77"/>
              <w:ind w:right="66"/>
              <w:jc w:val="right"/>
              <w:rPr>
                <w:sz w:val="20"/>
              </w:rPr>
            </w:pPr>
            <w:r>
              <w:rPr>
                <w:w w:val="99"/>
                <w:sz w:val="20"/>
              </w:rPr>
              <w:t>2</w:t>
            </w:r>
          </w:p>
        </w:tc>
        <w:tc>
          <w:tcPr>
            <w:tcW w:w="1118" w:type="dxa"/>
          </w:tcPr>
          <w:p>
            <w:pPr>
              <w:pStyle w:val="TableParagraph"/>
              <w:spacing w:before="77"/>
              <w:ind w:right="61"/>
              <w:jc w:val="right"/>
              <w:rPr>
                <w:sz w:val="20"/>
              </w:rPr>
            </w:pPr>
            <w:r>
              <w:rPr>
                <w:sz w:val="20"/>
              </w:rPr>
              <w:t>33%</w:t>
            </w:r>
          </w:p>
        </w:tc>
      </w:tr>
      <w:tr>
        <w:trPr>
          <w:trHeight w:val="326" w:hRule="exact"/>
        </w:trPr>
        <w:tc>
          <w:tcPr>
            <w:tcW w:w="1440" w:type="dxa"/>
            <w:vMerge w:val="restart"/>
          </w:tcPr>
          <w:p>
            <w:pPr>
              <w:pStyle w:val="TableParagraph"/>
              <w:spacing w:before="9"/>
              <w:rPr>
                <w:b/>
                <w:sz w:val="17"/>
              </w:rPr>
            </w:pPr>
          </w:p>
          <w:p>
            <w:pPr>
              <w:pStyle w:val="TableParagraph"/>
              <w:ind w:left="495" w:right="495"/>
              <w:jc w:val="center"/>
              <w:rPr>
                <w:b/>
                <w:sz w:val="20"/>
              </w:rPr>
            </w:pPr>
            <w:r>
              <w:rPr>
                <w:b/>
                <w:sz w:val="20"/>
              </w:rPr>
              <w:t>2004</w:t>
            </w:r>
          </w:p>
        </w:tc>
        <w:tc>
          <w:tcPr>
            <w:tcW w:w="859" w:type="dxa"/>
          </w:tcPr>
          <w:p>
            <w:pPr>
              <w:pStyle w:val="TableParagraph"/>
              <w:spacing w:before="79"/>
              <w:ind w:left="64"/>
              <w:rPr>
                <w:sz w:val="20"/>
              </w:rPr>
            </w:pPr>
            <w:r>
              <w:rPr>
                <w:sz w:val="20"/>
              </w:rPr>
              <w:t>Hombre</w:t>
            </w:r>
          </w:p>
        </w:tc>
        <w:tc>
          <w:tcPr>
            <w:tcW w:w="1162" w:type="dxa"/>
          </w:tcPr>
          <w:p>
            <w:pPr>
              <w:pStyle w:val="TableParagraph"/>
              <w:spacing w:before="79"/>
              <w:ind w:right="66"/>
              <w:jc w:val="right"/>
              <w:rPr>
                <w:sz w:val="20"/>
              </w:rPr>
            </w:pPr>
            <w:r>
              <w:rPr>
                <w:w w:val="99"/>
                <w:sz w:val="20"/>
              </w:rPr>
              <w:t>3</w:t>
            </w:r>
          </w:p>
        </w:tc>
        <w:tc>
          <w:tcPr>
            <w:tcW w:w="1118" w:type="dxa"/>
          </w:tcPr>
          <w:p>
            <w:pPr>
              <w:pStyle w:val="TableParagraph"/>
              <w:spacing w:before="79"/>
              <w:ind w:right="61"/>
              <w:jc w:val="right"/>
              <w:rPr>
                <w:sz w:val="20"/>
              </w:rPr>
            </w:pPr>
            <w:r>
              <w:rPr>
                <w:sz w:val="20"/>
              </w:rPr>
              <w:t>60%</w:t>
            </w:r>
          </w:p>
        </w:tc>
      </w:tr>
      <w:tr>
        <w:trPr>
          <w:trHeight w:val="324" w:hRule="exact"/>
        </w:trPr>
        <w:tc>
          <w:tcPr>
            <w:tcW w:w="1440" w:type="dxa"/>
            <w:vMerge/>
          </w:tcPr>
          <w:p>
            <w:pPr/>
          </w:p>
        </w:tc>
        <w:tc>
          <w:tcPr>
            <w:tcW w:w="859" w:type="dxa"/>
          </w:tcPr>
          <w:p>
            <w:pPr>
              <w:pStyle w:val="TableParagraph"/>
              <w:spacing w:before="77"/>
              <w:ind w:left="64"/>
              <w:rPr>
                <w:sz w:val="20"/>
              </w:rPr>
            </w:pPr>
            <w:r>
              <w:rPr>
                <w:sz w:val="20"/>
              </w:rPr>
              <w:t>Mujer</w:t>
            </w:r>
          </w:p>
        </w:tc>
        <w:tc>
          <w:tcPr>
            <w:tcW w:w="1162" w:type="dxa"/>
          </w:tcPr>
          <w:p>
            <w:pPr>
              <w:pStyle w:val="TableParagraph"/>
              <w:spacing w:before="77"/>
              <w:ind w:right="66"/>
              <w:jc w:val="right"/>
              <w:rPr>
                <w:sz w:val="20"/>
              </w:rPr>
            </w:pPr>
            <w:r>
              <w:rPr>
                <w:w w:val="99"/>
                <w:sz w:val="20"/>
              </w:rPr>
              <w:t>2</w:t>
            </w:r>
          </w:p>
        </w:tc>
        <w:tc>
          <w:tcPr>
            <w:tcW w:w="1118" w:type="dxa"/>
          </w:tcPr>
          <w:p>
            <w:pPr>
              <w:pStyle w:val="TableParagraph"/>
              <w:spacing w:before="77"/>
              <w:ind w:right="61"/>
              <w:jc w:val="right"/>
              <w:rPr>
                <w:sz w:val="20"/>
              </w:rPr>
            </w:pPr>
            <w:r>
              <w:rPr>
                <w:sz w:val="20"/>
              </w:rPr>
              <w:t>40%</w:t>
            </w:r>
          </w:p>
        </w:tc>
      </w:tr>
      <w:tr>
        <w:trPr>
          <w:trHeight w:val="326" w:hRule="exact"/>
        </w:trPr>
        <w:tc>
          <w:tcPr>
            <w:tcW w:w="1440" w:type="dxa"/>
            <w:vMerge w:val="restart"/>
          </w:tcPr>
          <w:p>
            <w:pPr>
              <w:pStyle w:val="TableParagraph"/>
              <w:spacing w:before="9"/>
              <w:rPr>
                <w:b/>
                <w:sz w:val="17"/>
              </w:rPr>
            </w:pPr>
          </w:p>
          <w:p>
            <w:pPr>
              <w:pStyle w:val="TableParagraph"/>
              <w:ind w:left="495" w:right="495"/>
              <w:jc w:val="center"/>
              <w:rPr>
                <w:b/>
                <w:sz w:val="20"/>
              </w:rPr>
            </w:pPr>
            <w:r>
              <w:rPr>
                <w:b/>
                <w:sz w:val="20"/>
              </w:rPr>
              <w:t>2005</w:t>
            </w:r>
          </w:p>
        </w:tc>
        <w:tc>
          <w:tcPr>
            <w:tcW w:w="859" w:type="dxa"/>
          </w:tcPr>
          <w:p>
            <w:pPr>
              <w:pStyle w:val="TableParagraph"/>
              <w:spacing w:before="79"/>
              <w:ind w:left="64"/>
              <w:rPr>
                <w:sz w:val="20"/>
              </w:rPr>
            </w:pPr>
            <w:r>
              <w:rPr>
                <w:sz w:val="20"/>
              </w:rPr>
              <w:t>Hombre</w:t>
            </w:r>
          </w:p>
        </w:tc>
        <w:tc>
          <w:tcPr>
            <w:tcW w:w="1162" w:type="dxa"/>
          </w:tcPr>
          <w:p>
            <w:pPr>
              <w:pStyle w:val="TableParagraph"/>
              <w:spacing w:before="79"/>
              <w:ind w:right="66"/>
              <w:jc w:val="right"/>
              <w:rPr>
                <w:sz w:val="20"/>
              </w:rPr>
            </w:pPr>
            <w:r>
              <w:rPr>
                <w:w w:val="99"/>
                <w:sz w:val="20"/>
              </w:rPr>
              <w:t>5</w:t>
            </w:r>
          </w:p>
        </w:tc>
        <w:tc>
          <w:tcPr>
            <w:tcW w:w="1118" w:type="dxa"/>
          </w:tcPr>
          <w:p>
            <w:pPr>
              <w:pStyle w:val="TableParagraph"/>
              <w:spacing w:before="79"/>
              <w:ind w:right="61"/>
              <w:jc w:val="right"/>
              <w:rPr>
                <w:sz w:val="20"/>
              </w:rPr>
            </w:pPr>
            <w:r>
              <w:rPr>
                <w:sz w:val="20"/>
              </w:rPr>
              <w:t>50%</w:t>
            </w:r>
          </w:p>
        </w:tc>
      </w:tr>
      <w:tr>
        <w:trPr>
          <w:trHeight w:val="324" w:hRule="exact"/>
        </w:trPr>
        <w:tc>
          <w:tcPr>
            <w:tcW w:w="1440" w:type="dxa"/>
            <w:vMerge/>
          </w:tcPr>
          <w:p>
            <w:pPr/>
          </w:p>
        </w:tc>
        <w:tc>
          <w:tcPr>
            <w:tcW w:w="859" w:type="dxa"/>
          </w:tcPr>
          <w:p>
            <w:pPr>
              <w:pStyle w:val="TableParagraph"/>
              <w:spacing w:before="77"/>
              <w:ind w:left="64"/>
              <w:rPr>
                <w:sz w:val="20"/>
              </w:rPr>
            </w:pPr>
            <w:r>
              <w:rPr>
                <w:sz w:val="20"/>
              </w:rPr>
              <w:t>Mujer</w:t>
            </w:r>
          </w:p>
        </w:tc>
        <w:tc>
          <w:tcPr>
            <w:tcW w:w="1162" w:type="dxa"/>
          </w:tcPr>
          <w:p>
            <w:pPr>
              <w:pStyle w:val="TableParagraph"/>
              <w:spacing w:before="77"/>
              <w:ind w:right="66"/>
              <w:jc w:val="right"/>
              <w:rPr>
                <w:sz w:val="20"/>
              </w:rPr>
            </w:pPr>
            <w:r>
              <w:rPr>
                <w:w w:val="99"/>
                <w:sz w:val="20"/>
              </w:rPr>
              <w:t>5</w:t>
            </w:r>
          </w:p>
        </w:tc>
        <w:tc>
          <w:tcPr>
            <w:tcW w:w="1118" w:type="dxa"/>
          </w:tcPr>
          <w:p>
            <w:pPr>
              <w:pStyle w:val="TableParagraph"/>
              <w:spacing w:before="77"/>
              <w:ind w:right="61"/>
              <w:jc w:val="right"/>
              <w:rPr>
                <w:sz w:val="20"/>
              </w:rPr>
            </w:pPr>
            <w:r>
              <w:rPr>
                <w:sz w:val="20"/>
              </w:rPr>
              <w:t>50%</w:t>
            </w:r>
          </w:p>
        </w:tc>
      </w:tr>
      <w:tr>
        <w:trPr>
          <w:trHeight w:val="324" w:hRule="exact"/>
        </w:trPr>
        <w:tc>
          <w:tcPr>
            <w:tcW w:w="1440" w:type="dxa"/>
            <w:vMerge w:val="restart"/>
          </w:tcPr>
          <w:p>
            <w:pPr>
              <w:pStyle w:val="TableParagraph"/>
              <w:spacing w:before="9"/>
              <w:rPr>
                <w:b/>
                <w:sz w:val="17"/>
              </w:rPr>
            </w:pPr>
          </w:p>
          <w:p>
            <w:pPr>
              <w:pStyle w:val="TableParagraph"/>
              <w:ind w:left="495" w:right="495"/>
              <w:jc w:val="center"/>
              <w:rPr>
                <w:b/>
                <w:sz w:val="20"/>
              </w:rPr>
            </w:pPr>
            <w:r>
              <w:rPr>
                <w:b/>
                <w:sz w:val="20"/>
              </w:rPr>
              <w:t>2006</w:t>
            </w:r>
          </w:p>
        </w:tc>
        <w:tc>
          <w:tcPr>
            <w:tcW w:w="859" w:type="dxa"/>
          </w:tcPr>
          <w:p>
            <w:pPr>
              <w:pStyle w:val="TableParagraph"/>
              <w:spacing w:before="80"/>
              <w:ind w:left="64"/>
              <w:rPr>
                <w:sz w:val="20"/>
              </w:rPr>
            </w:pPr>
            <w:r>
              <w:rPr>
                <w:sz w:val="20"/>
              </w:rPr>
              <w:t>Hombre</w:t>
            </w:r>
          </w:p>
        </w:tc>
        <w:tc>
          <w:tcPr>
            <w:tcW w:w="1162" w:type="dxa"/>
          </w:tcPr>
          <w:p>
            <w:pPr>
              <w:pStyle w:val="TableParagraph"/>
              <w:spacing w:before="80"/>
              <w:ind w:right="66"/>
              <w:jc w:val="right"/>
              <w:rPr>
                <w:sz w:val="20"/>
              </w:rPr>
            </w:pPr>
            <w:r>
              <w:rPr>
                <w:w w:val="99"/>
                <w:sz w:val="20"/>
              </w:rPr>
              <w:t>8</w:t>
            </w:r>
          </w:p>
        </w:tc>
        <w:tc>
          <w:tcPr>
            <w:tcW w:w="1118" w:type="dxa"/>
          </w:tcPr>
          <w:p>
            <w:pPr>
              <w:pStyle w:val="TableParagraph"/>
              <w:spacing w:before="80"/>
              <w:ind w:right="61"/>
              <w:jc w:val="right"/>
              <w:rPr>
                <w:sz w:val="20"/>
              </w:rPr>
            </w:pPr>
            <w:r>
              <w:rPr>
                <w:sz w:val="20"/>
              </w:rPr>
              <w:t>42%</w:t>
            </w:r>
          </w:p>
        </w:tc>
      </w:tr>
      <w:tr>
        <w:trPr>
          <w:trHeight w:val="326" w:hRule="exact"/>
        </w:trPr>
        <w:tc>
          <w:tcPr>
            <w:tcW w:w="1440" w:type="dxa"/>
            <w:vMerge/>
          </w:tcPr>
          <w:p>
            <w:pPr/>
          </w:p>
        </w:tc>
        <w:tc>
          <w:tcPr>
            <w:tcW w:w="859" w:type="dxa"/>
          </w:tcPr>
          <w:p>
            <w:pPr>
              <w:pStyle w:val="TableParagraph"/>
              <w:spacing w:before="79"/>
              <w:ind w:left="64"/>
              <w:rPr>
                <w:sz w:val="20"/>
              </w:rPr>
            </w:pPr>
            <w:r>
              <w:rPr>
                <w:sz w:val="20"/>
              </w:rPr>
              <w:t>Mujer</w:t>
            </w:r>
          </w:p>
        </w:tc>
        <w:tc>
          <w:tcPr>
            <w:tcW w:w="1162" w:type="dxa"/>
          </w:tcPr>
          <w:p>
            <w:pPr>
              <w:pStyle w:val="TableParagraph"/>
              <w:spacing w:before="79"/>
              <w:ind w:right="62"/>
              <w:jc w:val="right"/>
              <w:rPr>
                <w:sz w:val="20"/>
              </w:rPr>
            </w:pPr>
            <w:r>
              <w:rPr>
                <w:sz w:val="20"/>
              </w:rPr>
              <w:t>11</w:t>
            </w:r>
          </w:p>
        </w:tc>
        <w:tc>
          <w:tcPr>
            <w:tcW w:w="1118" w:type="dxa"/>
          </w:tcPr>
          <w:p>
            <w:pPr>
              <w:pStyle w:val="TableParagraph"/>
              <w:spacing w:before="79"/>
              <w:ind w:right="61"/>
              <w:jc w:val="right"/>
              <w:rPr>
                <w:sz w:val="20"/>
              </w:rPr>
            </w:pPr>
            <w:r>
              <w:rPr>
                <w:sz w:val="20"/>
              </w:rPr>
              <w:t>58%</w:t>
            </w:r>
          </w:p>
        </w:tc>
      </w:tr>
      <w:tr>
        <w:trPr>
          <w:trHeight w:val="324" w:hRule="exact"/>
        </w:trPr>
        <w:tc>
          <w:tcPr>
            <w:tcW w:w="1440" w:type="dxa"/>
            <w:vMerge w:val="restart"/>
          </w:tcPr>
          <w:p>
            <w:pPr>
              <w:pStyle w:val="TableParagraph"/>
              <w:spacing w:before="6"/>
              <w:rPr>
                <w:b/>
                <w:sz w:val="17"/>
              </w:rPr>
            </w:pPr>
          </w:p>
          <w:p>
            <w:pPr>
              <w:pStyle w:val="TableParagraph"/>
              <w:ind w:left="495" w:right="495"/>
              <w:jc w:val="center"/>
              <w:rPr>
                <w:b/>
                <w:sz w:val="20"/>
              </w:rPr>
            </w:pPr>
            <w:r>
              <w:rPr>
                <w:b/>
                <w:sz w:val="20"/>
              </w:rPr>
              <w:t>2007</w:t>
            </w:r>
          </w:p>
        </w:tc>
        <w:tc>
          <w:tcPr>
            <w:tcW w:w="859" w:type="dxa"/>
          </w:tcPr>
          <w:p>
            <w:pPr>
              <w:pStyle w:val="TableParagraph"/>
              <w:spacing w:before="77"/>
              <w:ind w:left="64"/>
              <w:rPr>
                <w:sz w:val="20"/>
              </w:rPr>
            </w:pPr>
            <w:r>
              <w:rPr>
                <w:sz w:val="20"/>
              </w:rPr>
              <w:t>Hombre</w:t>
            </w:r>
          </w:p>
        </w:tc>
        <w:tc>
          <w:tcPr>
            <w:tcW w:w="1162" w:type="dxa"/>
          </w:tcPr>
          <w:p>
            <w:pPr>
              <w:pStyle w:val="TableParagraph"/>
              <w:spacing w:before="77"/>
              <w:ind w:right="66"/>
              <w:jc w:val="right"/>
              <w:rPr>
                <w:sz w:val="20"/>
              </w:rPr>
            </w:pPr>
            <w:r>
              <w:rPr>
                <w:w w:val="99"/>
                <w:sz w:val="20"/>
              </w:rPr>
              <w:t>4</w:t>
            </w:r>
          </w:p>
        </w:tc>
        <w:tc>
          <w:tcPr>
            <w:tcW w:w="1118" w:type="dxa"/>
          </w:tcPr>
          <w:p>
            <w:pPr>
              <w:pStyle w:val="TableParagraph"/>
              <w:spacing w:before="77"/>
              <w:ind w:right="61"/>
              <w:jc w:val="right"/>
              <w:rPr>
                <w:sz w:val="20"/>
              </w:rPr>
            </w:pPr>
            <w:r>
              <w:rPr>
                <w:sz w:val="20"/>
              </w:rPr>
              <w:t>40%</w:t>
            </w:r>
          </w:p>
        </w:tc>
      </w:tr>
      <w:tr>
        <w:trPr>
          <w:trHeight w:val="326" w:hRule="exact"/>
        </w:trPr>
        <w:tc>
          <w:tcPr>
            <w:tcW w:w="1440" w:type="dxa"/>
            <w:vMerge/>
          </w:tcPr>
          <w:p>
            <w:pPr/>
          </w:p>
        </w:tc>
        <w:tc>
          <w:tcPr>
            <w:tcW w:w="859" w:type="dxa"/>
          </w:tcPr>
          <w:p>
            <w:pPr>
              <w:pStyle w:val="TableParagraph"/>
              <w:spacing w:before="79"/>
              <w:ind w:left="64"/>
              <w:rPr>
                <w:sz w:val="20"/>
              </w:rPr>
            </w:pPr>
            <w:r>
              <w:rPr>
                <w:sz w:val="20"/>
              </w:rPr>
              <w:t>Mujer</w:t>
            </w:r>
          </w:p>
        </w:tc>
        <w:tc>
          <w:tcPr>
            <w:tcW w:w="1162" w:type="dxa"/>
          </w:tcPr>
          <w:p>
            <w:pPr>
              <w:pStyle w:val="TableParagraph"/>
              <w:spacing w:before="79"/>
              <w:ind w:right="66"/>
              <w:jc w:val="right"/>
              <w:rPr>
                <w:sz w:val="20"/>
              </w:rPr>
            </w:pPr>
            <w:r>
              <w:rPr>
                <w:w w:val="99"/>
                <w:sz w:val="20"/>
              </w:rPr>
              <w:t>6</w:t>
            </w:r>
          </w:p>
        </w:tc>
        <w:tc>
          <w:tcPr>
            <w:tcW w:w="1118" w:type="dxa"/>
          </w:tcPr>
          <w:p>
            <w:pPr>
              <w:pStyle w:val="TableParagraph"/>
              <w:spacing w:before="79"/>
              <w:ind w:right="61"/>
              <w:jc w:val="right"/>
              <w:rPr>
                <w:sz w:val="20"/>
              </w:rPr>
            </w:pPr>
            <w:r>
              <w:rPr>
                <w:sz w:val="20"/>
              </w:rPr>
              <w:t>60%</w:t>
            </w:r>
          </w:p>
        </w:tc>
      </w:tr>
      <w:tr>
        <w:trPr>
          <w:trHeight w:val="324" w:hRule="exact"/>
        </w:trPr>
        <w:tc>
          <w:tcPr>
            <w:tcW w:w="1440" w:type="dxa"/>
            <w:vMerge w:val="restart"/>
          </w:tcPr>
          <w:p>
            <w:pPr>
              <w:pStyle w:val="TableParagraph"/>
              <w:spacing w:before="6"/>
              <w:rPr>
                <w:b/>
                <w:sz w:val="17"/>
              </w:rPr>
            </w:pPr>
          </w:p>
          <w:p>
            <w:pPr>
              <w:pStyle w:val="TableParagraph"/>
              <w:ind w:left="495" w:right="495"/>
              <w:jc w:val="center"/>
              <w:rPr>
                <w:b/>
                <w:sz w:val="20"/>
              </w:rPr>
            </w:pPr>
            <w:r>
              <w:rPr>
                <w:b/>
                <w:sz w:val="20"/>
              </w:rPr>
              <w:t>2008</w:t>
            </w:r>
          </w:p>
        </w:tc>
        <w:tc>
          <w:tcPr>
            <w:tcW w:w="859" w:type="dxa"/>
          </w:tcPr>
          <w:p>
            <w:pPr>
              <w:pStyle w:val="TableParagraph"/>
              <w:spacing w:before="77"/>
              <w:ind w:left="64"/>
              <w:rPr>
                <w:sz w:val="20"/>
              </w:rPr>
            </w:pPr>
            <w:r>
              <w:rPr>
                <w:sz w:val="20"/>
              </w:rPr>
              <w:t>Hombre</w:t>
            </w:r>
          </w:p>
        </w:tc>
        <w:tc>
          <w:tcPr>
            <w:tcW w:w="1162" w:type="dxa"/>
          </w:tcPr>
          <w:p>
            <w:pPr>
              <w:pStyle w:val="TableParagraph"/>
              <w:spacing w:before="77"/>
              <w:ind w:right="66"/>
              <w:jc w:val="right"/>
              <w:rPr>
                <w:sz w:val="20"/>
              </w:rPr>
            </w:pPr>
            <w:r>
              <w:rPr>
                <w:w w:val="99"/>
                <w:sz w:val="20"/>
              </w:rPr>
              <w:t>8</w:t>
            </w:r>
          </w:p>
        </w:tc>
        <w:tc>
          <w:tcPr>
            <w:tcW w:w="1118" w:type="dxa"/>
          </w:tcPr>
          <w:p>
            <w:pPr>
              <w:pStyle w:val="TableParagraph"/>
              <w:spacing w:before="77"/>
              <w:ind w:right="61"/>
              <w:jc w:val="right"/>
              <w:rPr>
                <w:sz w:val="20"/>
              </w:rPr>
            </w:pPr>
            <w:r>
              <w:rPr>
                <w:sz w:val="20"/>
              </w:rPr>
              <w:t>57%</w:t>
            </w:r>
          </w:p>
        </w:tc>
      </w:tr>
      <w:tr>
        <w:trPr>
          <w:trHeight w:val="324" w:hRule="exact"/>
        </w:trPr>
        <w:tc>
          <w:tcPr>
            <w:tcW w:w="1440" w:type="dxa"/>
            <w:vMerge/>
          </w:tcPr>
          <w:p>
            <w:pPr/>
          </w:p>
        </w:tc>
        <w:tc>
          <w:tcPr>
            <w:tcW w:w="859" w:type="dxa"/>
          </w:tcPr>
          <w:p>
            <w:pPr>
              <w:pStyle w:val="TableParagraph"/>
              <w:spacing w:before="79"/>
              <w:ind w:left="64"/>
              <w:rPr>
                <w:sz w:val="20"/>
              </w:rPr>
            </w:pPr>
            <w:r>
              <w:rPr>
                <w:sz w:val="20"/>
              </w:rPr>
              <w:t>Mujer</w:t>
            </w:r>
          </w:p>
        </w:tc>
        <w:tc>
          <w:tcPr>
            <w:tcW w:w="1162" w:type="dxa"/>
          </w:tcPr>
          <w:p>
            <w:pPr>
              <w:pStyle w:val="TableParagraph"/>
              <w:spacing w:before="79"/>
              <w:ind w:right="66"/>
              <w:jc w:val="right"/>
              <w:rPr>
                <w:sz w:val="20"/>
              </w:rPr>
            </w:pPr>
            <w:r>
              <w:rPr>
                <w:w w:val="99"/>
                <w:sz w:val="20"/>
              </w:rPr>
              <w:t>6</w:t>
            </w:r>
          </w:p>
        </w:tc>
        <w:tc>
          <w:tcPr>
            <w:tcW w:w="1118" w:type="dxa"/>
          </w:tcPr>
          <w:p>
            <w:pPr>
              <w:pStyle w:val="TableParagraph"/>
              <w:spacing w:before="79"/>
              <w:ind w:right="61"/>
              <w:jc w:val="right"/>
              <w:rPr>
                <w:sz w:val="20"/>
              </w:rPr>
            </w:pPr>
            <w:r>
              <w:rPr>
                <w:sz w:val="20"/>
              </w:rPr>
              <w:t>43%</w:t>
            </w:r>
          </w:p>
        </w:tc>
      </w:tr>
      <w:tr>
        <w:trPr>
          <w:trHeight w:val="326" w:hRule="exact"/>
        </w:trPr>
        <w:tc>
          <w:tcPr>
            <w:tcW w:w="1440" w:type="dxa"/>
            <w:vMerge w:val="restart"/>
          </w:tcPr>
          <w:p>
            <w:pPr>
              <w:pStyle w:val="TableParagraph"/>
              <w:spacing w:before="9"/>
              <w:rPr>
                <w:b/>
                <w:sz w:val="17"/>
              </w:rPr>
            </w:pPr>
          </w:p>
          <w:p>
            <w:pPr>
              <w:pStyle w:val="TableParagraph"/>
              <w:ind w:left="495" w:right="495"/>
              <w:jc w:val="center"/>
              <w:rPr>
                <w:b/>
                <w:sz w:val="20"/>
              </w:rPr>
            </w:pPr>
            <w:r>
              <w:rPr>
                <w:b/>
                <w:sz w:val="20"/>
              </w:rPr>
              <w:t>2009</w:t>
            </w:r>
          </w:p>
        </w:tc>
        <w:tc>
          <w:tcPr>
            <w:tcW w:w="859" w:type="dxa"/>
          </w:tcPr>
          <w:p>
            <w:pPr>
              <w:pStyle w:val="TableParagraph"/>
              <w:spacing w:before="79"/>
              <w:ind w:left="64"/>
              <w:rPr>
                <w:sz w:val="20"/>
              </w:rPr>
            </w:pPr>
            <w:r>
              <w:rPr>
                <w:sz w:val="20"/>
              </w:rPr>
              <w:t>Hombre</w:t>
            </w:r>
          </w:p>
        </w:tc>
        <w:tc>
          <w:tcPr>
            <w:tcW w:w="1162" w:type="dxa"/>
          </w:tcPr>
          <w:p>
            <w:pPr>
              <w:pStyle w:val="TableParagraph"/>
              <w:spacing w:before="79"/>
              <w:ind w:right="66"/>
              <w:jc w:val="right"/>
              <w:rPr>
                <w:sz w:val="20"/>
              </w:rPr>
            </w:pPr>
            <w:r>
              <w:rPr>
                <w:w w:val="99"/>
                <w:sz w:val="20"/>
              </w:rPr>
              <w:t>8</w:t>
            </w:r>
          </w:p>
        </w:tc>
        <w:tc>
          <w:tcPr>
            <w:tcW w:w="1118" w:type="dxa"/>
          </w:tcPr>
          <w:p>
            <w:pPr>
              <w:pStyle w:val="TableParagraph"/>
              <w:spacing w:before="79"/>
              <w:ind w:right="61"/>
              <w:jc w:val="right"/>
              <w:rPr>
                <w:sz w:val="20"/>
              </w:rPr>
            </w:pPr>
            <w:r>
              <w:rPr>
                <w:sz w:val="20"/>
              </w:rPr>
              <w:t>42%</w:t>
            </w:r>
          </w:p>
        </w:tc>
      </w:tr>
      <w:tr>
        <w:trPr>
          <w:trHeight w:val="324" w:hRule="exact"/>
        </w:trPr>
        <w:tc>
          <w:tcPr>
            <w:tcW w:w="1440" w:type="dxa"/>
            <w:vMerge/>
          </w:tcPr>
          <w:p>
            <w:pPr/>
          </w:p>
        </w:tc>
        <w:tc>
          <w:tcPr>
            <w:tcW w:w="859" w:type="dxa"/>
          </w:tcPr>
          <w:p>
            <w:pPr>
              <w:pStyle w:val="TableParagraph"/>
              <w:spacing w:before="77"/>
              <w:ind w:left="64"/>
              <w:rPr>
                <w:sz w:val="20"/>
              </w:rPr>
            </w:pPr>
            <w:r>
              <w:rPr>
                <w:sz w:val="20"/>
              </w:rPr>
              <w:t>Mujer</w:t>
            </w:r>
          </w:p>
        </w:tc>
        <w:tc>
          <w:tcPr>
            <w:tcW w:w="1162" w:type="dxa"/>
          </w:tcPr>
          <w:p>
            <w:pPr>
              <w:pStyle w:val="TableParagraph"/>
              <w:spacing w:before="77"/>
              <w:ind w:right="62"/>
              <w:jc w:val="right"/>
              <w:rPr>
                <w:sz w:val="20"/>
              </w:rPr>
            </w:pPr>
            <w:r>
              <w:rPr>
                <w:sz w:val="20"/>
              </w:rPr>
              <w:t>11</w:t>
            </w:r>
          </w:p>
        </w:tc>
        <w:tc>
          <w:tcPr>
            <w:tcW w:w="1118" w:type="dxa"/>
          </w:tcPr>
          <w:p>
            <w:pPr>
              <w:pStyle w:val="TableParagraph"/>
              <w:spacing w:before="77"/>
              <w:ind w:right="61"/>
              <w:jc w:val="right"/>
              <w:rPr>
                <w:sz w:val="20"/>
              </w:rPr>
            </w:pPr>
            <w:r>
              <w:rPr>
                <w:sz w:val="20"/>
              </w:rPr>
              <w:t>58%</w:t>
            </w:r>
          </w:p>
        </w:tc>
      </w:tr>
      <w:tr>
        <w:trPr>
          <w:trHeight w:val="326" w:hRule="exact"/>
        </w:trPr>
        <w:tc>
          <w:tcPr>
            <w:tcW w:w="1440" w:type="dxa"/>
            <w:vMerge w:val="restart"/>
          </w:tcPr>
          <w:p>
            <w:pPr>
              <w:pStyle w:val="TableParagraph"/>
              <w:spacing w:before="9"/>
              <w:rPr>
                <w:b/>
                <w:sz w:val="17"/>
              </w:rPr>
            </w:pPr>
          </w:p>
          <w:p>
            <w:pPr>
              <w:pStyle w:val="TableParagraph"/>
              <w:ind w:left="495" w:right="495"/>
              <w:jc w:val="center"/>
              <w:rPr>
                <w:b/>
                <w:sz w:val="20"/>
              </w:rPr>
            </w:pPr>
            <w:r>
              <w:rPr>
                <w:b/>
                <w:sz w:val="20"/>
              </w:rPr>
              <w:t>2010</w:t>
            </w:r>
          </w:p>
        </w:tc>
        <w:tc>
          <w:tcPr>
            <w:tcW w:w="859" w:type="dxa"/>
          </w:tcPr>
          <w:p>
            <w:pPr>
              <w:pStyle w:val="TableParagraph"/>
              <w:spacing w:before="79"/>
              <w:ind w:left="64"/>
              <w:rPr>
                <w:sz w:val="20"/>
              </w:rPr>
            </w:pPr>
            <w:r>
              <w:rPr>
                <w:sz w:val="20"/>
              </w:rPr>
              <w:t>Hombre</w:t>
            </w:r>
          </w:p>
        </w:tc>
        <w:tc>
          <w:tcPr>
            <w:tcW w:w="1162" w:type="dxa"/>
          </w:tcPr>
          <w:p>
            <w:pPr>
              <w:pStyle w:val="TableParagraph"/>
              <w:spacing w:before="79"/>
              <w:ind w:right="66"/>
              <w:jc w:val="right"/>
              <w:rPr>
                <w:sz w:val="20"/>
              </w:rPr>
            </w:pPr>
            <w:r>
              <w:rPr>
                <w:w w:val="99"/>
                <w:sz w:val="20"/>
              </w:rPr>
              <w:t>9</w:t>
            </w:r>
          </w:p>
        </w:tc>
        <w:tc>
          <w:tcPr>
            <w:tcW w:w="1118" w:type="dxa"/>
          </w:tcPr>
          <w:p>
            <w:pPr>
              <w:pStyle w:val="TableParagraph"/>
              <w:spacing w:before="79"/>
              <w:ind w:right="61"/>
              <w:jc w:val="right"/>
              <w:rPr>
                <w:sz w:val="20"/>
              </w:rPr>
            </w:pPr>
            <w:r>
              <w:rPr>
                <w:sz w:val="20"/>
              </w:rPr>
              <w:t>41%</w:t>
            </w:r>
          </w:p>
        </w:tc>
      </w:tr>
      <w:tr>
        <w:trPr>
          <w:trHeight w:val="324" w:hRule="exact"/>
        </w:trPr>
        <w:tc>
          <w:tcPr>
            <w:tcW w:w="1440" w:type="dxa"/>
            <w:vMerge/>
          </w:tcPr>
          <w:p>
            <w:pPr/>
          </w:p>
        </w:tc>
        <w:tc>
          <w:tcPr>
            <w:tcW w:w="859" w:type="dxa"/>
          </w:tcPr>
          <w:p>
            <w:pPr>
              <w:pStyle w:val="TableParagraph"/>
              <w:spacing w:before="77"/>
              <w:ind w:left="64"/>
              <w:rPr>
                <w:sz w:val="20"/>
              </w:rPr>
            </w:pPr>
            <w:r>
              <w:rPr>
                <w:sz w:val="20"/>
              </w:rPr>
              <w:t>Mujer</w:t>
            </w:r>
          </w:p>
        </w:tc>
        <w:tc>
          <w:tcPr>
            <w:tcW w:w="1162" w:type="dxa"/>
          </w:tcPr>
          <w:p>
            <w:pPr>
              <w:pStyle w:val="TableParagraph"/>
              <w:spacing w:before="77"/>
              <w:ind w:right="62"/>
              <w:jc w:val="right"/>
              <w:rPr>
                <w:sz w:val="20"/>
              </w:rPr>
            </w:pPr>
            <w:r>
              <w:rPr>
                <w:sz w:val="20"/>
              </w:rPr>
              <w:t>13</w:t>
            </w:r>
          </w:p>
        </w:tc>
        <w:tc>
          <w:tcPr>
            <w:tcW w:w="1118" w:type="dxa"/>
          </w:tcPr>
          <w:p>
            <w:pPr>
              <w:pStyle w:val="TableParagraph"/>
              <w:spacing w:before="77"/>
              <w:ind w:right="61"/>
              <w:jc w:val="right"/>
              <w:rPr>
                <w:sz w:val="20"/>
              </w:rPr>
            </w:pPr>
            <w:r>
              <w:rPr>
                <w:sz w:val="20"/>
              </w:rPr>
              <w:t>59%</w:t>
            </w:r>
          </w:p>
        </w:tc>
      </w:tr>
    </w:tbl>
    <w:p>
      <w:pPr>
        <w:spacing w:line="226" w:lineRule="exact" w:before="0"/>
        <w:ind w:left="0" w:right="16" w:firstLine="0"/>
        <w:jc w:val="center"/>
        <w:rPr>
          <w:sz w:val="20"/>
        </w:rPr>
      </w:pPr>
      <w:r>
        <w:rPr>
          <w:sz w:val="20"/>
        </w:rPr>
        <w:t>Fuente: elaboración propia.</w:t>
      </w:r>
    </w:p>
    <w:p>
      <w:pPr>
        <w:pStyle w:val="BodyText"/>
        <w:rPr>
          <w:sz w:val="20"/>
        </w:rPr>
      </w:pPr>
    </w:p>
    <w:p>
      <w:pPr>
        <w:pStyle w:val="BodyText"/>
        <w:spacing w:before="10"/>
        <w:rPr>
          <w:sz w:val="25"/>
        </w:rPr>
      </w:pPr>
    </w:p>
    <w:p>
      <w:pPr>
        <w:pStyle w:val="Heading3"/>
        <w:numPr>
          <w:ilvl w:val="1"/>
          <w:numId w:val="75"/>
        </w:numPr>
        <w:tabs>
          <w:tab w:pos="522" w:val="left" w:leader="none"/>
        </w:tabs>
        <w:spacing w:line="240" w:lineRule="auto" w:before="70" w:after="0"/>
        <w:ind w:left="522" w:right="0" w:hanging="420"/>
        <w:jc w:val="left"/>
      </w:pPr>
      <w:bookmarkStart w:name="_bookmark74" w:id="135"/>
      <w:bookmarkEnd w:id="135"/>
      <w:r>
        <w:rPr>
          <w:b w:val="0"/>
        </w:rPr>
      </w:r>
      <w:bookmarkStart w:name="_bookmark74" w:id="136"/>
      <w:bookmarkEnd w:id="136"/>
      <w:r>
        <w:rPr/>
        <w:t>As</w:t>
      </w:r>
      <w:r>
        <w:rPr/>
        <w:t>ertividad de la</w:t>
      </w:r>
      <w:r>
        <w:rPr>
          <w:spacing w:val="-2"/>
        </w:rPr>
        <w:t> </w:t>
      </w:r>
      <w:r>
        <w:rPr/>
        <w:t>transición</w:t>
      </w:r>
    </w:p>
    <w:p>
      <w:pPr>
        <w:pStyle w:val="BodyText"/>
        <w:rPr>
          <w:b/>
        </w:rPr>
      </w:pPr>
    </w:p>
    <w:p>
      <w:pPr>
        <w:pStyle w:val="BodyText"/>
        <w:spacing w:before="6"/>
        <w:rPr>
          <w:b/>
          <w:sz w:val="23"/>
        </w:rPr>
      </w:pPr>
    </w:p>
    <w:p>
      <w:pPr>
        <w:pStyle w:val="BodyText"/>
        <w:spacing w:line="360" w:lineRule="auto"/>
        <w:ind w:left="102" w:right="117"/>
      </w:pPr>
      <w:r>
        <w:rPr/>
        <w:t>Esta sección tiene la intención de conocer la eficacia que tienen los métodos de búsqueda  de empleo por parte de los egresados. En dónde la preparación académica del nivel</w:t>
      </w:r>
      <w:r>
        <w:rPr>
          <w:spacing w:val="9"/>
        </w:rPr>
        <w:t> </w:t>
      </w:r>
      <w:r>
        <w:rPr/>
        <w:t>superior</w:t>
      </w:r>
    </w:p>
    <w:p>
      <w:pPr>
        <w:spacing w:after="0" w:line="360" w:lineRule="auto"/>
        <w:sectPr>
          <w:pgSz w:w="12240" w:h="15840"/>
          <w:pgMar w:header="0" w:footer="1003" w:top="1360" w:bottom="1200" w:left="1600" w:right="1580"/>
        </w:sectPr>
      </w:pPr>
    </w:p>
    <w:p>
      <w:pPr>
        <w:pStyle w:val="BodyText"/>
        <w:spacing w:line="360" w:lineRule="auto" w:before="50"/>
        <w:ind w:left="122" w:right="117"/>
        <w:jc w:val="both"/>
      </w:pPr>
      <w:r>
        <w:rPr/>
        <w:t>y los resultados en preparación y habilidades obtenidos durante los años universitarios son los principales puntos de análisis.</w:t>
      </w:r>
    </w:p>
    <w:p>
      <w:pPr>
        <w:pStyle w:val="BodyText"/>
      </w:pPr>
    </w:p>
    <w:p>
      <w:pPr>
        <w:pStyle w:val="BodyText"/>
        <w:spacing w:line="360" w:lineRule="auto" w:before="143"/>
        <w:ind w:left="122" w:right="116"/>
        <w:jc w:val="both"/>
      </w:pPr>
      <w:r>
        <w:rPr/>
        <w:t>Uno de los datos más significativos de este apartado es la alta tasa de empleo que tienen los egresados de economía ya que, el 95% contestó que sí ha trabajado. El 5% que dijo que “no”, de estos últimos que no han trabajado la mayoría refirió a que se encuentran estudiando una maestría, Lo que permite observar para esta muestra que es una de las carreras con alta empleabilidad.</w:t>
      </w:r>
    </w:p>
    <w:p>
      <w:pPr>
        <w:pStyle w:val="BodyText"/>
      </w:pPr>
    </w:p>
    <w:p>
      <w:pPr>
        <w:pStyle w:val="BodyText"/>
        <w:spacing w:line="360" w:lineRule="auto" w:before="143"/>
        <w:ind w:left="122" w:right="115"/>
        <w:jc w:val="both"/>
      </w:pPr>
      <w:r>
        <w:rPr/>
        <w:t>La calificación promedio obtenida al finalizar la carrera, tal como se plantea en la teoría de las señales (Gómez et. al, 2008) es una de las características más valoradas por los empleadores, especialmente si se trata del primer empleo, es decir, evaluar el expediente académico de los candidatos para tomar la decisión de contratarlos o no. Los resultados reportaron que el 13% obtuvo un promedio entre 9 y 10; el 68% entre 8 y 8.9; el 18% entre 7 y 7.9; y el 2% entre 6 y 6.9. Como se observa el 81% de los egresados obtuvo promedios entre 8 y 10, lo que da muestra de una buena preparación académica.</w:t>
      </w:r>
    </w:p>
    <w:p>
      <w:pPr>
        <w:pStyle w:val="BodyText"/>
      </w:pPr>
    </w:p>
    <w:p>
      <w:pPr>
        <w:pStyle w:val="BodyText"/>
        <w:spacing w:line="360" w:lineRule="auto" w:before="143"/>
        <w:ind w:left="122" w:right="114"/>
        <w:jc w:val="both"/>
      </w:pPr>
      <w:r>
        <w:rPr/>
        <w:t>Sí se analizan las calificaciones promedio y el porcentaje que sí ha trabajado, se verifica  que el supuesto se cumple, las calificaciones son consideradas una “señal” para ser contratados, tal como se plantea en la teoría los empleadores (Gómez et. al, 2008) sí consideran  un aspecto relevante que el candidato haya concluido una carrera universitaria  y el promedio que obtuvo, como se ve reflejado en este caso de</w:t>
      </w:r>
      <w:r>
        <w:rPr>
          <w:spacing w:val="-8"/>
        </w:rPr>
        <w:t> </w:t>
      </w:r>
      <w:r>
        <w:rPr/>
        <w:t>estudio.</w:t>
      </w:r>
    </w:p>
    <w:p>
      <w:pPr>
        <w:pStyle w:val="BodyText"/>
        <w:spacing w:line="345" w:lineRule="auto" w:before="4"/>
        <w:ind w:left="122" w:right="116"/>
        <w:jc w:val="both"/>
      </w:pPr>
      <w:r>
        <w:rPr/>
        <w:t>Otro aspecto a evaluar para confirmar la teoría de las señales, fue inquirir respecto a sí han estudiado una especialidad en economía, 18% contestó que sí, y 82% que no. En dónde destacó la maestría</w:t>
      </w:r>
      <w:r>
        <w:rPr>
          <w:position w:val="11"/>
          <w:sz w:val="16"/>
        </w:rPr>
        <w:t>28  </w:t>
      </w:r>
      <w:r>
        <w:rPr/>
        <w:t>en economía con mayor número de respuestas.  Lo    que indica que si</w:t>
      </w:r>
    </w:p>
    <w:p>
      <w:pPr>
        <w:pStyle w:val="BodyText"/>
        <w:spacing w:line="360" w:lineRule="auto" w:before="6"/>
        <w:ind w:left="122" w:right="117"/>
        <w:jc w:val="both"/>
      </w:pPr>
      <w:r>
        <w:rPr/>
        <w:t>existe el interés de seguir invirtiendo en su capacitación y adquisición de capital humano, sólo que el porcentaje que así lo hizo en esta muestra es muy bajo. Se puede inferir que los individuos, tal como lo plantean Mincer (1958) y Schultz (1961) esperan que a mayor inversión en capital humano repercuta en mejores salarios anuales en el largo plazo.</w:t>
      </w:r>
    </w:p>
    <w:p>
      <w:pPr>
        <w:pStyle w:val="BodyText"/>
        <w:rPr>
          <w:sz w:val="13"/>
        </w:rPr>
      </w:pPr>
      <w:r>
        <w:rPr/>
        <w:pict>
          <v:line style="position:absolute;mso-position-horizontal-relative:page;mso-position-vertical-relative:paragraph;z-index:4936;mso-wrap-distance-left:0;mso-wrap-distance-right:0" from="85.103996pt,9.839752pt" to="229.123996pt,9.839752pt" stroked="true" strokeweight=".72003pt" strokecolor="#000000">
            <w10:wrap type="topAndBottom"/>
          </v:line>
        </w:pict>
      </w:r>
    </w:p>
    <w:p>
      <w:pPr>
        <w:spacing w:line="242" w:lineRule="auto" w:before="39"/>
        <w:ind w:left="122" w:right="118" w:firstLine="0"/>
        <w:jc w:val="both"/>
        <w:rPr>
          <w:sz w:val="20"/>
        </w:rPr>
      </w:pPr>
      <w:r>
        <w:rPr>
          <w:rFonts w:ascii="Calibri" w:hAnsi="Calibri"/>
          <w:position w:val="10"/>
          <w:sz w:val="13"/>
        </w:rPr>
        <w:t>28 </w:t>
      </w:r>
      <w:r>
        <w:rPr>
          <w:sz w:val="20"/>
        </w:rPr>
        <w:t>Los resultados presentados son reales y fieles a los obtenidos en la encuesta, aun cuando se sabe que estudiar una maestría en economía es diferente a una especialidad, </w:t>
      </w:r>
      <w:r>
        <w:rPr>
          <w:spacing w:val="2"/>
          <w:sz w:val="20"/>
        </w:rPr>
        <w:t>se </w:t>
      </w:r>
      <w:r>
        <w:rPr>
          <w:sz w:val="20"/>
        </w:rPr>
        <w:t>asume que los encuestados los interpretan como</w:t>
      </w:r>
      <w:r>
        <w:rPr>
          <w:spacing w:val="-12"/>
          <w:sz w:val="20"/>
        </w:rPr>
        <w:t> </w:t>
      </w:r>
      <w:r>
        <w:rPr>
          <w:sz w:val="20"/>
        </w:rPr>
        <w:t>sinónimos.</w:t>
      </w:r>
    </w:p>
    <w:p>
      <w:pPr>
        <w:spacing w:after="0" w:line="242" w:lineRule="auto"/>
        <w:jc w:val="both"/>
        <w:rPr>
          <w:sz w:val="20"/>
        </w:rPr>
        <w:sectPr>
          <w:pgSz w:w="12240" w:h="15840"/>
          <w:pgMar w:header="0" w:footer="1003" w:top="1360" w:bottom="1200" w:left="1580" w:right="1580"/>
        </w:sectPr>
      </w:pPr>
    </w:p>
    <w:p>
      <w:pPr>
        <w:pStyle w:val="BodyText"/>
        <w:spacing w:before="3"/>
        <w:rPr>
          <w:sz w:val="22"/>
        </w:rPr>
      </w:pPr>
    </w:p>
    <w:p>
      <w:pPr>
        <w:pStyle w:val="BodyText"/>
        <w:spacing w:line="360" w:lineRule="auto" w:before="70"/>
        <w:ind w:left="102" w:right="119"/>
        <w:jc w:val="both"/>
      </w:pPr>
      <w:r>
        <w:rPr/>
        <w:t>En años recientes los jóvenes han optado por estudiar una segunda carrera en lugar de cursar una maestría (Liajorgge, 2010) por ello se preguntó si han estudiado otra carrera, a lo que 6 % contestó que sí, no encontrando ninguna coincidencia con las ciencias económico administrativas, en la segunda carrera</w:t>
      </w:r>
      <w:r>
        <w:rPr>
          <w:spacing w:val="-10"/>
        </w:rPr>
        <w:t> </w:t>
      </w:r>
      <w:r>
        <w:rPr/>
        <w:t>elegida.</w:t>
      </w:r>
    </w:p>
    <w:p>
      <w:pPr>
        <w:pStyle w:val="BodyText"/>
      </w:pPr>
    </w:p>
    <w:p>
      <w:pPr>
        <w:pStyle w:val="BodyText"/>
        <w:spacing w:line="360" w:lineRule="auto" w:before="143"/>
        <w:ind w:left="102" w:right="114"/>
        <w:jc w:val="both"/>
      </w:pPr>
      <w:r>
        <w:rPr/>
        <w:t>Respecto a la titulación, el 82% de los encuestados respondió estar titulado contra el 18% que no está titulado, con lo cual nuevamente se confirma la teoría de las señales (Gómez et. al, 2008), contar con un título universitario ayuda a los egresados a ser contratados, en mejores condiciones lo cual no sólo en el salario, sino en el tipo de actividades encomendadas. Al analizar los resultados del año de titulación se observa (gráfica 6.1.) que al menos transcurre un año desde el momento de egreso hasta que obtienen su título universitario.</w:t>
      </w:r>
    </w:p>
    <w:p>
      <w:pPr>
        <w:pStyle w:val="Heading3"/>
        <w:spacing w:before="11"/>
        <w:ind w:left="3006"/>
        <w:jc w:val="left"/>
      </w:pPr>
      <w:r>
        <w:rPr/>
        <w:t>Gráfica 6.1. Año de titulación</w:t>
      </w:r>
    </w:p>
    <w:p>
      <w:pPr>
        <w:pStyle w:val="BodyText"/>
        <w:spacing w:before="2"/>
        <w:rPr>
          <w:b/>
          <w:sz w:val="29"/>
        </w:rPr>
      </w:pPr>
    </w:p>
    <w:p>
      <w:pPr>
        <w:spacing w:line="223" w:lineRule="exact" w:before="59"/>
        <w:ind w:left="0" w:right="7569" w:firstLine="0"/>
        <w:jc w:val="center"/>
        <w:rPr>
          <w:rFonts w:ascii="Calibri"/>
          <w:sz w:val="20"/>
        </w:rPr>
      </w:pPr>
      <w:r>
        <w:rPr/>
        <w:pict>
          <v:group style="position:absolute;margin-left:128.024994pt;margin-top:9.236495pt;width:373pt;height:64.25pt;mso-position-horizontal-relative:page;mso-position-vertical-relative:paragraph;z-index:5248" coordorigin="2560,185" coordsize="7460,1285">
            <v:shape style="position:absolute;left:2633;top:1195;width:7380;height:2" coordorigin="2633,1195" coordsize="7380,0" path="m9912,1195l10013,1195m9295,1195l9502,1195m8681,1195l8887,1195m8066,1195l8270,1195m7450,1195l7656,1195m6835,1195l7042,1195m6221,1195l6425,1195m4990,1195l5810,1195m2633,1195l4579,1195e" filled="false" stroked="true" strokeweight=".72pt" strokecolor="#858585">
              <v:path arrowok="t"/>
            </v:shape>
            <v:shape style="position:absolute;left:4579;top:1075;width:1642;height:322" coordorigin="4579,1075" coordsize="1642,322" path="m4990,1157l4579,1157,4579,1397,4990,1397,4990,1157m5606,1236l5196,1236,5196,1397,5606,1397,5606,1236m6221,1075l5810,1075,5810,1397,6221,1397,6221,1075e" filled="true" fillcolor="#4f81bc" stroked="false">
              <v:path arrowok="t"/>
              <v:fill type="solid"/>
            </v:shape>
            <v:line style="position:absolute" from="2633,996" to="7042,996" stroked="true" strokeweight=".72pt" strokecolor="#858585"/>
            <v:rect style="position:absolute;left:6425;top:1035;width:410;height:362" filled="true" fillcolor="#4f81bc" stroked="false">
              <v:fill type="solid"/>
            </v:rect>
            <v:line style="position:absolute" from="7450,996" to="7656,996" stroked="true" strokeweight=".72pt" strokecolor="#858585"/>
            <v:rect style="position:absolute;left:7042;top:874;width:408;height:523" filled="true" fillcolor="#4f81bc" stroked="false">
              <v:fill type="solid"/>
            </v:rect>
            <v:line style="position:absolute" from="8066,996" to="9502,996" stroked="true" strokeweight=".72pt" strokecolor="#858585"/>
            <v:shape style="position:absolute;left:7656;top:915;width:1640;height:483" coordorigin="7656,915" coordsize="1640,483" path="m8066,915l7656,915,7656,1397,8066,1397,8066,915m8681,1157l8270,1157,8270,1397,8681,1397,8681,1157m9295,1075l8887,1075,8887,1397,9295,1397,9295,1075e" filled="true" fillcolor="#4f81bc" stroked="false">
              <v:path arrowok="t"/>
              <v:fill type="solid"/>
            </v:shape>
            <v:shape style="position:absolute;left:2633;top:391;width:7380;height:605" coordorigin="2633,391" coordsize="7380,605" path="m9912,996l10013,996m9912,795l10013,795m2633,795l9502,795m9912,593l10013,593m2633,593l9502,593m9912,391l10013,391m2633,391l9502,391e" filled="false" stroked="true" strokeweight=".72pt" strokecolor="#858585">
              <v:path arrowok="t"/>
            </v:shape>
            <v:rect style="position:absolute;left:9502;top:312;width:410;height:1085" filled="true" fillcolor="#4f81bc" stroked="false">
              <v:fill type="solid"/>
            </v:rect>
            <v:shape style="position:absolute;left:2568;top:192;width:7445;height:1205" coordorigin="2568,192" coordsize="7445,1205" path="m2633,192l10013,192m2633,1397l2633,192m2568,1397l2633,1397m2568,1195l2633,1195m2568,996l2633,996m2568,795l2633,795m2568,593l2633,593m2568,391l2633,391m2568,192l2633,192e" filled="false" stroked="true" strokeweight=".72pt" strokecolor="#858585">
              <v:path arrowok="t"/>
            </v:shape>
            <v:line style="position:absolute" from="3350,1357" to="3761,1357" stroked="true" strokeweight="3.96pt" strokecolor="#4f81bc"/>
            <v:rect style="position:absolute;left:3965;top:1277;width:410;height:120" filled="true" fillcolor="#4f81bc" stroked="false">
              <v:fill type="solid"/>
            </v:rect>
            <v:shape style="position:absolute;left:2633;top:1397;width:7380;height:65" coordorigin="2633,1397" coordsize="7380,65" path="m2633,1397l10013,1397m2633,1397l2633,1462m3247,1397l3247,1462m3862,1397l3862,1462m4478,1397l4478,1462m5093,1397l5093,1462m5707,1397l5707,1462m6324,1397l6324,1462m6938,1397l6938,1462m7553,1397l7553,1462m8170,1397l8170,1462m8784,1397l8784,1462m9398,1397l9398,1462m10013,1397l10013,1462e" filled="false" stroked="true" strokeweight=".72pt" strokecolor="#858585">
              <v:path arrowok="t"/>
            </v:shape>
            <w10:wrap type="none"/>
          </v:group>
        </w:pict>
      </w:r>
      <w:r>
        <w:rPr>
          <w:rFonts w:ascii="Calibri"/>
          <w:sz w:val="20"/>
        </w:rPr>
        <w:t>30</w:t>
      </w:r>
    </w:p>
    <w:p>
      <w:pPr>
        <w:spacing w:line="201" w:lineRule="exact" w:before="0"/>
        <w:ind w:left="0" w:right="7569" w:firstLine="0"/>
        <w:jc w:val="center"/>
        <w:rPr>
          <w:rFonts w:ascii="Calibri"/>
          <w:sz w:val="20"/>
        </w:rPr>
      </w:pPr>
      <w:r>
        <w:rPr>
          <w:rFonts w:ascii="Calibri"/>
          <w:sz w:val="20"/>
        </w:rPr>
        <w:t>25</w:t>
      </w:r>
    </w:p>
    <w:p>
      <w:pPr>
        <w:spacing w:line="201" w:lineRule="exact" w:before="0"/>
        <w:ind w:left="0" w:right="7569" w:firstLine="0"/>
        <w:jc w:val="center"/>
        <w:rPr>
          <w:rFonts w:ascii="Calibri"/>
          <w:sz w:val="20"/>
        </w:rPr>
      </w:pPr>
      <w:r>
        <w:rPr>
          <w:rFonts w:ascii="Calibri"/>
          <w:sz w:val="20"/>
        </w:rPr>
        <w:t>20</w:t>
      </w:r>
    </w:p>
    <w:p>
      <w:pPr>
        <w:spacing w:line="201" w:lineRule="exact" w:before="0"/>
        <w:ind w:left="0" w:right="7569" w:firstLine="0"/>
        <w:jc w:val="center"/>
        <w:rPr>
          <w:rFonts w:ascii="Calibri"/>
          <w:sz w:val="20"/>
        </w:rPr>
      </w:pPr>
      <w:r>
        <w:rPr>
          <w:rFonts w:ascii="Calibri"/>
          <w:sz w:val="20"/>
        </w:rPr>
        <w:t>15</w:t>
      </w:r>
    </w:p>
    <w:p>
      <w:pPr>
        <w:spacing w:line="201" w:lineRule="exact" w:before="0"/>
        <w:ind w:left="0" w:right="7569" w:firstLine="0"/>
        <w:jc w:val="center"/>
        <w:rPr>
          <w:rFonts w:ascii="Calibri"/>
          <w:sz w:val="20"/>
        </w:rPr>
      </w:pPr>
      <w:r>
        <w:rPr>
          <w:rFonts w:ascii="Calibri"/>
          <w:sz w:val="20"/>
        </w:rPr>
        <w:t>10</w:t>
      </w:r>
    </w:p>
    <w:p>
      <w:pPr>
        <w:spacing w:line="201" w:lineRule="exact" w:before="0"/>
        <w:ind w:left="0" w:right="7467" w:firstLine="0"/>
        <w:jc w:val="center"/>
        <w:rPr>
          <w:rFonts w:ascii="Calibri"/>
          <w:sz w:val="20"/>
        </w:rPr>
      </w:pPr>
      <w:r>
        <w:rPr>
          <w:rFonts w:ascii="Calibri"/>
          <w:w w:val="99"/>
          <w:sz w:val="20"/>
        </w:rPr>
        <w:t>5</w:t>
      </w:r>
    </w:p>
    <w:p>
      <w:pPr>
        <w:spacing w:line="223" w:lineRule="exact" w:before="0"/>
        <w:ind w:left="0" w:right="7467" w:firstLine="0"/>
        <w:jc w:val="center"/>
        <w:rPr>
          <w:rFonts w:ascii="Calibri"/>
          <w:sz w:val="20"/>
        </w:rPr>
      </w:pPr>
      <w:r>
        <w:rPr/>
        <w:drawing>
          <wp:anchor distT="0" distB="0" distL="0" distR="0" allowOverlap="1" layoutInCell="1" locked="0" behindDoc="0" simplePos="0" relativeHeight="4960">
            <wp:simplePos x="0" y="0"/>
            <wp:positionH relativeFrom="page">
              <wp:posOffset>1668907</wp:posOffset>
            </wp:positionH>
            <wp:positionV relativeFrom="paragraph">
              <wp:posOffset>193585</wp:posOffset>
            </wp:positionV>
            <wp:extent cx="214489" cy="219075"/>
            <wp:effectExtent l="0" t="0" r="0" b="0"/>
            <wp:wrapTopAndBottom/>
            <wp:docPr id="37" name="image66.png" descr=""/>
            <wp:cNvGraphicFramePr>
              <a:graphicFrameLocks noChangeAspect="1"/>
            </wp:cNvGraphicFramePr>
            <a:graphic>
              <a:graphicData uri="http://schemas.openxmlformats.org/drawingml/2006/picture">
                <pic:pic>
                  <pic:nvPicPr>
                    <pic:cNvPr id="38" name="image66.png"/>
                    <pic:cNvPicPr/>
                  </pic:nvPicPr>
                  <pic:blipFill>
                    <a:blip r:embed="rId104" cstate="print"/>
                    <a:stretch>
                      <a:fillRect/>
                    </a:stretch>
                  </pic:blipFill>
                  <pic:spPr>
                    <a:xfrm>
                      <a:off x="0" y="0"/>
                      <a:ext cx="214489" cy="219075"/>
                    </a:xfrm>
                    <a:prstGeom prst="rect">
                      <a:avLst/>
                    </a:prstGeom>
                  </pic:spPr>
                </pic:pic>
              </a:graphicData>
            </a:graphic>
          </wp:anchor>
        </w:drawing>
      </w:r>
      <w:r>
        <w:rPr/>
        <w:drawing>
          <wp:anchor distT="0" distB="0" distL="0" distR="0" allowOverlap="1" layoutInCell="1" locked="0" behindDoc="0" simplePos="0" relativeHeight="4984">
            <wp:simplePos x="0" y="0"/>
            <wp:positionH relativeFrom="page">
              <wp:posOffset>2059558</wp:posOffset>
            </wp:positionH>
            <wp:positionV relativeFrom="paragraph">
              <wp:posOffset>197395</wp:posOffset>
            </wp:positionV>
            <wp:extent cx="221287" cy="214312"/>
            <wp:effectExtent l="0" t="0" r="0" b="0"/>
            <wp:wrapTopAndBottom/>
            <wp:docPr id="39" name="image67.png" descr=""/>
            <wp:cNvGraphicFramePr>
              <a:graphicFrameLocks noChangeAspect="1"/>
            </wp:cNvGraphicFramePr>
            <a:graphic>
              <a:graphicData uri="http://schemas.openxmlformats.org/drawingml/2006/picture">
                <pic:pic>
                  <pic:nvPicPr>
                    <pic:cNvPr id="40" name="image67.png"/>
                    <pic:cNvPicPr/>
                  </pic:nvPicPr>
                  <pic:blipFill>
                    <a:blip r:embed="rId105" cstate="print"/>
                    <a:stretch>
                      <a:fillRect/>
                    </a:stretch>
                  </pic:blipFill>
                  <pic:spPr>
                    <a:xfrm>
                      <a:off x="0" y="0"/>
                      <a:ext cx="221287" cy="214312"/>
                    </a:xfrm>
                    <a:prstGeom prst="rect">
                      <a:avLst/>
                    </a:prstGeom>
                  </pic:spPr>
                </pic:pic>
              </a:graphicData>
            </a:graphic>
          </wp:anchor>
        </w:drawing>
      </w:r>
      <w:r>
        <w:rPr/>
        <w:drawing>
          <wp:anchor distT="0" distB="0" distL="0" distR="0" allowOverlap="1" layoutInCell="1" locked="0" behindDoc="0" simplePos="0" relativeHeight="5008">
            <wp:simplePos x="0" y="0"/>
            <wp:positionH relativeFrom="page">
              <wp:posOffset>2450083</wp:posOffset>
            </wp:positionH>
            <wp:positionV relativeFrom="paragraph">
              <wp:posOffset>194855</wp:posOffset>
            </wp:positionV>
            <wp:extent cx="223072" cy="218598"/>
            <wp:effectExtent l="0" t="0" r="0" b="0"/>
            <wp:wrapTopAndBottom/>
            <wp:docPr id="41" name="image68.png" descr=""/>
            <wp:cNvGraphicFramePr>
              <a:graphicFrameLocks noChangeAspect="1"/>
            </wp:cNvGraphicFramePr>
            <a:graphic>
              <a:graphicData uri="http://schemas.openxmlformats.org/drawingml/2006/picture">
                <pic:pic>
                  <pic:nvPicPr>
                    <pic:cNvPr id="42" name="image68.png"/>
                    <pic:cNvPicPr/>
                  </pic:nvPicPr>
                  <pic:blipFill>
                    <a:blip r:embed="rId106" cstate="print"/>
                    <a:stretch>
                      <a:fillRect/>
                    </a:stretch>
                  </pic:blipFill>
                  <pic:spPr>
                    <a:xfrm>
                      <a:off x="0" y="0"/>
                      <a:ext cx="223072" cy="218598"/>
                    </a:xfrm>
                    <a:prstGeom prst="rect">
                      <a:avLst/>
                    </a:prstGeom>
                  </pic:spPr>
                </pic:pic>
              </a:graphicData>
            </a:graphic>
          </wp:anchor>
        </w:drawing>
      </w:r>
      <w:r>
        <w:rPr/>
        <w:drawing>
          <wp:anchor distT="0" distB="0" distL="0" distR="0" allowOverlap="1" layoutInCell="1" locked="0" behindDoc="0" simplePos="0" relativeHeight="5032">
            <wp:simplePos x="0" y="0"/>
            <wp:positionH relativeFrom="page">
              <wp:posOffset>2840735</wp:posOffset>
            </wp:positionH>
            <wp:positionV relativeFrom="paragraph">
              <wp:posOffset>194855</wp:posOffset>
            </wp:positionV>
            <wp:extent cx="214891" cy="218598"/>
            <wp:effectExtent l="0" t="0" r="0" b="0"/>
            <wp:wrapTopAndBottom/>
            <wp:docPr id="43" name="image69.png" descr=""/>
            <wp:cNvGraphicFramePr>
              <a:graphicFrameLocks noChangeAspect="1"/>
            </wp:cNvGraphicFramePr>
            <a:graphic>
              <a:graphicData uri="http://schemas.openxmlformats.org/drawingml/2006/picture">
                <pic:pic>
                  <pic:nvPicPr>
                    <pic:cNvPr id="44" name="image69.png"/>
                    <pic:cNvPicPr/>
                  </pic:nvPicPr>
                  <pic:blipFill>
                    <a:blip r:embed="rId107" cstate="print"/>
                    <a:stretch>
                      <a:fillRect/>
                    </a:stretch>
                  </pic:blipFill>
                  <pic:spPr>
                    <a:xfrm>
                      <a:off x="0" y="0"/>
                      <a:ext cx="214891" cy="218598"/>
                    </a:xfrm>
                    <a:prstGeom prst="rect">
                      <a:avLst/>
                    </a:prstGeom>
                  </pic:spPr>
                </pic:pic>
              </a:graphicData>
            </a:graphic>
          </wp:anchor>
        </w:drawing>
      </w:r>
      <w:r>
        <w:rPr/>
        <w:drawing>
          <wp:anchor distT="0" distB="0" distL="0" distR="0" allowOverlap="1" layoutInCell="1" locked="0" behindDoc="0" simplePos="0" relativeHeight="5056">
            <wp:simplePos x="0" y="0"/>
            <wp:positionH relativeFrom="page">
              <wp:posOffset>3231260</wp:posOffset>
            </wp:positionH>
            <wp:positionV relativeFrom="paragraph">
              <wp:posOffset>192315</wp:posOffset>
            </wp:positionV>
            <wp:extent cx="215782" cy="219075"/>
            <wp:effectExtent l="0" t="0" r="0" b="0"/>
            <wp:wrapTopAndBottom/>
            <wp:docPr id="45" name="image70.png" descr=""/>
            <wp:cNvGraphicFramePr>
              <a:graphicFrameLocks noChangeAspect="1"/>
            </wp:cNvGraphicFramePr>
            <a:graphic>
              <a:graphicData uri="http://schemas.openxmlformats.org/drawingml/2006/picture">
                <pic:pic>
                  <pic:nvPicPr>
                    <pic:cNvPr id="46" name="image70.png"/>
                    <pic:cNvPicPr/>
                  </pic:nvPicPr>
                  <pic:blipFill>
                    <a:blip r:embed="rId108" cstate="print"/>
                    <a:stretch>
                      <a:fillRect/>
                    </a:stretch>
                  </pic:blipFill>
                  <pic:spPr>
                    <a:xfrm>
                      <a:off x="0" y="0"/>
                      <a:ext cx="215782" cy="219075"/>
                    </a:xfrm>
                    <a:prstGeom prst="rect">
                      <a:avLst/>
                    </a:prstGeom>
                  </pic:spPr>
                </pic:pic>
              </a:graphicData>
            </a:graphic>
          </wp:anchor>
        </w:drawing>
      </w:r>
      <w:r>
        <w:rPr/>
        <w:drawing>
          <wp:anchor distT="0" distB="0" distL="0" distR="0" allowOverlap="1" layoutInCell="1" locked="0" behindDoc="0" simplePos="0" relativeHeight="5080">
            <wp:simplePos x="0" y="0"/>
            <wp:positionH relativeFrom="page">
              <wp:posOffset>3621913</wp:posOffset>
            </wp:positionH>
            <wp:positionV relativeFrom="paragraph">
              <wp:posOffset>189775</wp:posOffset>
            </wp:positionV>
            <wp:extent cx="213879" cy="223456"/>
            <wp:effectExtent l="0" t="0" r="0" b="0"/>
            <wp:wrapTopAndBottom/>
            <wp:docPr id="47" name="image71.png" descr=""/>
            <wp:cNvGraphicFramePr>
              <a:graphicFrameLocks noChangeAspect="1"/>
            </wp:cNvGraphicFramePr>
            <a:graphic>
              <a:graphicData uri="http://schemas.openxmlformats.org/drawingml/2006/picture">
                <pic:pic>
                  <pic:nvPicPr>
                    <pic:cNvPr id="48" name="image71.png"/>
                    <pic:cNvPicPr/>
                  </pic:nvPicPr>
                  <pic:blipFill>
                    <a:blip r:embed="rId109" cstate="print"/>
                    <a:stretch>
                      <a:fillRect/>
                    </a:stretch>
                  </pic:blipFill>
                  <pic:spPr>
                    <a:xfrm>
                      <a:off x="0" y="0"/>
                      <a:ext cx="213879" cy="223456"/>
                    </a:xfrm>
                    <a:prstGeom prst="rect">
                      <a:avLst/>
                    </a:prstGeom>
                  </pic:spPr>
                </pic:pic>
              </a:graphicData>
            </a:graphic>
          </wp:anchor>
        </w:drawing>
      </w:r>
      <w:r>
        <w:rPr/>
        <w:drawing>
          <wp:anchor distT="0" distB="0" distL="0" distR="0" allowOverlap="1" layoutInCell="1" locked="0" behindDoc="0" simplePos="0" relativeHeight="5104">
            <wp:simplePos x="0" y="0"/>
            <wp:positionH relativeFrom="page">
              <wp:posOffset>4012438</wp:posOffset>
            </wp:positionH>
            <wp:positionV relativeFrom="paragraph">
              <wp:posOffset>188505</wp:posOffset>
            </wp:positionV>
            <wp:extent cx="215189" cy="223837"/>
            <wp:effectExtent l="0" t="0" r="0" b="0"/>
            <wp:wrapTopAndBottom/>
            <wp:docPr id="49" name="image72.png" descr=""/>
            <wp:cNvGraphicFramePr>
              <a:graphicFrameLocks noChangeAspect="1"/>
            </wp:cNvGraphicFramePr>
            <a:graphic>
              <a:graphicData uri="http://schemas.openxmlformats.org/drawingml/2006/picture">
                <pic:pic>
                  <pic:nvPicPr>
                    <pic:cNvPr id="50" name="image72.png"/>
                    <pic:cNvPicPr/>
                  </pic:nvPicPr>
                  <pic:blipFill>
                    <a:blip r:embed="rId110" cstate="print"/>
                    <a:stretch>
                      <a:fillRect/>
                    </a:stretch>
                  </pic:blipFill>
                  <pic:spPr>
                    <a:xfrm>
                      <a:off x="0" y="0"/>
                      <a:ext cx="215189" cy="223837"/>
                    </a:xfrm>
                    <a:prstGeom prst="rect">
                      <a:avLst/>
                    </a:prstGeom>
                  </pic:spPr>
                </pic:pic>
              </a:graphicData>
            </a:graphic>
          </wp:anchor>
        </w:drawing>
      </w:r>
      <w:r>
        <w:rPr/>
        <w:drawing>
          <wp:anchor distT="0" distB="0" distL="0" distR="0" allowOverlap="1" layoutInCell="1" locked="0" behindDoc="0" simplePos="0" relativeHeight="5128">
            <wp:simplePos x="0" y="0"/>
            <wp:positionH relativeFrom="page">
              <wp:posOffset>4403216</wp:posOffset>
            </wp:positionH>
            <wp:positionV relativeFrom="paragraph">
              <wp:posOffset>185965</wp:posOffset>
            </wp:positionV>
            <wp:extent cx="199064" cy="223837"/>
            <wp:effectExtent l="0" t="0" r="0" b="0"/>
            <wp:wrapTopAndBottom/>
            <wp:docPr id="51" name="image73.png" descr=""/>
            <wp:cNvGraphicFramePr>
              <a:graphicFrameLocks noChangeAspect="1"/>
            </wp:cNvGraphicFramePr>
            <a:graphic>
              <a:graphicData uri="http://schemas.openxmlformats.org/drawingml/2006/picture">
                <pic:pic>
                  <pic:nvPicPr>
                    <pic:cNvPr id="52" name="image73.png"/>
                    <pic:cNvPicPr/>
                  </pic:nvPicPr>
                  <pic:blipFill>
                    <a:blip r:embed="rId111" cstate="print"/>
                    <a:stretch>
                      <a:fillRect/>
                    </a:stretch>
                  </pic:blipFill>
                  <pic:spPr>
                    <a:xfrm>
                      <a:off x="0" y="0"/>
                      <a:ext cx="199064" cy="223837"/>
                    </a:xfrm>
                    <a:prstGeom prst="rect">
                      <a:avLst/>
                    </a:prstGeom>
                  </pic:spPr>
                </pic:pic>
              </a:graphicData>
            </a:graphic>
          </wp:anchor>
        </w:drawing>
      </w:r>
      <w:r>
        <w:rPr/>
        <w:drawing>
          <wp:anchor distT="0" distB="0" distL="0" distR="0" allowOverlap="1" layoutInCell="1" locked="0" behindDoc="0" simplePos="0" relativeHeight="5152">
            <wp:simplePos x="0" y="0"/>
            <wp:positionH relativeFrom="page">
              <wp:posOffset>4793741</wp:posOffset>
            </wp:positionH>
            <wp:positionV relativeFrom="paragraph">
              <wp:posOffset>192315</wp:posOffset>
            </wp:positionV>
            <wp:extent cx="215529" cy="219075"/>
            <wp:effectExtent l="0" t="0" r="0" b="0"/>
            <wp:wrapTopAndBottom/>
            <wp:docPr id="53" name="image74.png" descr=""/>
            <wp:cNvGraphicFramePr>
              <a:graphicFrameLocks noChangeAspect="1"/>
            </wp:cNvGraphicFramePr>
            <a:graphic>
              <a:graphicData uri="http://schemas.openxmlformats.org/drawingml/2006/picture">
                <pic:pic>
                  <pic:nvPicPr>
                    <pic:cNvPr id="54" name="image74.png"/>
                    <pic:cNvPicPr/>
                  </pic:nvPicPr>
                  <pic:blipFill>
                    <a:blip r:embed="rId112" cstate="print"/>
                    <a:stretch>
                      <a:fillRect/>
                    </a:stretch>
                  </pic:blipFill>
                  <pic:spPr>
                    <a:xfrm>
                      <a:off x="0" y="0"/>
                      <a:ext cx="215529" cy="219075"/>
                    </a:xfrm>
                    <a:prstGeom prst="rect">
                      <a:avLst/>
                    </a:prstGeom>
                  </pic:spPr>
                </pic:pic>
              </a:graphicData>
            </a:graphic>
          </wp:anchor>
        </w:drawing>
      </w:r>
      <w:r>
        <w:rPr/>
        <w:drawing>
          <wp:anchor distT="0" distB="0" distL="0" distR="0" allowOverlap="1" layoutInCell="1" locked="0" behindDoc="0" simplePos="0" relativeHeight="5176">
            <wp:simplePos x="0" y="0"/>
            <wp:positionH relativeFrom="page">
              <wp:posOffset>5184266</wp:posOffset>
            </wp:positionH>
            <wp:positionV relativeFrom="paragraph">
              <wp:posOffset>194855</wp:posOffset>
            </wp:positionV>
            <wp:extent cx="211593" cy="218598"/>
            <wp:effectExtent l="0" t="0" r="0" b="0"/>
            <wp:wrapTopAndBottom/>
            <wp:docPr id="55" name="image75.png" descr=""/>
            <wp:cNvGraphicFramePr>
              <a:graphicFrameLocks noChangeAspect="1"/>
            </wp:cNvGraphicFramePr>
            <a:graphic>
              <a:graphicData uri="http://schemas.openxmlformats.org/drawingml/2006/picture">
                <pic:pic>
                  <pic:nvPicPr>
                    <pic:cNvPr id="56" name="image75.png"/>
                    <pic:cNvPicPr/>
                  </pic:nvPicPr>
                  <pic:blipFill>
                    <a:blip r:embed="rId113" cstate="print"/>
                    <a:stretch>
                      <a:fillRect/>
                    </a:stretch>
                  </pic:blipFill>
                  <pic:spPr>
                    <a:xfrm>
                      <a:off x="0" y="0"/>
                      <a:ext cx="211593" cy="218598"/>
                    </a:xfrm>
                    <a:prstGeom prst="rect">
                      <a:avLst/>
                    </a:prstGeom>
                  </pic:spPr>
                </pic:pic>
              </a:graphicData>
            </a:graphic>
          </wp:anchor>
        </w:drawing>
      </w:r>
      <w:r>
        <w:rPr/>
        <w:drawing>
          <wp:anchor distT="0" distB="0" distL="0" distR="0" allowOverlap="1" layoutInCell="1" locked="0" behindDoc="0" simplePos="0" relativeHeight="5200">
            <wp:simplePos x="0" y="0"/>
            <wp:positionH relativeFrom="page">
              <wp:posOffset>5574919</wp:posOffset>
            </wp:positionH>
            <wp:positionV relativeFrom="paragraph">
              <wp:posOffset>193585</wp:posOffset>
            </wp:positionV>
            <wp:extent cx="214617" cy="219075"/>
            <wp:effectExtent l="0" t="0" r="0" b="0"/>
            <wp:wrapTopAndBottom/>
            <wp:docPr id="57" name="image76.png" descr=""/>
            <wp:cNvGraphicFramePr>
              <a:graphicFrameLocks noChangeAspect="1"/>
            </wp:cNvGraphicFramePr>
            <a:graphic>
              <a:graphicData uri="http://schemas.openxmlformats.org/drawingml/2006/picture">
                <pic:pic>
                  <pic:nvPicPr>
                    <pic:cNvPr id="58" name="image76.png"/>
                    <pic:cNvPicPr/>
                  </pic:nvPicPr>
                  <pic:blipFill>
                    <a:blip r:embed="rId114" cstate="print"/>
                    <a:stretch>
                      <a:fillRect/>
                    </a:stretch>
                  </pic:blipFill>
                  <pic:spPr>
                    <a:xfrm>
                      <a:off x="0" y="0"/>
                      <a:ext cx="214617" cy="219075"/>
                    </a:xfrm>
                    <a:prstGeom prst="rect">
                      <a:avLst/>
                    </a:prstGeom>
                  </pic:spPr>
                </pic:pic>
              </a:graphicData>
            </a:graphic>
          </wp:anchor>
        </w:drawing>
      </w:r>
      <w:r>
        <w:rPr/>
        <w:pict>
          <v:shape style="position:absolute;margin-left:471.339996pt;margin-top:13.652972pt;width:20.55pt;height:16.9pt;mso-position-horizontal-relative:page;mso-position-vertical-relative:paragraph;z-index:5224;mso-wrap-distance-left:0;mso-wrap-distance-right:0" coordorigin="9427,273" coordsize="411,338" path="m9479,481l9466,485,9459,489,9452,493,9439,507,9434,515,9431,521,9428,529,9427,535,9428,551,9430,559,9438,573,9444,581,9458,595,9466,601,9480,609,9487,611,9508,611,9515,609,9522,605,9529,601,9534,595,9494,595,9484,591,9478,587,9468,579,9463,575,9458,569,9454,565,9447,553,9445,549,9443,537,9443,533,9446,521,9450,517,9460,505,9476,499,9522,499,9515,493,9508,489,9500,485,9493,483,9479,481xm9522,499l9486,499,9491,501,9497,503,9512,515,9517,519,9522,525,9526,529,9533,539,9535,545,9536,551,9538,555,9537,561,9534,573,9531,577,9520,589,9510,593,9505,595,9534,595,9535,593,9542,587,9547,579,9553,565,9554,559,9553,551,9552,543,9550,535,9546,529,9542,521,9536,513,9529,507,9522,499xm9526,439l9523,439,9522,441,9520,441,9519,443,9516,445,9515,447,9514,449,9514,449,9514,451,9515,451,9529,467,9521,475,9539,475,9579,515,9582,519,9585,519,9589,521,9592,523,9601,523,9604,521,9608,521,9611,517,9615,513,9617,511,9618,509,9619,509,9619,507,9596,507,9593,505,9589,503,9585,499,9550,465,9560,455,9541,455,9526,439xm9616,493l9612,493,9611,495,9611,497,9610,497,9609,499,9609,499,9608,501,9603,507,9620,507,9621,505,9622,503,9622,501,9621,501,9620,499,9619,497,9618,495,9616,495,9616,493xm9539,475l9520,475,9520,477,9520,479,9521,479,9522,481,9523,481,9525,483,9526,485,9530,485,9539,475xm9584,411l9583,413,9582,413,9581,415,9578,417,9577,417,9577,419,9576,419,9575,421,9576,423,9576,423,9638,485,9643,485,9645,483,9646,481,9647,481,9648,479,9648,479,9649,477,9649,477,9650,475,9650,475,9608,433,9608,429,9607,425,9607,423,9606,421,9595,421,9586,413,9584,411xm9562,439l9557,439,9541,455,9560,455,9566,449,9567,447,9567,445,9566,445,9565,443,9562,439xm9686,329l9676,329,9665,333,9660,335,9654,339,9649,343,9644,349,9640,355,9638,359,9636,365,9635,369,9635,373,9635,377,9636,383,9637,389,9643,399,9647,405,9652,409,9658,415,9663,419,9668,421,9674,425,9679,427,9695,427,9700,425,9706,421,9711,419,9716,413,9718,411,9685,411,9681,409,9677,409,9670,403,9667,401,9660,393,9657,389,9655,387,9653,383,9651,379,9650,375,9650,371,9650,367,9653,361,9655,357,9662,349,9666,347,9669,347,9673,345,9711,345,9708,341,9703,337,9697,335,9692,331,9686,329xm9619,393l9600,393,9598,395,9596,399,9594,403,9594,405,9594,415,9595,421,9606,421,9606,419,9606,411,9607,409,9607,409,9608,407,9609,405,9610,405,9611,403,9612,403,9613,401,9616,401,9618,399,9619,399,9620,397,9620,395,9619,395,9619,393xm9711,345l9681,345,9684,347,9695,353,9699,355,9702,359,9706,363,9708,367,9711,369,9713,373,9714,377,9715,383,9715,387,9715,389,9714,393,9713,395,9710,399,9703,407,9700,409,9696,409,9692,411,9718,411,9721,407,9725,403,9729,391,9730,385,9730,373,9728,369,9725,363,9722,357,9718,351,9713,347,9711,345xm9613,387l9607,387,9606,389,9605,389,9603,391,9601,391,9601,393,9618,393,9616,391,9613,387xm9765,335l9760,335,9758,336,9753,342,9751,344,9751,349,9753,351,9759,358,9762,359,9766,359,9768,358,9771,355,9774,352,9775,350,9775,346,9774,343,9770,340,9767,337,9765,335xm9796,304l9791,304,9789,305,9786,308,9784,311,9782,313,9782,317,9784,320,9790,326,9793,328,9797,328,9799,327,9802,324,9805,321,9806,319,9806,315,9805,312,9801,309,9798,306,9796,304xm9827,273l9823,273,9820,274,9817,277,9815,280,9813,282,9813,286,9815,289,9818,292,9821,295,9824,297,9828,297,9830,296,9833,293,9836,290,9837,288,9837,283,9836,281,9832,278,9829,274,9827,273xe" filled="true" fillcolor="#000000" stroked="false">
            <v:path arrowok="t"/>
            <v:fill type="solid"/>
            <w10:wrap type="topAndBottom"/>
          </v:shape>
        </w:pict>
      </w:r>
      <w:r>
        <w:rPr>
          <w:rFonts w:ascii="Calibri"/>
          <w:w w:val="99"/>
          <w:sz w:val="20"/>
        </w:rPr>
        <w:t>0</w:t>
      </w:r>
    </w:p>
    <w:p>
      <w:pPr>
        <w:pStyle w:val="BodyText"/>
        <w:rPr>
          <w:rFonts w:ascii="Calibri"/>
          <w:sz w:val="20"/>
        </w:rPr>
      </w:pPr>
    </w:p>
    <w:p>
      <w:pPr>
        <w:pStyle w:val="BodyText"/>
        <w:spacing w:before="4"/>
        <w:rPr>
          <w:rFonts w:ascii="Calibri"/>
          <w:sz w:val="19"/>
        </w:rPr>
      </w:pPr>
    </w:p>
    <w:p>
      <w:pPr>
        <w:spacing w:line="360" w:lineRule="auto" w:before="0"/>
        <w:ind w:left="2841" w:right="378" w:hanging="2471"/>
        <w:jc w:val="left"/>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spacing w:line="360" w:lineRule="auto" w:before="119"/>
        <w:ind w:left="102" w:right="115"/>
        <w:jc w:val="both"/>
      </w:pPr>
      <w:r>
        <w:rPr/>
        <w:t>Para continuar con el análisis de la asertividad del proceso de transición, se planteó la pregunta de cuál era su situación ocupacional durante los dos últimos semestres de la carrera, con la intención de conocer qué porcentaje de los licenciados en economía trabajó  y estudió al mismo tiempo. El 57% respondieron que los estudios eran su única actividad, con lo que se infiere que un porcentaje mayor prefirió dedicar su tiempo a formarse. En tanto que el 24% contestó que estudiaba y trabajaba en alguna actividad no relacionada a economía.  Y el 19% estudiaba y trabajaba en alguna actividad relacionada a economía</w:t>
      </w:r>
      <w:r>
        <w:rPr>
          <w:spacing w:val="22"/>
        </w:rPr>
        <w:t> </w:t>
      </w:r>
      <w:r>
        <w:rPr/>
        <w:t>(ver</w:t>
      </w:r>
    </w:p>
    <w:p>
      <w:pPr>
        <w:spacing w:after="0" w:line="360" w:lineRule="auto"/>
        <w:jc w:val="both"/>
        <w:sectPr>
          <w:footerReference w:type="default" r:id="rId103"/>
          <w:pgSz w:w="12240" w:h="15840"/>
          <w:pgMar w:footer="1003" w:header="0" w:top="1500" w:bottom="1200" w:left="1600" w:right="1580"/>
          <w:pgNumType w:start="140"/>
        </w:sectPr>
      </w:pPr>
    </w:p>
    <w:p>
      <w:pPr>
        <w:pStyle w:val="BodyText"/>
        <w:spacing w:line="360" w:lineRule="auto" w:before="50"/>
        <w:ind w:left="102" w:right="123"/>
      </w:pPr>
      <w:r>
        <w:rPr/>
        <w:t>gráfica 6.2.), con lo que se deduce que el 43% obtiene experiencia laboral durante los años de estudio, elemento fundamental para insertarse en el mercado.</w:t>
      </w:r>
    </w:p>
    <w:p>
      <w:pPr>
        <w:pStyle w:val="BodyText"/>
      </w:pPr>
    </w:p>
    <w:p>
      <w:pPr>
        <w:pStyle w:val="Heading3"/>
        <w:spacing w:line="242" w:lineRule="auto" w:before="208"/>
        <w:ind w:left="3949" w:right="123" w:hanging="3735"/>
        <w:jc w:val="left"/>
      </w:pPr>
      <w:r>
        <w:rPr/>
        <w:t>Gráfica 6.2. ¿Cuál era su situación ocupacional durante los dos últimos semestres de la carrera?</w:t>
      </w:r>
    </w:p>
    <w:p>
      <w:pPr>
        <w:pStyle w:val="BodyText"/>
        <w:spacing w:before="7"/>
        <w:rPr>
          <w:b/>
        </w:rPr>
      </w:pPr>
    </w:p>
    <w:p>
      <w:pPr>
        <w:spacing w:before="59"/>
        <w:ind w:left="352" w:right="5296" w:firstLine="0"/>
        <w:jc w:val="center"/>
        <w:rPr>
          <w:rFonts w:ascii="Calibri" w:hAnsi="Calibri"/>
          <w:sz w:val="20"/>
        </w:rPr>
      </w:pPr>
      <w:r>
        <w:rPr/>
        <w:pict>
          <v:group style="position:absolute;margin-left:276.225006pt;margin-top:.956501pt;width:179.45pt;height:87.3pt;mso-position-horizontal-relative:page;mso-position-vertical-relative:paragraph;z-index:-397360" coordorigin="5525,19" coordsize="3589,1746">
            <v:shape style="position:absolute;left:5532;top:199;width:3581;height:1385" coordorigin="5532,199" coordsize="3581,1385" path="m6742,775l5532,775,5532,1008,6742,1008,6742,775m7006,199l5532,199,5532,430,7006,430,7006,199m9113,1354l5532,1354,5532,1584,9113,1584,9113,1354e" filled="true" fillcolor="#4f81bc" stroked="false">
              <v:path arrowok="t"/>
              <v:fill type="solid"/>
            </v:shape>
            <v:line style="position:absolute" from="5532,1757" to="5532,27" stroked="true" strokeweight=".72pt" strokecolor="#858585"/>
            <v:shape style="position:absolute;left:5525;top:19;width:3588;height:1745" type="#_x0000_t202" filled="false" stroked="false">
              <v:textbox inset="0,0,0,0">
                <w:txbxContent>
                  <w:p>
                    <w:pPr>
                      <w:spacing w:before="172"/>
                      <w:ind w:left="1320" w:right="1355" w:firstLine="0"/>
                      <w:jc w:val="center"/>
                      <w:rPr>
                        <w:rFonts w:ascii="Calibri"/>
                        <w:sz w:val="20"/>
                      </w:rPr>
                    </w:pPr>
                    <w:r>
                      <w:rPr>
                        <w:rFonts w:ascii="Calibri"/>
                        <w:sz w:val="20"/>
                      </w:rPr>
                      <w:t>24%</w:t>
                    </w:r>
                  </w:p>
                  <w:p>
                    <w:pPr>
                      <w:spacing w:line="240" w:lineRule="auto" w:before="0"/>
                      <w:rPr>
                        <w:sz w:val="29"/>
                      </w:rPr>
                    </w:pPr>
                  </w:p>
                  <w:p>
                    <w:pPr>
                      <w:spacing w:before="0"/>
                      <w:ind w:left="1057" w:right="1618" w:firstLine="0"/>
                      <w:jc w:val="center"/>
                      <w:rPr>
                        <w:rFonts w:ascii="Calibri"/>
                        <w:sz w:val="20"/>
                      </w:rPr>
                    </w:pPr>
                    <w:r>
                      <w:rPr>
                        <w:rFonts w:ascii="Calibri"/>
                        <w:sz w:val="20"/>
                      </w:rPr>
                      <w:t>19%</w:t>
                    </w:r>
                  </w:p>
                </w:txbxContent>
              </v:textbox>
              <w10:wrap type="none"/>
            </v:shape>
            <w10:wrap type="none"/>
          </v:group>
        </w:pict>
      </w:r>
      <w:r>
        <w:rPr>
          <w:rFonts w:ascii="Calibri" w:hAnsi="Calibri"/>
          <w:sz w:val="20"/>
        </w:rPr>
        <w:t>Estudiaba y trabajaba en alguna actividad no relacionada a Economía</w:t>
      </w:r>
    </w:p>
    <w:p>
      <w:pPr>
        <w:spacing w:before="88"/>
        <w:ind w:left="0" w:right="4944" w:firstLine="0"/>
        <w:jc w:val="center"/>
        <w:rPr>
          <w:rFonts w:ascii="Calibri" w:hAnsi="Calibri"/>
          <w:sz w:val="20"/>
        </w:rPr>
      </w:pPr>
      <w:r>
        <w:rPr>
          <w:rFonts w:ascii="Calibri" w:hAnsi="Calibri"/>
          <w:sz w:val="20"/>
        </w:rPr>
        <w:t>Estudiaba y trabajaba en alguna actividad relacionada a Economía</w:t>
      </w:r>
    </w:p>
    <w:p>
      <w:pPr>
        <w:pStyle w:val="BodyText"/>
        <w:spacing w:before="5"/>
        <w:rPr>
          <w:rFonts w:ascii="Calibri"/>
          <w:sz w:val="12"/>
        </w:rPr>
      </w:pPr>
    </w:p>
    <w:p>
      <w:pPr>
        <w:tabs>
          <w:tab w:pos="7635" w:val="left" w:leader="none"/>
        </w:tabs>
        <w:spacing w:before="60"/>
        <w:ind w:left="841" w:right="0" w:firstLine="0"/>
        <w:jc w:val="left"/>
        <w:rPr>
          <w:rFonts w:ascii="Calibri" w:hAnsi="Calibri"/>
          <w:sz w:val="20"/>
        </w:rPr>
      </w:pPr>
      <w:r>
        <w:rPr>
          <w:rFonts w:ascii="Calibri" w:hAnsi="Calibri"/>
          <w:position w:val="1"/>
          <w:sz w:val="20"/>
        </w:rPr>
        <w:t>Los estudios eran su</w:t>
      </w:r>
      <w:r>
        <w:rPr>
          <w:rFonts w:ascii="Calibri" w:hAnsi="Calibri"/>
          <w:spacing w:val="-8"/>
          <w:position w:val="1"/>
          <w:sz w:val="20"/>
        </w:rPr>
        <w:t> </w:t>
      </w:r>
      <w:r>
        <w:rPr>
          <w:rFonts w:ascii="Calibri" w:hAnsi="Calibri"/>
          <w:position w:val="1"/>
          <w:sz w:val="20"/>
        </w:rPr>
        <w:t>única</w:t>
      </w:r>
      <w:r>
        <w:rPr>
          <w:rFonts w:ascii="Calibri" w:hAnsi="Calibri"/>
          <w:spacing w:val="-4"/>
          <w:position w:val="1"/>
          <w:sz w:val="20"/>
        </w:rPr>
        <w:t> </w:t>
      </w:r>
      <w:r>
        <w:rPr>
          <w:rFonts w:ascii="Calibri" w:hAnsi="Calibri"/>
          <w:position w:val="1"/>
          <w:sz w:val="20"/>
        </w:rPr>
        <w:t>actividad</w:t>
        <w:tab/>
      </w:r>
      <w:r>
        <w:rPr>
          <w:rFonts w:ascii="Calibri" w:hAnsi="Calibri"/>
          <w:sz w:val="20"/>
        </w:rPr>
        <w:t>57%</w:t>
      </w:r>
    </w:p>
    <w:p>
      <w:pPr>
        <w:pStyle w:val="BodyText"/>
        <w:spacing w:before="3"/>
        <w:rPr>
          <w:rFonts w:ascii="Calibri"/>
          <w:sz w:val="16"/>
        </w:rPr>
      </w:pPr>
    </w:p>
    <w:p>
      <w:pPr>
        <w:spacing w:before="74"/>
        <w:ind w:left="109" w:right="129" w:firstLine="0"/>
        <w:jc w:val="center"/>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rPr>
          <w:sz w:val="20"/>
        </w:rPr>
      </w:pPr>
    </w:p>
    <w:p>
      <w:pPr>
        <w:pStyle w:val="BodyText"/>
        <w:spacing w:before="1"/>
        <w:rPr>
          <w:sz w:val="18"/>
        </w:rPr>
      </w:pPr>
    </w:p>
    <w:p>
      <w:pPr>
        <w:pStyle w:val="BodyText"/>
        <w:spacing w:line="360" w:lineRule="auto"/>
        <w:ind w:left="102" w:right="118"/>
        <w:jc w:val="both"/>
      </w:pPr>
      <w:r>
        <w:rPr/>
        <w:t>Es importante analizar si los egresados obtuvieron experiencia profesional durante sus años universitarios, primero se cuestionó respecto a las prácticas profesionales. Únicamente el 23% contestó si haberlas realizado. Con un promedio de 6 meses de duración. De los cuales el 48% las realizó en una institución gubernamental o similar, 22% en una empresa, 19% en una institución educativa y 11% en otro. Los rubros comercio, despacho contable y despacho jurídico se quedaron con cero respuestas. </w:t>
      </w:r>
      <w:r>
        <w:rPr>
          <w:spacing w:val="-3"/>
        </w:rPr>
        <w:t>Lo </w:t>
      </w:r>
      <w:r>
        <w:rPr/>
        <w:t>que muestra la necesidad por parte de la autoridad educativa de hacer más énfasis en los convenios de colaboración para incentivar las prácticas</w:t>
      </w:r>
      <w:r>
        <w:rPr>
          <w:spacing w:val="-11"/>
        </w:rPr>
        <w:t> </w:t>
      </w:r>
      <w:r>
        <w:rPr/>
        <w:t>profesionales.</w:t>
      </w:r>
    </w:p>
    <w:p>
      <w:pPr>
        <w:pStyle w:val="BodyText"/>
      </w:pPr>
    </w:p>
    <w:p>
      <w:pPr>
        <w:pStyle w:val="BodyText"/>
        <w:spacing w:line="360" w:lineRule="auto" w:before="143"/>
        <w:ind w:left="102" w:right="119"/>
        <w:jc w:val="both"/>
      </w:pPr>
      <w:r>
        <w:rPr/>
        <w:t>Otro requisito de titulación es realizar el servicio social, en este caso el 96% contestó haberlo realizado. Nuevamente las instituciones gubernamentales obtuvieron el mayor porcentaje con el 43% de las respuestas. Seguido por un 39% de las instituciones educativas, 10% empresas y 8% otro. Una vez más, los rubros comercio, despacho contable y despacho jurídico no fueron elegidos.</w:t>
      </w:r>
    </w:p>
    <w:p>
      <w:pPr>
        <w:pStyle w:val="BodyText"/>
        <w:spacing w:line="360" w:lineRule="auto" w:before="4"/>
        <w:ind w:left="102" w:right="122"/>
        <w:jc w:val="both"/>
      </w:pPr>
      <w:r>
        <w:rPr/>
        <w:t>La siguiente pregunta estuvo relacionada con el tiempo que tardaron en encontrar su primer empleo, a lo cual el 42% respondió que entre 0 y 3 meses, 18% entre 4 y 6 meses, 11%</w:t>
      </w:r>
    </w:p>
    <w:p>
      <w:pPr>
        <w:pStyle w:val="BodyText"/>
        <w:spacing w:line="360" w:lineRule="auto" w:before="4"/>
        <w:ind w:left="102" w:right="119"/>
        <w:jc w:val="both"/>
      </w:pPr>
      <w:r>
        <w:rPr/>
        <w:t>entre 7 y 9 meses, 15% entre 10 y 12 meses y el 14% más de 12 meses. Nuevamente se muestra que los egresados de la Licenciatura de Economía de la UAEMéx tienen un alto</w:t>
      </w:r>
    </w:p>
    <w:p>
      <w:pPr>
        <w:spacing w:after="0" w:line="360" w:lineRule="auto"/>
        <w:jc w:val="both"/>
        <w:sectPr>
          <w:pgSz w:w="12240" w:h="15840"/>
          <w:pgMar w:header="0" w:footer="1003" w:top="1360" w:bottom="1200" w:left="1600" w:right="1580"/>
        </w:sectPr>
      </w:pPr>
    </w:p>
    <w:p>
      <w:pPr>
        <w:pStyle w:val="BodyText"/>
        <w:spacing w:line="360" w:lineRule="auto" w:before="50"/>
        <w:ind w:left="102" w:right="123"/>
        <w:jc w:val="both"/>
      </w:pPr>
      <w:r>
        <w:rPr/>
        <w:t>porcentaje de empleabilidad, ya que el 60% se tardó menos de seis meses en incorporarse al mercado de trabajo.</w:t>
      </w:r>
    </w:p>
    <w:p>
      <w:pPr>
        <w:pStyle w:val="BodyText"/>
      </w:pPr>
    </w:p>
    <w:p>
      <w:pPr>
        <w:pStyle w:val="BodyText"/>
        <w:spacing w:line="360" w:lineRule="auto" w:before="143"/>
        <w:ind w:left="102" w:right="116"/>
        <w:jc w:val="both"/>
      </w:pPr>
      <w:r>
        <w:rPr/>
        <w:t>El tipo de organización en donde se contrataron en su primer empleo, el 48% contestó en empresas, 30% en instituciones gubernamentales, 13% en instituciones educativas, 4% en comercio, 4% contesto que otro y despacho contable 1%. Estos datos muestran la diversificación de los empleos a los que acceden los economistas y que es lo que les  permite tener una alta</w:t>
      </w:r>
      <w:r>
        <w:rPr>
          <w:spacing w:val="-6"/>
        </w:rPr>
        <w:t> </w:t>
      </w:r>
      <w:r>
        <w:rPr/>
        <w:t>empleabilidad.</w:t>
      </w:r>
    </w:p>
    <w:p>
      <w:pPr>
        <w:pStyle w:val="BodyText"/>
      </w:pPr>
    </w:p>
    <w:p>
      <w:pPr>
        <w:pStyle w:val="BodyText"/>
        <w:spacing w:line="360" w:lineRule="auto" w:before="143"/>
        <w:ind w:left="102" w:right="119"/>
        <w:jc w:val="both"/>
      </w:pPr>
      <w:r>
        <w:rPr/>
        <w:t>Sí se considera que el sector servicios a nivel nacional y estatal es el que mayor número de empleos ofrece de acuerdo a los datos oficiales, es importante resaltar que el porcentaje menor se contrató en este tipo de organizaciones.</w:t>
      </w:r>
    </w:p>
    <w:p>
      <w:pPr>
        <w:pStyle w:val="BodyText"/>
      </w:pPr>
    </w:p>
    <w:p>
      <w:pPr>
        <w:pStyle w:val="BodyText"/>
        <w:spacing w:line="360" w:lineRule="auto" w:before="143"/>
        <w:ind w:left="102" w:right="117"/>
        <w:jc w:val="both"/>
      </w:pPr>
      <w:r>
        <w:rPr/>
        <w:t>En suma, y como se mencionó, el 60% se emplea en los primeros seis meses después de egresar, pero un 20% tarda más de 12 meses, lo que muestra que si bien una parte importante se emplea en el primer semestre, 1/3 se tarda mucho más tiempo. El análisis muestra que un 50% se emplea en el sector público y el otro en el sector privado, y es de llamar la atención la alta empleabilidad en educación (13%).</w:t>
      </w:r>
    </w:p>
    <w:p>
      <w:pPr>
        <w:pStyle w:val="BodyText"/>
      </w:pPr>
    </w:p>
    <w:p>
      <w:pPr>
        <w:pStyle w:val="BodyText"/>
        <w:spacing w:line="360" w:lineRule="auto" w:before="143"/>
        <w:ind w:left="102" w:right="116"/>
        <w:jc w:val="both"/>
      </w:pPr>
      <w:r>
        <w:rPr/>
        <w:t>Un aspecto fundamental de este análisis era confrontar la calidad de la educación recibida con las exigencias del mercado de trabajo, por lo cual se tuvo la intención de conocer la percepción que tienen los egresados respecto a los conocimientos y habilidades que adquirieron durante sus años de estudio universitario. Las respuestas obtenidas fueron el 5% muy adecuada; el 25% adecuada; el 41% medianamente adecuada; el 22% poco adecuada y el 7% nada adecuada. Destaca el hecho de que la frecuencia mayor se situó en “medianamente adecuada” y el menor porcentaje lo obtuvo “muy adecuada”, este tipo de resultados indican que existe un área de oportunidad para trabajar en conjunto universidad  y empleadores para generar programas que se adecuen a las necesidades y perfiles de las vacantes existentes en el mercado de</w:t>
      </w:r>
      <w:r>
        <w:rPr>
          <w:spacing w:val="-7"/>
        </w:rPr>
        <w:t> </w:t>
      </w:r>
      <w:r>
        <w:rPr/>
        <w:t>trabajo.</w:t>
      </w:r>
    </w:p>
    <w:p>
      <w:pPr>
        <w:pStyle w:val="BodyText"/>
        <w:spacing w:line="360" w:lineRule="auto" w:before="205"/>
        <w:ind w:left="102" w:right="119"/>
        <w:jc w:val="both"/>
      </w:pPr>
      <w:r>
        <w:rPr/>
        <w:t>Para poder evaluar el proceso de transición es necesario observar que </w:t>
      </w:r>
      <w:r>
        <w:rPr>
          <w:spacing w:val="3"/>
        </w:rPr>
        <w:t>no </w:t>
      </w:r>
      <w:r>
        <w:rPr/>
        <w:t>únicamente se  trata</w:t>
      </w:r>
      <w:r>
        <w:rPr>
          <w:spacing w:val="17"/>
        </w:rPr>
        <w:t> </w:t>
      </w:r>
      <w:r>
        <w:rPr/>
        <w:t>del</w:t>
      </w:r>
      <w:r>
        <w:rPr>
          <w:spacing w:val="20"/>
        </w:rPr>
        <w:t> </w:t>
      </w:r>
      <w:r>
        <w:rPr/>
        <w:t>número</w:t>
      </w:r>
      <w:r>
        <w:rPr>
          <w:spacing w:val="17"/>
        </w:rPr>
        <w:t> </w:t>
      </w:r>
      <w:r>
        <w:rPr/>
        <w:t>de</w:t>
      </w:r>
      <w:r>
        <w:rPr>
          <w:spacing w:val="19"/>
        </w:rPr>
        <w:t> </w:t>
      </w:r>
      <w:r>
        <w:rPr/>
        <w:t>empleos</w:t>
      </w:r>
      <w:r>
        <w:rPr>
          <w:spacing w:val="18"/>
        </w:rPr>
        <w:t> </w:t>
      </w:r>
      <w:r>
        <w:rPr/>
        <w:t>que</w:t>
      </w:r>
      <w:r>
        <w:rPr>
          <w:spacing w:val="17"/>
        </w:rPr>
        <w:t> </w:t>
      </w:r>
      <w:r>
        <w:rPr/>
        <w:t>se</w:t>
      </w:r>
      <w:r>
        <w:rPr>
          <w:spacing w:val="17"/>
        </w:rPr>
        <w:t> </w:t>
      </w:r>
      <w:r>
        <w:rPr/>
        <w:t>crean</w:t>
      </w:r>
      <w:r>
        <w:rPr>
          <w:spacing w:val="20"/>
        </w:rPr>
        <w:t> </w:t>
      </w:r>
      <w:r>
        <w:rPr/>
        <w:t>cada</w:t>
      </w:r>
      <w:r>
        <w:rPr>
          <w:spacing w:val="19"/>
        </w:rPr>
        <w:t> </w:t>
      </w:r>
      <w:r>
        <w:rPr/>
        <w:t>mes</w:t>
      </w:r>
      <w:r>
        <w:rPr>
          <w:spacing w:val="17"/>
        </w:rPr>
        <w:t> </w:t>
      </w:r>
      <w:r>
        <w:rPr/>
        <w:t>sino</w:t>
      </w:r>
      <w:r>
        <w:rPr>
          <w:spacing w:val="18"/>
        </w:rPr>
        <w:t> </w:t>
      </w:r>
      <w:r>
        <w:rPr/>
        <w:t>de</w:t>
      </w:r>
      <w:r>
        <w:rPr>
          <w:spacing w:val="17"/>
        </w:rPr>
        <w:t> </w:t>
      </w:r>
      <w:r>
        <w:rPr/>
        <w:t>la</w:t>
      </w:r>
      <w:r>
        <w:rPr>
          <w:spacing w:val="17"/>
        </w:rPr>
        <w:t> </w:t>
      </w:r>
      <w:r>
        <w:rPr/>
        <w:t>calidad</w:t>
      </w:r>
      <w:r>
        <w:rPr>
          <w:spacing w:val="17"/>
        </w:rPr>
        <w:t> </w:t>
      </w:r>
      <w:r>
        <w:rPr/>
        <w:t>que</w:t>
      </w:r>
      <w:r>
        <w:rPr>
          <w:spacing w:val="17"/>
        </w:rPr>
        <w:t> </w:t>
      </w:r>
      <w:r>
        <w:rPr/>
        <w:t>ofrecen</w:t>
      </w:r>
      <w:r>
        <w:rPr>
          <w:spacing w:val="17"/>
        </w:rPr>
        <w:t> </w:t>
      </w:r>
      <w:r>
        <w:rPr/>
        <w:t>dichos</w:t>
      </w:r>
    </w:p>
    <w:p>
      <w:pPr>
        <w:spacing w:after="0" w:line="360" w:lineRule="auto"/>
        <w:jc w:val="both"/>
        <w:sectPr>
          <w:pgSz w:w="12240" w:h="15840"/>
          <w:pgMar w:header="0" w:footer="1003" w:top="1360" w:bottom="1200" w:left="1600" w:right="1580"/>
        </w:sectPr>
      </w:pPr>
    </w:p>
    <w:p>
      <w:pPr>
        <w:pStyle w:val="BodyText"/>
        <w:spacing w:line="360" w:lineRule="auto" w:before="50"/>
        <w:ind w:left="102" w:right="121"/>
        <w:jc w:val="both"/>
      </w:pPr>
      <w:r>
        <w:rPr/>
        <w:t>empleos a los jóvenes recién egresados de economía, es decir la compatibilidad entre la formación universitaria y los vacantes disponibles. Para comprobar la afinidad que tienen el tipo de empleos en los que se han contratado y la preparación se preguntó si su primer empleo estaba relacionado con su carrera profesional, las respuestas colectas fueron: 11% “muy relacionado”, 21% “relacionado”, 22% “medianamente relacionado”, 30% “poco relacionado” y 16% “nada relacionado”, ver gráfica 6.3.</w:t>
      </w:r>
    </w:p>
    <w:p>
      <w:pPr>
        <w:pStyle w:val="Heading3"/>
        <w:spacing w:before="210"/>
        <w:ind w:left="577"/>
        <w:jc w:val="left"/>
      </w:pPr>
      <w:r>
        <w:rPr/>
        <w:t>Gráfica 6.3. Su primer empleo estaba relacionado con su carrera profesional.</w:t>
      </w:r>
    </w:p>
    <w:p>
      <w:pPr>
        <w:pStyle w:val="BodyText"/>
        <w:rPr>
          <w:b/>
          <w:sz w:val="20"/>
        </w:rPr>
      </w:pPr>
    </w:p>
    <w:p>
      <w:pPr>
        <w:pStyle w:val="BodyText"/>
        <w:spacing w:before="5"/>
        <w:rPr>
          <w:b/>
          <w:sz w:val="28"/>
        </w:rPr>
      </w:pPr>
    </w:p>
    <w:p>
      <w:pPr>
        <w:spacing w:after="0"/>
        <w:rPr>
          <w:sz w:val="28"/>
        </w:rPr>
        <w:sectPr>
          <w:pgSz w:w="12240" w:h="15840"/>
          <w:pgMar w:header="0" w:footer="1003" w:top="1360" w:bottom="1200" w:left="1600" w:right="1580"/>
        </w:sectPr>
      </w:pPr>
    </w:p>
    <w:p>
      <w:pPr>
        <w:pStyle w:val="BodyText"/>
        <w:rPr>
          <w:b/>
          <w:sz w:val="20"/>
        </w:rPr>
      </w:pPr>
    </w:p>
    <w:p>
      <w:pPr>
        <w:pStyle w:val="BodyText"/>
        <w:rPr>
          <w:b/>
          <w:sz w:val="20"/>
        </w:rPr>
      </w:pPr>
    </w:p>
    <w:p>
      <w:pPr>
        <w:pStyle w:val="BodyText"/>
        <w:rPr>
          <w:b/>
          <w:sz w:val="20"/>
        </w:rPr>
      </w:pPr>
    </w:p>
    <w:p>
      <w:pPr>
        <w:spacing w:before="143"/>
        <w:ind w:left="0" w:right="0" w:firstLine="0"/>
        <w:jc w:val="right"/>
        <w:rPr>
          <w:rFonts w:ascii="Calibri"/>
          <w:sz w:val="20"/>
        </w:rPr>
      </w:pPr>
      <w:r>
        <w:rPr>
          <w:rFonts w:ascii="Calibri"/>
          <w:sz w:val="20"/>
        </w:rPr>
        <w:t>11%</w:t>
      </w:r>
    </w:p>
    <w:p>
      <w:pPr>
        <w:pStyle w:val="BodyText"/>
        <w:spacing w:before="10"/>
        <w:rPr>
          <w:rFonts w:ascii="Calibri"/>
          <w:sz w:val="30"/>
        </w:rPr>
      </w:pPr>
      <w:r>
        <w:rPr/>
        <w:br w:type="column"/>
      </w:r>
      <w:r>
        <w:rPr>
          <w:rFonts w:ascii="Calibri"/>
          <w:sz w:val="30"/>
        </w:rPr>
      </w:r>
    </w:p>
    <w:p>
      <w:pPr>
        <w:tabs>
          <w:tab w:pos="2665" w:val="left" w:leader="none"/>
        </w:tabs>
        <w:spacing w:before="0"/>
        <w:ind w:left="988" w:right="0" w:firstLine="0"/>
        <w:jc w:val="left"/>
        <w:rPr>
          <w:rFonts w:ascii="Calibri"/>
          <w:sz w:val="20"/>
        </w:rPr>
      </w:pPr>
      <w:r>
        <w:rPr/>
        <w:pict>
          <v:rect style="position:absolute;margin-left:205.080002pt;margin-top:18.381487pt;width:33.6pt;height:42.24pt;mso-position-horizontal-relative:page;mso-position-vertical-relative:paragraph;z-index:5344" filled="true" fillcolor="#4f81bc" stroked="false">
            <v:fill type="solid"/>
            <w10:wrap type="none"/>
          </v:rect>
        </w:pict>
      </w:r>
      <w:r>
        <w:rPr/>
        <w:pict>
          <v:rect style="position:absolute;margin-left:288.959991pt;margin-top:16.701487pt;width:33.6pt;height:43.92pt;mso-position-horizontal-relative:page;mso-position-vertical-relative:paragraph;z-index:5368" filled="true" fillcolor="#4f81bc" stroked="false">
            <v:fill type="solid"/>
            <w10:wrap type="none"/>
          </v:rect>
        </w:pict>
      </w:r>
      <w:r>
        <w:rPr>
          <w:rFonts w:ascii="Calibri"/>
          <w:position w:val="-3"/>
          <w:sz w:val="20"/>
        </w:rPr>
        <w:t>21%</w:t>
        <w:tab/>
      </w:r>
      <w:r>
        <w:rPr>
          <w:rFonts w:ascii="Calibri"/>
          <w:spacing w:val="-1"/>
          <w:sz w:val="20"/>
        </w:rPr>
        <w:t>22%</w:t>
      </w:r>
    </w:p>
    <w:p>
      <w:pPr>
        <w:spacing w:before="60"/>
        <w:ind w:left="0" w:right="0" w:firstLine="0"/>
        <w:jc w:val="right"/>
        <w:rPr>
          <w:rFonts w:ascii="Calibri"/>
          <w:sz w:val="20"/>
        </w:rPr>
      </w:pPr>
      <w:r>
        <w:rPr/>
        <w:br w:type="column"/>
      </w:r>
      <w:r>
        <w:rPr>
          <w:rFonts w:ascii="Calibri"/>
          <w:sz w:val="20"/>
        </w:rPr>
        <w:t>30%</w:t>
      </w:r>
    </w:p>
    <w:p>
      <w:pPr>
        <w:pStyle w:val="BodyText"/>
        <w:rPr>
          <w:rFonts w:ascii="Calibri"/>
          <w:sz w:val="20"/>
        </w:rPr>
      </w:pPr>
      <w:r>
        <w:rPr/>
        <w:br w:type="column"/>
      </w:r>
      <w:r>
        <w:rPr>
          <w:rFonts w:ascii="Calibri"/>
          <w:sz w:val="20"/>
        </w:rPr>
      </w:r>
    </w:p>
    <w:p>
      <w:pPr>
        <w:pStyle w:val="BodyText"/>
        <w:rPr>
          <w:rFonts w:ascii="Calibri"/>
          <w:sz w:val="20"/>
        </w:rPr>
      </w:pPr>
    </w:p>
    <w:p>
      <w:pPr>
        <w:spacing w:before="134"/>
        <w:ind w:left="968" w:right="994" w:firstLine="0"/>
        <w:jc w:val="center"/>
        <w:rPr>
          <w:rFonts w:ascii="Calibri"/>
          <w:sz w:val="20"/>
        </w:rPr>
      </w:pPr>
      <w:r>
        <w:rPr/>
        <w:pict>
          <v:rect style="position:absolute;margin-left:456.720001pt;margin-top:23.351479pt;width:33.6pt;height:31.68pt;mso-position-horizontal-relative:page;mso-position-vertical-relative:paragraph;z-index:5416" filled="true" fillcolor="#4f81bc" stroked="false">
            <v:fill type="solid"/>
            <w10:wrap type="none"/>
          </v:rect>
        </w:pict>
      </w:r>
      <w:r>
        <w:rPr>
          <w:rFonts w:ascii="Calibri"/>
          <w:sz w:val="20"/>
        </w:rPr>
        <w:t>16%</w:t>
      </w:r>
    </w:p>
    <w:p>
      <w:pPr>
        <w:spacing w:after="0"/>
        <w:jc w:val="center"/>
        <w:rPr>
          <w:rFonts w:ascii="Calibri"/>
          <w:sz w:val="20"/>
        </w:rPr>
        <w:sectPr>
          <w:type w:val="continuous"/>
          <w:pgSz w:w="12240" w:h="15840"/>
          <w:pgMar w:top="1340" w:bottom="280" w:left="1600" w:right="1580"/>
          <w:cols w:num="4" w:equalWidth="0">
            <w:col w:w="1333" w:space="345"/>
            <w:col w:w="3010" w:space="345"/>
            <w:col w:w="1333" w:space="345"/>
            <w:col w:w="2349"/>
          </w:cols>
        </w:sectPr>
      </w:pPr>
    </w:p>
    <w:p>
      <w:pPr>
        <w:pStyle w:val="BodyText"/>
        <w:spacing w:before="3"/>
        <w:rPr>
          <w:rFonts w:ascii="Calibri"/>
          <w:sz w:val="7"/>
        </w:rPr>
      </w:pPr>
    </w:p>
    <w:p>
      <w:pPr>
        <w:pStyle w:val="BodyText"/>
        <w:ind w:left="824"/>
        <w:rPr>
          <w:rFonts w:ascii="Calibri"/>
          <w:sz w:val="20"/>
        </w:rPr>
      </w:pPr>
      <w:r>
        <w:rPr>
          <w:rFonts w:ascii="Calibri"/>
          <w:sz w:val="20"/>
        </w:rPr>
        <w:pict>
          <v:group style="width:33.6pt;height:21.15pt;mso-position-horizontal-relative:char;mso-position-vertical-relative:line" coordorigin="0,0" coordsize="672,423">
            <v:rect style="position:absolute;left:0;top:0;width:672;height:422" filled="true" fillcolor="#4f81bc" stroked="false">
              <v:fill type="solid"/>
            </v:rect>
          </v:group>
        </w:pict>
      </w:r>
      <w:r>
        <w:rPr>
          <w:rFonts w:ascii="Calibri"/>
          <w:sz w:val="20"/>
        </w:rPr>
      </w:r>
    </w:p>
    <w:p>
      <w:pPr>
        <w:pStyle w:val="BodyText"/>
        <w:spacing w:before="8"/>
        <w:rPr>
          <w:rFonts w:ascii="Calibri"/>
          <w:sz w:val="5"/>
        </w:rPr>
      </w:pPr>
    </w:p>
    <w:p>
      <w:pPr>
        <w:spacing w:after="0"/>
        <w:rPr>
          <w:rFonts w:ascii="Calibri"/>
          <w:sz w:val="5"/>
        </w:rPr>
        <w:sectPr>
          <w:type w:val="continuous"/>
          <w:pgSz w:w="12240" w:h="15840"/>
          <w:pgMar w:top="1340" w:bottom="280" w:left="1600" w:right="1580"/>
        </w:sectPr>
      </w:pPr>
    </w:p>
    <w:p>
      <w:pPr>
        <w:tabs>
          <w:tab w:pos="2339" w:val="left" w:leader="none"/>
          <w:tab w:pos="3891" w:val="left" w:leader="none"/>
        </w:tabs>
        <w:spacing w:before="21"/>
        <w:ind w:left="475" w:right="0" w:firstLine="0"/>
        <w:jc w:val="left"/>
        <w:rPr>
          <w:rFonts w:ascii="Calibri"/>
          <w:sz w:val="20"/>
        </w:rPr>
      </w:pPr>
      <w:r>
        <w:rPr/>
        <w:pict>
          <v:rect style="position:absolute;margin-left:372.839996pt;margin-top:-65.078506pt;width:33.6pt;height:59.76pt;mso-position-horizontal-relative:page;mso-position-vertical-relative:paragraph;z-index:5392" filled="true" fillcolor="#4f81bc" stroked="false">
            <v:fill type="solid"/>
            <w10:wrap type="none"/>
          </v:rect>
        </w:pict>
      </w:r>
      <w:r>
        <w:rPr>
          <w:rFonts w:ascii="Calibri"/>
          <w:sz w:val="20"/>
        </w:rPr>
        <w:t>Muy</w:t>
      </w:r>
      <w:r>
        <w:rPr>
          <w:rFonts w:ascii="Calibri"/>
          <w:spacing w:val="-2"/>
          <w:sz w:val="20"/>
        </w:rPr>
        <w:t> </w:t>
      </w:r>
      <w:r>
        <w:rPr>
          <w:rFonts w:ascii="Calibri"/>
          <w:sz w:val="20"/>
        </w:rPr>
        <w:t>relacionado</w:t>
        <w:tab/>
        <w:t>Relacionado</w:t>
        <w:tab/>
      </w:r>
      <w:r>
        <w:rPr>
          <w:rFonts w:ascii="Calibri"/>
          <w:w w:val="95"/>
          <w:sz w:val="20"/>
        </w:rPr>
        <w:t>Medianamente</w:t>
      </w:r>
    </w:p>
    <w:p>
      <w:pPr>
        <w:spacing w:before="0"/>
        <w:ind w:left="0" w:right="142" w:firstLine="0"/>
        <w:jc w:val="right"/>
        <w:rPr>
          <w:rFonts w:ascii="Calibri"/>
          <w:sz w:val="20"/>
        </w:rPr>
      </w:pPr>
      <w:r>
        <w:rPr>
          <w:rFonts w:ascii="Calibri"/>
          <w:w w:val="95"/>
          <w:sz w:val="20"/>
        </w:rPr>
        <w:t>relacionado</w:t>
      </w:r>
    </w:p>
    <w:p>
      <w:pPr>
        <w:tabs>
          <w:tab w:pos="1977" w:val="left" w:leader="none"/>
        </w:tabs>
        <w:spacing w:before="21"/>
        <w:ind w:left="313" w:right="0" w:firstLine="0"/>
        <w:jc w:val="left"/>
        <w:rPr>
          <w:rFonts w:ascii="Calibri"/>
          <w:sz w:val="20"/>
        </w:rPr>
      </w:pPr>
      <w:r>
        <w:rPr/>
        <w:br w:type="column"/>
      </w:r>
      <w:r>
        <w:rPr>
          <w:rFonts w:ascii="Calibri"/>
          <w:sz w:val="20"/>
        </w:rPr>
        <w:t>Poco</w:t>
      </w:r>
      <w:r>
        <w:rPr>
          <w:rFonts w:ascii="Calibri"/>
          <w:spacing w:val="-2"/>
          <w:sz w:val="20"/>
        </w:rPr>
        <w:t> </w:t>
      </w:r>
      <w:r>
        <w:rPr>
          <w:rFonts w:ascii="Calibri"/>
          <w:sz w:val="20"/>
        </w:rPr>
        <w:t>relacionado</w:t>
        <w:tab/>
        <w:t>Nada</w:t>
      </w:r>
      <w:r>
        <w:rPr>
          <w:rFonts w:ascii="Calibri"/>
          <w:spacing w:val="-5"/>
          <w:sz w:val="20"/>
        </w:rPr>
        <w:t> </w:t>
      </w:r>
      <w:r>
        <w:rPr>
          <w:rFonts w:ascii="Calibri"/>
          <w:sz w:val="20"/>
        </w:rPr>
        <w:t>relacionado</w:t>
      </w:r>
    </w:p>
    <w:p>
      <w:pPr>
        <w:spacing w:after="0"/>
        <w:jc w:val="left"/>
        <w:rPr>
          <w:rFonts w:ascii="Calibri"/>
          <w:sz w:val="20"/>
        </w:rPr>
        <w:sectPr>
          <w:type w:val="continuous"/>
          <w:pgSz w:w="12240" w:h="15840"/>
          <w:pgMar w:top="1340" w:bottom="280" w:left="1600" w:right="1580"/>
          <w:cols w:num="2" w:equalWidth="0">
            <w:col w:w="5139" w:space="40"/>
            <w:col w:w="3881"/>
          </w:cols>
        </w:sectPr>
      </w:pPr>
    </w:p>
    <w:p>
      <w:pPr>
        <w:pStyle w:val="BodyText"/>
        <w:spacing w:before="4"/>
        <w:rPr>
          <w:rFonts w:ascii="Calibri"/>
          <w:sz w:val="14"/>
        </w:rPr>
      </w:pPr>
    </w:p>
    <w:p>
      <w:pPr>
        <w:spacing w:before="74"/>
        <w:ind w:left="2841" w:right="378" w:hanging="2471"/>
        <w:jc w:val="left"/>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rPr>
          <w:sz w:val="20"/>
        </w:rPr>
      </w:pPr>
    </w:p>
    <w:p>
      <w:pPr>
        <w:pStyle w:val="BodyText"/>
        <w:spacing w:line="360" w:lineRule="auto" w:before="156"/>
        <w:ind w:left="102" w:right="119"/>
        <w:jc w:val="both"/>
      </w:pPr>
      <w:r>
        <w:rPr/>
        <w:t>De las cuatro preguntas analizadas anteriormente se puede inferir que no sólo el número de empleos es menor al número de personas buscando empleo sino que, los jóvenes están siendo contratados en puestos que no están relacionados con su formación profesional (68%). Lo anterior se puede sustentar en el supuesto de información imperfecta, tal como se plantea en la teoría de la búsqueda, que hace que los que se encuentran en la “búsqueda” (jóvenes recién egresados de economía) no conozcan toda la información de las vacantes, por tanto toman las decisiones de empleo con la poco información con la que cuentan, derivando en que se encuentran laborando en alguna actividad que no está relacionada con su formación profesional.</w:t>
      </w:r>
    </w:p>
    <w:p>
      <w:pPr>
        <w:pStyle w:val="BodyText"/>
        <w:spacing w:line="360" w:lineRule="auto" w:before="205"/>
        <w:ind w:left="102" w:right="116"/>
        <w:jc w:val="both"/>
      </w:pPr>
      <w:r>
        <w:rPr/>
        <w:t>En relación a si consideran que la formación recibida era teórica, práctica o ambas, destacó el hecho que nadie consideró que era únicamente práctica, el mayor porcentaje se centró en teórica con un 85%, y 15% consideró que era teórica-práctica, lo que muestra la poca vinculación entre el sector educativo y el sector productivo (ver gráfica 6.4.), cuestión   que</w:t>
      </w:r>
    </w:p>
    <w:p>
      <w:pPr>
        <w:spacing w:after="0" w:line="360" w:lineRule="auto"/>
        <w:jc w:val="both"/>
        <w:sectPr>
          <w:type w:val="continuous"/>
          <w:pgSz w:w="12240" w:h="15840"/>
          <w:pgMar w:top="1340" w:bottom="280" w:left="1600" w:right="1580"/>
        </w:sectPr>
      </w:pPr>
    </w:p>
    <w:p>
      <w:pPr>
        <w:pStyle w:val="BodyText"/>
        <w:spacing w:line="360" w:lineRule="auto" w:before="50"/>
        <w:ind w:left="102"/>
      </w:pPr>
      <w:r>
        <w:rPr/>
        <w:t>debe alertar a ambos sectores en aras de lograr una mayor compatibilidad entre lo que se forma en las IES y lo que requiere del mercado de trabajo.</w:t>
      </w:r>
    </w:p>
    <w:p>
      <w:pPr>
        <w:pStyle w:val="Heading3"/>
        <w:spacing w:before="208"/>
        <w:ind w:left="3649" w:right="164" w:hanging="3486"/>
        <w:jc w:val="left"/>
      </w:pPr>
      <w:r>
        <w:rPr/>
        <w:t>Gráfica 6.4. La enseñanza recibida en la Facultad de Economía de la UAEMéx ofrece una formación…</w:t>
      </w:r>
    </w:p>
    <w:p>
      <w:pPr>
        <w:spacing w:after="0"/>
        <w:jc w:val="left"/>
        <w:sectPr>
          <w:pgSz w:w="12240" w:h="15840"/>
          <w:pgMar w:header="0" w:footer="1003" w:top="1360" w:bottom="1200" w:left="1600" w:right="1580"/>
        </w:sectPr>
      </w:pPr>
    </w:p>
    <w:p>
      <w:pPr>
        <w:spacing w:before="77"/>
        <w:ind w:left="2522" w:right="0" w:hanging="202"/>
        <w:jc w:val="left"/>
        <w:rPr>
          <w:rFonts w:ascii="Calibri" w:hAnsi="Calibri"/>
          <w:sz w:val="20"/>
        </w:rPr>
      </w:pPr>
      <w:r>
        <w:rPr/>
        <w:drawing>
          <wp:anchor distT="0" distB="0" distL="0" distR="0" allowOverlap="1" layoutInCell="1" locked="0" behindDoc="1" simplePos="0" relativeHeight="268038239">
            <wp:simplePos x="0" y="0"/>
            <wp:positionH relativeFrom="page">
              <wp:posOffset>1572767</wp:posOffset>
            </wp:positionH>
            <wp:positionV relativeFrom="paragraph">
              <wp:posOffset>239668</wp:posOffset>
            </wp:positionV>
            <wp:extent cx="4416552" cy="1114044"/>
            <wp:effectExtent l="0" t="0" r="0" b="0"/>
            <wp:wrapNone/>
            <wp:docPr id="59" name="image77.png" descr=""/>
            <wp:cNvGraphicFramePr>
              <a:graphicFrameLocks noChangeAspect="1"/>
            </wp:cNvGraphicFramePr>
            <a:graphic>
              <a:graphicData uri="http://schemas.openxmlformats.org/drawingml/2006/picture">
                <pic:pic>
                  <pic:nvPicPr>
                    <pic:cNvPr id="60" name="image77.png"/>
                    <pic:cNvPicPr/>
                  </pic:nvPicPr>
                  <pic:blipFill>
                    <a:blip r:embed="rId115" cstate="print"/>
                    <a:stretch>
                      <a:fillRect/>
                    </a:stretch>
                  </pic:blipFill>
                  <pic:spPr>
                    <a:xfrm>
                      <a:off x="0" y="0"/>
                      <a:ext cx="4416552" cy="1114044"/>
                    </a:xfrm>
                    <a:prstGeom prst="rect">
                      <a:avLst/>
                    </a:prstGeom>
                  </pic:spPr>
                </pic:pic>
              </a:graphicData>
            </a:graphic>
          </wp:anchor>
        </w:drawing>
      </w:r>
      <w:r>
        <w:rPr>
          <w:rFonts w:ascii="Calibri" w:hAnsi="Calibri"/>
          <w:w w:val="95"/>
          <w:sz w:val="20"/>
        </w:rPr>
        <w:t>Práctica </w:t>
      </w:r>
      <w:r>
        <w:rPr>
          <w:rFonts w:ascii="Calibri" w:hAnsi="Calibri"/>
          <w:sz w:val="20"/>
        </w:rPr>
        <w:t>0%</w:t>
      </w:r>
    </w:p>
    <w:p>
      <w:pPr>
        <w:spacing w:before="77"/>
        <w:ind w:left="2321" w:right="1545" w:hanging="2"/>
        <w:jc w:val="center"/>
        <w:rPr>
          <w:rFonts w:ascii="Calibri" w:hAnsi="Calibri"/>
          <w:sz w:val="20"/>
        </w:rPr>
      </w:pPr>
      <w:r>
        <w:rPr/>
        <w:br w:type="column"/>
      </w:r>
      <w:r>
        <w:rPr>
          <w:rFonts w:ascii="Calibri" w:hAnsi="Calibri"/>
          <w:sz w:val="20"/>
        </w:rPr>
        <w:t>Muy completa </w:t>
      </w:r>
      <w:r>
        <w:rPr>
          <w:rFonts w:ascii="Calibri" w:hAnsi="Calibri"/>
          <w:spacing w:val="-1"/>
          <w:sz w:val="20"/>
        </w:rPr>
        <w:t>(teórica-práctica) </w:t>
      </w:r>
      <w:r>
        <w:rPr>
          <w:rFonts w:ascii="Calibri" w:hAnsi="Calibri"/>
          <w:sz w:val="20"/>
        </w:rPr>
        <w:t>15%</w:t>
      </w:r>
    </w:p>
    <w:p>
      <w:pPr>
        <w:spacing w:after="0"/>
        <w:jc w:val="center"/>
        <w:rPr>
          <w:rFonts w:ascii="Calibri" w:hAnsi="Calibri"/>
          <w:sz w:val="20"/>
        </w:rPr>
        <w:sectPr>
          <w:type w:val="continuous"/>
          <w:pgSz w:w="12240" w:h="15840"/>
          <w:pgMar w:top="1340" w:bottom="280" w:left="1600" w:right="1580"/>
          <w:cols w:num="2" w:equalWidth="0">
            <w:col w:w="2967" w:space="831"/>
            <w:col w:w="5262"/>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16"/>
        </w:rPr>
      </w:pPr>
    </w:p>
    <w:p>
      <w:pPr>
        <w:spacing w:before="59"/>
        <w:ind w:left="2149" w:right="6410" w:hanging="125"/>
        <w:jc w:val="left"/>
        <w:rPr>
          <w:rFonts w:ascii="Calibri" w:hAnsi="Calibri"/>
          <w:sz w:val="20"/>
        </w:rPr>
      </w:pPr>
      <w:r>
        <w:rPr>
          <w:rFonts w:ascii="Calibri" w:hAnsi="Calibri"/>
          <w:w w:val="95"/>
          <w:sz w:val="20"/>
        </w:rPr>
        <w:t>Teórica </w:t>
      </w:r>
      <w:r>
        <w:rPr>
          <w:rFonts w:ascii="Calibri" w:hAnsi="Calibri"/>
          <w:sz w:val="20"/>
        </w:rPr>
        <w:t>85%</w:t>
      </w:r>
    </w:p>
    <w:p>
      <w:pPr>
        <w:pStyle w:val="BodyText"/>
        <w:spacing w:before="9"/>
        <w:rPr>
          <w:rFonts w:ascii="Calibri"/>
          <w:sz w:val="22"/>
        </w:rPr>
      </w:pPr>
    </w:p>
    <w:p>
      <w:pPr>
        <w:spacing w:before="74"/>
        <w:ind w:left="2841" w:right="378" w:hanging="2471"/>
        <w:jc w:val="left"/>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spacing w:line="360" w:lineRule="auto" w:before="150"/>
        <w:ind w:left="102" w:right="116"/>
        <w:jc w:val="both"/>
      </w:pPr>
      <w:r>
        <w:rPr/>
        <w:t>Se preguntó también si consideraban necesario incluir más asignaturas a la carrera de economía, a lo que respondieron que sí el 56%, sugiriendo que se incluyeran materias como: inglés, administración, gestoría de trámites para abrir una empresa, y mayoritariamente materias</w:t>
      </w:r>
      <w:r>
        <w:rPr>
          <w:spacing w:val="-9"/>
        </w:rPr>
        <w:t> </w:t>
      </w:r>
      <w:r>
        <w:rPr/>
        <w:t>prácticas.</w:t>
      </w:r>
    </w:p>
    <w:p>
      <w:pPr>
        <w:pStyle w:val="BodyText"/>
      </w:pPr>
    </w:p>
    <w:p>
      <w:pPr>
        <w:pStyle w:val="BodyText"/>
        <w:spacing w:line="360" w:lineRule="auto" w:before="143"/>
        <w:ind w:left="102" w:right="120"/>
        <w:jc w:val="both"/>
      </w:pPr>
      <w:r>
        <w:rPr/>
        <w:t>Partiendo de la teoría de la búsqueda se menciona que las personas desempleadas incurren en costos de información, para conocer si este supuesto se cumple en el caso de los licenciados en economía de la UAEMéx, se formuló la pregunta de cuáles fueron sus fuentes de información sobre las posibilidades de empleo durante la carrera. El 43% contestó que “bolsa de trabajo” y “familia”, ver gráfica 6.5. Lo cual es un reflejo de la era tecnológica en la que viven los jóvenes y la dependencia en las relaciones sociales, principalmente en las relaciones familiares como primera alternativa de vinculación al mercado de trabajo.</w:t>
      </w:r>
    </w:p>
    <w:p>
      <w:pPr>
        <w:pStyle w:val="BodyText"/>
        <w:spacing w:line="360" w:lineRule="auto" w:before="6"/>
        <w:ind w:left="102" w:right="117"/>
        <w:jc w:val="both"/>
      </w:pPr>
      <w:r>
        <w:rPr/>
        <w:t>La mayoría de las bolsas de trabajo se encuentran disponibles de forma gratuita en línea, y son consultadas a través de internet. En este caso, los egresados no están incurriendo en gastos de búsqueda de información. El departamento de vinculación de la Facultad de Economía, obtuvo la calificación más baja, 8%. Es importante que se fortalezca la difusión de la información respecto a bolsas de trabajo y oportunidades de proyectos y empleo.</w:t>
      </w:r>
    </w:p>
    <w:p>
      <w:pPr>
        <w:spacing w:after="0" w:line="360" w:lineRule="auto"/>
        <w:jc w:val="both"/>
        <w:sectPr>
          <w:type w:val="continuous"/>
          <w:pgSz w:w="12240" w:h="15840"/>
          <w:pgMar w:top="1340" w:bottom="280" w:left="1600" w:right="1580"/>
        </w:sectPr>
      </w:pPr>
    </w:p>
    <w:p>
      <w:pPr>
        <w:pStyle w:val="Heading3"/>
        <w:spacing w:before="53"/>
        <w:ind w:left="3645" w:hanging="3426"/>
        <w:jc w:val="left"/>
      </w:pPr>
      <w:r>
        <w:rPr/>
        <w:t>Gráfica 6.5. Sus fuentes de información sobre las posibilidades de empleo durante la carrera fueron…</w:t>
      </w:r>
    </w:p>
    <w:p>
      <w:pPr>
        <w:pStyle w:val="BodyText"/>
        <w:spacing w:before="3"/>
        <w:rPr>
          <w:b/>
          <w:sz w:val="17"/>
        </w:rPr>
      </w:pPr>
    </w:p>
    <w:p>
      <w:pPr>
        <w:spacing w:after="0"/>
        <w:rPr>
          <w:sz w:val="17"/>
        </w:rPr>
        <w:sectPr>
          <w:pgSz w:w="12240" w:h="15840"/>
          <w:pgMar w:header="0" w:footer="1003" w:top="1360" w:bottom="1200" w:left="1600" w:right="1580"/>
        </w:sectPr>
      </w:pPr>
    </w:p>
    <w:p>
      <w:pPr>
        <w:spacing w:before="59"/>
        <w:ind w:left="0" w:right="135" w:firstLine="0"/>
        <w:jc w:val="right"/>
        <w:rPr>
          <w:rFonts w:ascii="Calibri"/>
          <w:sz w:val="20"/>
        </w:rPr>
      </w:pPr>
      <w:r>
        <w:rPr>
          <w:rFonts w:ascii="Calibri"/>
          <w:sz w:val="20"/>
        </w:rPr>
        <w:t>Otro (Por favor especifique)</w:t>
      </w:r>
    </w:p>
    <w:p>
      <w:pPr>
        <w:spacing w:line="328" w:lineRule="auto" w:before="91"/>
        <w:ind w:left="3227" w:right="132" w:firstLine="148"/>
        <w:jc w:val="right"/>
        <w:rPr>
          <w:rFonts w:ascii="Calibri"/>
          <w:sz w:val="20"/>
        </w:rPr>
      </w:pPr>
      <w:r>
        <w:rPr>
          <w:rFonts w:ascii="Calibri"/>
          <w:w w:val="95"/>
          <w:sz w:val="20"/>
        </w:rPr>
        <w:t>Ninguna </w:t>
      </w:r>
      <w:r>
        <w:rPr>
          <w:rFonts w:ascii="Calibri"/>
          <w:sz w:val="20"/>
        </w:rPr>
        <w:t>Familiares</w:t>
      </w:r>
    </w:p>
    <w:p>
      <w:pPr>
        <w:spacing w:before="0"/>
        <w:ind w:left="231" w:right="-11" w:firstLine="0"/>
        <w:jc w:val="left"/>
        <w:rPr>
          <w:rFonts w:ascii="Calibri" w:hAnsi="Calibri"/>
          <w:sz w:val="20"/>
        </w:rPr>
      </w:pPr>
      <w:r>
        <w:rPr>
          <w:rFonts w:ascii="Calibri" w:hAnsi="Calibri"/>
          <w:sz w:val="20"/>
        </w:rPr>
        <w:t>Departamento de vinculación de la Facultad</w:t>
      </w:r>
      <w:r>
        <w:rPr>
          <w:rFonts w:ascii="Calibri" w:hAnsi="Calibri"/>
          <w:spacing w:val="-12"/>
          <w:sz w:val="20"/>
        </w:rPr>
        <w:t> </w:t>
      </w:r>
      <w:r>
        <w:rPr>
          <w:rFonts w:ascii="Calibri" w:hAnsi="Calibri"/>
          <w:sz w:val="20"/>
        </w:rPr>
        <w:t>de…</w:t>
      </w:r>
    </w:p>
    <w:p>
      <w:pPr>
        <w:spacing w:line="328" w:lineRule="auto" w:before="91"/>
        <w:ind w:left="3025" w:right="131" w:hanging="286"/>
        <w:jc w:val="right"/>
        <w:rPr>
          <w:rFonts w:ascii="Calibri" w:hAnsi="Calibri"/>
          <w:sz w:val="20"/>
        </w:rPr>
      </w:pPr>
      <w:r>
        <w:rPr>
          <w:rFonts w:ascii="Calibri" w:hAnsi="Calibri"/>
          <w:sz w:val="20"/>
        </w:rPr>
        <w:t>Bolsa de trabajo</w:t>
      </w:r>
      <w:r>
        <w:rPr>
          <w:rFonts w:ascii="Calibri" w:hAnsi="Calibri"/>
          <w:w w:val="99"/>
          <w:sz w:val="20"/>
        </w:rPr>
        <w:t> </w:t>
      </w:r>
      <w:r>
        <w:rPr>
          <w:rFonts w:ascii="Calibri" w:hAnsi="Calibri"/>
          <w:sz w:val="20"/>
        </w:rPr>
        <w:t>Compañeros </w:t>
      </w:r>
      <w:r>
        <w:rPr>
          <w:rFonts w:ascii="Calibri" w:hAnsi="Calibri"/>
          <w:w w:val="95"/>
          <w:sz w:val="20"/>
        </w:rPr>
        <w:t>Profesores</w:t>
      </w:r>
    </w:p>
    <w:p>
      <w:pPr>
        <w:pStyle w:val="BodyText"/>
        <w:rPr>
          <w:rFonts w:ascii="Calibri"/>
          <w:sz w:val="20"/>
        </w:rPr>
      </w:pPr>
      <w:r>
        <w:rPr/>
        <w:br w:type="column"/>
      </w:r>
      <w:r>
        <w:rPr>
          <w:rFonts w:ascii="Calibri"/>
          <w:sz w:val="20"/>
        </w:rPr>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15"/>
        </w:rPr>
      </w:pPr>
    </w:p>
    <w:p>
      <w:pPr>
        <w:spacing w:before="0"/>
        <w:ind w:left="231" w:right="0" w:firstLine="0"/>
        <w:jc w:val="left"/>
        <w:rPr>
          <w:rFonts w:ascii="Calibri"/>
          <w:sz w:val="20"/>
        </w:rPr>
      </w:pPr>
      <w:r>
        <w:rPr/>
        <w:pict>
          <v:group style="position:absolute;margin-left:291.704987pt;margin-top:-69.673523pt;width:209.2pt;height:118pt;mso-position-horizontal-relative:page;mso-position-vertical-relative:paragraph;z-index:5584" coordorigin="5834,-1393" coordsize="4184,2360">
            <v:shape style="position:absolute;left:5842;top:-1285;width:4176;height:2144" coordorigin="5842,-1285" coordsize="4176,2144" path="m7114,-282l5842,-282,5842,-148,7114,-148,7114,-282m7114,-1285l5842,-1285,5842,-1153,7114,-1153,7114,-1285m7838,-952l5842,-952,5842,-817,7838,-817,7838,-952m8383,724l5842,724,5842,858,8383,858,8383,724m8383,390l5842,390,5842,524,8383,524,8383,390m8928,-616l5842,-616,5842,-481,8928,-481,8928,-616m10018,54l5842,54,5842,188,10018,188,10018,54e" filled="true" fillcolor="#006fc0" stroked="false">
              <v:path arrowok="t"/>
              <v:fill type="solid"/>
            </v:shape>
            <v:line style="position:absolute" from="5842,959" to="5842,-1386" stroked="true" strokeweight=".72pt" strokecolor="#858585"/>
            <v:shape style="position:absolute;left:7234;top:-1300;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w:t>
                    </w:r>
                  </w:p>
                </w:txbxContent>
              </v:textbox>
              <w10:wrap type="none"/>
            </v:shape>
            <v:shape style="position:absolute;left:7960;top:-96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w:t>
                    </w:r>
                  </w:p>
                </w:txbxContent>
              </v:textbox>
              <w10:wrap type="none"/>
            </v:shape>
            <v:shape style="position:absolute;left:9050;top:-630;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18%</w:t>
                    </w:r>
                  </w:p>
                </w:txbxContent>
              </v:textbox>
              <w10:wrap type="none"/>
            </v:shape>
            <v:shape style="position:absolute;left:7234;top:-294;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w:t>
                    </w:r>
                  </w:p>
                </w:txbxContent>
              </v:textbox>
              <w10:wrap type="none"/>
            </v:shape>
            <v:shape style="position:absolute;left:8505;top:376;width:346;height:535" type="#_x0000_t202" filled="false" stroked="false">
              <v:textbox inset="0,0,0,0">
                <w:txbxContent>
                  <w:p>
                    <w:pPr>
                      <w:spacing w:line="203" w:lineRule="exact" w:before="0"/>
                      <w:ind w:left="0" w:right="-3" w:firstLine="0"/>
                      <w:jc w:val="left"/>
                      <w:rPr>
                        <w:rFonts w:ascii="Calibri"/>
                        <w:sz w:val="20"/>
                      </w:rPr>
                    </w:pPr>
                    <w:r>
                      <w:rPr>
                        <w:rFonts w:ascii="Calibri"/>
                        <w:w w:val="95"/>
                        <w:sz w:val="20"/>
                      </w:rPr>
                      <w:t>15%</w:t>
                    </w:r>
                  </w:p>
                  <w:p>
                    <w:pPr>
                      <w:spacing w:line="240" w:lineRule="exact" w:before="91"/>
                      <w:ind w:left="0" w:right="-3" w:firstLine="0"/>
                      <w:jc w:val="left"/>
                      <w:rPr>
                        <w:rFonts w:ascii="Calibri"/>
                        <w:sz w:val="20"/>
                      </w:rPr>
                    </w:pPr>
                    <w:r>
                      <w:rPr>
                        <w:rFonts w:ascii="Calibri"/>
                        <w:w w:val="95"/>
                        <w:sz w:val="20"/>
                      </w:rPr>
                      <w:t>15%</w:t>
                    </w:r>
                  </w:p>
                </w:txbxContent>
              </v:textbox>
              <w10:wrap type="none"/>
            </v:shape>
            <w10:wrap type="none"/>
          </v:group>
        </w:pict>
      </w:r>
      <w:r>
        <w:rPr>
          <w:rFonts w:ascii="Calibri"/>
          <w:sz w:val="20"/>
        </w:rPr>
        <w:t>25%</w:t>
      </w:r>
    </w:p>
    <w:p>
      <w:pPr>
        <w:spacing w:after="0"/>
        <w:jc w:val="left"/>
        <w:rPr>
          <w:rFonts w:ascii="Calibri"/>
          <w:sz w:val="20"/>
        </w:rPr>
        <w:sectPr>
          <w:type w:val="continuous"/>
          <w:pgSz w:w="12240" w:h="15840"/>
          <w:pgMar w:top="1340" w:bottom="280" w:left="1600" w:right="1580"/>
          <w:cols w:num="2" w:equalWidth="0">
            <w:col w:w="4191" w:space="4117"/>
            <w:col w:w="752"/>
          </w:cols>
        </w:sectPr>
      </w:pPr>
    </w:p>
    <w:p>
      <w:pPr>
        <w:pStyle w:val="BodyText"/>
        <w:spacing w:before="1"/>
        <w:rPr>
          <w:rFonts w:ascii="Calibri"/>
          <w:sz w:val="19"/>
        </w:rPr>
      </w:pPr>
    </w:p>
    <w:p>
      <w:pPr>
        <w:spacing w:before="74"/>
        <w:ind w:left="2841" w:right="378" w:hanging="2471"/>
        <w:jc w:val="left"/>
        <w:rPr>
          <w:sz w:val="20"/>
        </w:rPr>
      </w:pPr>
      <w:r>
        <w:rPr>
          <w:sz w:val="20"/>
        </w:rPr>
        <w:t>Fuente: elaboración propia con base en el “Cuestionario transición egresados universitarios-mercado de trabajo, Facultad de Economía UAEMéx”</w:t>
      </w:r>
    </w:p>
    <w:p>
      <w:pPr>
        <w:pStyle w:val="BodyText"/>
        <w:rPr>
          <w:sz w:val="27"/>
        </w:rPr>
      </w:pPr>
    </w:p>
    <w:p>
      <w:pPr>
        <w:pStyle w:val="BodyText"/>
        <w:spacing w:line="360" w:lineRule="auto"/>
        <w:ind w:left="102" w:right="116"/>
        <w:jc w:val="both"/>
      </w:pPr>
      <w:r>
        <w:rPr/>
        <w:t>Fue necesario indagar más respecto a los conocimientos y aprendizaje durante los años universitarios, para tal efecto, se planteó la pregunta: ¿considera que el aprendizaje  obtenido durante su carrera fue compatible con los puestos disponibles al momento </w:t>
      </w:r>
      <w:r>
        <w:rPr>
          <w:spacing w:val="4"/>
        </w:rPr>
        <w:t>de </w:t>
      </w:r>
      <w:r>
        <w:rPr/>
        <w:t>egresar? El 3% consideró que eran “muy compatibles”; el 29% “compatibles”; 46% “medianamente compatibles” y 23% “poco</w:t>
      </w:r>
      <w:r>
        <w:rPr>
          <w:spacing w:val="-6"/>
        </w:rPr>
        <w:t> </w:t>
      </w:r>
      <w:r>
        <w:rPr/>
        <w:t>compatibles”.</w:t>
      </w:r>
    </w:p>
    <w:p>
      <w:pPr>
        <w:pStyle w:val="BodyText"/>
      </w:pPr>
    </w:p>
    <w:p>
      <w:pPr>
        <w:pStyle w:val="BodyText"/>
        <w:spacing w:line="360" w:lineRule="auto" w:before="143"/>
        <w:ind w:left="102" w:right="116"/>
        <w:jc w:val="both"/>
      </w:pPr>
      <w:r>
        <w:rPr/>
        <w:t>Al igual que la pregunta anterior, se cuenta con evidencia empírica que indica que tanto los conocimientos como el aprendizaje resultan “medianamente compatibles” con los puestos de trabajo disponibles y 76% que consideró que no influyó el prestigio de la Facultad de Economía en su incorporación por primera vez al mercado de trabajo, y sólo el 24% consideró que ayudó dicho prestigio.</w:t>
      </w:r>
    </w:p>
    <w:p>
      <w:pPr>
        <w:pStyle w:val="BodyText"/>
      </w:pPr>
    </w:p>
    <w:p>
      <w:pPr>
        <w:pStyle w:val="BodyText"/>
        <w:spacing w:line="360" w:lineRule="auto" w:before="143"/>
        <w:ind w:left="102" w:right="118"/>
        <w:jc w:val="both"/>
      </w:pPr>
      <w:r>
        <w:rPr/>
        <w:t>De ahí la importancia de este tipo de cuestionarios que permiten conocer las características que tiene el proceso de transición de los egresados universitarios, ya que para el caso de los licenciados en economía la evidencia indica que existe una brecha entre los planes académicos y la realidad laboral que se vive en el Estado de México. Lo que genera una alerta para la institución educativa.</w:t>
      </w:r>
    </w:p>
    <w:p>
      <w:pPr>
        <w:pStyle w:val="BodyText"/>
      </w:pPr>
    </w:p>
    <w:p>
      <w:pPr>
        <w:pStyle w:val="BodyText"/>
        <w:spacing w:line="360" w:lineRule="auto" w:before="143"/>
        <w:ind w:left="102" w:right="121"/>
        <w:jc w:val="both"/>
      </w:pPr>
      <w:r>
        <w:rPr/>
        <w:t>En el proceso de encontrar el primer empleo interviene otro actor que se le denomina “empleador”, para ello se elaboró una pregunta que permitiría explicar el punto de vista  que se cree tienen los empleadores, ¿qué calificación cree usted que dan los empleadores   a</w:t>
      </w:r>
    </w:p>
    <w:p>
      <w:pPr>
        <w:spacing w:after="0" w:line="360" w:lineRule="auto"/>
        <w:jc w:val="both"/>
        <w:sectPr>
          <w:type w:val="continuous"/>
          <w:pgSz w:w="12240" w:h="15840"/>
          <w:pgMar w:top="1340" w:bottom="280" w:left="1600" w:right="1580"/>
        </w:sectPr>
      </w:pPr>
    </w:p>
    <w:p>
      <w:pPr>
        <w:pStyle w:val="BodyText"/>
        <w:spacing w:line="360" w:lineRule="auto" w:before="50"/>
        <w:ind w:left="102" w:right="116"/>
        <w:jc w:val="both"/>
      </w:pPr>
      <w:r>
        <w:rPr/>
        <w:t>su carrera profesional? El rubro “buena” fue la que reportó la frecuencia mayor, con 60%  de las respuestas. Seguida de “regular” con 25%. Para “excelente” la calificación fue de 10%, y para “mala” y “muy mala” la calificación fue de 3% y 1% respectivamente. Lo que señala, desde el punto de vista de los encuestados, que existe una buena percepción por parte de los empleadores. Aún cuando para el 76% de los egresados encuestados haber egresado de la UAEMéx y el prestigio que tiene la universidad no fue determinante para ser contratado.</w:t>
      </w:r>
    </w:p>
    <w:p>
      <w:pPr>
        <w:pStyle w:val="BodyText"/>
      </w:pPr>
    </w:p>
    <w:p>
      <w:pPr>
        <w:pStyle w:val="BodyText"/>
        <w:spacing w:line="360" w:lineRule="auto" w:before="143"/>
        <w:ind w:left="102" w:right="117"/>
        <w:jc w:val="both"/>
      </w:pPr>
      <w:r>
        <w:rPr/>
        <w:t>En suma, para los encuestados sí es importante la formación y preparación universitaria en la carrera de economía, los egresados de la UAEMéx son “bien” aceptados en el mercado de trabajo del Estado de México, y su incorporación al mismo responde al proceso de selección que realizan los empleadores, tal como se plantea en la teoría de las señales, aunque al momento de encarar al mercado de trabajo se enfrentan con la realidad de que son poco valorados los conocimientos y habilidades que obtuvieron, además señalaron que los conocimientos teóricos no están del todo vinculados con los puestos de trabajo, presentándose una desvinculación entre las IES y el mercado de</w:t>
      </w:r>
      <w:r>
        <w:rPr>
          <w:spacing w:val="-15"/>
        </w:rPr>
        <w:t> </w:t>
      </w:r>
      <w:r>
        <w:rPr/>
        <w:t>trabajo.</w:t>
      </w:r>
    </w:p>
    <w:p>
      <w:pPr>
        <w:pStyle w:val="BodyText"/>
      </w:pPr>
    </w:p>
    <w:p>
      <w:pPr>
        <w:pStyle w:val="Heading3"/>
        <w:numPr>
          <w:ilvl w:val="1"/>
          <w:numId w:val="75"/>
        </w:numPr>
        <w:tabs>
          <w:tab w:pos="522" w:val="left" w:leader="none"/>
        </w:tabs>
        <w:spacing w:line="240" w:lineRule="auto" w:before="213" w:after="0"/>
        <w:ind w:left="522" w:right="0" w:hanging="420"/>
        <w:jc w:val="both"/>
      </w:pPr>
      <w:bookmarkStart w:name="_bookmark75" w:id="137"/>
      <w:bookmarkEnd w:id="137"/>
      <w:r>
        <w:rPr>
          <w:b w:val="0"/>
        </w:rPr>
      </w:r>
      <w:bookmarkStart w:name="_bookmark75" w:id="138"/>
      <w:bookmarkEnd w:id="138"/>
      <w:r>
        <w:rPr/>
        <w:t>Cali</w:t>
      </w:r>
      <w:r>
        <w:rPr/>
        <w:t>dad de la</w:t>
      </w:r>
      <w:r>
        <w:rPr>
          <w:spacing w:val="-5"/>
        </w:rPr>
        <w:t> </w:t>
      </w:r>
      <w:r>
        <w:rPr/>
        <w:t>transición</w:t>
      </w:r>
    </w:p>
    <w:p>
      <w:pPr>
        <w:pStyle w:val="BodyText"/>
        <w:rPr>
          <w:b/>
        </w:rPr>
      </w:pPr>
    </w:p>
    <w:p>
      <w:pPr>
        <w:pStyle w:val="BodyText"/>
        <w:spacing w:before="4"/>
        <w:rPr>
          <w:b/>
          <w:sz w:val="23"/>
        </w:rPr>
      </w:pPr>
    </w:p>
    <w:p>
      <w:pPr>
        <w:pStyle w:val="BodyText"/>
        <w:spacing w:line="360" w:lineRule="auto"/>
        <w:ind w:left="102" w:right="117"/>
        <w:jc w:val="both"/>
      </w:pPr>
      <w:r>
        <w:rPr/>
        <w:t>Este apartado tiene la intención de conocer que tan acorde, bien remunerado y relacionado con la carrera de economía son los puestos de trabajo existentes en el mercado de trabajo. Se inicia con la pregunta ¿cuánto tiempo ha estado trabajando en total desde que egresó? El 42% lleva más de 5 años laborando, el 41% 5 años, el 8% un año, el 3% 6 meses, el 1% 3 meses y el 6% no ha trabajado. Estos resultados muestran nuevamente que la carrera de economía goza de cierta estabilidad</w:t>
      </w:r>
      <w:r>
        <w:rPr>
          <w:spacing w:val="-8"/>
        </w:rPr>
        <w:t> </w:t>
      </w:r>
      <w:r>
        <w:rPr/>
        <w:t>laboral.</w:t>
      </w:r>
    </w:p>
    <w:p>
      <w:pPr>
        <w:pStyle w:val="BodyText"/>
      </w:pPr>
    </w:p>
    <w:p>
      <w:pPr>
        <w:pStyle w:val="BodyText"/>
        <w:spacing w:line="360" w:lineRule="auto" w:before="143"/>
        <w:ind w:left="102" w:right="118"/>
        <w:jc w:val="both"/>
      </w:pPr>
      <w:r>
        <w:rPr/>
        <w:t>La siguiente característica del empleo de interés para la investigación fue ¿qué tipo de contrato obtuvo en su primer empleo? El 43% consiguió un contrato indefinido, 46% un contrato temporal y el 11% sin contrato (gráfica 6.6.), lo que suma un 57% que se  encuentra en peores condiciones, siendo contratos temporales o sin</w:t>
      </w:r>
      <w:r>
        <w:rPr>
          <w:spacing w:val="-8"/>
        </w:rPr>
        <w:t> </w:t>
      </w:r>
      <w:r>
        <w:rPr/>
        <w:t>contrato.</w:t>
      </w:r>
    </w:p>
    <w:p>
      <w:pPr>
        <w:spacing w:after="0" w:line="360" w:lineRule="auto"/>
        <w:jc w:val="both"/>
        <w:sectPr>
          <w:pgSz w:w="12240" w:h="15840"/>
          <w:pgMar w:header="0" w:footer="1003" w:top="1360" w:bottom="1200" w:left="1600" w:right="1580"/>
        </w:sectPr>
      </w:pPr>
    </w:p>
    <w:p>
      <w:pPr>
        <w:pStyle w:val="BodyText"/>
        <w:spacing w:line="360" w:lineRule="auto" w:before="50"/>
        <w:ind w:left="102" w:right="118"/>
        <w:jc w:val="both"/>
      </w:pPr>
      <w:r>
        <w:rPr/>
        <w:t>Tomando en cuenta que en la zona en donde se realizó la encuesta se encuentran un gran número de parques industriales y que el tipo de organización en la que se contratan el  mayor porcentaje fue “empresas” (48%), el tener contratos indefinidos con el  mayor número de respuestas, es un resultado congruente con la legislación laboral</w:t>
      </w:r>
      <w:r>
        <w:rPr>
          <w:spacing w:val="-11"/>
        </w:rPr>
        <w:t> </w:t>
      </w:r>
      <w:r>
        <w:rPr/>
        <w:t>actual.</w:t>
      </w:r>
    </w:p>
    <w:p>
      <w:pPr>
        <w:pStyle w:val="BodyText"/>
      </w:pPr>
    </w:p>
    <w:p>
      <w:pPr>
        <w:pStyle w:val="Heading3"/>
        <w:spacing w:before="148"/>
        <w:ind w:left="1354"/>
        <w:jc w:val="left"/>
      </w:pPr>
      <w:r>
        <w:rPr/>
        <w:t>Gráfica 6.6. Tipo de contrato que obtuvo en su primer empleo</w:t>
      </w:r>
    </w:p>
    <w:p>
      <w:pPr>
        <w:pStyle w:val="BodyText"/>
        <w:spacing w:before="2"/>
        <w:rPr>
          <w:b/>
          <w:sz w:val="25"/>
        </w:rPr>
      </w:pPr>
    </w:p>
    <w:p>
      <w:pPr>
        <w:tabs>
          <w:tab w:pos="4423" w:val="left" w:leader="none"/>
        </w:tabs>
        <w:spacing w:before="59" w:after="19"/>
        <w:ind w:left="1574" w:right="0" w:firstLine="0"/>
        <w:jc w:val="left"/>
        <w:rPr>
          <w:rFonts w:ascii="Calibri"/>
          <w:sz w:val="20"/>
        </w:rPr>
      </w:pPr>
      <w:r>
        <w:rPr>
          <w:rFonts w:ascii="Calibri"/>
          <w:position w:val="-6"/>
          <w:sz w:val="20"/>
        </w:rPr>
        <w:t>43%</w:t>
        <w:tab/>
      </w:r>
      <w:r>
        <w:rPr>
          <w:rFonts w:ascii="Calibri"/>
          <w:sz w:val="20"/>
        </w:rPr>
        <w:t>46%</w:t>
      </w:r>
    </w:p>
    <w:p>
      <w:pPr>
        <w:pStyle w:val="BodyText"/>
        <w:ind w:left="314"/>
        <w:rPr>
          <w:rFonts w:ascii="Calibri"/>
          <w:sz w:val="20"/>
        </w:rPr>
      </w:pPr>
      <w:r>
        <w:rPr>
          <w:rFonts w:ascii="Calibri"/>
          <w:sz w:val="20"/>
        </w:rPr>
        <w:pict>
          <v:group style="width:428.1pt;height:53.8pt;mso-position-horizontal-relative:char;mso-position-vertical-relative:line" coordorigin="0,0" coordsize="8562,1076">
            <v:rect style="position:absolute;left:862;top:70;width:1140;height:998" filled="true" fillcolor="#006fc0" stroked="false">
              <v:fill type="solid"/>
            </v:rect>
            <v:rect style="position:absolute;left:3711;top:0;width:1138;height:1068" filled="true" fillcolor="#006fc0" stroked="false">
              <v:fill type="solid"/>
            </v:rect>
            <v:rect style="position:absolute;left:6560;top:811;width:1138;height:257" filled="true" fillcolor="#006fc0" stroked="false">
              <v:fill type="solid"/>
            </v:rect>
            <v:line style="position:absolute" from="8,1068" to="8554,1068" stroked="true" strokeweight=".72pt" strokecolor="#858585"/>
            <v:shape style="position:absolute;left:6958;top:52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group>
        </w:pict>
      </w:r>
      <w:r>
        <w:rPr>
          <w:rFonts w:ascii="Calibri"/>
          <w:sz w:val="20"/>
        </w:rPr>
      </w:r>
    </w:p>
    <w:p>
      <w:pPr>
        <w:tabs>
          <w:tab w:pos="2886" w:val="left" w:leader="none"/>
          <w:tab w:pos="5999" w:val="left" w:leader="none"/>
        </w:tabs>
        <w:spacing w:before="94"/>
        <w:ind w:left="0" w:right="170" w:firstLine="0"/>
        <w:jc w:val="center"/>
        <w:rPr>
          <w:rFonts w:ascii="Calibri"/>
          <w:sz w:val="20"/>
        </w:rPr>
      </w:pPr>
      <w:r>
        <w:rPr>
          <w:rFonts w:ascii="Calibri"/>
          <w:sz w:val="20"/>
        </w:rPr>
        <w:t>Contrato</w:t>
      </w:r>
      <w:r>
        <w:rPr>
          <w:rFonts w:ascii="Calibri"/>
          <w:spacing w:val="-3"/>
          <w:sz w:val="20"/>
        </w:rPr>
        <w:t> </w:t>
      </w:r>
      <w:r>
        <w:rPr>
          <w:rFonts w:ascii="Calibri"/>
          <w:sz w:val="20"/>
        </w:rPr>
        <w:t>indefinido</w:t>
        <w:tab/>
        <w:t>Contrato</w:t>
      </w:r>
      <w:r>
        <w:rPr>
          <w:rFonts w:ascii="Calibri"/>
          <w:spacing w:val="-3"/>
          <w:sz w:val="20"/>
        </w:rPr>
        <w:t> </w:t>
      </w:r>
      <w:r>
        <w:rPr>
          <w:rFonts w:ascii="Calibri"/>
          <w:sz w:val="20"/>
        </w:rPr>
        <w:t>temporal</w:t>
        <w:tab/>
        <w:t>Sin</w:t>
      </w:r>
      <w:r>
        <w:rPr>
          <w:rFonts w:ascii="Calibri"/>
          <w:spacing w:val="-3"/>
          <w:sz w:val="20"/>
        </w:rPr>
        <w:t> </w:t>
      </w:r>
      <w:r>
        <w:rPr>
          <w:rFonts w:ascii="Calibri"/>
          <w:sz w:val="20"/>
        </w:rPr>
        <w:t>contrato</w:t>
      </w:r>
    </w:p>
    <w:p>
      <w:pPr>
        <w:spacing w:before="125"/>
        <w:ind w:left="109" w:right="129" w:firstLine="0"/>
        <w:jc w:val="center"/>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rPr>
          <w:sz w:val="20"/>
        </w:rPr>
      </w:pPr>
    </w:p>
    <w:p>
      <w:pPr>
        <w:pStyle w:val="BodyText"/>
        <w:rPr>
          <w:sz w:val="20"/>
        </w:rPr>
      </w:pPr>
    </w:p>
    <w:p>
      <w:pPr>
        <w:pStyle w:val="BodyText"/>
        <w:spacing w:line="360" w:lineRule="auto" w:before="137"/>
        <w:ind w:left="102" w:right="118"/>
        <w:jc w:val="both"/>
      </w:pPr>
      <w:r>
        <w:rPr/>
        <w:t>En cuanto al número de empleadores para los que han trabajado la frecuencia mayor indicó que para dos, seguido de uno y tres, ver gráfica 6.7. Lo que muestra poca rotación de los encuestados.</w:t>
      </w:r>
    </w:p>
    <w:p>
      <w:pPr>
        <w:pStyle w:val="BodyText"/>
        <w:spacing w:before="8"/>
      </w:pPr>
    </w:p>
    <w:p>
      <w:pPr>
        <w:pStyle w:val="Heading3"/>
        <w:spacing w:before="0"/>
        <w:ind w:right="24"/>
        <w:jc w:val="center"/>
      </w:pPr>
      <w:r>
        <w:rPr/>
        <w:t>Gráfica 6.7. ¿Para cuántos empleadores ha trabajado desde que egresó de la licenciatura?</w:t>
      </w:r>
    </w:p>
    <w:p>
      <w:pPr>
        <w:tabs>
          <w:tab w:pos="2886" w:val="left" w:leader="none"/>
          <w:tab w:pos="3980" w:val="left" w:leader="none"/>
        </w:tabs>
        <w:spacing w:line="262" w:lineRule="exact" w:before="212"/>
        <w:ind w:left="1791" w:right="0" w:firstLine="0"/>
        <w:jc w:val="left"/>
        <w:rPr>
          <w:rFonts w:ascii="Calibri"/>
          <w:sz w:val="20"/>
        </w:rPr>
      </w:pPr>
      <w:r>
        <w:rPr>
          <w:rFonts w:ascii="Calibri"/>
          <w:sz w:val="20"/>
        </w:rPr>
        <w:t>21%</w:t>
        <w:tab/>
      </w:r>
      <w:r>
        <w:rPr>
          <w:rFonts w:ascii="Calibri"/>
          <w:position w:val="9"/>
          <w:sz w:val="20"/>
        </w:rPr>
        <w:t>25%</w:t>
        <w:tab/>
      </w:r>
      <w:r>
        <w:rPr>
          <w:rFonts w:ascii="Calibri"/>
          <w:sz w:val="20"/>
        </w:rPr>
        <w:t>21%</w:t>
      </w:r>
    </w:p>
    <w:p>
      <w:pPr>
        <w:spacing w:after="0" w:line="262" w:lineRule="exact"/>
        <w:jc w:val="left"/>
        <w:rPr>
          <w:rFonts w:ascii="Calibri"/>
          <w:sz w:val="20"/>
        </w:rPr>
        <w:sectPr>
          <w:pgSz w:w="12240" w:h="15840"/>
          <w:pgMar w:header="0" w:footer="1003" w:top="1360" w:bottom="1200" w:left="1600" w:right="1580"/>
        </w:sectPr>
      </w:pPr>
    </w:p>
    <w:p>
      <w:pPr>
        <w:spacing w:line="193" w:lineRule="exact" w:before="0"/>
        <w:ind w:left="0" w:right="0" w:firstLine="0"/>
        <w:jc w:val="right"/>
        <w:rPr>
          <w:rFonts w:ascii="Calibri"/>
          <w:sz w:val="20"/>
        </w:rPr>
      </w:pPr>
      <w:r>
        <w:rPr/>
        <w:pict>
          <v:group style="position:absolute;margin-left:95.745003pt;margin-top:3.39pt;width:383.8pt;height:28.5pt;mso-position-horizontal-relative:page;mso-position-vertical-relative:paragraph;z-index:-397000" coordorigin="1915,68" coordsize="7676,570">
            <v:shape style="position:absolute;left:2249;top:68;width:7006;height:562" coordorigin="2249,68" coordsize="7006,562" path="m2688,517l2249,517,2249,629,2688,629,2688,517m3782,161l3343,161,3343,629,3782,629,3782,161m4877,68l4438,68,4438,629,4877,629,4877,68m5971,161l5534,161,5534,629,5971,629,5971,161m7066,293l6629,293,6629,629,7066,629,7066,293m8160,497l7723,497,7723,629,8160,629,8160,497m9254,497l8818,497,8818,629,9254,629,9254,497e" filled="true" fillcolor="#006fc0" stroked="false">
              <v:path arrowok="t"/>
              <v:fill type="solid"/>
            </v:shape>
            <v:line style="position:absolute" from="1922,629" to="9583,629" stroked="true" strokeweight=".72pt" strokecolor="#858585"/>
            <w10:wrap type="none"/>
          </v:group>
        </w:pict>
      </w:r>
      <w:r>
        <w:rPr>
          <w:rFonts w:ascii="Calibri"/>
          <w:sz w:val="20"/>
        </w:rPr>
        <w:t>15%</w:t>
      </w:r>
    </w:p>
    <w:p>
      <w:pPr>
        <w:spacing w:line="234" w:lineRule="exact" w:before="0"/>
        <w:ind w:left="747" w:right="0" w:firstLine="0"/>
        <w:jc w:val="left"/>
        <w:rPr>
          <w:rFonts w:ascii="Calibri"/>
          <w:sz w:val="20"/>
        </w:rPr>
      </w:pPr>
      <w:r>
        <w:rPr>
          <w:rFonts w:ascii="Calibri"/>
          <w:sz w:val="20"/>
        </w:rPr>
        <w:t>5%</w:t>
      </w:r>
    </w:p>
    <w:p>
      <w:pPr>
        <w:tabs>
          <w:tab w:pos="1841" w:val="left" w:leader="none"/>
        </w:tabs>
        <w:spacing w:before="164"/>
        <w:ind w:left="747" w:right="0" w:firstLine="0"/>
        <w:jc w:val="left"/>
        <w:rPr>
          <w:rFonts w:ascii="Calibri"/>
          <w:sz w:val="20"/>
        </w:rPr>
      </w:pPr>
      <w:r>
        <w:rPr/>
        <w:br w:type="column"/>
      </w:r>
      <w:r>
        <w:rPr>
          <w:rFonts w:ascii="Calibri"/>
          <w:sz w:val="20"/>
        </w:rPr>
        <w:t>6%</w:t>
        <w:tab/>
        <w:t>6%</w:t>
      </w:r>
    </w:p>
    <w:p>
      <w:pPr>
        <w:spacing w:after="0"/>
        <w:jc w:val="left"/>
        <w:rPr>
          <w:rFonts w:ascii="Calibri"/>
          <w:sz w:val="20"/>
        </w:rPr>
        <w:sectPr>
          <w:type w:val="continuous"/>
          <w:pgSz w:w="12240" w:h="15840"/>
          <w:pgMar w:top="1340" w:bottom="280" w:left="1600" w:right="1580"/>
          <w:cols w:num="2" w:equalWidth="0">
            <w:col w:w="5420" w:space="53"/>
            <w:col w:w="3587"/>
          </w:cols>
        </w:sectPr>
      </w:pPr>
    </w:p>
    <w:p>
      <w:pPr>
        <w:pStyle w:val="BodyText"/>
        <w:spacing w:before="1"/>
        <w:rPr>
          <w:rFonts w:ascii="Calibri"/>
          <w:sz w:val="22"/>
        </w:rPr>
      </w:pPr>
    </w:p>
    <w:p>
      <w:pPr>
        <w:tabs>
          <w:tab w:pos="1912" w:val="left" w:leader="none"/>
          <w:tab w:pos="3006" w:val="left" w:leader="none"/>
          <w:tab w:pos="4101" w:val="left" w:leader="none"/>
          <w:tab w:pos="5196" w:val="left" w:leader="none"/>
          <w:tab w:pos="6291" w:val="left" w:leader="none"/>
          <w:tab w:pos="7071" w:val="left" w:leader="none"/>
        </w:tabs>
        <w:spacing w:before="59"/>
        <w:ind w:left="817" w:right="0" w:firstLine="0"/>
        <w:jc w:val="left"/>
        <w:rPr>
          <w:rFonts w:ascii="Calibri" w:hAnsi="Calibri"/>
          <w:sz w:val="20"/>
        </w:rPr>
      </w:pPr>
      <w:r>
        <w:rPr>
          <w:rFonts w:ascii="Calibri" w:hAnsi="Calibri"/>
          <w:sz w:val="20"/>
        </w:rPr>
        <w:t>0</w:t>
        <w:tab/>
        <w:t>1</w:t>
        <w:tab/>
        <w:t>2</w:t>
        <w:tab/>
        <w:t>3</w:t>
        <w:tab/>
        <w:t>4</w:t>
        <w:tab/>
        <w:t>5</w:t>
        <w:tab/>
        <w:t>más de</w:t>
      </w:r>
      <w:r>
        <w:rPr>
          <w:rFonts w:ascii="Calibri" w:hAnsi="Calibri"/>
          <w:spacing w:val="-4"/>
          <w:sz w:val="20"/>
        </w:rPr>
        <w:t> </w:t>
      </w:r>
      <w:r>
        <w:rPr>
          <w:rFonts w:ascii="Calibri" w:hAnsi="Calibri"/>
          <w:sz w:val="20"/>
        </w:rPr>
        <w:t>5</w:t>
      </w:r>
    </w:p>
    <w:p>
      <w:pPr>
        <w:pStyle w:val="BodyText"/>
        <w:spacing w:before="6"/>
        <w:rPr>
          <w:rFonts w:ascii="Calibri"/>
          <w:sz w:val="14"/>
        </w:rPr>
      </w:pPr>
    </w:p>
    <w:p>
      <w:pPr>
        <w:spacing w:before="73"/>
        <w:ind w:left="2841" w:right="378" w:hanging="2471"/>
        <w:jc w:val="left"/>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rPr>
          <w:sz w:val="16"/>
        </w:rPr>
      </w:pPr>
    </w:p>
    <w:p>
      <w:pPr>
        <w:pStyle w:val="BodyText"/>
        <w:spacing w:line="360" w:lineRule="auto" w:before="1"/>
        <w:ind w:left="102" w:right="120"/>
        <w:jc w:val="both"/>
      </w:pPr>
      <w:r>
        <w:rPr/>
        <w:t>Para contrastar la respuesta que se obtuviera en la pregunta de tipo de organización, se cuestionó si fueron contratados en su primer empleo como empleados de confianza o sindicalizados. El 58% contestó que como empleado de confianza. Nuevamente, se obtuvo evidencia confirmatoria de que la mayoría se contrató en empresas.</w:t>
      </w:r>
    </w:p>
    <w:p>
      <w:pPr>
        <w:spacing w:after="0" w:line="360" w:lineRule="auto"/>
        <w:jc w:val="both"/>
        <w:sectPr>
          <w:type w:val="continuous"/>
          <w:pgSz w:w="12240" w:h="15840"/>
          <w:pgMar w:top="1340" w:bottom="280" w:left="1600" w:right="1580"/>
        </w:sectPr>
      </w:pPr>
    </w:p>
    <w:p>
      <w:pPr>
        <w:pStyle w:val="BodyText"/>
        <w:spacing w:line="360" w:lineRule="auto" w:before="50"/>
        <w:ind w:left="102" w:right="116"/>
        <w:jc w:val="both"/>
      </w:pPr>
      <w:r>
        <w:rPr/>
        <w:t>Otra de las características que permite evaluar si el proceso de transición es “bueno” para los egresados es el nivel salarial al que pueden aspirar. Las respuestas obtenidas respecto al salario mensual fueron: el rango de $1 a $3000 registró 22% de las respuestas; de $3001  </w:t>
      </w:r>
      <w:r>
        <w:rPr>
          <w:spacing w:val="58"/>
        </w:rPr>
        <w:t> </w:t>
      </w:r>
      <w:r>
        <w:rPr/>
        <w:t>a</w:t>
      </w:r>
    </w:p>
    <w:p>
      <w:pPr>
        <w:pStyle w:val="BodyText"/>
        <w:spacing w:line="360" w:lineRule="auto" w:before="6"/>
        <w:ind w:left="102" w:right="116"/>
        <w:jc w:val="both"/>
      </w:pPr>
      <w:r>
        <w:rPr/>
        <w:t>$6000, 42%; de $6001 a $9000, 25%; de $9001 a $12000, 4% y más de $12000, 7%. Se observa, que el porcentaje mayor, 42% reportó que su primer salario se encontró en el  rango de $3001 a $6000. Y en el acumulado el 89% se situó entre $1 y $9000 pesos. El rango promedio en comparación con los indicadores salariales de 2013 para el Estado de México (Observatorio laboral, 2013) siendo de $11,071 (ingeniería mecánica y metalurgia) el más alto y $6,190 (estomatología y odontología) el más bajo, se encuentran en la media del rango salarial de la entidad. Es decir, si graficamos el promedio salarial por profesión los licenciados en economía se situarán en al centro (gráfica</w:t>
      </w:r>
      <w:r>
        <w:rPr>
          <w:spacing w:val="-14"/>
        </w:rPr>
        <w:t> </w:t>
      </w:r>
      <w:r>
        <w:rPr/>
        <w:t>6.8.).</w:t>
      </w:r>
    </w:p>
    <w:p>
      <w:pPr>
        <w:pStyle w:val="BodyText"/>
      </w:pPr>
    </w:p>
    <w:p>
      <w:pPr>
        <w:pStyle w:val="Heading3"/>
        <w:spacing w:before="148"/>
        <w:ind w:right="19"/>
        <w:jc w:val="center"/>
      </w:pPr>
      <w:r>
        <w:rPr/>
        <w:t>Gráfica 6.8. Primer salario</w:t>
      </w:r>
    </w:p>
    <w:p>
      <w:pPr>
        <w:pStyle w:val="BodyText"/>
        <w:rPr>
          <w:b/>
          <w:sz w:val="20"/>
        </w:rPr>
      </w:pPr>
    </w:p>
    <w:p>
      <w:pPr>
        <w:pStyle w:val="BodyText"/>
        <w:spacing w:before="8"/>
        <w:rPr>
          <w:b/>
          <w:sz w:val="28"/>
        </w:rPr>
      </w:pPr>
      <w:r>
        <w:rPr/>
        <w:pict>
          <v:group style="position:absolute;margin-left:95.745003pt;margin-top:18.495270pt;width:415.75pt;height:28.35pt;mso-position-horizontal-relative:page;mso-position-vertical-relative:paragraph;z-index:5680;mso-wrap-distance-left:0;mso-wrap-distance-right:0" coordorigin="1915,370" coordsize="8315,567">
            <v:rect style="position:absolute;left:2419;top:636;width:665;height:293" filled="true" fillcolor="#006fc0" stroked="false">
              <v:fill type="solid"/>
            </v:rect>
            <v:rect style="position:absolute;left:4080;top:370;width:665;height:559" filled="true" fillcolor="#006fc0" stroked="false">
              <v:fill type="solid"/>
            </v:rect>
            <v:rect style="position:absolute;left:5741;top:596;width:662;height:334" filled="true" fillcolor="#006fc0" stroked="false">
              <v:fill type="solid"/>
            </v:rect>
            <v:line style="position:absolute" from="7399,903" to="8064,903" stroked="true" strokeweight="2.64pt" strokecolor="#006fc0"/>
            <v:rect style="position:absolute;left:9060;top:836;width:665;height:94" filled="true" fillcolor="#006fc0" stroked="false">
              <v:fill type="solid"/>
            </v:rect>
            <v:line style="position:absolute" from="1922,929" to="10222,929" stroked="true" strokeweight=".72pt" strokecolor="#858585"/>
            <w10:wrap type="topAndBottom"/>
          </v:group>
        </w:pict>
      </w:r>
    </w:p>
    <w:p>
      <w:pPr>
        <w:pStyle w:val="BodyText"/>
        <w:spacing w:before="1"/>
        <w:rPr>
          <w:b/>
          <w:sz w:val="6"/>
        </w:rPr>
      </w:pPr>
    </w:p>
    <w:p>
      <w:pPr>
        <w:spacing w:after="0"/>
        <w:rPr>
          <w:sz w:val="6"/>
        </w:rPr>
        <w:sectPr>
          <w:pgSz w:w="12240" w:h="15840"/>
          <w:pgMar w:header="0" w:footer="1003" w:top="1360" w:bottom="1200" w:left="1600" w:right="1580"/>
        </w:sectPr>
      </w:pPr>
    </w:p>
    <w:p>
      <w:pPr>
        <w:spacing w:before="20"/>
        <w:ind w:left="549" w:right="-16" w:firstLine="0"/>
        <w:jc w:val="left"/>
        <w:rPr>
          <w:rFonts w:ascii="Calibri" w:hAnsi="Calibri"/>
          <w:sz w:val="20"/>
        </w:rPr>
      </w:pPr>
      <w:r>
        <w:rPr>
          <w:rFonts w:ascii="Calibri" w:hAnsi="Calibri"/>
          <w:sz w:val="20"/>
        </w:rPr>
        <w:t>1 – 3000</w:t>
      </w:r>
      <w:r>
        <w:rPr>
          <w:rFonts w:ascii="Calibri" w:hAnsi="Calibri"/>
          <w:spacing w:val="-7"/>
          <w:sz w:val="20"/>
        </w:rPr>
        <w:t> </w:t>
      </w:r>
      <w:r>
        <w:rPr>
          <w:rFonts w:ascii="Calibri" w:hAnsi="Calibri"/>
          <w:sz w:val="20"/>
        </w:rPr>
        <w:t>pesos</w:t>
      </w:r>
    </w:p>
    <w:p>
      <w:pPr>
        <w:spacing w:before="20"/>
        <w:ind w:left="261" w:right="-13" w:firstLine="0"/>
        <w:jc w:val="left"/>
        <w:rPr>
          <w:rFonts w:ascii="Calibri" w:hAnsi="Calibri"/>
          <w:sz w:val="20"/>
        </w:rPr>
      </w:pPr>
      <w:r>
        <w:rPr/>
        <w:br w:type="column"/>
      </w:r>
      <w:r>
        <w:rPr>
          <w:rFonts w:ascii="Calibri" w:hAnsi="Calibri"/>
          <w:sz w:val="20"/>
        </w:rPr>
        <w:t>3001 – 6000</w:t>
      </w:r>
      <w:r>
        <w:rPr>
          <w:rFonts w:ascii="Calibri" w:hAnsi="Calibri"/>
          <w:spacing w:val="-9"/>
          <w:sz w:val="20"/>
        </w:rPr>
        <w:t> </w:t>
      </w:r>
      <w:r>
        <w:rPr>
          <w:rFonts w:ascii="Calibri" w:hAnsi="Calibri"/>
          <w:sz w:val="20"/>
        </w:rPr>
        <w:t>pesos</w:t>
      </w:r>
    </w:p>
    <w:p>
      <w:pPr>
        <w:spacing w:before="20"/>
        <w:ind w:left="110" w:right="-19" w:firstLine="0"/>
        <w:jc w:val="left"/>
        <w:rPr>
          <w:rFonts w:ascii="Calibri" w:hAnsi="Calibri"/>
          <w:sz w:val="20"/>
        </w:rPr>
      </w:pPr>
      <w:r>
        <w:rPr/>
        <w:br w:type="column"/>
      </w:r>
      <w:r>
        <w:rPr>
          <w:rFonts w:ascii="Calibri" w:hAnsi="Calibri"/>
          <w:sz w:val="20"/>
        </w:rPr>
        <w:t>6001 – 9000 pesos  9001 -  12000 pesos</w:t>
      </w:r>
    </w:p>
    <w:p>
      <w:pPr>
        <w:spacing w:before="20"/>
        <w:ind w:left="220" w:right="0" w:firstLine="0"/>
        <w:jc w:val="left"/>
        <w:rPr>
          <w:rFonts w:ascii="Calibri" w:hAnsi="Calibri"/>
          <w:sz w:val="20"/>
        </w:rPr>
      </w:pPr>
      <w:r>
        <w:rPr/>
        <w:br w:type="column"/>
      </w:r>
      <w:r>
        <w:rPr>
          <w:rFonts w:ascii="Calibri" w:hAnsi="Calibri"/>
          <w:sz w:val="20"/>
        </w:rPr>
        <w:t>más de 12000</w:t>
      </w:r>
    </w:p>
    <w:p>
      <w:pPr>
        <w:spacing w:after="0"/>
        <w:jc w:val="left"/>
        <w:rPr>
          <w:rFonts w:ascii="Calibri" w:hAnsi="Calibri"/>
          <w:sz w:val="20"/>
        </w:rPr>
        <w:sectPr>
          <w:type w:val="continuous"/>
          <w:pgSz w:w="12240" w:h="15840"/>
          <w:pgMar w:top="1340" w:bottom="280" w:left="1600" w:right="1580"/>
          <w:cols w:num="4" w:equalWidth="0">
            <w:col w:w="1755" w:space="40"/>
            <w:col w:w="1772" w:space="40"/>
            <w:col w:w="3336" w:space="40"/>
            <w:col w:w="2077"/>
          </w:cols>
        </w:sectPr>
      </w:pPr>
    </w:p>
    <w:p>
      <w:pPr>
        <w:spacing w:before="0"/>
        <w:ind w:left="719" w:right="-15" w:firstLine="0"/>
        <w:jc w:val="left"/>
        <w:rPr>
          <w:rFonts w:ascii="Calibri"/>
          <w:sz w:val="20"/>
        </w:rPr>
      </w:pPr>
      <w:r>
        <w:rPr>
          <w:rFonts w:ascii="Calibri"/>
          <w:spacing w:val="-1"/>
          <w:sz w:val="20"/>
        </w:rPr>
        <w:t>mensuales</w:t>
      </w:r>
    </w:p>
    <w:p>
      <w:pPr>
        <w:spacing w:before="0"/>
        <w:ind w:left="719" w:right="-15" w:firstLine="0"/>
        <w:jc w:val="left"/>
        <w:rPr>
          <w:rFonts w:ascii="Calibri"/>
          <w:sz w:val="20"/>
        </w:rPr>
      </w:pPr>
      <w:r>
        <w:rPr/>
        <w:br w:type="column"/>
      </w:r>
      <w:r>
        <w:rPr>
          <w:rFonts w:ascii="Calibri"/>
          <w:spacing w:val="-1"/>
          <w:sz w:val="20"/>
        </w:rPr>
        <w:t>mensuales</w:t>
      </w:r>
    </w:p>
    <w:p>
      <w:pPr>
        <w:spacing w:before="0"/>
        <w:ind w:left="719" w:right="-15" w:firstLine="0"/>
        <w:jc w:val="left"/>
        <w:rPr>
          <w:rFonts w:ascii="Calibri"/>
          <w:sz w:val="20"/>
        </w:rPr>
      </w:pPr>
      <w:r>
        <w:rPr/>
        <w:br w:type="column"/>
      </w:r>
      <w:r>
        <w:rPr>
          <w:rFonts w:ascii="Calibri"/>
          <w:spacing w:val="-1"/>
          <w:sz w:val="20"/>
        </w:rPr>
        <w:t>mensuales</w:t>
      </w:r>
    </w:p>
    <w:p>
      <w:pPr>
        <w:spacing w:before="0"/>
        <w:ind w:left="719" w:right="0" w:firstLine="0"/>
        <w:jc w:val="left"/>
        <w:rPr>
          <w:rFonts w:ascii="Calibri"/>
          <w:sz w:val="20"/>
        </w:rPr>
      </w:pPr>
      <w:r>
        <w:rPr/>
        <w:br w:type="column"/>
      </w:r>
      <w:r>
        <w:rPr>
          <w:rFonts w:ascii="Calibri"/>
          <w:w w:val="95"/>
          <w:sz w:val="20"/>
        </w:rPr>
        <w:t>mensuales</w:t>
      </w:r>
    </w:p>
    <w:p>
      <w:pPr>
        <w:spacing w:before="0"/>
        <w:ind w:left="498" w:right="0" w:firstLine="0"/>
        <w:jc w:val="left"/>
        <w:rPr>
          <w:rFonts w:ascii="Calibri"/>
          <w:sz w:val="20"/>
        </w:rPr>
      </w:pPr>
      <w:r>
        <w:rPr/>
        <w:br w:type="column"/>
      </w:r>
      <w:r>
        <w:rPr>
          <w:rFonts w:ascii="Calibri"/>
          <w:sz w:val="20"/>
        </w:rPr>
        <w:t>pesos mensuales</w:t>
      </w:r>
    </w:p>
    <w:p>
      <w:pPr>
        <w:spacing w:after="0"/>
        <w:jc w:val="left"/>
        <w:rPr>
          <w:rFonts w:ascii="Calibri"/>
          <w:sz w:val="20"/>
        </w:rPr>
        <w:sectPr>
          <w:type w:val="continuous"/>
          <w:pgSz w:w="12240" w:h="15840"/>
          <w:pgMar w:top="1340" w:bottom="280" w:left="1600" w:right="1580"/>
          <w:cols w:num="5" w:equalWidth="0">
            <w:col w:w="1583" w:space="78"/>
            <w:col w:w="1583" w:space="77"/>
            <w:col w:w="1583" w:space="75"/>
            <w:col w:w="1587" w:space="40"/>
            <w:col w:w="2454"/>
          </w:cols>
        </w:sectPr>
      </w:pPr>
    </w:p>
    <w:p>
      <w:pPr>
        <w:pStyle w:val="BodyText"/>
        <w:spacing w:before="6"/>
        <w:rPr>
          <w:rFonts w:ascii="Calibri"/>
          <w:sz w:val="14"/>
        </w:rPr>
      </w:pPr>
    </w:p>
    <w:p>
      <w:pPr>
        <w:spacing w:before="73"/>
        <w:ind w:left="2841" w:right="378" w:hanging="2471"/>
        <w:jc w:val="left"/>
        <w:rPr>
          <w:sz w:val="20"/>
        </w:rPr>
      </w:pPr>
      <w:r>
        <w:rPr>
          <w:sz w:val="20"/>
        </w:rPr>
        <w:t>Fuente: elaboración propia con base en el “Cuestionario transición egresados universitarios-mercado de trabajo, Facultad de Economía UAEMéx”</w:t>
      </w:r>
    </w:p>
    <w:p>
      <w:pPr>
        <w:pStyle w:val="BodyText"/>
        <w:spacing w:line="360" w:lineRule="auto"/>
        <w:ind w:left="102" w:right="114"/>
        <w:jc w:val="both"/>
      </w:pPr>
      <w:r>
        <w:rPr/>
        <w:t>La siguiente característica fue conocer quién ayudó al egresado a encontrar su primer empleo. El entorno social en el que el joven licenciado en economía se desarrollaba al momento de egresar, de acuerdo con la teoría de la búsqueda, se considera que es en este círculo en donde el recién egresado busca ayuda para insertarse a la vida profesional. Se formuló la pregunta: para encontrar su primer empleo, tuvo ayuda de…, la respuesta que mayor porcentaje obtuvo fue “un amigo” (11%), seguida de “bolsa de trabajo” (11%) e “iniciativa propia” (10%) con una diferencia de un punto porcentual. Ver gráfica 6.9.</w:t>
      </w:r>
    </w:p>
    <w:p>
      <w:pPr>
        <w:pStyle w:val="BodyText"/>
      </w:pPr>
    </w:p>
    <w:p>
      <w:pPr>
        <w:pStyle w:val="BodyText"/>
        <w:spacing w:line="360" w:lineRule="auto" w:before="143"/>
        <w:ind w:left="102" w:right="118"/>
        <w:jc w:val="both"/>
      </w:pPr>
      <w:r>
        <w:rPr/>
        <w:t>Es interesante ver cómo las relaciones de amistad son el factor que se consideró más importante para emplearse, el factor “familia” también influye en un alto porcentaje, como se puede apreciar, y muy diferente a lo que se pudiera esperar fue el porcentaje que obtuvo “internet”, dado que el mundo de las Tecnologías de la Información y Comunicación (TICS)  juega  un  papel  muy  importante  lo  que  se  esperaría  es  encontrar  que  en   </w:t>
      </w:r>
      <w:r>
        <w:rPr>
          <w:spacing w:val="51"/>
        </w:rPr>
        <w:t> </w:t>
      </w:r>
      <w:r>
        <w:rPr/>
        <w:t>las</w:t>
      </w:r>
    </w:p>
    <w:p>
      <w:pPr>
        <w:spacing w:after="0" w:line="360" w:lineRule="auto"/>
        <w:jc w:val="both"/>
        <w:sectPr>
          <w:type w:val="continuous"/>
          <w:pgSz w:w="12240" w:h="15840"/>
          <w:pgMar w:top="1340" w:bottom="280" w:left="1600" w:right="1580"/>
        </w:sectPr>
      </w:pPr>
    </w:p>
    <w:p>
      <w:pPr>
        <w:pStyle w:val="BodyText"/>
        <w:spacing w:line="360" w:lineRule="auto" w:before="50"/>
        <w:ind w:left="102" w:right="115"/>
        <w:jc w:val="both"/>
      </w:pPr>
      <w:r>
        <w:rPr/>
        <w:t>generaciones últimas consideradas en este estudio el uso de internet para buscar trabajo fuera mayor, sin embargo únicamente tres personas seleccionaron esta opción. Y sí sumamos todos los rubros que se consideran relaciones (familiar, un amigo, profesores, compañero de la carrera, relaciones laborales previas, relaciones de servicio social) se obtiene un 35%.</w:t>
      </w:r>
    </w:p>
    <w:p>
      <w:pPr>
        <w:pStyle w:val="BodyText"/>
      </w:pPr>
    </w:p>
    <w:p>
      <w:pPr>
        <w:pStyle w:val="Heading3"/>
        <w:spacing w:before="148"/>
        <w:ind w:left="1244"/>
        <w:jc w:val="left"/>
      </w:pPr>
      <w:r>
        <w:rPr/>
        <w:t>Gráfica 6.9. Para encontrar  su primer empleo, tuvo ayuda de…</w:t>
      </w:r>
    </w:p>
    <w:p>
      <w:pPr>
        <w:pStyle w:val="BodyText"/>
        <w:spacing w:before="6"/>
        <w:rPr>
          <w:b/>
          <w:sz w:val="9"/>
        </w:rPr>
      </w:pPr>
    </w:p>
    <w:p>
      <w:pPr>
        <w:tabs>
          <w:tab w:pos="2921" w:val="left" w:leader="none"/>
          <w:tab w:pos="7123" w:val="left" w:leader="none"/>
        </w:tabs>
        <w:spacing w:before="59"/>
        <w:ind w:left="1720" w:right="0" w:firstLine="0"/>
        <w:jc w:val="left"/>
        <w:rPr>
          <w:rFonts w:ascii="Calibri"/>
          <w:sz w:val="20"/>
        </w:rPr>
      </w:pPr>
      <w:r>
        <w:rPr/>
        <w:pict>
          <v:group style="position:absolute;margin-left:95.745003pt;margin-top:17.921484pt;width:420.9pt;height:60.9pt;mso-position-horizontal-relative:page;mso-position-vertical-relative:paragraph;z-index:-396688" coordorigin="1915,358" coordsize="8418,1218">
            <v:shape style="position:absolute;left:2050;top:358;width:8146;height:1210" coordorigin="2050,358" coordsize="8146,1210" path="m2393,1347l2050,1347,2050,1568,2393,1568,2393,1347m2993,800l2650,800,2650,1568,2993,1568,2993,800m3593,358l3250,358,3250,1568,3593,1568,3593,358m4193,1129l3852,1129,3852,1568,4193,1568,4193,1129m4795,358l4452,358,4452,1568,4795,1568,4795,358m5995,1458l5652,1458,5652,1568,5995,1568,5995,1458m6595,1458l6252,1458,6252,1568,6595,1568,6595,1458m7195,1458l6852,1458,6852,1568,7195,1568,7195,1458m8395,1458l8052,1458,8052,1568,8395,1568,8395,1458m8995,469l8652,469,8652,1568,8995,1568,8995,469m9595,1129l9252,1129,9252,1568,9595,1568,9595,1129m10195,1239l9852,1239,9852,1568,10195,1568,10195,1239e" filled="true" fillcolor="#006fc0" stroked="false">
              <v:path arrowok="t"/>
              <v:fill type="solid"/>
            </v:shape>
            <v:line style="position:absolute" from="1922,1568" to="10325,1568" stroked="true" strokeweight=".72pt" strokecolor="#858585"/>
            <v:shape style="position:absolute;left:2771;top:50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7</w:t>
                    </w:r>
                  </w:p>
                </w:txbxContent>
              </v:textbox>
              <w10:wrap type="none"/>
            </v:shape>
            <v:shape style="position:absolute;left:3972;top:83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4</w:t>
                    </w:r>
                  </w:p>
                </w:txbxContent>
              </v:textbox>
              <w10:wrap type="none"/>
            </v:shape>
            <v:shape style="position:absolute;left:9374;top:83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4</w:t>
                    </w:r>
                  </w:p>
                </w:txbxContent>
              </v:textbox>
              <w10:wrap type="none"/>
            </v:shape>
            <v:shape style="position:absolute;left:2171;top:105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2</w:t>
                    </w:r>
                  </w:p>
                </w:txbxContent>
              </v:textbox>
              <w10:wrap type="none"/>
            </v:shape>
            <v:shape style="position:absolute;left:9974;top:94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3</w:t>
                    </w:r>
                  </w:p>
                </w:txbxContent>
              </v:textbox>
              <w10:wrap type="none"/>
            </v:shape>
            <v:shape style="position:absolute;left:5172;top:127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5772;top:116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v:shape style="position:absolute;left:6372;top:116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v:shape style="position:absolute;left:6973;top:116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v:shape style="position:absolute;left:7573;top:127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8173;top:116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w10:wrap type="none"/>
          </v:group>
        </w:pict>
      </w:r>
      <w:r>
        <w:rPr>
          <w:rFonts w:ascii="Calibri"/>
          <w:sz w:val="20"/>
        </w:rPr>
        <w:t>11</w:t>
        <w:tab/>
        <w:t>11</w:t>
        <w:tab/>
      </w:r>
      <w:r>
        <w:rPr>
          <w:rFonts w:ascii="Calibri"/>
          <w:position w:val="-7"/>
          <w:sz w:val="20"/>
        </w:rPr>
        <w:t>10</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27"/>
        </w:rPr>
      </w:pPr>
    </w:p>
    <w:p>
      <w:pPr>
        <w:spacing w:before="73"/>
        <w:ind w:left="0" w:right="21" w:firstLine="0"/>
        <w:jc w:val="center"/>
        <w:rPr>
          <w:sz w:val="20"/>
        </w:rPr>
      </w:pPr>
      <w:r>
        <w:rPr/>
        <w:pict>
          <v:shape style="position:absolute;margin-left:97.050423pt;margin-top:-75.823883pt;width:28.4pt;height:56.9pt;mso-position-horizontal-relative:page;mso-position-vertical-relative:paragraph;z-index:5992" type="#_x0000_t202" filled="false" stroked="false">
            <v:textbox inset="0,0,0,0" style="layout-flow:vertical;mso-layout-flow-alt:bottom-to-top">
              <w:txbxContent>
                <w:p>
                  <w:pPr>
                    <w:spacing w:before="0"/>
                    <w:ind w:left="22" w:right="18" w:hanging="3"/>
                    <w:jc w:val="right"/>
                    <w:rPr>
                      <w:sz w:val="16"/>
                    </w:rPr>
                  </w:pPr>
                  <w:r>
                    <w:rPr>
                      <w:spacing w:val="-1"/>
                      <w:w w:val="100"/>
                      <w:sz w:val="16"/>
                    </w:rPr>
                    <w:t>D</w:t>
                  </w:r>
                  <w:r>
                    <w:rPr>
                      <w:w w:val="100"/>
                      <w:sz w:val="16"/>
                    </w:rPr>
                    <w:t>e</w:t>
                  </w:r>
                  <w:r>
                    <w:rPr>
                      <w:spacing w:val="-2"/>
                      <w:w w:val="100"/>
                      <w:sz w:val="16"/>
                    </w:rPr>
                    <w:t>p</w:t>
                  </w:r>
                  <w:r>
                    <w:rPr>
                      <w:w w:val="100"/>
                      <w:sz w:val="16"/>
                    </w:rPr>
                    <w:t>a</w:t>
                  </w:r>
                  <w:r>
                    <w:rPr>
                      <w:spacing w:val="-1"/>
                      <w:w w:val="100"/>
                      <w:sz w:val="16"/>
                    </w:rPr>
                    <w:t>r</w:t>
                  </w:r>
                  <w:r>
                    <w:rPr>
                      <w:spacing w:val="-2"/>
                      <w:w w:val="100"/>
                      <w:sz w:val="16"/>
                    </w:rPr>
                    <w:t>t</w:t>
                  </w:r>
                  <w:r>
                    <w:rPr>
                      <w:w w:val="100"/>
                      <w:sz w:val="16"/>
                    </w:rPr>
                    <w:t>am</w:t>
                  </w:r>
                  <w:r>
                    <w:rPr>
                      <w:spacing w:val="-3"/>
                      <w:w w:val="100"/>
                      <w:sz w:val="16"/>
                    </w:rPr>
                    <w:t>e</w:t>
                  </w:r>
                  <w:r>
                    <w:rPr>
                      <w:w w:val="100"/>
                      <w:sz w:val="16"/>
                    </w:rPr>
                    <w:t>n</w:t>
                  </w:r>
                  <w:r>
                    <w:rPr>
                      <w:spacing w:val="-2"/>
                      <w:w w:val="100"/>
                      <w:sz w:val="16"/>
                    </w:rPr>
                    <w:t>t</w:t>
                  </w:r>
                  <w:r>
                    <w:rPr>
                      <w:w w:val="100"/>
                      <w:sz w:val="16"/>
                    </w:rPr>
                    <w:t>o</w:t>
                  </w:r>
                  <w:r>
                    <w:rPr>
                      <w:spacing w:val="-1"/>
                      <w:sz w:val="16"/>
                    </w:rPr>
                    <w:t> </w:t>
                  </w:r>
                  <w:r>
                    <w:rPr>
                      <w:w w:val="100"/>
                      <w:sz w:val="16"/>
                    </w:rPr>
                    <w:t>de </w:t>
                  </w:r>
                  <w:r>
                    <w:rPr>
                      <w:spacing w:val="-2"/>
                      <w:w w:val="100"/>
                      <w:sz w:val="16"/>
                    </w:rPr>
                    <w:t>v</w:t>
                  </w:r>
                  <w:r>
                    <w:rPr>
                      <w:w w:val="100"/>
                      <w:sz w:val="16"/>
                    </w:rPr>
                    <w:t>i</w:t>
                  </w:r>
                  <w:r>
                    <w:rPr>
                      <w:spacing w:val="-2"/>
                      <w:w w:val="100"/>
                      <w:sz w:val="16"/>
                    </w:rPr>
                    <w:t>n</w:t>
                  </w:r>
                  <w:r>
                    <w:rPr>
                      <w:w w:val="100"/>
                      <w:sz w:val="16"/>
                    </w:rPr>
                    <w:t>c</w:t>
                  </w:r>
                  <w:r>
                    <w:rPr>
                      <w:spacing w:val="-2"/>
                      <w:w w:val="100"/>
                      <w:sz w:val="16"/>
                    </w:rPr>
                    <w:t>u</w:t>
                  </w:r>
                  <w:r>
                    <w:rPr>
                      <w:w w:val="100"/>
                      <w:sz w:val="16"/>
                    </w:rPr>
                    <w:t>l</w:t>
                  </w:r>
                  <w:r>
                    <w:rPr>
                      <w:spacing w:val="-2"/>
                      <w:w w:val="100"/>
                      <w:sz w:val="16"/>
                    </w:rPr>
                    <w:t>a</w:t>
                  </w:r>
                  <w:r>
                    <w:rPr>
                      <w:w w:val="100"/>
                      <w:sz w:val="16"/>
                    </w:rPr>
                    <w:t>c</w:t>
                  </w:r>
                  <w:r>
                    <w:rPr>
                      <w:spacing w:val="-2"/>
                      <w:w w:val="100"/>
                      <w:sz w:val="16"/>
                    </w:rPr>
                    <w:t>i</w:t>
                  </w:r>
                  <w:r>
                    <w:rPr>
                      <w:w w:val="100"/>
                      <w:sz w:val="16"/>
                    </w:rPr>
                    <w:t>ón</w:t>
                  </w:r>
                  <w:r>
                    <w:rPr>
                      <w:spacing w:val="-1"/>
                      <w:sz w:val="16"/>
                    </w:rPr>
                    <w:t> </w:t>
                  </w:r>
                  <w:r>
                    <w:rPr>
                      <w:spacing w:val="-2"/>
                      <w:w w:val="100"/>
                      <w:sz w:val="16"/>
                    </w:rPr>
                    <w:t>d</w:t>
                  </w:r>
                  <w:r>
                    <w:rPr>
                      <w:w w:val="100"/>
                      <w:sz w:val="16"/>
                    </w:rPr>
                    <w:t>e</w:t>
                  </w:r>
                  <w:r>
                    <w:rPr>
                      <w:spacing w:val="-2"/>
                      <w:sz w:val="16"/>
                    </w:rPr>
                    <w:t> </w:t>
                  </w:r>
                  <w:r>
                    <w:rPr>
                      <w:w w:val="100"/>
                      <w:sz w:val="16"/>
                    </w:rPr>
                    <w:t>la </w:t>
                  </w:r>
                  <w:r>
                    <w:rPr>
                      <w:spacing w:val="-1"/>
                      <w:w w:val="100"/>
                      <w:sz w:val="16"/>
                    </w:rPr>
                    <w:t>F</w:t>
                  </w:r>
                  <w:r>
                    <w:rPr>
                      <w:w w:val="100"/>
                      <w:sz w:val="16"/>
                    </w:rPr>
                    <w:t>a</w:t>
                  </w:r>
                  <w:r>
                    <w:rPr>
                      <w:spacing w:val="-2"/>
                      <w:w w:val="100"/>
                      <w:sz w:val="16"/>
                    </w:rPr>
                    <w:t>c</w:t>
                  </w:r>
                  <w:r>
                    <w:rPr>
                      <w:w w:val="100"/>
                      <w:sz w:val="16"/>
                    </w:rPr>
                    <w:t>u</w:t>
                  </w:r>
                  <w:r>
                    <w:rPr>
                      <w:spacing w:val="-2"/>
                      <w:w w:val="100"/>
                      <w:sz w:val="16"/>
                    </w:rPr>
                    <w:t>l</w:t>
                  </w:r>
                  <w:r>
                    <w:rPr>
                      <w:w w:val="100"/>
                      <w:sz w:val="16"/>
                    </w:rPr>
                    <w:t>t</w:t>
                  </w:r>
                  <w:r>
                    <w:rPr>
                      <w:spacing w:val="-2"/>
                      <w:w w:val="100"/>
                      <w:sz w:val="16"/>
                    </w:rPr>
                    <w:t>a</w:t>
                  </w:r>
                  <w:r>
                    <w:rPr>
                      <w:w w:val="100"/>
                      <w:sz w:val="16"/>
                    </w:rPr>
                    <w:t>d</w:t>
                  </w:r>
                  <w:r>
                    <w:rPr>
                      <w:spacing w:val="-1"/>
                      <w:sz w:val="16"/>
                    </w:rPr>
                    <w:t> </w:t>
                  </w:r>
                  <w:r>
                    <w:rPr>
                      <w:w w:val="100"/>
                      <w:sz w:val="16"/>
                    </w:rPr>
                    <w:t>d</w:t>
                  </w:r>
                  <w:r>
                    <w:rPr>
                      <w:spacing w:val="-2"/>
                      <w:w w:val="100"/>
                      <w:sz w:val="16"/>
                    </w:rPr>
                    <w:t>e</w:t>
                  </w:r>
                  <w:r>
                    <w:rPr>
                      <w:w w:val="100"/>
                      <w:sz w:val="16"/>
                    </w:rPr>
                    <w:t>…</w:t>
                  </w:r>
                </w:p>
              </w:txbxContent>
            </v:textbox>
            <w10:wrap type="none"/>
          </v:shape>
        </w:pict>
      </w:r>
      <w:r>
        <w:rPr/>
        <w:pict>
          <v:shape style="position:absolute;margin-left:136.270416pt;margin-top:-75.827103pt;width:10.050pt;height:29.15pt;mso-position-horizontal-relative:page;mso-position-vertical-relative:paragraph;z-index:6016" type="#_x0000_t202" filled="false" stroked="false">
            <v:textbox inset="0,0,0,0" style="layout-flow:vertical;mso-layout-flow-alt:bottom-to-top">
              <w:txbxContent>
                <w:p>
                  <w:pPr>
                    <w:spacing w:before="0"/>
                    <w:ind w:left="20" w:right="-379" w:firstLine="0"/>
                    <w:jc w:val="left"/>
                    <w:rPr>
                      <w:sz w:val="16"/>
                    </w:rPr>
                  </w:pPr>
                  <w:r>
                    <w:rPr>
                      <w:spacing w:val="-1"/>
                      <w:w w:val="100"/>
                      <w:sz w:val="16"/>
                    </w:rPr>
                    <w:t>F</w:t>
                  </w:r>
                  <w:r>
                    <w:rPr>
                      <w:w w:val="100"/>
                      <w:sz w:val="16"/>
                    </w:rPr>
                    <w:t>am</w:t>
                  </w:r>
                  <w:r>
                    <w:rPr>
                      <w:spacing w:val="-2"/>
                      <w:w w:val="100"/>
                      <w:sz w:val="16"/>
                    </w:rPr>
                    <w:t>i</w:t>
                  </w:r>
                  <w:r>
                    <w:rPr>
                      <w:w w:val="100"/>
                      <w:sz w:val="16"/>
                    </w:rPr>
                    <w:t>l</w:t>
                  </w:r>
                  <w:r>
                    <w:rPr>
                      <w:spacing w:val="-2"/>
                      <w:w w:val="100"/>
                      <w:sz w:val="16"/>
                    </w:rPr>
                    <w:t>i</w:t>
                  </w:r>
                  <w:r>
                    <w:rPr>
                      <w:w w:val="100"/>
                      <w:sz w:val="16"/>
                    </w:rPr>
                    <w:t>ar</w:t>
                  </w:r>
                </w:p>
              </w:txbxContent>
            </v:textbox>
            <w10:wrap type="none"/>
          </v:shape>
        </w:pict>
      </w:r>
      <w:r>
        <w:rPr/>
        <w:pict>
          <v:shape style="position:absolute;margin-left:166.290421pt;margin-top:-75.767944pt;width:10.050pt;height:33.75pt;mso-position-horizontal-relative:page;mso-position-vertical-relative:paragraph;z-index:6040" type="#_x0000_t202" filled="false" stroked="false">
            <v:textbox inset="0,0,0,0" style="layout-flow:vertical;mso-layout-flow-alt:bottom-to-top">
              <w:txbxContent>
                <w:p>
                  <w:pPr>
                    <w:spacing w:before="0"/>
                    <w:ind w:left="20" w:right="-237" w:firstLine="0"/>
                    <w:jc w:val="left"/>
                    <w:rPr>
                      <w:sz w:val="16"/>
                    </w:rPr>
                  </w:pPr>
                  <w:r>
                    <w:rPr>
                      <w:spacing w:val="-1"/>
                      <w:w w:val="100"/>
                      <w:sz w:val="16"/>
                    </w:rPr>
                    <w:t>U</w:t>
                  </w:r>
                  <w:r>
                    <w:rPr>
                      <w:w w:val="100"/>
                      <w:sz w:val="16"/>
                    </w:rPr>
                    <w:t>n</w:t>
                  </w:r>
                  <w:r>
                    <w:rPr>
                      <w:spacing w:val="-1"/>
                      <w:sz w:val="16"/>
                    </w:rPr>
                    <w:t> </w:t>
                  </w:r>
                  <w:r>
                    <w:rPr>
                      <w:w w:val="100"/>
                      <w:sz w:val="16"/>
                    </w:rPr>
                    <w:t>am</w:t>
                  </w:r>
                  <w:r>
                    <w:rPr>
                      <w:spacing w:val="-2"/>
                      <w:w w:val="100"/>
                      <w:sz w:val="16"/>
                    </w:rPr>
                    <w:t>ig</w:t>
                  </w:r>
                  <w:r>
                    <w:rPr>
                      <w:w w:val="100"/>
                      <w:sz w:val="16"/>
                    </w:rPr>
                    <w:t>o</w:t>
                  </w:r>
                </w:p>
              </w:txbxContent>
            </v:textbox>
            <w10:wrap type="none"/>
          </v:shape>
        </w:pict>
      </w:r>
      <w:r>
        <w:rPr/>
        <w:pict>
          <v:shape style="position:absolute;margin-left:196.310425pt;margin-top:-75.860306pt;width:10.050pt;height:35.85pt;mso-position-horizontal-relative:page;mso-position-vertical-relative:paragraph;z-index:6064" type="#_x0000_t202" filled="false" stroked="false">
            <v:textbox inset="0,0,0,0" style="layout-flow:vertical;mso-layout-flow-alt:bottom-to-top">
              <w:txbxContent>
                <w:p>
                  <w:pPr>
                    <w:spacing w:before="0"/>
                    <w:ind w:left="20" w:right="-512" w:firstLine="0"/>
                    <w:jc w:val="left"/>
                    <w:rPr>
                      <w:sz w:val="16"/>
                    </w:rPr>
                  </w:pPr>
                  <w:r>
                    <w:rPr>
                      <w:spacing w:val="-1"/>
                      <w:w w:val="100"/>
                      <w:sz w:val="16"/>
                    </w:rPr>
                    <w:t>P</w:t>
                  </w:r>
                  <w:r>
                    <w:rPr>
                      <w:spacing w:val="-1"/>
                      <w:w w:val="100"/>
                      <w:sz w:val="16"/>
                    </w:rPr>
                    <w:t>r</w:t>
                  </w:r>
                  <w:r>
                    <w:rPr>
                      <w:w w:val="100"/>
                      <w:sz w:val="16"/>
                    </w:rPr>
                    <w:t>o</w:t>
                  </w:r>
                  <w:r>
                    <w:rPr>
                      <w:spacing w:val="-1"/>
                      <w:w w:val="100"/>
                      <w:sz w:val="16"/>
                    </w:rPr>
                    <w:t>f</w:t>
                  </w:r>
                  <w:r>
                    <w:rPr>
                      <w:spacing w:val="-2"/>
                      <w:w w:val="100"/>
                      <w:sz w:val="16"/>
                    </w:rPr>
                    <w:t>e</w:t>
                  </w:r>
                  <w:r>
                    <w:rPr>
                      <w:w w:val="100"/>
                      <w:sz w:val="16"/>
                    </w:rPr>
                    <w:t>so</w:t>
                  </w:r>
                  <w:r>
                    <w:rPr>
                      <w:spacing w:val="-1"/>
                      <w:w w:val="100"/>
                      <w:sz w:val="16"/>
                    </w:rPr>
                    <w:t>r</w:t>
                  </w:r>
                  <w:r>
                    <w:rPr>
                      <w:w w:val="100"/>
                      <w:sz w:val="16"/>
                    </w:rPr>
                    <w:t>e</w:t>
                  </w:r>
                  <w:r>
                    <w:rPr>
                      <w:w w:val="100"/>
                      <w:sz w:val="16"/>
                    </w:rPr>
                    <w:t>s</w:t>
                  </w:r>
                </w:p>
              </w:txbxContent>
            </v:textbox>
            <w10:wrap type="none"/>
          </v:shape>
        </w:pict>
      </w:r>
      <w:r>
        <w:rPr/>
        <w:pict>
          <v:shape style="position:absolute;margin-left:226.310425pt;margin-top:-75.810707pt;width:10.050pt;height:54pt;mso-position-horizontal-relative:page;mso-position-vertical-relative:paragraph;z-index:6088" type="#_x0000_t202" filled="false" stroked="false">
            <v:textbox inset="0,0,0,0" style="layout-flow:vertical;mso-layout-flow-alt:bottom-to-top">
              <w:txbxContent>
                <w:p>
                  <w:pPr>
                    <w:spacing w:before="0"/>
                    <w:ind w:left="20" w:right="-281" w:firstLine="0"/>
                    <w:jc w:val="left"/>
                    <w:rPr>
                      <w:sz w:val="16"/>
                    </w:rPr>
                  </w:pPr>
                  <w:r>
                    <w:rPr>
                      <w:spacing w:val="-2"/>
                      <w:w w:val="100"/>
                      <w:sz w:val="16"/>
                    </w:rPr>
                    <w:t>B</w:t>
                  </w:r>
                  <w:r>
                    <w:rPr>
                      <w:w w:val="100"/>
                      <w:sz w:val="16"/>
                    </w:rPr>
                    <w:t>o</w:t>
                  </w:r>
                  <w:r>
                    <w:rPr>
                      <w:spacing w:val="-2"/>
                      <w:w w:val="100"/>
                      <w:sz w:val="16"/>
                    </w:rPr>
                    <w:t>l</w:t>
                  </w:r>
                  <w:r>
                    <w:rPr>
                      <w:w w:val="100"/>
                      <w:sz w:val="16"/>
                    </w:rPr>
                    <w:t>sa</w:t>
                  </w:r>
                  <w:r>
                    <w:rPr>
                      <w:spacing w:val="1"/>
                      <w:sz w:val="16"/>
                    </w:rPr>
                    <w:t> </w:t>
                  </w:r>
                  <w:r>
                    <w:rPr>
                      <w:spacing w:val="-2"/>
                      <w:w w:val="100"/>
                      <w:sz w:val="16"/>
                    </w:rPr>
                    <w:t>d</w:t>
                  </w:r>
                  <w:r>
                    <w:rPr>
                      <w:w w:val="100"/>
                      <w:sz w:val="16"/>
                    </w:rPr>
                    <w:t>e</w:t>
                  </w:r>
                  <w:r>
                    <w:rPr>
                      <w:spacing w:val="-2"/>
                      <w:sz w:val="16"/>
                    </w:rPr>
                    <w:t> </w:t>
                  </w:r>
                  <w:r>
                    <w:rPr>
                      <w:w w:val="100"/>
                      <w:sz w:val="16"/>
                    </w:rPr>
                    <w:t>t</w:t>
                  </w:r>
                  <w:r>
                    <w:rPr>
                      <w:spacing w:val="-1"/>
                      <w:w w:val="100"/>
                      <w:sz w:val="16"/>
                    </w:rPr>
                    <w:t>r</w:t>
                  </w:r>
                  <w:r>
                    <w:rPr>
                      <w:spacing w:val="-2"/>
                      <w:w w:val="100"/>
                      <w:sz w:val="16"/>
                    </w:rPr>
                    <w:t>a</w:t>
                  </w:r>
                  <w:r>
                    <w:rPr>
                      <w:w w:val="100"/>
                      <w:sz w:val="16"/>
                    </w:rPr>
                    <w:t>b</w:t>
                  </w:r>
                  <w:r>
                    <w:rPr>
                      <w:spacing w:val="-2"/>
                      <w:w w:val="100"/>
                      <w:sz w:val="16"/>
                    </w:rPr>
                    <w:t>a</w:t>
                  </w:r>
                  <w:r>
                    <w:rPr>
                      <w:w w:val="100"/>
                      <w:sz w:val="16"/>
                    </w:rPr>
                    <w:t>jo</w:t>
                  </w:r>
                </w:p>
              </w:txbxContent>
            </v:textbox>
            <w10:wrap type="none"/>
          </v:shape>
        </w:pict>
      </w:r>
      <w:r>
        <w:rPr/>
        <w:pict>
          <v:shape style="position:absolute;margin-left:251.730423pt;margin-top:-75.826797pt;width:19.3pt;height:56.7pt;mso-position-horizontal-relative:page;mso-position-vertical-relative:paragraph;z-index:6112" type="#_x0000_t202" filled="false" stroked="false">
            <v:textbox inset="0,0,0,0" style="layout-flow:vertical;mso-layout-flow-alt:bottom-to-top">
              <w:txbxContent>
                <w:p>
                  <w:pPr>
                    <w:spacing w:before="0"/>
                    <w:ind w:left="344" w:right="-702" w:hanging="324"/>
                    <w:jc w:val="left"/>
                    <w:rPr>
                      <w:sz w:val="16"/>
                    </w:rPr>
                  </w:pPr>
                  <w:r>
                    <w:rPr>
                      <w:spacing w:val="-2"/>
                      <w:w w:val="100"/>
                      <w:sz w:val="16"/>
                    </w:rPr>
                    <w:t>C</w:t>
                  </w:r>
                  <w:r>
                    <w:rPr>
                      <w:w w:val="100"/>
                      <w:sz w:val="16"/>
                    </w:rPr>
                    <w:t>om</w:t>
                  </w:r>
                  <w:r>
                    <w:rPr>
                      <w:spacing w:val="-2"/>
                      <w:w w:val="100"/>
                      <w:sz w:val="16"/>
                    </w:rPr>
                    <w:t>p</w:t>
                  </w:r>
                  <w:r>
                    <w:rPr>
                      <w:w w:val="100"/>
                      <w:sz w:val="16"/>
                    </w:rPr>
                    <w:t>a</w:t>
                  </w:r>
                  <w:r>
                    <w:rPr>
                      <w:spacing w:val="-2"/>
                      <w:w w:val="100"/>
                      <w:sz w:val="16"/>
                    </w:rPr>
                    <w:t>ñ</w:t>
                  </w:r>
                  <w:r>
                    <w:rPr>
                      <w:w w:val="100"/>
                      <w:sz w:val="16"/>
                    </w:rPr>
                    <w:t>e</w:t>
                  </w:r>
                  <w:r>
                    <w:rPr>
                      <w:spacing w:val="-1"/>
                      <w:w w:val="100"/>
                      <w:sz w:val="16"/>
                    </w:rPr>
                    <w:t>r</w:t>
                  </w:r>
                  <w:r>
                    <w:rPr>
                      <w:w w:val="100"/>
                      <w:sz w:val="16"/>
                    </w:rPr>
                    <w:t>o</w:t>
                  </w:r>
                  <w:r>
                    <w:rPr>
                      <w:spacing w:val="-1"/>
                      <w:sz w:val="16"/>
                    </w:rPr>
                    <w:t> </w:t>
                  </w:r>
                  <w:r>
                    <w:rPr>
                      <w:spacing w:val="-2"/>
                      <w:w w:val="100"/>
                      <w:sz w:val="16"/>
                    </w:rPr>
                    <w:t>d</w:t>
                  </w:r>
                  <w:r>
                    <w:rPr>
                      <w:w w:val="100"/>
                      <w:sz w:val="16"/>
                    </w:rPr>
                    <w:t>e</w:t>
                  </w:r>
                  <w:r>
                    <w:rPr>
                      <w:spacing w:val="-2"/>
                      <w:sz w:val="16"/>
                    </w:rPr>
                    <w:t> </w:t>
                  </w:r>
                  <w:r>
                    <w:rPr>
                      <w:w w:val="100"/>
                      <w:sz w:val="16"/>
                    </w:rPr>
                    <w:t>la c</w:t>
                  </w:r>
                  <w:r>
                    <w:rPr>
                      <w:spacing w:val="-2"/>
                      <w:w w:val="100"/>
                      <w:sz w:val="16"/>
                    </w:rPr>
                    <w:t>a</w:t>
                  </w:r>
                  <w:r>
                    <w:rPr>
                      <w:spacing w:val="-1"/>
                      <w:w w:val="100"/>
                      <w:sz w:val="16"/>
                    </w:rPr>
                    <w:t>r</w:t>
                  </w:r>
                  <w:r>
                    <w:rPr>
                      <w:spacing w:val="1"/>
                      <w:w w:val="100"/>
                      <w:sz w:val="16"/>
                    </w:rPr>
                    <w:t>r</w:t>
                  </w:r>
                  <w:r>
                    <w:rPr>
                      <w:spacing w:val="-2"/>
                      <w:w w:val="100"/>
                      <w:sz w:val="16"/>
                    </w:rPr>
                    <w:t>e</w:t>
                  </w:r>
                  <w:r>
                    <w:rPr>
                      <w:spacing w:val="-1"/>
                      <w:w w:val="100"/>
                      <w:sz w:val="16"/>
                    </w:rPr>
                    <w:t>r</w:t>
                  </w:r>
                  <w:r>
                    <w:rPr>
                      <w:w w:val="100"/>
                      <w:sz w:val="16"/>
                    </w:rPr>
                    <w:t>a</w:t>
                  </w:r>
                </w:p>
              </w:txbxContent>
            </v:textbox>
            <w10:wrap type="none"/>
          </v:shape>
        </w:pict>
      </w:r>
      <w:r>
        <w:rPr/>
        <w:pict>
          <v:shape style="position:absolute;margin-left:286.360413pt;margin-top:-75.836548pt;width:10.050pt;height:59.6pt;mso-position-horizontal-relative:page;mso-position-vertical-relative:paragraph;z-index:6136" type="#_x0000_t202" filled="false" stroked="false">
            <v:textbox inset="0,0,0,0" style="layout-flow:vertical;mso-layout-flow-alt:bottom-to-top">
              <w:txbxContent>
                <w:p>
                  <w:pPr>
                    <w:spacing w:before="0"/>
                    <w:ind w:left="20" w:right="-501" w:firstLine="0"/>
                    <w:jc w:val="left"/>
                    <w:rPr>
                      <w:sz w:val="16"/>
                    </w:rPr>
                  </w:pPr>
                  <w:r>
                    <w:rPr>
                      <w:spacing w:val="-1"/>
                      <w:w w:val="100"/>
                      <w:sz w:val="16"/>
                    </w:rPr>
                    <w:t>A</w:t>
                  </w:r>
                  <w:r>
                    <w:rPr>
                      <w:spacing w:val="-2"/>
                      <w:w w:val="100"/>
                      <w:sz w:val="16"/>
                    </w:rPr>
                    <w:t>v</w:t>
                  </w:r>
                  <w:r>
                    <w:rPr>
                      <w:w w:val="100"/>
                      <w:sz w:val="16"/>
                    </w:rPr>
                    <w:t>i</w:t>
                  </w:r>
                  <w:r>
                    <w:rPr>
                      <w:w w:val="100"/>
                      <w:sz w:val="16"/>
                    </w:rPr>
                    <w:t>s</w:t>
                  </w:r>
                  <w:r>
                    <w:rPr>
                      <w:spacing w:val="-2"/>
                      <w:w w:val="100"/>
                      <w:sz w:val="16"/>
                    </w:rPr>
                    <w:t>o</w:t>
                  </w:r>
                  <w:r>
                    <w:rPr>
                      <w:w w:val="100"/>
                      <w:sz w:val="16"/>
                    </w:rPr>
                    <w:t>s</w:t>
                  </w:r>
                  <w:r>
                    <w:rPr>
                      <w:sz w:val="16"/>
                    </w:rPr>
                    <w:t> </w:t>
                  </w:r>
                  <w:r>
                    <w:rPr>
                      <w:spacing w:val="-1"/>
                      <w:w w:val="100"/>
                      <w:sz w:val="16"/>
                    </w:rPr>
                    <w:t>p</w:t>
                  </w:r>
                  <w:r>
                    <w:rPr>
                      <w:w w:val="100"/>
                      <w:sz w:val="16"/>
                    </w:rPr>
                    <w:t>e</w:t>
                  </w:r>
                  <w:r>
                    <w:rPr>
                      <w:spacing w:val="-1"/>
                      <w:w w:val="100"/>
                      <w:sz w:val="16"/>
                    </w:rPr>
                    <w:t>r</w:t>
                  </w:r>
                  <w:r>
                    <w:rPr>
                      <w:w w:val="100"/>
                      <w:sz w:val="16"/>
                    </w:rPr>
                    <w:t>i</w:t>
                  </w:r>
                  <w:r>
                    <w:rPr>
                      <w:spacing w:val="-2"/>
                      <w:w w:val="100"/>
                      <w:sz w:val="16"/>
                    </w:rPr>
                    <w:t>ód</w:t>
                  </w:r>
                  <w:r>
                    <w:rPr>
                      <w:w w:val="100"/>
                      <w:sz w:val="16"/>
                    </w:rPr>
                    <w:t>i</w:t>
                  </w:r>
                  <w:r>
                    <w:rPr>
                      <w:spacing w:val="-2"/>
                      <w:w w:val="100"/>
                      <w:sz w:val="16"/>
                    </w:rPr>
                    <w:t>c</w:t>
                  </w:r>
                  <w:r>
                    <w:rPr>
                      <w:w w:val="100"/>
                      <w:sz w:val="16"/>
                    </w:rPr>
                    <w:t>o</w:t>
                  </w:r>
                  <w:r>
                    <w:rPr>
                      <w:w w:val="100"/>
                      <w:sz w:val="16"/>
                    </w:rPr>
                    <w:t>s</w:t>
                  </w:r>
                </w:p>
              </w:txbxContent>
            </v:textbox>
            <w10:wrap type="none"/>
          </v:shape>
        </w:pict>
      </w:r>
      <w:r>
        <w:rPr/>
        <w:pict>
          <v:shape style="position:absolute;margin-left:311.780426pt;margin-top:-75.794228pt;width:19.3pt;height:68pt;mso-position-horizontal-relative:page;mso-position-vertical-relative:paragraph;z-index:6160" type="#_x0000_t202" filled="false" stroked="false">
            <v:textbox inset="0,0,0,0" style="layout-flow:vertical;mso-layout-flow-alt:bottom-to-top">
              <w:txbxContent>
                <w:p>
                  <w:pPr>
                    <w:spacing w:before="0"/>
                    <w:ind w:left="449" w:right="-781" w:hanging="430"/>
                    <w:jc w:val="left"/>
                    <w:rPr>
                      <w:sz w:val="16"/>
                    </w:rPr>
                  </w:pPr>
                  <w:r>
                    <w:rPr>
                      <w:spacing w:val="-2"/>
                      <w:w w:val="100"/>
                      <w:sz w:val="16"/>
                    </w:rPr>
                    <w:t>R</w:t>
                  </w:r>
                  <w:r>
                    <w:rPr>
                      <w:w w:val="100"/>
                      <w:sz w:val="16"/>
                    </w:rPr>
                    <w:t>el</w:t>
                  </w:r>
                  <w:r>
                    <w:rPr>
                      <w:spacing w:val="-2"/>
                      <w:w w:val="100"/>
                      <w:sz w:val="16"/>
                    </w:rPr>
                    <w:t>a</w:t>
                  </w:r>
                  <w:r>
                    <w:rPr>
                      <w:w w:val="100"/>
                      <w:sz w:val="16"/>
                    </w:rPr>
                    <w:t>c</w:t>
                  </w:r>
                  <w:r>
                    <w:rPr>
                      <w:spacing w:val="-2"/>
                      <w:w w:val="100"/>
                      <w:sz w:val="16"/>
                    </w:rPr>
                    <w:t>i</w:t>
                  </w:r>
                  <w:r>
                    <w:rPr>
                      <w:w w:val="100"/>
                      <w:sz w:val="16"/>
                    </w:rPr>
                    <w:t>o</w:t>
                  </w:r>
                  <w:r>
                    <w:rPr>
                      <w:spacing w:val="-2"/>
                      <w:w w:val="100"/>
                      <w:sz w:val="16"/>
                    </w:rPr>
                    <w:t>n</w:t>
                  </w:r>
                  <w:r>
                    <w:rPr>
                      <w:w w:val="100"/>
                      <w:sz w:val="16"/>
                    </w:rPr>
                    <w:t>e</w:t>
                  </w:r>
                  <w:r>
                    <w:rPr>
                      <w:w w:val="100"/>
                      <w:sz w:val="16"/>
                    </w:rPr>
                    <w:t>s</w:t>
                  </w:r>
                  <w:r>
                    <w:rPr>
                      <w:spacing w:val="-2"/>
                      <w:sz w:val="16"/>
                    </w:rPr>
                    <w:t> </w:t>
                  </w:r>
                  <w:r>
                    <w:rPr>
                      <w:w w:val="100"/>
                      <w:sz w:val="16"/>
                    </w:rPr>
                    <w:t>l</w:t>
                  </w:r>
                  <w:r>
                    <w:rPr>
                      <w:spacing w:val="-2"/>
                      <w:w w:val="100"/>
                      <w:sz w:val="16"/>
                    </w:rPr>
                    <w:t>a</w:t>
                  </w:r>
                  <w:r>
                    <w:rPr>
                      <w:w w:val="100"/>
                      <w:sz w:val="16"/>
                    </w:rPr>
                    <w:t>b</w:t>
                  </w:r>
                  <w:r>
                    <w:rPr>
                      <w:spacing w:val="-2"/>
                      <w:w w:val="100"/>
                      <w:sz w:val="16"/>
                    </w:rPr>
                    <w:t>o</w:t>
                  </w:r>
                  <w:r>
                    <w:rPr>
                      <w:spacing w:val="-1"/>
                      <w:w w:val="100"/>
                      <w:sz w:val="16"/>
                    </w:rPr>
                    <w:t>r</w:t>
                  </w:r>
                  <w:r>
                    <w:rPr>
                      <w:w w:val="100"/>
                      <w:sz w:val="16"/>
                    </w:rPr>
                    <w:t>a</w:t>
                  </w:r>
                  <w:r>
                    <w:rPr>
                      <w:spacing w:val="-2"/>
                      <w:w w:val="100"/>
                      <w:sz w:val="16"/>
                    </w:rPr>
                    <w:t>l</w:t>
                  </w:r>
                  <w:r>
                    <w:rPr>
                      <w:w w:val="100"/>
                      <w:sz w:val="16"/>
                    </w:rPr>
                    <w:t>e</w:t>
                  </w:r>
                  <w:r>
                    <w:rPr>
                      <w:w w:val="100"/>
                      <w:sz w:val="16"/>
                    </w:rPr>
                    <w:t>s </w:t>
                  </w:r>
                  <w:r>
                    <w:rPr>
                      <w:spacing w:val="-2"/>
                      <w:w w:val="100"/>
                      <w:sz w:val="16"/>
                    </w:rPr>
                    <w:t>p</w:t>
                  </w:r>
                  <w:r>
                    <w:rPr>
                      <w:spacing w:val="1"/>
                      <w:w w:val="100"/>
                      <w:sz w:val="16"/>
                    </w:rPr>
                    <w:t>r</w:t>
                  </w:r>
                  <w:r>
                    <w:rPr>
                      <w:spacing w:val="-2"/>
                      <w:w w:val="100"/>
                      <w:sz w:val="16"/>
                    </w:rPr>
                    <w:t>ev</w:t>
                  </w:r>
                  <w:r>
                    <w:rPr>
                      <w:w w:val="100"/>
                      <w:sz w:val="16"/>
                    </w:rPr>
                    <w:t>ia</w:t>
                  </w:r>
                  <w:r>
                    <w:rPr>
                      <w:w w:val="100"/>
                      <w:sz w:val="16"/>
                    </w:rPr>
                    <w:t>s</w:t>
                  </w:r>
                </w:p>
              </w:txbxContent>
            </v:textbox>
            <w10:wrap type="none"/>
          </v:shape>
        </w:pict>
      </w:r>
      <w:r>
        <w:rPr/>
        <w:pict>
          <v:shape style="position:absolute;margin-left:341.780426pt;margin-top:-75.814667pt;width:19.3pt;height:64.45pt;mso-position-horizontal-relative:page;mso-position-vertical-relative:paragraph;z-index:6184" type="#_x0000_t202" filled="false" stroked="false">
            <v:textbox inset="0,0,0,0" style="layout-flow:vertical;mso-layout-flow-alt:bottom-to-top">
              <w:txbxContent>
                <w:p>
                  <w:pPr>
                    <w:spacing w:before="0"/>
                    <w:ind w:left="456" w:right="-788" w:hanging="437"/>
                    <w:jc w:val="left"/>
                    <w:rPr>
                      <w:sz w:val="16"/>
                    </w:rPr>
                  </w:pPr>
                  <w:r>
                    <w:rPr>
                      <w:spacing w:val="-2"/>
                      <w:w w:val="100"/>
                      <w:sz w:val="16"/>
                    </w:rPr>
                    <w:t>R</w:t>
                  </w:r>
                  <w:r>
                    <w:rPr>
                      <w:w w:val="100"/>
                      <w:sz w:val="16"/>
                    </w:rPr>
                    <w:t>el</w:t>
                  </w:r>
                  <w:r>
                    <w:rPr>
                      <w:spacing w:val="-2"/>
                      <w:w w:val="100"/>
                      <w:sz w:val="16"/>
                    </w:rPr>
                    <w:t>a</w:t>
                  </w:r>
                  <w:r>
                    <w:rPr>
                      <w:w w:val="100"/>
                      <w:sz w:val="16"/>
                    </w:rPr>
                    <w:t>c</w:t>
                  </w:r>
                  <w:r>
                    <w:rPr>
                      <w:spacing w:val="-2"/>
                      <w:w w:val="100"/>
                      <w:sz w:val="16"/>
                    </w:rPr>
                    <w:t>i</w:t>
                  </w:r>
                  <w:r>
                    <w:rPr>
                      <w:w w:val="100"/>
                      <w:sz w:val="16"/>
                    </w:rPr>
                    <w:t>o</w:t>
                  </w:r>
                  <w:r>
                    <w:rPr>
                      <w:spacing w:val="-2"/>
                      <w:w w:val="100"/>
                      <w:sz w:val="16"/>
                    </w:rPr>
                    <w:t>n</w:t>
                  </w:r>
                  <w:r>
                    <w:rPr>
                      <w:w w:val="100"/>
                      <w:sz w:val="16"/>
                    </w:rPr>
                    <w:t>e</w:t>
                  </w:r>
                  <w:r>
                    <w:rPr>
                      <w:w w:val="100"/>
                      <w:sz w:val="16"/>
                    </w:rPr>
                    <w:t>s</w:t>
                  </w:r>
                  <w:r>
                    <w:rPr>
                      <w:spacing w:val="-2"/>
                      <w:sz w:val="16"/>
                    </w:rPr>
                    <w:t> </w:t>
                  </w:r>
                  <w:r>
                    <w:rPr>
                      <w:w w:val="100"/>
                      <w:sz w:val="16"/>
                    </w:rPr>
                    <w:t>ser</w:t>
                  </w:r>
                  <w:r>
                    <w:rPr>
                      <w:spacing w:val="-2"/>
                      <w:w w:val="100"/>
                      <w:sz w:val="16"/>
                    </w:rPr>
                    <w:t>v</w:t>
                  </w:r>
                  <w:r>
                    <w:rPr>
                      <w:w w:val="100"/>
                      <w:sz w:val="16"/>
                    </w:rPr>
                    <w:t>i</w:t>
                  </w:r>
                  <w:r>
                    <w:rPr>
                      <w:spacing w:val="-2"/>
                      <w:w w:val="100"/>
                      <w:sz w:val="16"/>
                    </w:rPr>
                    <w:t>c</w:t>
                  </w:r>
                  <w:r>
                    <w:rPr>
                      <w:w w:val="100"/>
                      <w:sz w:val="16"/>
                    </w:rPr>
                    <w:t>io </w:t>
                  </w:r>
                  <w:r>
                    <w:rPr>
                      <w:w w:val="100"/>
                      <w:sz w:val="16"/>
                    </w:rPr>
                    <w:t>s</w:t>
                  </w:r>
                  <w:r>
                    <w:rPr>
                      <w:spacing w:val="-2"/>
                      <w:w w:val="100"/>
                      <w:sz w:val="16"/>
                    </w:rPr>
                    <w:t>o</w:t>
                  </w:r>
                  <w:r>
                    <w:rPr>
                      <w:w w:val="100"/>
                      <w:sz w:val="16"/>
                    </w:rPr>
                    <w:t>c</w:t>
                  </w:r>
                  <w:r>
                    <w:rPr>
                      <w:spacing w:val="-2"/>
                      <w:w w:val="100"/>
                      <w:sz w:val="16"/>
                    </w:rPr>
                    <w:t>i</w:t>
                  </w:r>
                  <w:r>
                    <w:rPr>
                      <w:w w:val="100"/>
                      <w:sz w:val="16"/>
                    </w:rPr>
                    <w:t>al</w:t>
                  </w:r>
                </w:p>
              </w:txbxContent>
            </v:textbox>
            <w10:wrap type="none"/>
          </v:shape>
        </w:pict>
      </w:r>
      <w:r>
        <w:rPr/>
        <w:pict>
          <v:shape style="position:absolute;margin-left:376.410431pt;margin-top:-75.786743pt;width:10.050pt;height:41.55pt;mso-position-horizontal-relative:page;mso-position-vertical-relative:paragraph;z-index:6208" type="#_x0000_t202" filled="false" stroked="false">
            <v:textbox inset="0,0,0,0" style="layout-flow:vertical;mso-layout-flow-alt:bottom-to-top">
              <w:txbxContent>
                <w:p>
                  <w:pPr>
                    <w:spacing w:before="0"/>
                    <w:ind w:left="20" w:right="-625" w:firstLine="0"/>
                    <w:jc w:val="left"/>
                    <w:rPr>
                      <w:sz w:val="16"/>
                    </w:rPr>
                  </w:pPr>
                  <w:r>
                    <w:rPr>
                      <w:spacing w:val="-1"/>
                      <w:w w:val="100"/>
                      <w:sz w:val="16"/>
                    </w:rPr>
                    <w:t>A</w:t>
                  </w:r>
                  <w:r>
                    <w:rPr>
                      <w:spacing w:val="-2"/>
                      <w:w w:val="100"/>
                      <w:sz w:val="16"/>
                    </w:rPr>
                    <w:t>u</w:t>
                  </w:r>
                  <w:r>
                    <w:rPr>
                      <w:w w:val="100"/>
                      <w:sz w:val="16"/>
                    </w:rPr>
                    <w:t>t</w:t>
                  </w:r>
                  <w:r>
                    <w:rPr>
                      <w:spacing w:val="-2"/>
                      <w:w w:val="100"/>
                      <w:sz w:val="16"/>
                    </w:rPr>
                    <w:t>o</w:t>
                  </w:r>
                  <w:r>
                    <w:rPr>
                      <w:w w:val="100"/>
                      <w:sz w:val="16"/>
                    </w:rPr>
                    <w:t>em</w:t>
                  </w:r>
                  <w:r>
                    <w:rPr>
                      <w:spacing w:val="-2"/>
                      <w:w w:val="100"/>
                      <w:sz w:val="16"/>
                    </w:rPr>
                    <w:t>p</w:t>
                  </w:r>
                  <w:r>
                    <w:rPr>
                      <w:w w:val="100"/>
                      <w:sz w:val="16"/>
                    </w:rPr>
                    <w:t>l</w:t>
                  </w:r>
                  <w:r>
                    <w:rPr>
                      <w:spacing w:val="-2"/>
                      <w:w w:val="100"/>
                      <w:sz w:val="16"/>
                    </w:rPr>
                    <w:t>e</w:t>
                  </w:r>
                  <w:r>
                    <w:rPr>
                      <w:w w:val="100"/>
                      <w:sz w:val="16"/>
                    </w:rPr>
                    <w:t>o</w:t>
                  </w:r>
                </w:p>
              </w:txbxContent>
            </v:textbox>
            <w10:wrap type="none"/>
          </v:shape>
        </w:pict>
      </w:r>
      <w:r>
        <w:rPr/>
        <w:pict>
          <v:shape style="position:absolute;margin-left:401.830414pt;margin-top:-75.769104pt;width:19.3pt;height:65.75pt;mso-position-horizontal-relative:page;mso-position-vertical-relative:paragraph;z-index:6232" type="#_x0000_t202" filled="false" stroked="false">
            <v:textbox inset="0,0,0,0" style="layout-flow:vertical;mso-layout-flow-alt:bottom-to-top">
              <w:txbxContent>
                <w:p>
                  <w:pPr>
                    <w:spacing w:before="0"/>
                    <w:ind w:left="404" w:right="-761" w:hanging="385"/>
                    <w:jc w:val="left"/>
                    <w:rPr>
                      <w:sz w:val="16"/>
                    </w:rPr>
                  </w:pPr>
                  <w:r>
                    <w:rPr>
                      <w:spacing w:val="-1"/>
                      <w:w w:val="100"/>
                      <w:sz w:val="16"/>
                    </w:rPr>
                    <w:t>I</w:t>
                  </w:r>
                  <w:r>
                    <w:rPr>
                      <w:w w:val="100"/>
                      <w:sz w:val="16"/>
                    </w:rPr>
                    <w:t>n</w:t>
                  </w:r>
                  <w:r>
                    <w:rPr>
                      <w:spacing w:val="-2"/>
                      <w:w w:val="100"/>
                      <w:sz w:val="16"/>
                    </w:rPr>
                    <w:t>t</w:t>
                  </w:r>
                  <w:r>
                    <w:rPr>
                      <w:w w:val="100"/>
                      <w:sz w:val="16"/>
                    </w:rPr>
                    <w:t>e</w:t>
                  </w:r>
                  <w:r>
                    <w:rPr>
                      <w:spacing w:val="-2"/>
                      <w:w w:val="100"/>
                      <w:sz w:val="16"/>
                    </w:rPr>
                    <w:t>g</w:t>
                  </w:r>
                  <w:r>
                    <w:rPr>
                      <w:spacing w:val="-1"/>
                      <w:w w:val="100"/>
                      <w:sz w:val="16"/>
                    </w:rPr>
                    <w:t>r</w:t>
                  </w:r>
                  <w:r>
                    <w:rPr>
                      <w:w w:val="100"/>
                      <w:sz w:val="16"/>
                    </w:rPr>
                    <w:t>a</w:t>
                  </w:r>
                  <w:r>
                    <w:rPr>
                      <w:spacing w:val="-2"/>
                      <w:w w:val="100"/>
                      <w:sz w:val="16"/>
                    </w:rPr>
                    <w:t>c</w:t>
                  </w:r>
                  <w:r>
                    <w:rPr>
                      <w:w w:val="100"/>
                      <w:sz w:val="16"/>
                    </w:rPr>
                    <w:t>i</w:t>
                  </w:r>
                  <w:r>
                    <w:rPr>
                      <w:spacing w:val="-2"/>
                      <w:w w:val="100"/>
                      <w:sz w:val="16"/>
                    </w:rPr>
                    <w:t>ó</w:t>
                  </w:r>
                  <w:r>
                    <w:rPr>
                      <w:w w:val="100"/>
                      <w:sz w:val="16"/>
                    </w:rPr>
                    <w:t>n</w:t>
                  </w:r>
                  <w:r>
                    <w:rPr>
                      <w:spacing w:val="-1"/>
                      <w:sz w:val="16"/>
                    </w:rPr>
                    <w:t> </w:t>
                  </w:r>
                  <w:r>
                    <w:rPr>
                      <w:w w:val="100"/>
                      <w:sz w:val="16"/>
                    </w:rPr>
                    <w:t>n</w:t>
                  </w:r>
                  <w:r>
                    <w:rPr>
                      <w:spacing w:val="-2"/>
                      <w:w w:val="100"/>
                      <w:sz w:val="16"/>
                    </w:rPr>
                    <w:t>e</w:t>
                  </w:r>
                  <w:r>
                    <w:rPr>
                      <w:w w:val="100"/>
                      <w:sz w:val="16"/>
                    </w:rPr>
                    <w:t>g</w:t>
                  </w:r>
                  <w:r>
                    <w:rPr>
                      <w:spacing w:val="-2"/>
                      <w:w w:val="100"/>
                      <w:sz w:val="16"/>
                    </w:rPr>
                    <w:t>oc</w:t>
                  </w:r>
                  <w:r>
                    <w:rPr>
                      <w:w w:val="100"/>
                      <w:sz w:val="16"/>
                    </w:rPr>
                    <w:t>io </w:t>
                  </w:r>
                  <w:r>
                    <w:rPr>
                      <w:spacing w:val="-1"/>
                      <w:w w:val="100"/>
                      <w:sz w:val="16"/>
                    </w:rPr>
                    <w:t>f</w:t>
                  </w:r>
                  <w:r>
                    <w:rPr>
                      <w:w w:val="100"/>
                      <w:sz w:val="16"/>
                    </w:rPr>
                    <w:t>am</w:t>
                  </w:r>
                  <w:r>
                    <w:rPr>
                      <w:spacing w:val="-2"/>
                      <w:w w:val="100"/>
                      <w:sz w:val="16"/>
                    </w:rPr>
                    <w:t>i</w:t>
                  </w:r>
                  <w:r>
                    <w:rPr>
                      <w:w w:val="100"/>
                      <w:sz w:val="16"/>
                    </w:rPr>
                    <w:t>l</w:t>
                  </w:r>
                  <w:r>
                    <w:rPr>
                      <w:spacing w:val="-2"/>
                      <w:w w:val="100"/>
                      <w:sz w:val="16"/>
                    </w:rPr>
                    <w:t>i</w:t>
                  </w:r>
                  <w:r>
                    <w:rPr>
                      <w:w w:val="100"/>
                      <w:sz w:val="16"/>
                    </w:rPr>
                    <w:t>ar</w:t>
                  </w:r>
                </w:p>
              </w:txbxContent>
            </v:textbox>
            <w10:wrap type="none"/>
          </v:shape>
        </w:pict>
      </w:r>
      <w:r>
        <w:rPr/>
        <w:pict>
          <v:shape style="position:absolute;margin-left:436.43042pt;margin-top:-75.75856pt;width:10.050pt;height:54.65pt;mso-position-horizontal-relative:page;mso-position-vertical-relative:paragraph;z-index:6256" type="#_x0000_t202" filled="false" stroked="false">
            <v:textbox inset="0,0,0,0" style="layout-flow:vertical;mso-layout-flow-alt:bottom-to-top">
              <w:txbxContent>
                <w:p>
                  <w:pPr>
                    <w:spacing w:before="0"/>
                    <w:ind w:left="20" w:right="-438" w:firstLine="0"/>
                    <w:jc w:val="left"/>
                    <w:rPr>
                      <w:sz w:val="16"/>
                    </w:rPr>
                  </w:pPr>
                  <w:r>
                    <w:rPr>
                      <w:spacing w:val="-1"/>
                      <w:w w:val="100"/>
                      <w:sz w:val="16"/>
                    </w:rPr>
                    <w:t>I</w:t>
                  </w:r>
                  <w:r>
                    <w:rPr>
                      <w:w w:val="100"/>
                      <w:sz w:val="16"/>
                    </w:rPr>
                    <w:t>n</w:t>
                  </w:r>
                  <w:r>
                    <w:rPr>
                      <w:spacing w:val="-2"/>
                      <w:w w:val="100"/>
                      <w:sz w:val="16"/>
                    </w:rPr>
                    <w:t>i</w:t>
                  </w:r>
                  <w:r>
                    <w:rPr>
                      <w:w w:val="100"/>
                      <w:sz w:val="16"/>
                    </w:rPr>
                    <w:t>c</w:t>
                  </w:r>
                  <w:r>
                    <w:rPr>
                      <w:spacing w:val="-2"/>
                      <w:w w:val="100"/>
                      <w:sz w:val="16"/>
                    </w:rPr>
                    <w:t>i</w:t>
                  </w:r>
                  <w:r>
                    <w:rPr>
                      <w:w w:val="100"/>
                      <w:sz w:val="16"/>
                    </w:rPr>
                    <w:t>a</w:t>
                  </w:r>
                  <w:r>
                    <w:rPr>
                      <w:spacing w:val="-2"/>
                      <w:w w:val="100"/>
                      <w:sz w:val="16"/>
                    </w:rPr>
                    <w:t>t</w:t>
                  </w:r>
                  <w:r>
                    <w:rPr>
                      <w:w w:val="100"/>
                      <w:sz w:val="16"/>
                    </w:rPr>
                    <w:t>i</w:t>
                  </w:r>
                  <w:r>
                    <w:rPr>
                      <w:spacing w:val="-2"/>
                      <w:w w:val="100"/>
                      <w:sz w:val="16"/>
                    </w:rPr>
                    <w:t>v</w:t>
                  </w:r>
                  <w:r>
                    <w:rPr>
                      <w:w w:val="100"/>
                      <w:sz w:val="16"/>
                    </w:rPr>
                    <w:t>a</w:t>
                  </w:r>
                  <w:r>
                    <w:rPr>
                      <w:spacing w:val="-2"/>
                      <w:sz w:val="16"/>
                    </w:rPr>
                    <w:t> </w:t>
                  </w:r>
                  <w:r>
                    <w:rPr>
                      <w:w w:val="100"/>
                      <w:sz w:val="16"/>
                    </w:rPr>
                    <w:t>p</w:t>
                  </w:r>
                  <w:r>
                    <w:rPr>
                      <w:spacing w:val="-1"/>
                      <w:w w:val="100"/>
                      <w:sz w:val="16"/>
                    </w:rPr>
                    <w:t>r</w:t>
                  </w:r>
                  <w:r>
                    <w:rPr>
                      <w:spacing w:val="-2"/>
                      <w:w w:val="100"/>
                      <w:sz w:val="16"/>
                    </w:rPr>
                    <w:t>o</w:t>
                  </w:r>
                  <w:r>
                    <w:rPr>
                      <w:w w:val="100"/>
                      <w:sz w:val="16"/>
                    </w:rPr>
                    <w:t>p</w:t>
                  </w:r>
                  <w:r>
                    <w:rPr>
                      <w:spacing w:val="-2"/>
                      <w:w w:val="100"/>
                      <w:sz w:val="16"/>
                    </w:rPr>
                    <w:t>i</w:t>
                  </w:r>
                  <w:r>
                    <w:rPr>
                      <w:w w:val="100"/>
                      <w:sz w:val="16"/>
                    </w:rPr>
                    <w:t>a</w:t>
                  </w:r>
                </w:p>
              </w:txbxContent>
            </v:textbox>
            <w10:wrap type="none"/>
          </v:shape>
        </w:pict>
      </w:r>
      <w:r>
        <w:rPr/>
        <w:pict>
          <v:shape style="position:absolute;margin-left:466.460419pt;margin-top:-75.814552pt;width:10.050pt;height:26.9pt;mso-position-horizontal-relative:page;mso-position-vertical-relative:paragraph;z-index:6280" type="#_x0000_t202" filled="false" stroked="false">
            <v:textbox inset="0,0,0,0" style="layout-flow:vertical;mso-layout-flow-alt:bottom-to-top">
              <w:txbxContent>
                <w:p>
                  <w:pPr>
                    <w:spacing w:before="0"/>
                    <w:ind w:left="20" w:right="-333" w:firstLine="0"/>
                    <w:jc w:val="left"/>
                    <w:rPr>
                      <w:sz w:val="16"/>
                    </w:rPr>
                  </w:pPr>
                  <w:r>
                    <w:rPr>
                      <w:spacing w:val="-1"/>
                      <w:w w:val="100"/>
                      <w:sz w:val="16"/>
                    </w:rPr>
                    <w:t>I</w:t>
                  </w:r>
                  <w:r>
                    <w:rPr>
                      <w:w w:val="100"/>
                      <w:sz w:val="16"/>
                    </w:rPr>
                    <w:t>n</w:t>
                  </w:r>
                  <w:r>
                    <w:rPr>
                      <w:spacing w:val="-2"/>
                      <w:w w:val="100"/>
                      <w:sz w:val="16"/>
                    </w:rPr>
                    <w:t>t</w:t>
                  </w:r>
                  <w:r>
                    <w:rPr>
                      <w:w w:val="100"/>
                      <w:sz w:val="16"/>
                    </w:rPr>
                    <w:t>e</w:t>
                  </w:r>
                  <w:r>
                    <w:rPr>
                      <w:spacing w:val="-1"/>
                      <w:w w:val="100"/>
                      <w:sz w:val="16"/>
                    </w:rPr>
                    <w:t>r</w:t>
                  </w:r>
                  <w:r>
                    <w:rPr>
                      <w:spacing w:val="-2"/>
                      <w:w w:val="100"/>
                      <w:sz w:val="16"/>
                    </w:rPr>
                    <w:t>n</w:t>
                  </w:r>
                  <w:r>
                    <w:rPr>
                      <w:w w:val="100"/>
                      <w:sz w:val="16"/>
                    </w:rPr>
                    <w:t>et</w:t>
                  </w:r>
                </w:p>
              </w:txbxContent>
            </v:textbox>
            <w10:wrap type="none"/>
          </v:shape>
        </w:pict>
      </w:r>
      <w:r>
        <w:rPr/>
        <w:pict>
          <v:shape style="position:absolute;margin-left:496.460419pt;margin-top:-75.833145pt;width:10.050pt;height:16.7pt;mso-position-horizontal-relative:page;mso-position-vertical-relative:paragraph;z-index:6304" type="#_x0000_t202" filled="false" stroked="false">
            <v:textbox inset="0,0,0,0" style="layout-flow:vertical;mso-layout-flow-alt:bottom-to-top">
              <w:txbxContent>
                <w:p>
                  <w:pPr>
                    <w:spacing w:before="0"/>
                    <w:ind w:left="20" w:right="-132" w:firstLine="0"/>
                    <w:jc w:val="left"/>
                    <w:rPr>
                      <w:sz w:val="16"/>
                    </w:rPr>
                  </w:pPr>
                  <w:r>
                    <w:rPr>
                      <w:spacing w:val="-1"/>
                      <w:w w:val="100"/>
                      <w:sz w:val="16"/>
                    </w:rPr>
                    <w:t>O</w:t>
                  </w:r>
                  <w:r>
                    <w:rPr>
                      <w:w w:val="100"/>
                      <w:sz w:val="16"/>
                    </w:rPr>
                    <w:t>t</w:t>
                  </w:r>
                  <w:r>
                    <w:rPr>
                      <w:spacing w:val="-1"/>
                      <w:w w:val="100"/>
                      <w:sz w:val="16"/>
                    </w:rPr>
                    <w:t>r</w:t>
                  </w:r>
                  <w:r>
                    <w:rPr>
                      <w:w w:val="100"/>
                      <w:sz w:val="16"/>
                    </w:rPr>
                    <w:t>o</w:t>
                  </w:r>
                </w:p>
              </w:txbxContent>
            </v:textbox>
            <w10:wrap type="none"/>
          </v:shape>
        </w:pict>
      </w:r>
      <w:r>
        <w:rPr>
          <w:sz w:val="20"/>
        </w:rPr>
        <w:t>** Se muestran el número de respuestas.</w:t>
      </w:r>
    </w:p>
    <w:p>
      <w:pPr>
        <w:spacing w:before="0"/>
        <w:ind w:left="109" w:right="129" w:firstLine="0"/>
        <w:jc w:val="center"/>
        <w:rPr>
          <w:rFonts w:ascii="Arial" w:hAnsi="Arial"/>
          <w:sz w:val="18"/>
        </w:rPr>
      </w:pPr>
      <w:r>
        <w:rPr>
          <w:sz w:val="20"/>
        </w:rPr>
        <w:t>Fuente: elaboración propia con base en el “Cuestionario transición egresados universitarios-mercado de trabajo, Facultad de Economía UAEMéx</w:t>
      </w:r>
      <w:r>
        <w:rPr>
          <w:rFonts w:ascii="Arial" w:hAnsi="Arial"/>
          <w:sz w:val="18"/>
        </w:rPr>
        <w:t>”</w:t>
      </w:r>
    </w:p>
    <w:p>
      <w:pPr>
        <w:pStyle w:val="BodyText"/>
        <w:rPr>
          <w:rFonts w:ascii="Arial"/>
          <w:sz w:val="20"/>
        </w:rPr>
      </w:pPr>
    </w:p>
    <w:p>
      <w:pPr>
        <w:pStyle w:val="BodyText"/>
        <w:rPr>
          <w:rFonts w:ascii="Arial"/>
          <w:sz w:val="20"/>
        </w:rPr>
      </w:pPr>
    </w:p>
    <w:p>
      <w:pPr>
        <w:pStyle w:val="BodyText"/>
        <w:spacing w:line="360" w:lineRule="auto" w:before="154"/>
        <w:ind w:left="102" w:right="115"/>
        <w:jc w:val="both"/>
      </w:pPr>
      <w:r>
        <w:rPr/>
        <w:t>Continuando con el análisis de los resultados obtenidos de la encuesta, en lo que se refiere  a la percepción que tiene el mismo joven respecto a su proceso de transición, se cuestionó respecto a cómo fue su incorporación al mercado de trabajo por primera vez, el 10% respondió que “muy fácil”; 37% “fácil”, 32% “difícil”, 14% “muy difícil”,  5%  “no busqué” y 2% “no encontré”, es una carrera con buena aceptación dentro del mercado de trabajo. Estos resultados no permiten determinar si desde su óptica es un proceso fácil o difícil de inserción, </w:t>
      </w:r>
      <w:r>
        <w:rPr>
          <w:spacing w:val="-3"/>
        </w:rPr>
        <w:t>ya </w:t>
      </w:r>
      <w:r>
        <w:rPr/>
        <w:t>que se encuentran casi empatados entre un proceso sencillo (muy fácil y fácil) con 47% y complicado (difícil y muy difícil) con 46% (gráfica</w:t>
      </w:r>
      <w:r>
        <w:rPr>
          <w:spacing w:val="-10"/>
        </w:rPr>
        <w:t> </w:t>
      </w:r>
      <w:r>
        <w:rPr/>
        <w:t>6.10.).</w:t>
      </w:r>
    </w:p>
    <w:p>
      <w:pPr>
        <w:spacing w:after="0" w:line="360" w:lineRule="auto"/>
        <w:jc w:val="both"/>
        <w:sectPr>
          <w:pgSz w:w="12240" w:h="15840"/>
          <w:pgMar w:header="0" w:footer="1003" w:top="1360" w:bottom="1200" w:left="1600" w:right="1580"/>
        </w:sectPr>
      </w:pPr>
    </w:p>
    <w:p>
      <w:pPr>
        <w:pStyle w:val="Heading3"/>
        <w:ind w:left="301"/>
        <w:jc w:val="left"/>
      </w:pPr>
      <w:r>
        <w:rPr/>
        <w:t>Gráfica 6.10. ¿Cómo fue su incorporación al mercado de trabajo por primera vez?</w:t>
      </w:r>
    </w:p>
    <w:p>
      <w:pPr>
        <w:pStyle w:val="BodyText"/>
        <w:spacing w:before="7"/>
        <w:rPr>
          <w:b/>
          <w:sz w:val="19"/>
        </w:rPr>
      </w:pPr>
    </w:p>
    <w:p>
      <w:pPr>
        <w:spacing w:line="314" w:lineRule="auto" w:before="59"/>
        <w:ind w:left="1569" w:right="6611" w:hanging="138"/>
        <w:jc w:val="both"/>
        <w:rPr>
          <w:rFonts w:ascii="Calibri" w:hAnsi="Calibri"/>
          <w:sz w:val="20"/>
        </w:rPr>
      </w:pPr>
      <w:r>
        <w:rPr/>
        <w:pict>
          <v:group style="position:absolute;margin-left:208.065002pt;margin-top:1.296499pt;width:306.9pt;height:99.65pt;mso-position-horizontal-relative:page;mso-position-vertical-relative:paragraph;z-index:6376" coordorigin="4161,26" coordsize="6138,1993">
            <v:shape style="position:absolute;left:5242;top:33;width:2;height:1916" coordorigin="5242,33" coordsize="0,1916" path="m5242,33l5242,751m5242,912l5242,1070m5242,1229l5242,1389m5242,1548l5242,1709m5242,1867l5242,1949e" filled="false" stroked="true" strokeweight=".72pt" strokecolor="#858585">
              <v:path arrowok="t"/>
            </v:shape>
            <v:rect style="position:absolute;left:4234;top:1709;width:1210;height:158" filled="true" fillcolor="#006fc0" stroked="false">
              <v:fill type="solid"/>
            </v:rect>
            <v:shape style="position:absolute;left:6252;top:33;width:2019;height:1916" coordorigin="6252,33" coordsize="2019,1916" path="m6252,1229l6252,1389m6252,1548l6252,1949m7262,1229l7262,1389m7262,1548l7262,1949m8270,33l8270,1389m8270,1548l8270,1949e" filled="false" stroked="true" strokeweight=".72pt" strokecolor="#858585">
              <v:path arrowok="t"/>
            </v:shape>
            <v:rect style="position:absolute;left:4234;top:1389;width:4846;height:158" filled="true" fillcolor="#006fc0" stroked="false">
              <v:fill type="solid"/>
            </v:rect>
            <v:shape style="position:absolute;left:6252;top:33;width:1011;height:1037" coordorigin="6252,33" coordsize="1011,1037" path="m6252,33l6252,1070m7262,33l7262,1070e" filled="false" stroked="true" strokeweight=".72pt" strokecolor="#858585">
              <v:path arrowok="t"/>
            </v:shape>
            <v:shape style="position:absolute;left:4234;top:432;width:3231;height:797" coordorigin="4234,432" coordsize="3231,797" path="m5242,432l4234,432,4234,593,5242,593,5242,432m6252,751l4234,751,4234,912,6252,912,6252,751m7464,1070l4234,1070,4234,1229,7464,1229,7464,1070e" filled="true" fillcolor="#006fc0" stroked="false">
              <v:path arrowok="t"/>
              <v:fill type="solid"/>
            </v:shape>
            <v:shape style="position:absolute;left:4169;top:33;width:6123;height:1978" coordorigin="4169,33" coordsize="6123,1978" path="m9281,33l9281,1949m10291,33l10291,1949m4234,1949l10291,1949m4234,1949l4234,2011m5242,1949l5242,2011m6252,1949l6252,2011m7262,1949l7262,2011m8270,1949l8270,2011m9281,1949l9281,2011m10291,1949l10291,2011m4234,1949l4234,33m4169,1949l4234,1949m4169,1629l4234,1629m4169,1310l4234,1310m4169,991l4234,991m4169,672l4234,672m4169,353l4234,353m4169,33l4234,33e" filled="false" stroked="true" strokeweight=".72pt" strokecolor="#858585">
              <v:path arrowok="t"/>
            </v:shape>
            <w10:wrap type="none"/>
          </v:group>
        </w:pict>
      </w:r>
      <w:r>
        <w:rPr>
          <w:rFonts w:ascii="Calibri" w:hAnsi="Calibri"/>
          <w:sz w:val="20"/>
        </w:rPr>
        <w:t>No encontré No busqué Muy difícil</w:t>
      </w:r>
    </w:p>
    <w:p>
      <w:pPr>
        <w:spacing w:line="314" w:lineRule="auto" w:before="0"/>
        <w:ind w:left="1702" w:right="6609" w:firstLine="292"/>
        <w:jc w:val="right"/>
        <w:rPr>
          <w:rFonts w:ascii="Calibri" w:hAnsi="Calibri"/>
          <w:sz w:val="20"/>
        </w:rPr>
      </w:pPr>
      <w:r>
        <w:rPr>
          <w:rFonts w:ascii="Calibri" w:hAnsi="Calibri"/>
          <w:spacing w:val="-1"/>
          <w:sz w:val="20"/>
        </w:rPr>
        <w:t>Difícil Fácil </w:t>
      </w:r>
      <w:r>
        <w:rPr>
          <w:rFonts w:ascii="Calibri" w:hAnsi="Calibri"/>
          <w:sz w:val="20"/>
        </w:rPr>
        <w:t>Muy</w:t>
      </w:r>
      <w:r>
        <w:rPr>
          <w:rFonts w:ascii="Calibri" w:hAnsi="Calibri"/>
          <w:spacing w:val="-8"/>
          <w:sz w:val="20"/>
        </w:rPr>
        <w:t> </w:t>
      </w:r>
      <w:r>
        <w:rPr>
          <w:rFonts w:ascii="Calibri" w:hAnsi="Calibri"/>
          <w:sz w:val="20"/>
        </w:rPr>
        <w:t>fácil</w:t>
      </w:r>
    </w:p>
    <w:p>
      <w:pPr>
        <w:tabs>
          <w:tab w:pos="3592" w:val="left" w:leader="none"/>
          <w:tab w:pos="4551" w:val="left" w:leader="none"/>
          <w:tab w:pos="5561" w:val="left" w:leader="none"/>
          <w:tab w:pos="6570" w:val="left" w:leader="none"/>
          <w:tab w:pos="7580" w:val="left" w:leader="none"/>
          <w:tab w:pos="8589" w:val="left" w:leader="none"/>
        </w:tabs>
        <w:spacing w:before="99"/>
        <w:ind w:left="2582" w:right="0" w:firstLine="0"/>
        <w:jc w:val="left"/>
        <w:rPr>
          <w:rFonts w:ascii="Calibri"/>
          <w:sz w:val="20"/>
        </w:rPr>
      </w:pPr>
      <w:r>
        <w:rPr>
          <w:rFonts w:ascii="Calibri"/>
          <w:sz w:val="20"/>
        </w:rPr>
        <w:t>0</w:t>
        <w:tab/>
        <w:t>5</w:t>
        <w:tab/>
        <w:t>10</w:t>
        <w:tab/>
        <w:t>15</w:t>
        <w:tab/>
        <w:t>20</w:t>
        <w:tab/>
        <w:t>25</w:t>
        <w:tab/>
        <w:t>30</w:t>
      </w:r>
    </w:p>
    <w:p>
      <w:pPr>
        <w:pStyle w:val="BodyText"/>
        <w:spacing w:before="9"/>
        <w:rPr>
          <w:rFonts w:ascii="Calibri"/>
          <w:sz w:val="22"/>
        </w:rPr>
      </w:pPr>
    </w:p>
    <w:p>
      <w:pPr>
        <w:spacing w:line="229" w:lineRule="exact" w:before="74"/>
        <w:ind w:left="0" w:right="23" w:firstLine="0"/>
        <w:jc w:val="center"/>
        <w:rPr>
          <w:sz w:val="20"/>
        </w:rPr>
      </w:pPr>
      <w:r>
        <w:rPr>
          <w:sz w:val="20"/>
        </w:rPr>
        <w:t>** Se muestran el número de respuestas</w:t>
      </w:r>
    </w:p>
    <w:p>
      <w:pPr>
        <w:spacing w:before="0"/>
        <w:ind w:left="109" w:right="129" w:firstLine="0"/>
        <w:jc w:val="center"/>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rPr>
          <w:sz w:val="20"/>
        </w:rPr>
      </w:pPr>
    </w:p>
    <w:p>
      <w:pPr>
        <w:pStyle w:val="BodyText"/>
        <w:spacing w:before="2"/>
        <w:rPr>
          <w:sz w:val="29"/>
        </w:rPr>
      </w:pPr>
    </w:p>
    <w:p>
      <w:pPr>
        <w:pStyle w:val="BodyText"/>
        <w:spacing w:line="360" w:lineRule="auto"/>
        <w:ind w:left="102" w:right="115"/>
        <w:jc w:val="both"/>
      </w:pPr>
      <w:r>
        <w:rPr/>
        <w:t>Se cuestionó si al momento de egresar ya tenía empleo, a lo que el 20% respondió que sí, y 80% que no. Este punto representa una área de oportunidad, pues el escenario ideal sería que todos los jóvenes que terminan una carrera universitaria ya tuvieran un lugar esperándoles para trabajar. Sin embargo, la evidencia empírica confirma que no es así, que el “modelo de la búsqueda secuencial” deberá ser aplicado tantas veces como sea necesario.</w:t>
      </w:r>
    </w:p>
    <w:p>
      <w:pPr>
        <w:pStyle w:val="BodyText"/>
      </w:pPr>
    </w:p>
    <w:p>
      <w:pPr>
        <w:pStyle w:val="BodyText"/>
        <w:spacing w:line="360" w:lineRule="auto" w:before="143"/>
        <w:ind w:left="102" w:right="116"/>
        <w:jc w:val="both"/>
      </w:pPr>
      <w:r>
        <w:rPr/>
        <w:t>Para conocer la frecuencia que dura el “modelo de la búsqueda secuencial” se preguntó cuánto tiempo tardó en encontrar su primer empleo, después de egresar.  28% respondió  que tardó entre cero y tres meses; 32%, entre cuatro y seis meses; 20% entre siete y nueve meses; 12% entre 10 y 12 meses; y 8% más de 12 meses. Con lo que se infiere que el tiempo que pasan los jóvenes en el proceso de “búsqueda” es corto, </w:t>
      </w:r>
      <w:r>
        <w:rPr>
          <w:spacing w:val="-3"/>
        </w:rPr>
        <w:t>ya </w:t>
      </w:r>
      <w:r>
        <w:rPr/>
        <w:t>que el 60% tardó entre 0 y 6 meses en encontrar su primer empleo, haciendo que el proceso de transición sea relativamente fluido para los licenciados en economía (gráfica</w:t>
      </w:r>
      <w:r>
        <w:rPr>
          <w:spacing w:val="-11"/>
        </w:rPr>
        <w:t> </w:t>
      </w:r>
      <w:r>
        <w:rPr/>
        <w:t>6.11.).</w:t>
      </w:r>
    </w:p>
    <w:p>
      <w:pPr>
        <w:pStyle w:val="Heading3"/>
        <w:spacing w:before="11"/>
        <w:ind w:right="22"/>
        <w:jc w:val="center"/>
      </w:pPr>
      <w:r>
        <w:rPr/>
        <w:t>Gráfica 6.11. Tiempo que tardó en encontrar su primer empleo.</w:t>
      </w:r>
    </w:p>
    <w:p>
      <w:pPr>
        <w:pStyle w:val="BodyText"/>
        <w:rPr>
          <w:b/>
          <w:sz w:val="20"/>
        </w:rPr>
      </w:pPr>
    </w:p>
    <w:p>
      <w:pPr>
        <w:pStyle w:val="BodyText"/>
        <w:spacing w:before="6"/>
        <w:rPr>
          <w:b/>
          <w:sz w:val="11"/>
        </w:rPr>
      </w:pPr>
      <w:r>
        <w:rPr/>
        <w:pict>
          <v:line style="position:absolute;mso-position-horizontal-relative:page;mso-position-vertical-relative:paragraph;z-index:6328;mso-wrap-distance-left:0;mso-wrap-distance-right:0" from="136.559998pt,8.965274pt" to="487.319998pt,8.965274pt" stroked="true" strokeweight=".72pt" strokecolor="#858585">
            <w10:wrap type="topAndBottom"/>
          </v:line>
        </w:pict>
      </w:r>
    </w:p>
    <w:p>
      <w:pPr>
        <w:pStyle w:val="BodyText"/>
        <w:spacing w:before="2"/>
        <w:rPr>
          <w:b/>
          <w:sz w:val="15"/>
        </w:rPr>
      </w:pPr>
    </w:p>
    <w:p>
      <w:pPr>
        <w:pStyle w:val="BodyText"/>
        <w:ind w:left="1123"/>
        <w:rPr>
          <w:sz w:val="20"/>
        </w:rPr>
      </w:pPr>
      <w:r>
        <w:rPr>
          <w:sz w:val="20"/>
        </w:rPr>
        <w:pict>
          <v:group style="width:351.55pt;height:35.3pt;mso-position-horizontal-relative:char;mso-position-vertical-relative:line" coordorigin="0,0" coordsize="7031,706">
            <v:line style="position:absolute" from="982,214" to="7023,214" stroked="true" strokeweight=".72pt" strokecolor="#858585"/>
            <v:line style="position:absolute" from="8,214" to="204,214" stroked="true" strokeweight=".72pt" strokecolor="#858585"/>
            <v:rect style="position:absolute;left:204;top:0;width:778;height:636" filled="true" fillcolor="#006fc0" stroked="false">
              <v:fill type="solid"/>
            </v:rect>
            <v:rect style="position:absolute;left:1373;top:425;width:780;height:211" filled="true" fillcolor="#006fc0" stroked="false">
              <v:fill type="solid"/>
            </v:rect>
            <v:rect style="position:absolute;left:2542;top:466;width:780;height:170" filled="true" fillcolor="#006fc0" stroked="false">
              <v:fill type="solid"/>
            </v:rect>
            <v:rect style="position:absolute;left:3711;top:487;width:780;height:149" filled="true" fillcolor="#006fc0" stroked="false">
              <v:fill type="solid"/>
            </v:rect>
            <v:rect style="position:absolute;left:4880;top:382;width:780;height:254" filled="true" fillcolor="#006fc0" stroked="false">
              <v:fill type="solid"/>
            </v:rect>
            <v:line style="position:absolute" from="8,636" to="7023,636" stroked="true" strokeweight=".72pt" strokecolor="#858585"/>
            <v:line style="position:absolute" from="8,636" to="8,698" stroked="true" strokeweight=".72pt" strokecolor="#858585"/>
            <v:line style="position:absolute" from="1179,636" to="1179,698" stroked="true" strokeweight=".72pt" strokecolor="#858585"/>
            <v:line style="position:absolute" from="2348,636" to="2348,698" stroked="true" strokeweight=".72pt" strokecolor="#858585"/>
            <v:line style="position:absolute" from="3516,636" to="3516,698" stroked="true" strokeweight=".72pt" strokecolor="#858585"/>
            <v:line style="position:absolute" from="4685,636" to="4685,698" stroked="true" strokeweight=".72pt" strokecolor="#858585"/>
            <v:line style="position:absolute" from="5854,636" to="5854,698" stroked="true" strokeweight=".72pt" strokecolor="#858585"/>
            <v:line style="position:absolute" from="7023,636" to="7023,698" stroked="true" strokeweight=".72pt" strokecolor="#858585"/>
          </v:group>
        </w:pict>
      </w:r>
      <w:r>
        <w:rPr>
          <w:sz w:val="20"/>
        </w:rPr>
      </w:r>
    </w:p>
    <w:p>
      <w:pPr>
        <w:spacing w:after="0"/>
        <w:rPr>
          <w:sz w:val="20"/>
        </w:rPr>
        <w:sectPr>
          <w:footerReference w:type="default" r:id="rId116"/>
          <w:pgSz w:w="12240" w:h="15840"/>
          <w:pgMar w:footer="1003" w:header="0" w:top="1360" w:bottom="1200" w:left="1600" w:right="1580"/>
          <w:pgNumType w:start="150"/>
        </w:sectPr>
      </w:pPr>
    </w:p>
    <w:p>
      <w:pPr>
        <w:tabs>
          <w:tab w:pos="2413" w:val="left" w:leader="none"/>
          <w:tab w:pos="3582" w:val="left" w:leader="none"/>
          <w:tab w:pos="5978" w:val="left" w:leader="none"/>
        </w:tabs>
        <w:spacing w:before="24"/>
        <w:ind w:left="1243" w:right="0" w:firstLine="0"/>
        <w:jc w:val="left"/>
        <w:rPr>
          <w:rFonts w:ascii="Calibri" w:hAnsi="Calibri"/>
          <w:sz w:val="20"/>
        </w:rPr>
      </w:pPr>
      <w:r>
        <w:rPr>
          <w:rFonts w:ascii="Calibri" w:hAnsi="Calibri"/>
          <w:sz w:val="20"/>
        </w:rPr>
        <w:t>0 –</w:t>
      </w:r>
      <w:r>
        <w:rPr>
          <w:rFonts w:ascii="Calibri" w:hAnsi="Calibri"/>
          <w:spacing w:val="-4"/>
          <w:sz w:val="20"/>
        </w:rPr>
        <w:t> </w:t>
      </w:r>
      <w:r>
        <w:rPr>
          <w:rFonts w:ascii="Calibri" w:hAnsi="Calibri"/>
          <w:sz w:val="20"/>
        </w:rPr>
        <w:t>3</w:t>
      </w:r>
      <w:r>
        <w:rPr>
          <w:rFonts w:ascii="Calibri" w:hAnsi="Calibri"/>
          <w:spacing w:val="-3"/>
          <w:sz w:val="20"/>
        </w:rPr>
        <w:t> </w:t>
      </w:r>
      <w:r>
        <w:rPr>
          <w:rFonts w:ascii="Calibri" w:hAnsi="Calibri"/>
          <w:sz w:val="20"/>
        </w:rPr>
        <w:t>meses</w:t>
        <w:tab/>
        <w:t>4 –</w:t>
      </w:r>
      <w:r>
        <w:rPr>
          <w:rFonts w:ascii="Calibri" w:hAnsi="Calibri"/>
          <w:spacing w:val="-4"/>
          <w:sz w:val="20"/>
        </w:rPr>
        <w:t> </w:t>
      </w:r>
      <w:r>
        <w:rPr>
          <w:rFonts w:ascii="Calibri" w:hAnsi="Calibri"/>
          <w:sz w:val="20"/>
        </w:rPr>
        <w:t>6</w:t>
      </w:r>
      <w:r>
        <w:rPr>
          <w:rFonts w:ascii="Calibri" w:hAnsi="Calibri"/>
          <w:spacing w:val="-3"/>
          <w:sz w:val="20"/>
        </w:rPr>
        <w:t> </w:t>
      </w:r>
      <w:r>
        <w:rPr>
          <w:rFonts w:ascii="Calibri" w:hAnsi="Calibri"/>
          <w:sz w:val="20"/>
        </w:rPr>
        <w:t>meses</w:t>
        <w:tab/>
        <w:t>7 – 9 meses   10-</w:t>
      </w:r>
      <w:r>
        <w:rPr>
          <w:rFonts w:ascii="Calibri" w:hAnsi="Calibri"/>
          <w:spacing w:val="13"/>
          <w:sz w:val="20"/>
        </w:rPr>
        <w:t> </w:t>
      </w:r>
      <w:r>
        <w:rPr>
          <w:rFonts w:ascii="Calibri" w:hAnsi="Calibri"/>
          <w:sz w:val="20"/>
        </w:rPr>
        <w:t>12</w:t>
      </w:r>
      <w:r>
        <w:rPr>
          <w:rFonts w:ascii="Calibri" w:hAnsi="Calibri"/>
          <w:spacing w:val="-2"/>
          <w:sz w:val="20"/>
        </w:rPr>
        <w:t> </w:t>
      </w:r>
      <w:r>
        <w:rPr>
          <w:rFonts w:ascii="Calibri" w:hAnsi="Calibri"/>
          <w:sz w:val="20"/>
        </w:rPr>
        <w:t>meses</w:t>
        <w:tab/>
        <w:t>más de</w:t>
      </w:r>
      <w:r>
        <w:rPr>
          <w:rFonts w:ascii="Calibri" w:hAnsi="Calibri"/>
          <w:spacing w:val="-4"/>
          <w:sz w:val="20"/>
        </w:rPr>
        <w:t> </w:t>
      </w:r>
      <w:r>
        <w:rPr>
          <w:rFonts w:ascii="Calibri" w:hAnsi="Calibri"/>
          <w:sz w:val="20"/>
        </w:rPr>
        <w:t>12</w:t>
      </w:r>
    </w:p>
    <w:p>
      <w:pPr>
        <w:spacing w:before="0"/>
        <w:ind w:left="0" w:right="155" w:firstLine="0"/>
        <w:jc w:val="right"/>
        <w:rPr>
          <w:rFonts w:ascii="Calibri"/>
          <w:sz w:val="20"/>
        </w:rPr>
      </w:pPr>
      <w:r>
        <w:rPr>
          <w:rFonts w:ascii="Calibri"/>
          <w:sz w:val="20"/>
        </w:rPr>
        <w:t>meses</w:t>
      </w:r>
    </w:p>
    <w:p>
      <w:pPr>
        <w:spacing w:before="24"/>
        <w:ind w:left="320" w:right="1082" w:firstLine="21"/>
        <w:jc w:val="left"/>
        <w:rPr>
          <w:rFonts w:ascii="Calibri"/>
          <w:sz w:val="20"/>
        </w:rPr>
      </w:pPr>
      <w:r>
        <w:rPr/>
        <w:br w:type="column"/>
      </w:r>
      <w:r>
        <w:rPr>
          <w:rFonts w:ascii="Calibri"/>
          <w:sz w:val="20"/>
        </w:rPr>
        <w:t>nunca he trabajado</w:t>
      </w:r>
    </w:p>
    <w:p>
      <w:pPr>
        <w:spacing w:after="0"/>
        <w:jc w:val="left"/>
        <w:rPr>
          <w:rFonts w:ascii="Calibri"/>
          <w:sz w:val="20"/>
        </w:rPr>
        <w:sectPr>
          <w:type w:val="continuous"/>
          <w:pgSz w:w="12240" w:h="15840"/>
          <w:pgMar w:top="1340" w:bottom="280" w:left="1600" w:right="1580"/>
          <w:cols w:num="2" w:equalWidth="0">
            <w:col w:w="6810" w:space="40"/>
            <w:col w:w="2210"/>
          </w:cols>
        </w:sectPr>
      </w:pPr>
    </w:p>
    <w:p>
      <w:pPr>
        <w:spacing w:before="150"/>
        <w:ind w:left="2841" w:right="378" w:hanging="2471"/>
        <w:jc w:val="left"/>
        <w:rPr>
          <w:sz w:val="20"/>
        </w:rPr>
      </w:pPr>
      <w:r>
        <w:rPr>
          <w:sz w:val="20"/>
        </w:rPr>
        <w:t>Fuente: elaboración propia con base en el “Cuestionario transición egresados universitarios-mercado de trabajo, Facultad de Economía UAEMéx”</w:t>
      </w:r>
    </w:p>
    <w:p>
      <w:pPr>
        <w:spacing w:after="0"/>
        <w:jc w:val="left"/>
        <w:rPr>
          <w:sz w:val="20"/>
        </w:rPr>
        <w:sectPr>
          <w:type w:val="continuous"/>
          <w:pgSz w:w="12240" w:h="15840"/>
          <w:pgMar w:top="1340" w:bottom="280" w:left="1600" w:right="1580"/>
        </w:sectPr>
      </w:pPr>
    </w:p>
    <w:p>
      <w:pPr>
        <w:pStyle w:val="BodyText"/>
        <w:spacing w:line="360" w:lineRule="auto" w:before="50"/>
        <w:ind w:left="102" w:right="116"/>
        <w:jc w:val="both"/>
      </w:pPr>
      <w:r>
        <w:rPr/>
        <w:t>Para poder determinar si el modelo de la búsqueda secuencial terminó, es necesario que el “buscador” logre ser contratado, y que este periodo de contrato sea de al menos un año.  Así, se cuestionó respecto al tiempo que duraron contratados en su primer empleo. El 11% respondió que de cero a tres meses, el 22% de cuatro a seis meses, el 6% de siete a nueve meses, 10% de 10 a 12 meses, y el 51% más de 12 meses. Se confirma que el modelo de la búsqueda secuencial terminó, </w:t>
      </w:r>
      <w:r>
        <w:rPr>
          <w:spacing w:val="-3"/>
        </w:rPr>
        <w:t>ya </w:t>
      </w:r>
      <w:r>
        <w:rPr/>
        <w:t>que el porcentaje mayor se obtuvo con periodos mayores a 12</w:t>
      </w:r>
      <w:r>
        <w:rPr>
          <w:spacing w:val="-3"/>
        </w:rPr>
        <w:t> </w:t>
      </w:r>
      <w:r>
        <w:rPr/>
        <w:t>meses.</w:t>
      </w:r>
    </w:p>
    <w:p>
      <w:pPr>
        <w:pStyle w:val="BodyText"/>
      </w:pPr>
    </w:p>
    <w:p>
      <w:pPr>
        <w:pStyle w:val="BodyText"/>
        <w:spacing w:line="360" w:lineRule="auto" w:before="143"/>
        <w:ind w:left="102" w:right="119"/>
        <w:jc w:val="both"/>
      </w:pPr>
      <w:r>
        <w:rPr/>
        <w:t>La interrogante planteada sobre las características que consideraron fueron los determinantes por los cuales lograron ser contratados. Los resultados fueron: habilidades 29%, conocimientos 10%, habilidades y conocimientos 50% y otro 11%. Se observa que la mayoría seleccionó la opción de habilidades y conocimientos, lo cual refleja la aplicación de los nuevos programas educativos que combinan y fortalecen tanto los aspectos teóricos como los prácticos, en donde el alumno tiene que desarrollar competencias que son importantes para su formación</w:t>
      </w:r>
      <w:r>
        <w:rPr>
          <w:spacing w:val="-11"/>
        </w:rPr>
        <w:t> </w:t>
      </w:r>
      <w:r>
        <w:rPr/>
        <w:t>integral.</w:t>
      </w:r>
    </w:p>
    <w:p>
      <w:pPr>
        <w:pStyle w:val="BodyText"/>
      </w:pPr>
    </w:p>
    <w:p>
      <w:pPr>
        <w:pStyle w:val="BodyText"/>
        <w:spacing w:line="360" w:lineRule="auto" w:before="143"/>
        <w:ind w:left="102" w:right="114"/>
        <w:jc w:val="both"/>
      </w:pPr>
      <w:r>
        <w:rPr/>
        <w:t>De acuerdo con la teoría de las señales, el empleador valora y toma en consideración el que el joven haya concluido sus estudios universitarios, por ello es importante conocer la opinión que el propio egresado tiene respecto a si los conocimientos adquiridos fueron importantes para tener un buen desempeño laboral en su primer empleo. 15% contestó que fueron “muy importantes”, 40% “importantes”, 27% “medianamente importantes”, 14% “poco importantes” y 4% “nada importantes”. Lo anterior, es evidencia de que tener estudios universitarios sí ayuda a los licenciados en economía a tener un mejor desempeño, además de hacerlos más atractivos para los empleadores. Para conocer las características específicas de lo que consideraron como importante, se solicitó a los participantes de la encuesta que seleccionaran de un grupo de opciones, empleando una escala de Likert de 10 puntos en donde uno correspondía al de mayor importancia y diez al de menor, cuáles eran las características que fueron importantes para obtener su primer empleo. En la tabla 6.2. Se observan los resultados.</w:t>
      </w:r>
    </w:p>
    <w:p>
      <w:pPr>
        <w:spacing w:after="0" w:line="360" w:lineRule="auto"/>
        <w:jc w:val="both"/>
        <w:sectPr>
          <w:pgSz w:w="12240" w:h="15840"/>
          <w:pgMar w:header="0" w:footer="1003" w:top="1360" w:bottom="1200" w:left="1600" w:right="1580"/>
        </w:sectPr>
      </w:pPr>
    </w:p>
    <w:p>
      <w:pPr>
        <w:pStyle w:val="Heading3"/>
        <w:ind w:left="3236" w:right="3216"/>
        <w:jc w:val="center"/>
      </w:pPr>
      <w:r>
        <w:rPr/>
        <w:t>Tabla 6.2. Primer empleo</w:t>
      </w:r>
    </w:p>
    <w:p>
      <w:pPr>
        <w:pStyle w:val="BodyText"/>
        <w:spacing w:before="2"/>
        <w:rPr>
          <w:b/>
          <w:sz w:val="12"/>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66"/>
        <w:gridCol w:w="540"/>
        <w:gridCol w:w="514"/>
        <w:gridCol w:w="507"/>
        <w:gridCol w:w="403"/>
        <w:gridCol w:w="540"/>
        <w:gridCol w:w="410"/>
        <w:gridCol w:w="508"/>
        <w:gridCol w:w="508"/>
        <w:gridCol w:w="502"/>
        <w:gridCol w:w="540"/>
      </w:tblGrid>
      <w:tr>
        <w:trPr>
          <w:trHeight w:val="631" w:hRule="exact"/>
        </w:trPr>
        <w:tc>
          <w:tcPr>
            <w:tcW w:w="3566" w:type="dxa"/>
            <w:tcBorders>
              <w:left w:val="nil"/>
              <w:right w:val="nil"/>
            </w:tcBorders>
          </w:tcPr>
          <w:p>
            <w:pPr>
              <w:pStyle w:val="TableParagraph"/>
              <w:spacing w:line="360" w:lineRule="auto"/>
              <w:ind w:left="80" w:right="584" w:firstLine="50"/>
              <w:rPr>
                <w:rFonts w:ascii="Arial" w:hAnsi="Arial"/>
                <w:sz w:val="18"/>
              </w:rPr>
            </w:pPr>
            <w:r>
              <w:rPr>
                <w:rFonts w:ascii="Arial" w:hAnsi="Arial"/>
                <w:sz w:val="18"/>
              </w:rPr>
              <w:t>Escala Likert (1 más importante, 10 menos importante)</w:t>
            </w:r>
          </w:p>
        </w:tc>
        <w:tc>
          <w:tcPr>
            <w:tcW w:w="540" w:type="dxa"/>
            <w:tcBorders>
              <w:left w:val="nil"/>
              <w:right w:val="nil"/>
            </w:tcBorders>
          </w:tcPr>
          <w:p>
            <w:pPr>
              <w:pStyle w:val="TableParagraph"/>
              <w:spacing w:before="5"/>
              <w:rPr>
                <w:b/>
                <w:sz w:val="26"/>
              </w:rPr>
            </w:pPr>
          </w:p>
          <w:p>
            <w:pPr>
              <w:pStyle w:val="TableParagraph"/>
              <w:ind w:left="1"/>
              <w:jc w:val="center"/>
              <w:rPr>
                <w:rFonts w:ascii="Arial"/>
                <w:b/>
                <w:sz w:val="18"/>
              </w:rPr>
            </w:pPr>
            <w:r>
              <w:rPr>
                <w:rFonts w:ascii="Arial"/>
                <w:b/>
                <w:w w:val="99"/>
                <w:sz w:val="18"/>
              </w:rPr>
              <w:t>1</w:t>
            </w:r>
          </w:p>
        </w:tc>
        <w:tc>
          <w:tcPr>
            <w:tcW w:w="514" w:type="dxa"/>
            <w:tcBorders>
              <w:left w:val="nil"/>
              <w:right w:val="nil"/>
            </w:tcBorders>
          </w:tcPr>
          <w:p>
            <w:pPr>
              <w:pStyle w:val="TableParagraph"/>
              <w:spacing w:before="5"/>
              <w:rPr>
                <w:b/>
                <w:sz w:val="26"/>
              </w:rPr>
            </w:pPr>
          </w:p>
          <w:p>
            <w:pPr>
              <w:pStyle w:val="TableParagraph"/>
              <w:ind w:right="3"/>
              <w:jc w:val="center"/>
              <w:rPr>
                <w:rFonts w:ascii="Arial"/>
                <w:b/>
                <w:sz w:val="18"/>
              </w:rPr>
            </w:pPr>
            <w:r>
              <w:rPr>
                <w:rFonts w:ascii="Arial"/>
                <w:b/>
                <w:w w:val="99"/>
                <w:sz w:val="18"/>
              </w:rPr>
              <w:t>2</w:t>
            </w:r>
          </w:p>
        </w:tc>
        <w:tc>
          <w:tcPr>
            <w:tcW w:w="507" w:type="dxa"/>
            <w:tcBorders>
              <w:left w:val="nil"/>
              <w:right w:val="nil"/>
            </w:tcBorders>
          </w:tcPr>
          <w:p>
            <w:pPr>
              <w:pStyle w:val="TableParagraph"/>
              <w:spacing w:before="5"/>
              <w:rPr>
                <w:b/>
                <w:sz w:val="26"/>
              </w:rPr>
            </w:pPr>
          </w:p>
          <w:p>
            <w:pPr>
              <w:pStyle w:val="TableParagraph"/>
              <w:ind w:right="10"/>
              <w:jc w:val="center"/>
              <w:rPr>
                <w:rFonts w:ascii="Arial"/>
                <w:b/>
                <w:sz w:val="18"/>
              </w:rPr>
            </w:pPr>
            <w:r>
              <w:rPr>
                <w:rFonts w:ascii="Arial"/>
                <w:b/>
                <w:w w:val="99"/>
                <w:sz w:val="18"/>
              </w:rPr>
              <w:t>3</w:t>
            </w:r>
          </w:p>
        </w:tc>
        <w:tc>
          <w:tcPr>
            <w:tcW w:w="403" w:type="dxa"/>
            <w:tcBorders>
              <w:left w:val="nil"/>
              <w:right w:val="nil"/>
            </w:tcBorders>
          </w:tcPr>
          <w:p>
            <w:pPr>
              <w:pStyle w:val="TableParagraph"/>
              <w:spacing w:before="5"/>
              <w:rPr>
                <w:b/>
                <w:sz w:val="26"/>
              </w:rPr>
            </w:pPr>
          </w:p>
          <w:p>
            <w:pPr>
              <w:pStyle w:val="TableParagraph"/>
              <w:ind w:right="8"/>
              <w:jc w:val="center"/>
              <w:rPr>
                <w:rFonts w:ascii="Arial"/>
                <w:b/>
                <w:sz w:val="18"/>
              </w:rPr>
            </w:pPr>
            <w:r>
              <w:rPr>
                <w:rFonts w:ascii="Arial"/>
                <w:b/>
                <w:w w:val="99"/>
                <w:sz w:val="18"/>
              </w:rPr>
              <w:t>4</w:t>
            </w:r>
          </w:p>
        </w:tc>
        <w:tc>
          <w:tcPr>
            <w:tcW w:w="540" w:type="dxa"/>
            <w:tcBorders>
              <w:left w:val="nil"/>
              <w:right w:val="nil"/>
            </w:tcBorders>
          </w:tcPr>
          <w:p>
            <w:pPr>
              <w:pStyle w:val="TableParagraph"/>
              <w:spacing w:before="5"/>
              <w:rPr>
                <w:b/>
                <w:sz w:val="26"/>
              </w:rPr>
            </w:pPr>
          </w:p>
          <w:p>
            <w:pPr>
              <w:pStyle w:val="TableParagraph"/>
              <w:ind w:right="1"/>
              <w:jc w:val="center"/>
              <w:rPr>
                <w:rFonts w:ascii="Arial"/>
                <w:b/>
                <w:sz w:val="18"/>
              </w:rPr>
            </w:pPr>
            <w:r>
              <w:rPr>
                <w:rFonts w:ascii="Arial"/>
                <w:b/>
                <w:w w:val="99"/>
                <w:sz w:val="18"/>
              </w:rPr>
              <w:t>5</w:t>
            </w:r>
          </w:p>
        </w:tc>
        <w:tc>
          <w:tcPr>
            <w:tcW w:w="410" w:type="dxa"/>
            <w:tcBorders>
              <w:left w:val="nil"/>
              <w:right w:val="nil"/>
            </w:tcBorders>
          </w:tcPr>
          <w:p>
            <w:pPr>
              <w:pStyle w:val="TableParagraph"/>
              <w:spacing w:before="5"/>
              <w:rPr>
                <w:b/>
                <w:sz w:val="26"/>
              </w:rPr>
            </w:pPr>
          </w:p>
          <w:p>
            <w:pPr>
              <w:pStyle w:val="TableParagraph"/>
              <w:ind w:right="5"/>
              <w:jc w:val="center"/>
              <w:rPr>
                <w:rFonts w:ascii="Arial"/>
                <w:b/>
                <w:sz w:val="18"/>
              </w:rPr>
            </w:pPr>
            <w:r>
              <w:rPr>
                <w:rFonts w:ascii="Arial"/>
                <w:b/>
                <w:w w:val="99"/>
                <w:sz w:val="18"/>
              </w:rPr>
              <w:t>6</w:t>
            </w:r>
          </w:p>
        </w:tc>
        <w:tc>
          <w:tcPr>
            <w:tcW w:w="508" w:type="dxa"/>
            <w:tcBorders>
              <w:left w:val="nil"/>
              <w:right w:val="nil"/>
            </w:tcBorders>
          </w:tcPr>
          <w:p>
            <w:pPr>
              <w:pStyle w:val="TableParagraph"/>
              <w:spacing w:before="5"/>
              <w:rPr>
                <w:b/>
                <w:sz w:val="26"/>
              </w:rPr>
            </w:pPr>
          </w:p>
          <w:p>
            <w:pPr>
              <w:pStyle w:val="TableParagraph"/>
              <w:ind w:right="11"/>
              <w:jc w:val="center"/>
              <w:rPr>
                <w:rFonts w:ascii="Arial"/>
                <w:b/>
                <w:sz w:val="18"/>
              </w:rPr>
            </w:pPr>
            <w:r>
              <w:rPr>
                <w:rFonts w:ascii="Arial"/>
                <w:b/>
                <w:w w:val="99"/>
                <w:sz w:val="18"/>
              </w:rPr>
              <w:t>7</w:t>
            </w:r>
          </w:p>
        </w:tc>
        <w:tc>
          <w:tcPr>
            <w:tcW w:w="508" w:type="dxa"/>
            <w:tcBorders>
              <w:left w:val="nil"/>
              <w:right w:val="nil"/>
            </w:tcBorders>
          </w:tcPr>
          <w:p>
            <w:pPr>
              <w:pStyle w:val="TableParagraph"/>
              <w:spacing w:before="5"/>
              <w:rPr>
                <w:b/>
                <w:sz w:val="26"/>
              </w:rPr>
            </w:pPr>
          </w:p>
          <w:p>
            <w:pPr>
              <w:pStyle w:val="TableParagraph"/>
              <w:ind w:right="9"/>
              <w:jc w:val="center"/>
              <w:rPr>
                <w:rFonts w:ascii="Arial"/>
                <w:b/>
                <w:sz w:val="18"/>
              </w:rPr>
            </w:pPr>
            <w:r>
              <w:rPr>
                <w:rFonts w:ascii="Arial"/>
                <w:b/>
                <w:w w:val="99"/>
                <w:sz w:val="18"/>
              </w:rPr>
              <w:t>8</w:t>
            </w:r>
          </w:p>
        </w:tc>
        <w:tc>
          <w:tcPr>
            <w:tcW w:w="502" w:type="dxa"/>
            <w:tcBorders>
              <w:left w:val="nil"/>
              <w:right w:val="nil"/>
            </w:tcBorders>
          </w:tcPr>
          <w:p>
            <w:pPr>
              <w:pStyle w:val="TableParagraph"/>
              <w:spacing w:before="5"/>
              <w:rPr>
                <w:b/>
                <w:sz w:val="26"/>
              </w:rPr>
            </w:pPr>
          </w:p>
          <w:p>
            <w:pPr>
              <w:pStyle w:val="TableParagraph"/>
              <w:ind w:right="5"/>
              <w:jc w:val="center"/>
              <w:rPr>
                <w:rFonts w:ascii="Arial"/>
                <w:b/>
                <w:sz w:val="18"/>
              </w:rPr>
            </w:pPr>
            <w:r>
              <w:rPr>
                <w:rFonts w:ascii="Arial"/>
                <w:b/>
                <w:w w:val="99"/>
                <w:sz w:val="18"/>
              </w:rPr>
              <w:t>9</w:t>
            </w:r>
          </w:p>
        </w:tc>
        <w:tc>
          <w:tcPr>
            <w:tcW w:w="540" w:type="dxa"/>
            <w:tcBorders>
              <w:left w:val="nil"/>
              <w:right w:val="nil"/>
            </w:tcBorders>
          </w:tcPr>
          <w:p>
            <w:pPr>
              <w:pStyle w:val="TableParagraph"/>
              <w:spacing w:before="5"/>
              <w:rPr>
                <w:b/>
                <w:sz w:val="26"/>
              </w:rPr>
            </w:pPr>
          </w:p>
          <w:p>
            <w:pPr>
              <w:pStyle w:val="TableParagraph"/>
              <w:ind w:left="2"/>
              <w:jc w:val="center"/>
              <w:rPr>
                <w:rFonts w:ascii="Arial"/>
                <w:b/>
                <w:sz w:val="18"/>
              </w:rPr>
            </w:pPr>
            <w:r>
              <w:rPr>
                <w:rFonts w:ascii="Arial"/>
                <w:b/>
                <w:sz w:val="18"/>
              </w:rPr>
              <w:t>10</w:t>
            </w:r>
          </w:p>
        </w:tc>
      </w:tr>
      <w:tr>
        <w:trPr>
          <w:trHeight w:val="319" w:hRule="exact"/>
        </w:trPr>
        <w:tc>
          <w:tcPr>
            <w:tcW w:w="3566" w:type="dxa"/>
            <w:tcBorders>
              <w:left w:val="nil"/>
              <w:right w:val="nil"/>
            </w:tcBorders>
          </w:tcPr>
          <w:p>
            <w:pPr>
              <w:pStyle w:val="TableParagraph"/>
              <w:spacing w:line="206" w:lineRule="exact"/>
              <w:ind w:left="80" w:right="584"/>
              <w:rPr>
                <w:rFonts w:ascii="Arial" w:hAnsi="Arial"/>
                <w:sz w:val="18"/>
              </w:rPr>
            </w:pPr>
            <w:r>
              <w:rPr>
                <w:rFonts w:ascii="Arial" w:hAnsi="Arial"/>
                <w:sz w:val="18"/>
              </w:rPr>
              <w:t>Su titulación superior</w:t>
            </w:r>
          </w:p>
        </w:tc>
        <w:tc>
          <w:tcPr>
            <w:tcW w:w="540" w:type="dxa"/>
            <w:tcBorders>
              <w:left w:val="nil"/>
              <w:right w:val="nil"/>
            </w:tcBorders>
          </w:tcPr>
          <w:p>
            <w:pPr>
              <w:pStyle w:val="TableParagraph"/>
              <w:spacing w:line="201" w:lineRule="exact"/>
              <w:jc w:val="center"/>
              <w:rPr>
                <w:rFonts w:ascii="Arial"/>
                <w:b/>
                <w:sz w:val="18"/>
              </w:rPr>
            </w:pPr>
            <w:r>
              <w:rPr>
                <w:rFonts w:ascii="Arial"/>
                <w:b/>
                <w:sz w:val="18"/>
                <w:shd w:fill="D9D9D9" w:color="auto" w:val="clear"/>
              </w:rPr>
              <w:t>  28% </w:t>
            </w:r>
          </w:p>
        </w:tc>
        <w:tc>
          <w:tcPr>
            <w:tcW w:w="514" w:type="dxa"/>
            <w:tcBorders>
              <w:left w:val="nil"/>
              <w:right w:val="nil"/>
            </w:tcBorders>
          </w:tcPr>
          <w:p>
            <w:pPr>
              <w:pStyle w:val="TableParagraph"/>
              <w:spacing w:line="206" w:lineRule="exact"/>
              <w:ind w:right="70"/>
              <w:jc w:val="right"/>
              <w:rPr>
                <w:rFonts w:ascii="Arial"/>
                <w:sz w:val="18"/>
              </w:rPr>
            </w:pPr>
            <w:r>
              <w:rPr>
                <w:rFonts w:ascii="Arial"/>
                <w:w w:val="95"/>
                <w:sz w:val="18"/>
              </w:rPr>
              <w:t>6%</w:t>
            </w:r>
          </w:p>
        </w:tc>
        <w:tc>
          <w:tcPr>
            <w:tcW w:w="507" w:type="dxa"/>
            <w:tcBorders>
              <w:left w:val="nil"/>
              <w:right w:val="nil"/>
            </w:tcBorders>
          </w:tcPr>
          <w:p>
            <w:pPr>
              <w:pStyle w:val="TableParagraph"/>
              <w:spacing w:line="206" w:lineRule="exact"/>
              <w:ind w:right="70"/>
              <w:jc w:val="right"/>
              <w:rPr>
                <w:rFonts w:ascii="Arial"/>
                <w:sz w:val="18"/>
              </w:rPr>
            </w:pPr>
            <w:r>
              <w:rPr>
                <w:rFonts w:ascii="Arial"/>
                <w:w w:val="95"/>
                <w:sz w:val="18"/>
              </w:rPr>
              <w:t>4%</w:t>
            </w:r>
          </w:p>
        </w:tc>
        <w:tc>
          <w:tcPr>
            <w:tcW w:w="403" w:type="dxa"/>
            <w:tcBorders>
              <w:left w:val="nil"/>
              <w:right w:val="nil"/>
            </w:tcBorders>
          </w:tcPr>
          <w:p>
            <w:pPr>
              <w:pStyle w:val="TableParagraph"/>
              <w:spacing w:line="206" w:lineRule="exact"/>
              <w:ind w:left="52" w:right="50"/>
              <w:jc w:val="center"/>
              <w:rPr>
                <w:rFonts w:ascii="Arial"/>
                <w:sz w:val="18"/>
              </w:rPr>
            </w:pPr>
            <w:r>
              <w:rPr>
                <w:rFonts w:ascii="Arial"/>
                <w:sz w:val="18"/>
              </w:rPr>
              <w:t>6%</w:t>
            </w:r>
          </w:p>
        </w:tc>
        <w:tc>
          <w:tcPr>
            <w:tcW w:w="540" w:type="dxa"/>
            <w:tcBorders>
              <w:left w:val="nil"/>
              <w:right w:val="nil"/>
            </w:tcBorders>
          </w:tcPr>
          <w:p>
            <w:pPr>
              <w:pStyle w:val="TableParagraph"/>
              <w:spacing w:line="206" w:lineRule="exact"/>
              <w:ind w:right="65"/>
              <w:jc w:val="right"/>
              <w:rPr>
                <w:rFonts w:ascii="Arial"/>
                <w:sz w:val="18"/>
              </w:rPr>
            </w:pPr>
            <w:r>
              <w:rPr>
                <w:rFonts w:ascii="Arial"/>
                <w:w w:val="95"/>
                <w:sz w:val="18"/>
              </w:rPr>
              <w:t>13%</w:t>
            </w:r>
          </w:p>
        </w:tc>
        <w:tc>
          <w:tcPr>
            <w:tcW w:w="410" w:type="dxa"/>
            <w:tcBorders>
              <w:left w:val="nil"/>
              <w:right w:val="nil"/>
            </w:tcBorders>
          </w:tcPr>
          <w:p>
            <w:pPr>
              <w:pStyle w:val="TableParagraph"/>
              <w:spacing w:line="206" w:lineRule="exact"/>
              <w:ind w:left="57" w:right="53"/>
              <w:jc w:val="center"/>
              <w:rPr>
                <w:rFonts w:ascii="Arial"/>
                <w:sz w:val="18"/>
              </w:rPr>
            </w:pPr>
            <w:r>
              <w:rPr>
                <w:rFonts w:ascii="Arial"/>
                <w:sz w:val="18"/>
              </w:rPr>
              <w:t>7%</w:t>
            </w:r>
          </w:p>
        </w:tc>
        <w:tc>
          <w:tcPr>
            <w:tcW w:w="508" w:type="dxa"/>
            <w:tcBorders>
              <w:left w:val="nil"/>
              <w:right w:val="nil"/>
            </w:tcBorders>
          </w:tcPr>
          <w:p>
            <w:pPr>
              <w:pStyle w:val="TableParagraph"/>
              <w:spacing w:line="206" w:lineRule="exact"/>
              <w:ind w:left="153" w:right="54"/>
              <w:jc w:val="center"/>
              <w:rPr>
                <w:rFonts w:ascii="Arial"/>
                <w:sz w:val="18"/>
              </w:rPr>
            </w:pPr>
            <w:r>
              <w:rPr>
                <w:rFonts w:ascii="Arial"/>
                <w:sz w:val="18"/>
              </w:rPr>
              <w:t>2%</w:t>
            </w:r>
          </w:p>
        </w:tc>
        <w:tc>
          <w:tcPr>
            <w:tcW w:w="508" w:type="dxa"/>
            <w:tcBorders>
              <w:left w:val="nil"/>
              <w:right w:val="nil"/>
            </w:tcBorders>
          </w:tcPr>
          <w:p>
            <w:pPr>
              <w:pStyle w:val="TableParagraph"/>
              <w:spacing w:line="206" w:lineRule="exact"/>
              <w:ind w:right="70"/>
              <w:jc w:val="right"/>
              <w:rPr>
                <w:rFonts w:ascii="Arial"/>
                <w:sz w:val="18"/>
              </w:rPr>
            </w:pPr>
            <w:r>
              <w:rPr>
                <w:rFonts w:ascii="Arial"/>
                <w:w w:val="95"/>
                <w:sz w:val="18"/>
              </w:rPr>
              <w:t>11%</w:t>
            </w:r>
          </w:p>
        </w:tc>
        <w:tc>
          <w:tcPr>
            <w:tcW w:w="502" w:type="dxa"/>
            <w:tcBorders>
              <w:left w:val="nil"/>
              <w:right w:val="nil"/>
            </w:tcBorders>
          </w:tcPr>
          <w:p>
            <w:pPr>
              <w:pStyle w:val="TableParagraph"/>
              <w:spacing w:line="206" w:lineRule="exact"/>
              <w:ind w:left="153" w:right="48"/>
              <w:jc w:val="center"/>
              <w:rPr>
                <w:rFonts w:ascii="Arial"/>
                <w:sz w:val="18"/>
              </w:rPr>
            </w:pPr>
            <w:r>
              <w:rPr>
                <w:rFonts w:ascii="Arial"/>
                <w:sz w:val="18"/>
              </w:rPr>
              <w:t>7%</w:t>
            </w:r>
          </w:p>
        </w:tc>
        <w:tc>
          <w:tcPr>
            <w:tcW w:w="540" w:type="dxa"/>
            <w:tcBorders>
              <w:left w:val="nil"/>
              <w:right w:val="nil"/>
            </w:tcBorders>
          </w:tcPr>
          <w:p>
            <w:pPr>
              <w:pStyle w:val="TableParagraph"/>
              <w:spacing w:line="206" w:lineRule="exact"/>
              <w:ind w:left="43"/>
              <w:jc w:val="center"/>
              <w:rPr>
                <w:rFonts w:ascii="Arial"/>
                <w:sz w:val="18"/>
              </w:rPr>
            </w:pPr>
            <w:r>
              <w:rPr>
                <w:rFonts w:ascii="Arial"/>
                <w:sz w:val="18"/>
              </w:rPr>
              <w:t>17%</w:t>
            </w:r>
          </w:p>
        </w:tc>
      </w:tr>
      <w:tr>
        <w:trPr>
          <w:trHeight w:val="322" w:hRule="exact"/>
        </w:trPr>
        <w:tc>
          <w:tcPr>
            <w:tcW w:w="3566" w:type="dxa"/>
            <w:tcBorders>
              <w:left w:val="nil"/>
              <w:right w:val="nil"/>
            </w:tcBorders>
          </w:tcPr>
          <w:p>
            <w:pPr>
              <w:pStyle w:val="TableParagraph"/>
              <w:spacing w:line="206" w:lineRule="exact"/>
              <w:ind w:left="80" w:right="584"/>
              <w:rPr>
                <w:rFonts w:ascii="Arial" w:hAnsi="Arial"/>
                <w:sz w:val="18"/>
              </w:rPr>
            </w:pPr>
            <w:r>
              <w:rPr>
                <w:rFonts w:ascii="Arial" w:hAnsi="Arial"/>
                <w:sz w:val="18"/>
              </w:rPr>
              <w:t>Expediente académico</w:t>
            </w:r>
          </w:p>
        </w:tc>
        <w:tc>
          <w:tcPr>
            <w:tcW w:w="540" w:type="dxa"/>
            <w:tcBorders>
              <w:left w:val="nil"/>
              <w:right w:val="nil"/>
            </w:tcBorders>
          </w:tcPr>
          <w:p>
            <w:pPr>
              <w:pStyle w:val="TableParagraph"/>
              <w:spacing w:line="206" w:lineRule="exact"/>
              <w:ind w:left="47"/>
              <w:jc w:val="center"/>
              <w:rPr>
                <w:rFonts w:ascii="Arial"/>
                <w:sz w:val="18"/>
              </w:rPr>
            </w:pPr>
            <w:r>
              <w:rPr>
                <w:rFonts w:ascii="Arial"/>
                <w:sz w:val="18"/>
              </w:rPr>
              <w:t>15%</w:t>
            </w:r>
          </w:p>
        </w:tc>
        <w:tc>
          <w:tcPr>
            <w:tcW w:w="514" w:type="dxa"/>
            <w:tcBorders>
              <w:left w:val="nil"/>
              <w:right w:val="nil"/>
            </w:tcBorders>
          </w:tcPr>
          <w:p>
            <w:pPr>
              <w:pStyle w:val="TableParagraph"/>
              <w:spacing w:line="206" w:lineRule="exact"/>
              <w:ind w:right="70"/>
              <w:jc w:val="right"/>
              <w:rPr>
                <w:rFonts w:ascii="Arial"/>
                <w:sz w:val="18"/>
              </w:rPr>
            </w:pPr>
            <w:r>
              <w:rPr>
                <w:rFonts w:ascii="Arial"/>
                <w:w w:val="95"/>
                <w:sz w:val="18"/>
              </w:rPr>
              <w:t>11%</w:t>
            </w:r>
          </w:p>
        </w:tc>
        <w:tc>
          <w:tcPr>
            <w:tcW w:w="507" w:type="dxa"/>
            <w:tcBorders>
              <w:left w:val="nil"/>
              <w:right w:val="nil"/>
            </w:tcBorders>
          </w:tcPr>
          <w:p>
            <w:pPr>
              <w:pStyle w:val="TableParagraph"/>
              <w:spacing w:line="206" w:lineRule="exact"/>
              <w:ind w:right="70"/>
              <w:jc w:val="right"/>
              <w:rPr>
                <w:rFonts w:ascii="Arial"/>
                <w:sz w:val="18"/>
              </w:rPr>
            </w:pPr>
            <w:r>
              <w:rPr>
                <w:rFonts w:ascii="Arial"/>
                <w:w w:val="95"/>
                <w:sz w:val="18"/>
              </w:rPr>
              <w:t>6%</w:t>
            </w:r>
          </w:p>
        </w:tc>
        <w:tc>
          <w:tcPr>
            <w:tcW w:w="403" w:type="dxa"/>
            <w:tcBorders>
              <w:left w:val="nil"/>
              <w:right w:val="nil"/>
            </w:tcBorders>
          </w:tcPr>
          <w:p>
            <w:pPr>
              <w:pStyle w:val="TableParagraph"/>
              <w:spacing w:line="206" w:lineRule="exact"/>
              <w:ind w:left="52" w:right="50"/>
              <w:jc w:val="center"/>
              <w:rPr>
                <w:rFonts w:ascii="Arial"/>
                <w:sz w:val="18"/>
              </w:rPr>
            </w:pPr>
            <w:r>
              <w:rPr>
                <w:rFonts w:ascii="Arial"/>
                <w:sz w:val="18"/>
              </w:rPr>
              <w:t>4%</w:t>
            </w:r>
          </w:p>
        </w:tc>
        <w:tc>
          <w:tcPr>
            <w:tcW w:w="540" w:type="dxa"/>
            <w:tcBorders>
              <w:left w:val="nil"/>
              <w:right w:val="nil"/>
            </w:tcBorders>
          </w:tcPr>
          <w:p>
            <w:pPr>
              <w:pStyle w:val="TableParagraph"/>
              <w:spacing w:line="201" w:lineRule="exact"/>
              <w:jc w:val="right"/>
              <w:rPr>
                <w:rFonts w:ascii="Arial"/>
                <w:b/>
                <w:sz w:val="18"/>
              </w:rPr>
            </w:pPr>
            <w:r>
              <w:rPr>
                <w:rFonts w:ascii="Arial"/>
                <w:b/>
                <w:sz w:val="18"/>
                <w:shd w:fill="D9D9D9" w:color="auto" w:val="clear"/>
              </w:rPr>
              <w:t>  20% </w:t>
            </w:r>
          </w:p>
        </w:tc>
        <w:tc>
          <w:tcPr>
            <w:tcW w:w="410" w:type="dxa"/>
            <w:tcBorders>
              <w:left w:val="nil"/>
              <w:right w:val="nil"/>
            </w:tcBorders>
          </w:tcPr>
          <w:p>
            <w:pPr>
              <w:pStyle w:val="TableParagraph"/>
              <w:spacing w:line="206" w:lineRule="exact"/>
              <w:ind w:left="57" w:right="53"/>
              <w:jc w:val="center"/>
              <w:rPr>
                <w:rFonts w:ascii="Arial"/>
                <w:sz w:val="18"/>
              </w:rPr>
            </w:pPr>
            <w:r>
              <w:rPr>
                <w:rFonts w:ascii="Arial"/>
                <w:sz w:val="18"/>
              </w:rPr>
              <w:t>4%</w:t>
            </w:r>
          </w:p>
        </w:tc>
        <w:tc>
          <w:tcPr>
            <w:tcW w:w="508" w:type="dxa"/>
            <w:tcBorders>
              <w:left w:val="nil"/>
              <w:right w:val="nil"/>
            </w:tcBorders>
          </w:tcPr>
          <w:p>
            <w:pPr>
              <w:pStyle w:val="TableParagraph"/>
              <w:spacing w:line="206" w:lineRule="exact"/>
              <w:ind w:left="53" w:right="54"/>
              <w:jc w:val="center"/>
              <w:rPr>
                <w:rFonts w:ascii="Arial"/>
                <w:sz w:val="18"/>
              </w:rPr>
            </w:pPr>
            <w:r>
              <w:rPr>
                <w:rFonts w:ascii="Arial"/>
                <w:sz w:val="18"/>
              </w:rPr>
              <w:t>13%</w:t>
            </w:r>
          </w:p>
        </w:tc>
        <w:tc>
          <w:tcPr>
            <w:tcW w:w="508" w:type="dxa"/>
            <w:tcBorders>
              <w:left w:val="nil"/>
              <w:right w:val="nil"/>
            </w:tcBorders>
          </w:tcPr>
          <w:p>
            <w:pPr>
              <w:pStyle w:val="TableParagraph"/>
              <w:spacing w:line="206" w:lineRule="exact"/>
              <w:ind w:right="70"/>
              <w:jc w:val="right"/>
              <w:rPr>
                <w:rFonts w:ascii="Arial"/>
                <w:sz w:val="18"/>
              </w:rPr>
            </w:pPr>
            <w:r>
              <w:rPr>
                <w:rFonts w:ascii="Arial"/>
                <w:w w:val="95"/>
                <w:sz w:val="18"/>
              </w:rPr>
              <w:t>6%</w:t>
            </w:r>
          </w:p>
        </w:tc>
        <w:tc>
          <w:tcPr>
            <w:tcW w:w="502" w:type="dxa"/>
            <w:tcBorders>
              <w:left w:val="nil"/>
              <w:right w:val="nil"/>
            </w:tcBorders>
          </w:tcPr>
          <w:p>
            <w:pPr>
              <w:pStyle w:val="TableParagraph"/>
              <w:spacing w:line="206" w:lineRule="exact"/>
              <w:ind w:left="153" w:right="48"/>
              <w:jc w:val="center"/>
              <w:rPr>
                <w:rFonts w:ascii="Arial"/>
                <w:sz w:val="18"/>
              </w:rPr>
            </w:pPr>
            <w:r>
              <w:rPr>
                <w:rFonts w:ascii="Arial"/>
                <w:sz w:val="18"/>
              </w:rPr>
              <w:t>9%</w:t>
            </w:r>
          </w:p>
        </w:tc>
        <w:tc>
          <w:tcPr>
            <w:tcW w:w="540" w:type="dxa"/>
            <w:tcBorders>
              <w:left w:val="nil"/>
              <w:right w:val="nil"/>
            </w:tcBorders>
          </w:tcPr>
          <w:p>
            <w:pPr>
              <w:pStyle w:val="TableParagraph"/>
              <w:spacing w:line="206" w:lineRule="exact"/>
              <w:ind w:left="43"/>
              <w:jc w:val="center"/>
              <w:rPr>
                <w:rFonts w:ascii="Arial"/>
                <w:sz w:val="18"/>
              </w:rPr>
            </w:pPr>
            <w:r>
              <w:rPr>
                <w:rFonts w:ascii="Arial"/>
                <w:sz w:val="18"/>
              </w:rPr>
              <w:t>13%</w:t>
            </w:r>
          </w:p>
        </w:tc>
      </w:tr>
      <w:tr>
        <w:trPr>
          <w:trHeight w:val="319" w:hRule="exact"/>
        </w:trPr>
        <w:tc>
          <w:tcPr>
            <w:tcW w:w="3566" w:type="dxa"/>
            <w:tcBorders>
              <w:left w:val="nil"/>
              <w:right w:val="nil"/>
            </w:tcBorders>
          </w:tcPr>
          <w:p>
            <w:pPr>
              <w:pStyle w:val="TableParagraph"/>
              <w:spacing w:line="206" w:lineRule="exact"/>
              <w:ind w:left="80" w:right="584"/>
              <w:rPr>
                <w:rFonts w:ascii="Arial" w:hAnsi="Arial"/>
                <w:sz w:val="18"/>
              </w:rPr>
            </w:pPr>
            <w:r>
              <w:rPr>
                <w:rFonts w:ascii="Arial" w:hAnsi="Arial"/>
                <w:sz w:val="18"/>
              </w:rPr>
              <w:t>Experiencia laboral previa/prácticas</w:t>
            </w:r>
          </w:p>
        </w:tc>
        <w:tc>
          <w:tcPr>
            <w:tcW w:w="540" w:type="dxa"/>
            <w:tcBorders>
              <w:left w:val="nil"/>
              <w:right w:val="nil"/>
            </w:tcBorders>
          </w:tcPr>
          <w:p>
            <w:pPr>
              <w:pStyle w:val="TableParagraph"/>
              <w:spacing w:line="206" w:lineRule="exact"/>
              <w:ind w:left="47"/>
              <w:jc w:val="center"/>
              <w:rPr>
                <w:rFonts w:ascii="Arial"/>
                <w:sz w:val="18"/>
              </w:rPr>
            </w:pPr>
            <w:r>
              <w:rPr>
                <w:rFonts w:ascii="Arial"/>
                <w:sz w:val="18"/>
              </w:rPr>
              <w:t>15%</w:t>
            </w:r>
          </w:p>
        </w:tc>
        <w:tc>
          <w:tcPr>
            <w:tcW w:w="514" w:type="dxa"/>
            <w:tcBorders>
              <w:left w:val="nil"/>
              <w:right w:val="nil"/>
            </w:tcBorders>
          </w:tcPr>
          <w:p>
            <w:pPr>
              <w:pStyle w:val="TableParagraph"/>
              <w:spacing w:line="206" w:lineRule="exact"/>
              <w:ind w:right="70"/>
              <w:jc w:val="right"/>
              <w:rPr>
                <w:rFonts w:ascii="Arial"/>
                <w:sz w:val="18"/>
              </w:rPr>
            </w:pPr>
            <w:r>
              <w:rPr>
                <w:rFonts w:ascii="Arial"/>
                <w:w w:val="95"/>
                <w:sz w:val="18"/>
              </w:rPr>
              <w:t>9%</w:t>
            </w:r>
          </w:p>
        </w:tc>
        <w:tc>
          <w:tcPr>
            <w:tcW w:w="507" w:type="dxa"/>
            <w:tcBorders>
              <w:left w:val="nil"/>
              <w:right w:val="nil"/>
            </w:tcBorders>
          </w:tcPr>
          <w:p>
            <w:pPr>
              <w:pStyle w:val="TableParagraph"/>
              <w:spacing w:line="206" w:lineRule="exact"/>
              <w:ind w:right="70"/>
              <w:jc w:val="right"/>
              <w:rPr>
                <w:rFonts w:ascii="Arial"/>
                <w:sz w:val="18"/>
              </w:rPr>
            </w:pPr>
            <w:r>
              <w:rPr>
                <w:rFonts w:ascii="Arial"/>
                <w:w w:val="95"/>
                <w:sz w:val="18"/>
              </w:rPr>
              <w:t>4%</w:t>
            </w:r>
          </w:p>
        </w:tc>
        <w:tc>
          <w:tcPr>
            <w:tcW w:w="403" w:type="dxa"/>
            <w:tcBorders>
              <w:left w:val="nil"/>
              <w:right w:val="nil"/>
            </w:tcBorders>
          </w:tcPr>
          <w:p>
            <w:pPr>
              <w:pStyle w:val="TableParagraph"/>
              <w:spacing w:line="206" w:lineRule="exact"/>
              <w:ind w:left="52" w:right="50"/>
              <w:jc w:val="center"/>
              <w:rPr>
                <w:rFonts w:ascii="Arial"/>
                <w:sz w:val="18"/>
              </w:rPr>
            </w:pPr>
            <w:r>
              <w:rPr>
                <w:rFonts w:ascii="Arial"/>
                <w:sz w:val="18"/>
              </w:rPr>
              <w:t>6%</w:t>
            </w:r>
          </w:p>
        </w:tc>
        <w:tc>
          <w:tcPr>
            <w:tcW w:w="540" w:type="dxa"/>
            <w:tcBorders>
              <w:left w:val="nil"/>
              <w:right w:val="nil"/>
            </w:tcBorders>
          </w:tcPr>
          <w:p>
            <w:pPr>
              <w:pStyle w:val="TableParagraph"/>
              <w:spacing w:line="206" w:lineRule="exact"/>
              <w:ind w:right="65"/>
              <w:jc w:val="right"/>
              <w:rPr>
                <w:rFonts w:ascii="Arial"/>
                <w:sz w:val="18"/>
              </w:rPr>
            </w:pPr>
            <w:r>
              <w:rPr>
                <w:rFonts w:ascii="Arial"/>
                <w:w w:val="95"/>
                <w:sz w:val="18"/>
              </w:rPr>
              <w:t>15%</w:t>
            </w:r>
          </w:p>
        </w:tc>
        <w:tc>
          <w:tcPr>
            <w:tcW w:w="410" w:type="dxa"/>
            <w:tcBorders>
              <w:left w:val="nil"/>
              <w:right w:val="nil"/>
            </w:tcBorders>
          </w:tcPr>
          <w:p>
            <w:pPr>
              <w:pStyle w:val="TableParagraph"/>
              <w:spacing w:line="206" w:lineRule="exact"/>
              <w:ind w:left="57" w:right="53"/>
              <w:jc w:val="center"/>
              <w:rPr>
                <w:rFonts w:ascii="Arial"/>
                <w:sz w:val="18"/>
              </w:rPr>
            </w:pPr>
            <w:r>
              <w:rPr>
                <w:rFonts w:ascii="Arial"/>
                <w:sz w:val="18"/>
              </w:rPr>
              <w:t>7%</w:t>
            </w:r>
          </w:p>
        </w:tc>
        <w:tc>
          <w:tcPr>
            <w:tcW w:w="508" w:type="dxa"/>
            <w:tcBorders>
              <w:left w:val="nil"/>
              <w:right w:val="nil"/>
            </w:tcBorders>
          </w:tcPr>
          <w:p>
            <w:pPr>
              <w:pStyle w:val="TableParagraph"/>
              <w:spacing w:line="206" w:lineRule="exact"/>
              <w:ind w:left="153" w:right="54"/>
              <w:jc w:val="center"/>
              <w:rPr>
                <w:rFonts w:ascii="Arial"/>
                <w:sz w:val="18"/>
              </w:rPr>
            </w:pPr>
            <w:r>
              <w:rPr>
                <w:rFonts w:ascii="Arial"/>
                <w:sz w:val="18"/>
              </w:rPr>
              <w:t>7%</w:t>
            </w:r>
          </w:p>
        </w:tc>
        <w:tc>
          <w:tcPr>
            <w:tcW w:w="508" w:type="dxa"/>
            <w:tcBorders>
              <w:left w:val="nil"/>
              <w:right w:val="nil"/>
            </w:tcBorders>
          </w:tcPr>
          <w:p>
            <w:pPr>
              <w:pStyle w:val="TableParagraph"/>
              <w:spacing w:line="206" w:lineRule="exact"/>
              <w:ind w:right="70"/>
              <w:jc w:val="right"/>
              <w:rPr>
                <w:rFonts w:ascii="Arial"/>
                <w:sz w:val="18"/>
              </w:rPr>
            </w:pPr>
            <w:r>
              <w:rPr>
                <w:rFonts w:ascii="Arial"/>
                <w:w w:val="95"/>
                <w:sz w:val="18"/>
              </w:rPr>
              <w:t>9%</w:t>
            </w:r>
          </w:p>
        </w:tc>
        <w:tc>
          <w:tcPr>
            <w:tcW w:w="502" w:type="dxa"/>
            <w:tcBorders>
              <w:left w:val="nil"/>
              <w:right w:val="nil"/>
            </w:tcBorders>
          </w:tcPr>
          <w:p>
            <w:pPr>
              <w:pStyle w:val="TableParagraph"/>
              <w:spacing w:line="206" w:lineRule="exact"/>
              <w:ind w:left="153" w:right="48"/>
              <w:jc w:val="center"/>
              <w:rPr>
                <w:rFonts w:ascii="Arial"/>
                <w:sz w:val="18"/>
              </w:rPr>
            </w:pPr>
            <w:r>
              <w:rPr>
                <w:rFonts w:ascii="Arial"/>
                <w:sz w:val="18"/>
              </w:rPr>
              <w:t>9%</w:t>
            </w:r>
          </w:p>
        </w:tc>
        <w:tc>
          <w:tcPr>
            <w:tcW w:w="540" w:type="dxa"/>
            <w:tcBorders>
              <w:left w:val="nil"/>
              <w:right w:val="nil"/>
            </w:tcBorders>
            <w:shd w:val="clear" w:color="auto" w:fill="D9D9D9"/>
          </w:tcPr>
          <w:p>
            <w:pPr>
              <w:pStyle w:val="TableParagraph"/>
              <w:spacing w:line="201" w:lineRule="exact"/>
              <w:ind w:left="44"/>
              <w:jc w:val="center"/>
              <w:rPr>
                <w:rFonts w:ascii="Arial"/>
                <w:b/>
                <w:sz w:val="18"/>
              </w:rPr>
            </w:pPr>
            <w:r>
              <w:rPr>
                <w:rFonts w:ascii="Arial"/>
                <w:b/>
                <w:sz w:val="18"/>
              </w:rPr>
              <w:t>19%</w:t>
            </w:r>
          </w:p>
        </w:tc>
      </w:tr>
      <w:tr>
        <w:trPr>
          <w:trHeight w:val="631" w:hRule="exact"/>
        </w:trPr>
        <w:tc>
          <w:tcPr>
            <w:tcW w:w="3566" w:type="dxa"/>
            <w:tcBorders>
              <w:left w:val="nil"/>
              <w:right w:val="nil"/>
            </w:tcBorders>
          </w:tcPr>
          <w:p>
            <w:pPr>
              <w:pStyle w:val="TableParagraph"/>
              <w:spacing w:line="360" w:lineRule="auto" w:before="1"/>
              <w:ind w:left="80" w:right="1514"/>
              <w:rPr>
                <w:rFonts w:ascii="Arial" w:hAnsi="Arial"/>
                <w:sz w:val="18"/>
              </w:rPr>
            </w:pPr>
            <w:r>
              <w:rPr>
                <w:rFonts w:ascii="Arial" w:hAnsi="Arial"/>
                <w:sz w:val="18"/>
              </w:rPr>
              <w:t>Conocimientos de informática/computación</w:t>
            </w:r>
          </w:p>
        </w:tc>
        <w:tc>
          <w:tcPr>
            <w:tcW w:w="540" w:type="dxa"/>
            <w:tcBorders>
              <w:left w:val="nil"/>
              <w:right w:val="nil"/>
            </w:tcBorders>
            <w:shd w:val="clear" w:color="auto" w:fill="D9D9D9"/>
          </w:tcPr>
          <w:p>
            <w:pPr>
              <w:pStyle w:val="TableParagraph"/>
              <w:spacing w:before="7"/>
              <w:rPr>
                <w:b/>
                <w:sz w:val="26"/>
              </w:rPr>
            </w:pPr>
          </w:p>
          <w:p>
            <w:pPr>
              <w:pStyle w:val="TableParagraph"/>
              <w:ind w:left="49"/>
              <w:jc w:val="center"/>
              <w:rPr>
                <w:rFonts w:ascii="Arial"/>
                <w:b/>
                <w:sz w:val="18"/>
              </w:rPr>
            </w:pPr>
            <w:r>
              <w:rPr>
                <w:rFonts w:ascii="Arial"/>
                <w:b/>
                <w:sz w:val="18"/>
              </w:rPr>
              <w:t>22%</w:t>
            </w:r>
          </w:p>
        </w:tc>
        <w:tc>
          <w:tcPr>
            <w:tcW w:w="514" w:type="dxa"/>
            <w:tcBorders>
              <w:left w:val="nil"/>
              <w:right w:val="nil"/>
            </w:tcBorders>
          </w:tcPr>
          <w:p>
            <w:pPr>
              <w:pStyle w:val="TableParagraph"/>
              <w:rPr>
                <w:b/>
                <w:sz w:val="18"/>
              </w:rPr>
            </w:pPr>
          </w:p>
          <w:p>
            <w:pPr>
              <w:pStyle w:val="TableParagraph"/>
              <w:spacing w:before="104"/>
              <w:ind w:right="70"/>
              <w:jc w:val="right"/>
              <w:rPr>
                <w:rFonts w:ascii="Arial"/>
                <w:sz w:val="18"/>
              </w:rPr>
            </w:pPr>
            <w:r>
              <w:rPr>
                <w:rFonts w:ascii="Arial"/>
                <w:w w:val="95"/>
                <w:sz w:val="18"/>
              </w:rPr>
              <w:t>7%</w:t>
            </w:r>
          </w:p>
        </w:tc>
        <w:tc>
          <w:tcPr>
            <w:tcW w:w="507" w:type="dxa"/>
            <w:tcBorders>
              <w:left w:val="nil"/>
              <w:right w:val="nil"/>
            </w:tcBorders>
          </w:tcPr>
          <w:p>
            <w:pPr>
              <w:pStyle w:val="TableParagraph"/>
              <w:rPr>
                <w:b/>
                <w:sz w:val="18"/>
              </w:rPr>
            </w:pPr>
          </w:p>
          <w:p>
            <w:pPr>
              <w:pStyle w:val="TableParagraph"/>
              <w:spacing w:before="104"/>
              <w:ind w:right="70"/>
              <w:jc w:val="right"/>
              <w:rPr>
                <w:rFonts w:ascii="Arial"/>
                <w:sz w:val="18"/>
              </w:rPr>
            </w:pPr>
            <w:r>
              <w:rPr>
                <w:rFonts w:ascii="Arial"/>
                <w:w w:val="95"/>
                <w:sz w:val="18"/>
              </w:rPr>
              <w:t>17%</w:t>
            </w:r>
          </w:p>
        </w:tc>
        <w:tc>
          <w:tcPr>
            <w:tcW w:w="403" w:type="dxa"/>
            <w:tcBorders>
              <w:left w:val="nil"/>
              <w:right w:val="nil"/>
            </w:tcBorders>
          </w:tcPr>
          <w:p>
            <w:pPr>
              <w:pStyle w:val="TableParagraph"/>
              <w:rPr>
                <w:b/>
                <w:sz w:val="18"/>
              </w:rPr>
            </w:pPr>
          </w:p>
          <w:p>
            <w:pPr>
              <w:pStyle w:val="TableParagraph"/>
              <w:spacing w:before="104"/>
              <w:ind w:left="52" w:right="50"/>
              <w:jc w:val="center"/>
              <w:rPr>
                <w:rFonts w:ascii="Arial"/>
                <w:sz w:val="18"/>
              </w:rPr>
            </w:pPr>
            <w:r>
              <w:rPr>
                <w:rFonts w:ascii="Arial"/>
                <w:sz w:val="18"/>
              </w:rPr>
              <w:t>7%</w:t>
            </w:r>
          </w:p>
        </w:tc>
        <w:tc>
          <w:tcPr>
            <w:tcW w:w="540" w:type="dxa"/>
            <w:tcBorders>
              <w:left w:val="nil"/>
              <w:right w:val="nil"/>
            </w:tcBorders>
          </w:tcPr>
          <w:p>
            <w:pPr>
              <w:pStyle w:val="TableParagraph"/>
              <w:rPr>
                <w:b/>
                <w:sz w:val="18"/>
              </w:rPr>
            </w:pPr>
          </w:p>
          <w:p>
            <w:pPr>
              <w:pStyle w:val="TableParagraph"/>
              <w:spacing w:before="104"/>
              <w:ind w:right="65"/>
              <w:jc w:val="right"/>
              <w:rPr>
                <w:rFonts w:ascii="Arial"/>
                <w:sz w:val="18"/>
              </w:rPr>
            </w:pPr>
            <w:r>
              <w:rPr>
                <w:rFonts w:ascii="Arial"/>
                <w:w w:val="95"/>
                <w:sz w:val="18"/>
              </w:rPr>
              <w:t>7%</w:t>
            </w:r>
          </w:p>
        </w:tc>
        <w:tc>
          <w:tcPr>
            <w:tcW w:w="410" w:type="dxa"/>
            <w:tcBorders>
              <w:left w:val="nil"/>
              <w:right w:val="nil"/>
            </w:tcBorders>
          </w:tcPr>
          <w:p>
            <w:pPr>
              <w:pStyle w:val="TableParagraph"/>
              <w:rPr>
                <w:b/>
                <w:sz w:val="18"/>
              </w:rPr>
            </w:pPr>
          </w:p>
          <w:p>
            <w:pPr>
              <w:pStyle w:val="TableParagraph"/>
              <w:spacing w:before="104"/>
              <w:ind w:left="57" w:right="53"/>
              <w:jc w:val="center"/>
              <w:rPr>
                <w:rFonts w:ascii="Arial"/>
                <w:sz w:val="18"/>
              </w:rPr>
            </w:pPr>
            <w:r>
              <w:rPr>
                <w:rFonts w:ascii="Arial"/>
                <w:sz w:val="18"/>
              </w:rPr>
              <w:t>7%</w:t>
            </w:r>
          </w:p>
        </w:tc>
        <w:tc>
          <w:tcPr>
            <w:tcW w:w="508" w:type="dxa"/>
            <w:tcBorders>
              <w:left w:val="nil"/>
              <w:right w:val="nil"/>
            </w:tcBorders>
          </w:tcPr>
          <w:p>
            <w:pPr>
              <w:pStyle w:val="TableParagraph"/>
              <w:rPr>
                <w:b/>
                <w:sz w:val="18"/>
              </w:rPr>
            </w:pPr>
          </w:p>
          <w:p>
            <w:pPr>
              <w:pStyle w:val="TableParagraph"/>
              <w:spacing w:before="104"/>
              <w:ind w:left="153" w:right="54"/>
              <w:jc w:val="center"/>
              <w:rPr>
                <w:rFonts w:ascii="Arial"/>
                <w:sz w:val="18"/>
              </w:rPr>
            </w:pPr>
            <w:r>
              <w:rPr>
                <w:rFonts w:ascii="Arial"/>
                <w:sz w:val="18"/>
              </w:rPr>
              <w:t>4%</w:t>
            </w:r>
          </w:p>
        </w:tc>
        <w:tc>
          <w:tcPr>
            <w:tcW w:w="508" w:type="dxa"/>
            <w:tcBorders>
              <w:left w:val="nil"/>
              <w:right w:val="nil"/>
            </w:tcBorders>
          </w:tcPr>
          <w:p>
            <w:pPr>
              <w:pStyle w:val="TableParagraph"/>
              <w:rPr>
                <w:b/>
                <w:sz w:val="18"/>
              </w:rPr>
            </w:pPr>
          </w:p>
          <w:p>
            <w:pPr>
              <w:pStyle w:val="TableParagraph"/>
              <w:spacing w:before="104"/>
              <w:ind w:right="70"/>
              <w:jc w:val="right"/>
              <w:rPr>
                <w:rFonts w:ascii="Arial"/>
                <w:sz w:val="18"/>
              </w:rPr>
            </w:pPr>
            <w:r>
              <w:rPr>
                <w:rFonts w:ascii="Arial"/>
                <w:w w:val="95"/>
                <w:sz w:val="18"/>
              </w:rPr>
              <w:t>6%</w:t>
            </w:r>
          </w:p>
        </w:tc>
        <w:tc>
          <w:tcPr>
            <w:tcW w:w="502" w:type="dxa"/>
            <w:tcBorders>
              <w:left w:val="nil"/>
              <w:right w:val="nil"/>
            </w:tcBorders>
          </w:tcPr>
          <w:p>
            <w:pPr>
              <w:pStyle w:val="TableParagraph"/>
              <w:rPr>
                <w:b/>
                <w:sz w:val="18"/>
              </w:rPr>
            </w:pPr>
          </w:p>
          <w:p>
            <w:pPr>
              <w:pStyle w:val="TableParagraph"/>
              <w:spacing w:before="104"/>
              <w:ind w:left="153" w:right="48"/>
              <w:jc w:val="center"/>
              <w:rPr>
                <w:rFonts w:ascii="Arial"/>
                <w:sz w:val="18"/>
              </w:rPr>
            </w:pPr>
            <w:r>
              <w:rPr>
                <w:rFonts w:ascii="Arial"/>
                <w:sz w:val="18"/>
              </w:rPr>
              <w:t>9%</w:t>
            </w:r>
          </w:p>
        </w:tc>
        <w:tc>
          <w:tcPr>
            <w:tcW w:w="540" w:type="dxa"/>
            <w:tcBorders>
              <w:left w:val="nil"/>
              <w:right w:val="nil"/>
            </w:tcBorders>
          </w:tcPr>
          <w:p>
            <w:pPr>
              <w:pStyle w:val="TableParagraph"/>
              <w:rPr>
                <w:b/>
                <w:sz w:val="18"/>
              </w:rPr>
            </w:pPr>
          </w:p>
          <w:p>
            <w:pPr>
              <w:pStyle w:val="TableParagraph"/>
              <w:spacing w:before="104"/>
              <w:ind w:left="43"/>
              <w:jc w:val="center"/>
              <w:rPr>
                <w:rFonts w:ascii="Arial"/>
                <w:sz w:val="18"/>
              </w:rPr>
            </w:pPr>
            <w:r>
              <w:rPr>
                <w:rFonts w:ascii="Arial"/>
                <w:sz w:val="18"/>
              </w:rPr>
              <w:t>13%</w:t>
            </w:r>
          </w:p>
        </w:tc>
      </w:tr>
      <w:tr>
        <w:trPr>
          <w:trHeight w:val="322" w:hRule="exact"/>
        </w:trPr>
        <w:tc>
          <w:tcPr>
            <w:tcW w:w="3566" w:type="dxa"/>
            <w:tcBorders>
              <w:left w:val="nil"/>
              <w:right w:val="nil"/>
            </w:tcBorders>
          </w:tcPr>
          <w:p>
            <w:pPr>
              <w:pStyle w:val="TableParagraph"/>
              <w:spacing w:line="206" w:lineRule="exact"/>
              <w:ind w:left="80" w:right="584"/>
              <w:rPr>
                <w:rFonts w:ascii="Arial" w:hAnsi="Arial"/>
                <w:sz w:val="18"/>
              </w:rPr>
            </w:pPr>
            <w:r>
              <w:rPr>
                <w:rFonts w:ascii="Arial" w:hAnsi="Arial"/>
                <w:sz w:val="18"/>
              </w:rPr>
              <w:t>Cursos de formación especializada</w:t>
            </w:r>
          </w:p>
        </w:tc>
        <w:tc>
          <w:tcPr>
            <w:tcW w:w="540" w:type="dxa"/>
            <w:tcBorders>
              <w:left w:val="nil"/>
              <w:right w:val="nil"/>
            </w:tcBorders>
          </w:tcPr>
          <w:p>
            <w:pPr>
              <w:pStyle w:val="TableParagraph"/>
              <w:spacing w:line="206" w:lineRule="exact"/>
              <w:ind w:left="47"/>
              <w:jc w:val="center"/>
              <w:rPr>
                <w:rFonts w:ascii="Arial"/>
                <w:sz w:val="18"/>
              </w:rPr>
            </w:pPr>
            <w:r>
              <w:rPr>
                <w:rFonts w:ascii="Arial"/>
                <w:sz w:val="18"/>
              </w:rPr>
              <w:t>11%</w:t>
            </w:r>
          </w:p>
        </w:tc>
        <w:tc>
          <w:tcPr>
            <w:tcW w:w="514" w:type="dxa"/>
            <w:tcBorders>
              <w:left w:val="nil"/>
              <w:right w:val="nil"/>
            </w:tcBorders>
          </w:tcPr>
          <w:p>
            <w:pPr>
              <w:pStyle w:val="TableParagraph"/>
              <w:spacing w:line="206" w:lineRule="exact"/>
              <w:ind w:right="70"/>
              <w:jc w:val="right"/>
              <w:rPr>
                <w:rFonts w:ascii="Arial"/>
                <w:sz w:val="18"/>
              </w:rPr>
            </w:pPr>
            <w:r>
              <w:rPr>
                <w:rFonts w:ascii="Arial"/>
                <w:w w:val="95"/>
                <w:sz w:val="18"/>
              </w:rPr>
              <w:t>9%</w:t>
            </w:r>
          </w:p>
        </w:tc>
        <w:tc>
          <w:tcPr>
            <w:tcW w:w="507" w:type="dxa"/>
            <w:tcBorders>
              <w:left w:val="nil"/>
              <w:right w:val="nil"/>
            </w:tcBorders>
          </w:tcPr>
          <w:p>
            <w:pPr>
              <w:pStyle w:val="TableParagraph"/>
              <w:spacing w:line="206" w:lineRule="exact"/>
              <w:ind w:right="70"/>
              <w:jc w:val="right"/>
              <w:rPr>
                <w:rFonts w:ascii="Arial"/>
                <w:sz w:val="18"/>
              </w:rPr>
            </w:pPr>
            <w:r>
              <w:rPr>
                <w:rFonts w:ascii="Arial"/>
                <w:w w:val="95"/>
                <w:sz w:val="18"/>
              </w:rPr>
              <w:t>6%</w:t>
            </w:r>
          </w:p>
        </w:tc>
        <w:tc>
          <w:tcPr>
            <w:tcW w:w="403" w:type="dxa"/>
            <w:tcBorders>
              <w:left w:val="nil"/>
              <w:right w:val="nil"/>
            </w:tcBorders>
          </w:tcPr>
          <w:p>
            <w:pPr>
              <w:pStyle w:val="TableParagraph"/>
              <w:spacing w:line="206" w:lineRule="exact"/>
              <w:ind w:left="52" w:right="50"/>
              <w:jc w:val="center"/>
              <w:rPr>
                <w:rFonts w:ascii="Arial"/>
                <w:sz w:val="18"/>
              </w:rPr>
            </w:pPr>
            <w:r>
              <w:rPr>
                <w:rFonts w:ascii="Arial"/>
                <w:sz w:val="18"/>
              </w:rPr>
              <w:t>6%</w:t>
            </w:r>
          </w:p>
        </w:tc>
        <w:tc>
          <w:tcPr>
            <w:tcW w:w="540" w:type="dxa"/>
            <w:tcBorders>
              <w:left w:val="nil"/>
              <w:right w:val="nil"/>
            </w:tcBorders>
          </w:tcPr>
          <w:p>
            <w:pPr>
              <w:pStyle w:val="TableParagraph"/>
              <w:spacing w:line="206" w:lineRule="exact"/>
              <w:ind w:right="65"/>
              <w:jc w:val="right"/>
              <w:rPr>
                <w:rFonts w:ascii="Arial"/>
                <w:sz w:val="18"/>
              </w:rPr>
            </w:pPr>
            <w:r>
              <w:rPr>
                <w:rFonts w:ascii="Arial"/>
                <w:w w:val="95"/>
                <w:sz w:val="18"/>
              </w:rPr>
              <w:t>19%</w:t>
            </w:r>
          </w:p>
        </w:tc>
        <w:tc>
          <w:tcPr>
            <w:tcW w:w="410" w:type="dxa"/>
            <w:tcBorders>
              <w:left w:val="nil"/>
              <w:right w:val="nil"/>
            </w:tcBorders>
          </w:tcPr>
          <w:p>
            <w:pPr>
              <w:pStyle w:val="TableParagraph"/>
              <w:spacing w:line="206" w:lineRule="exact"/>
              <w:ind w:left="57" w:right="53"/>
              <w:jc w:val="center"/>
              <w:rPr>
                <w:rFonts w:ascii="Arial"/>
                <w:sz w:val="18"/>
              </w:rPr>
            </w:pPr>
            <w:r>
              <w:rPr>
                <w:rFonts w:ascii="Arial"/>
                <w:sz w:val="18"/>
              </w:rPr>
              <w:t>7%</w:t>
            </w:r>
          </w:p>
        </w:tc>
        <w:tc>
          <w:tcPr>
            <w:tcW w:w="508" w:type="dxa"/>
            <w:tcBorders>
              <w:left w:val="nil"/>
              <w:right w:val="nil"/>
            </w:tcBorders>
          </w:tcPr>
          <w:p>
            <w:pPr>
              <w:pStyle w:val="TableParagraph"/>
              <w:spacing w:line="206" w:lineRule="exact"/>
              <w:ind w:left="153" w:right="54"/>
              <w:jc w:val="center"/>
              <w:rPr>
                <w:rFonts w:ascii="Arial"/>
                <w:sz w:val="18"/>
              </w:rPr>
            </w:pPr>
            <w:r>
              <w:rPr>
                <w:rFonts w:ascii="Arial"/>
                <w:sz w:val="18"/>
              </w:rPr>
              <w:t>4%</w:t>
            </w:r>
          </w:p>
        </w:tc>
        <w:tc>
          <w:tcPr>
            <w:tcW w:w="508" w:type="dxa"/>
            <w:tcBorders>
              <w:left w:val="nil"/>
              <w:right w:val="nil"/>
            </w:tcBorders>
          </w:tcPr>
          <w:p>
            <w:pPr>
              <w:pStyle w:val="TableParagraph"/>
              <w:spacing w:line="206" w:lineRule="exact"/>
              <w:ind w:right="70"/>
              <w:jc w:val="right"/>
              <w:rPr>
                <w:rFonts w:ascii="Arial"/>
                <w:sz w:val="18"/>
              </w:rPr>
            </w:pPr>
            <w:r>
              <w:rPr>
                <w:rFonts w:ascii="Arial"/>
                <w:w w:val="95"/>
                <w:sz w:val="18"/>
              </w:rPr>
              <w:t>6%</w:t>
            </w:r>
          </w:p>
        </w:tc>
        <w:tc>
          <w:tcPr>
            <w:tcW w:w="502" w:type="dxa"/>
            <w:tcBorders>
              <w:left w:val="nil"/>
              <w:right w:val="nil"/>
            </w:tcBorders>
          </w:tcPr>
          <w:p>
            <w:pPr>
              <w:pStyle w:val="TableParagraph"/>
              <w:spacing w:line="206" w:lineRule="exact"/>
              <w:ind w:left="53" w:right="48"/>
              <w:jc w:val="center"/>
              <w:rPr>
                <w:rFonts w:ascii="Arial"/>
                <w:sz w:val="18"/>
              </w:rPr>
            </w:pPr>
            <w:r>
              <w:rPr>
                <w:rFonts w:ascii="Arial"/>
                <w:sz w:val="18"/>
              </w:rPr>
              <w:t>11%</w:t>
            </w:r>
          </w:p>
        </w:tc>
        <w:tc>
          <w:tcPr>
            <w:tcW w:w="540" w:type="dxa"/>
            <w:tcBorders>
              <w:left w:val="nil"/>
              <w:right w:val="nil"/>
            </w:tcBorders>
            <w:shd w:val="clear" w:color="auto" w:fill="D9D9D9"/>
          </w:tcPr>
          <w:p>
            <w:pPr>
              <w:pStyle w:val="TableParagraph"/>
              <w:spacing w:line="201" w:lineRule="exact"/>
              <w:ind w:left="44"/>
              <w:jc w:val="center"/>
              <w:rPr>
                <w:rFonts w:ascii="Arial"/>
                <w:b/>
                <w:sz w:val="18"/>
              </w:rPr>
            </w:pPr>
            <w:r>
              <w:rPr>
                <w:rFonts w:ascii="Arial"/>
                <w:b/>
                <w:sz w:val="18"/>
              </w:rPr>
              <w:t>22%</w:t>
            </w:r>
          </w:p>
        </w:tc>
      </w:tr>
      <w:tr>
        <w:trPr>
          <w:trHeight w:val="319" w:hRule="exact"/>
        </w:trPr>
        <w:tc>
          <w:tcPr>
            <w:tcW w:w="3566" w:type="dxa"/>
            <w:tcBorders>
              <w:left w:val="nil"/>
              <w:right w:val="nil"/>
            </w:tcBorders>
          </w:tcPr>
          <w:p>
            <w:pPr>
              <w:pStyle w:val="TableParagraph"/>
              <w:spacing w:line="206" w:lineRule="exact"/>
              <w:ind w:left="80" w:right="584"/>
              <w:rPr>
                <w:rFonts w:ascii="Arial"/>
                <w:sz w:val="18"/>
              </w:rPr>
            </w:pPr>
            <w:r>
              <w:rPr>
                <w:rFonts w:ascii="Arial"/>
                <w:sz w:val="18"/>
              </w:rPr>
              <w:t>Suerte</w:t>
            </w:r>
          </w:p>
        </w:tc>
        <w:tc>
          <w:tcPr>
            <w:tcW w:w="540" w:type="dxa"/>
            <w:tcBorders>
              <w:left w:val="nil"/>
              <w:right w:val="nil"/>
            </w:tcBorders>
          </w:tcPr>
          <w:p>
            <w:pPr>
              <w:pStyle w:val="TableParagraph"/>
              <w:spacing w:line="206" w:lineRule="exact"/>
              <w:ind w:left="47"/>
              <w:jc w:val="center"/>
              <w:rPr>
                <w:rFonts w:ascii="Arial"/>
                <w:sz w:val="18"/>
              </w:rPr>
            </w:pPr>
            <w:r>
              <w:rPr>
                <w:rFonts w:ascii="Arial"/>
                <w:sz w:val="18"/>
              </w:rPr>
              <w:t>13%</w:t>
            </w:r>
          </w:p>
        </w:tc>
        <w:tc>
          <w:tcPr>
            <w:tcW w:w="514" w:type="dxa"/>
            <w:tcBorders>
              <w:left w:val="nil"/>
              <w:right w:val="nil"/>
            </w:tcBorders>
          </w:tcPr>
          <w:p>
            <w:pPr>
              <w:pStyle w:val="TableParagraph"/>
              <w:spacing w:line="206" w:lineRule="exact"/>
              <w:ind w:right="70"/>
              <w:jc w:val="right"/>
              <w:rPr>
                <w:rFonts w:ascii="Arial"/>
                <w:sz w:val="18"/>
              </w:rPr>
            </w:pPr>
            <w:r>
              <w:rPr>
                <w:rFonts w:ascii="Arial"/>
                <w:w w:val="95"/>
                <w:sz w:val="18"/>
              </w:rPr>
              <w:t>9%</w:t>
            </w:r>
          </w:p>
        </w:tc>
        <w:tc>
          <w:tcPr>
            <w:tcW w:w="507" w:type="dxa"/>
            <w:tcBorders>
              <w:left w:val="nil"/>
              <w:right w:val="nil"/>
            </w:tcBorders>
          </w:tcPr>
          <w:p>
            <w:pPr>
              <w:pStyle w:val="TableParagraph"/>
              <w:spacing w:line="206" w:lineRule="exact"/>
              <w:ind w:right="70"/>
              <w:jc w:val="right"/>
              <w:rPr>
                <w:rFonts w:ascii="Arial"/>
                <w:sz w:val="18"/>
              </w:rPr>
            </w:pPr>
            <w:r>
              <w:rPr>
                <w:rFonts w:ascii="Arial"/>
                <w:w w:val="95"/>
                <w:sz w:val="18"/>
              </w:rPr>
              <w:t>15%</w:t>
            </w:r>
          </w:p>
        </w:tc>
        <w:tc>
          <w:tcPr>
            <w:tcW w:w="403" w:type="dxa"/>
            <w:tcBorders>
              <w:left w:val="nil"/>
              <w:right w:val="nil"/>
            </w:tcBorders>
          </w:tcPr>
          <w:p>
            <w:pPr>
              <w:pStyle w:val="TableParagraph"/>
              <w:spacing w:line="206" w:lineRule="exact"/>
              <w:ind w:left="52" w:right="50"/>
              <w:jc w:val="center"/>
              <w:rPr>
                <w:rFonts w:ascii="Arial"/>
                <w:sz w:val="18"/>
              </w:rPr>
            </w:pPr>
            <w:r>
              <w:rPr>
                <w:rFonts w:ascii="Arial"/>
                <w:sz w:val="18"/>
              </w:rPr>
              <w:t>7%</w:t>
            </w:r>
          </w:p>
        </w:tc>
        <w:tc>
          <w:tcPr>
            <w:tcW w:w="540" w:type="dxa"/>
            <w:tcBorders>
              <w:left w:val="nil"/>
              <w:right w:val="nil"/>
            </w:tcBorders>
          </w:tcPr>
          <w:p>
            <w:pPr>
              <w:pStyle w:val="TableParagraph"/>
              <w:spacing w:line="206" w:lineRule="exact"/>
              <w:ind w:right="65"/>
              <w:jc w:val="right"/>
              <w:rPr>
                <w:rFonts w:ascii="Arial"/>
                <w:sz w:val="18"/>
              </w:rPr>
            </w:pPr>
            <w:r>
              <w:rPr>
                <w:rFonts w:ascii="Arial"/>
                <w:w w:val="95"/>
                <w:sz w:val="18"/>
              </w:rPr>
              <w:t>11%</w:t>
            </w:r>
          </w:p>
        </w:tc>
        <w:tc>
          <w:tcPr>
            <w:tcW w:w="410" w:type="dxa"/>
            <w:tcBorders>
              <w:left w:val="nil"/>
              <w:right w:val="nil"/>
            </w:tcBorders>
          </w:tcPr>
          <w:p>
            <w:pPr>
              <w:pStyle w:val="TableParagraph"/>
              <w:spacing w:line="206" w:lineRule="exact"/>
              <w:ind w:left="57" w:right="53"/>
              <w:jc w:val="center"/>
              <w:rPr>
                <w:rFonts w:ascii="Arial"/>
                <w:sz w:val="18"/>
              </w:rPr>
            </w:pPr>
            <w:r>
              <w:rPr>
                <w:rFonts w:ascii="Arial"/>
                <w:sz w:val="18"/>
              </w:rPr>
              <w:t>4%</w:t>
            </w:r>
          </w:p>
        </w:tc>
        <w:tc>
          <w:tcPr>
            <w:tcW w:w="508" w:type="dxa"/>
            <w:tcBorders>
              <w:left w:val="nil"/>
              <w:right w:val="nil"/>
            </w:tcBorders>
          </w:tcPr>
          <w:p>
            <w:pPr>
              <w:pStyle w:val="TableParagraph"/>
              <w:spacing w:line="206" w:lineRule="exact"/>
              <w:ind w:left="153" w:right="54"/>
              <w:jc w:val="center"/>
              <w:rPr>
                <w:rFonts w:ascii="Arial"/>
                <w:sz w:val="18"/>
              </w:rPr>
            </w:pPr>
            <w:r>
              <w:rPr>
                <w:rFonts w:ascii="Arial"/>
                <w:sz w:val="18"/>
              </w:rPr>
              <w:t>7%</w:t>
            </w:r>
          </w:p>
        </w:tc>
        <w:tc>
          <w:tcPr>
            <w:tcW w:w="508" w:type="dxa"/>
            <w:tcBorders>
              <w:left w:val="nil"/>
              <w:right w:val="nil"/>
            </w:tcBorders>
          </w:tcPr>
          <w:p>
            <w:pPr>
              <w:pStyle w:val="TableParagraph"/>
              <w:spacing w:line="206" w:lineRule="exact"/>
              <w:ind w:right="70"/>
              <w:jc w:val="right"/>
              <w:rPr>
                <w:rFonts w:ascii="Arial"/>
                <w:sz w:val="18"/>
              </w:rPr>
            </w:pPr>
            <w:r>
              <w:rPr>
                <w:rFonts w:ascii="Arial"/>
                <w:w w:val="95"/>
                <w:sz w:val="18"/>
              </w:rPr>
              <w:t>13%</w:t>
            </w:r>
          </w:p>
        </w:tc>
        <w:tc>
          <w:tcPr>
            <w:tcW w:w="502" w:type="dxa"/>
            <w:tcBorders>
              <w:left w:val="nil"/>
              <w:right w:val="nil"/>
            </w:tcBorders>
          </w:tcPr>
          <w:p>
            <w:pPr>
              <w:pStyle w:val="TableParagraph"/>
              <w:spacing w:line="206" w:lineRule="exact"/>
              <w:ind w:left="153" w:right="48"/>
              <w:jc w:val="center"/>
              <w:rPr>
                <w:rFonts w:ascii="Arial"/>
                <w:sz w:val="18"/>
              </w:rPr>
            </w:pPr>
            <w:r>
              <w:rPr>
                <w:rFonts w:ascii="Arial"/>
                <w:sz w:val="18"/>
              </w:rPr>
              <w:t>2%</w:t>
            </w:r>
          </w:p>
        </w:tc>
        <w:tc>
          <w:tcPr>
            <w:tcW w:w="540" w:type="dxa"/>
            <w:tcBorders>
              <w:left w:val="nil"/>
              <w:right w:val="nil"/>
            </w:tcBorders>
            <w:shd w:val="clear" w:color="auto" w:fill="D9D9D9"/>
          </w:tcPr>
          <w:p>
            <w:pPr>
              <w:pStyle w:val="TableParagraph"/>
              <w:spacing w:line="201" w:lineRule="exact"/>
              <w:ind w:left="44"/>
              <w:jc w:val="center"/>
              <w:rPr>
                <w:rFonts w:ascii="Arial"/>
                <w:b/>
                <w:sz w:val="18"/>
              </w:rPr>
            </w:pPr>
            <w:r>
              <w:rPr>
                <w:rFonts w:ascii="Arial"/>
                <w:b/>
                <w:sz w:val="18"/>
              </w:rPr>
              <w:t>19%</w:t>
            </w:r>
          </w:p>
        </w:tc>
      </w:tr>
      <w:tr>
        <w:trPr>
          <w:trHeight w:val="322" w:hRule="exact"/>
        </w:trPr>
        <w:tc>
          <w:tcPr>
            <w:tcW w:w="3566" w:type="dxa"/>
            <w:tcBorders>
              <w:left w:val="nil"/>
              <w:right w:val="nil"/>
            </w:tcBorders>
          </w:tcPr>
          <w:p>
            <w:pPr>
              <w:pStyle w:val="TableParagraph"/>
              <w:spacing w:before="1"/>
              <w:ind w:left="80" w:right="584"/>
              <w:rPr>
                <w:rFonts w:ascii="Arial"/>
                <w:sz w:val="18"/>
              </w:rPr>
            </w:pPr>
            <w:r>
              <w:rPr>
                <w:rFonts w:ascii="Arial"/>
                <w:sz w:val="18"/>
              </w:rPr>
              <w:t>Tener contactos sociales</w:t>
            </w:r>
          </w:p>
        </w:tc>
        <w:tc>
          <w:tcPr>
            <w:tcW w:w="540" w:type="dxa"/>
            <w:tcBorders>
              <w:left w:val="nil"/>
              <w:right w:val="nil"/>
            </w:tcBorders>
          </w:tcPr>
          <w:p>
            <w:pPr>
              <w:pStyle w:val="TableParagraph"/>
              <w:spacing w:before="1"/>
              <w:ind w:left="47"/>
              <w:jc w:val="center"/>
              <w:rPr>
                <w:rFonts w:ascii="Arial"/>
                <w:sz w:val="18"/>
              </w:rPr>
            </w:pPr>
            <w:r>
              <w:rPr>
                <w:rFonts w:ascii="Arial"/>
                <w:sz w:val="18"/>
              </w:rPr>
              <w:t>19%</w:t>
            </w:r>
          </w:p>
        </w:tc>
        <w:tc>
          <w:tcPr>
            <w:tcW w:w="514" w:type="dxa"/>
            <w:tcBorders>
              <w:left w:val="nil"/>
              <w:right w:val="nil"/>
            </w:tcBorders>
          </w:tcPr>
          <w:p>
            <w:pPr>
              <w:pStyle w:val="TableParagraph"/>
              <w:spacing w:before="1"/>
              <w:ind w:right="70"/>
              <w:jc w:val="right"/>
              <w:rPr>
                <w:rFonts w:ascii="Arial"/>
                <w:sz w:val="18"/>
              </w:rPr>
            </w:pPr>
            <w:r>
              <w:rPr>
                <w:rFonts w:ascii="Arial"/>
                <w:w w:val="95"/>
                <w:sz w:val="18"/>
              </w:rPr>
              <w:t>9%</w:t>
            </w:r>
          </w:p>
        </w:tc>
        <w:tc>
          <w:tcPr>
            <w:tcW w:w="507" w:type="dxa"/>
            <w:tcBorders>
              <w:left w:val="nil"/>
              <w:right w:val="nil"/>
            </w:tcBorders>
          </w:tcPr>
          <w:p>
            <w:pPr>
              <w:pStyle w:val="TableParagraph"/>
              <w:spacing w:before="1"/>
              <w:ind w:right="70"/>
              <w:jc w:val="right"/>
              <w:rPr>
                <w:rFonts w:ascii="Arial"/>
                <w:sz w:val="18"/>
              </w:rPr>
            </w:pPr>
            <w:r>
              <w:rPr>
                <w:rFonts w:ascii="Arial"/>
                <w:w w:val="95"/>
                <w:sz w:val="18"/>
              </w:rPr>
              <w:t>6%</w:t>
            </w:r>
          </w:p>
        </w:tc>
        <w:tc>
          <w:tcPr>
            <w:tcW w:w="403" w:type="dxa"/>
            <w:tcBorders>
              <w:left w:val="nil"/>
              <w:right w:val="nil"/>
            </w:tcBorders>
          </w:tcPr>
          <w:p>
            <w:pPr>
              <w:pStyle w:val="TableParagraph"/>
              <w:spacing w:before="1"/>
              <w:ind w:left="52" w:right="50"/>
              <w:jc w:val="center"/>
              <w:rPr>
                <w:rFonts w:ascii="Arial"/>
                <w:sz w:val="18"/>
              </w:rPr>
            </w:pPr>
            <w:r>
              <w:rPr>
                <w:rFonts w:ascii="Arial"/>
                <w:sz w:val="18"/>
              </w:rPr>
              <w:t>7%</w:t>
            </w:r>
          </w:p>
        </w:tc>
        <w:tc>
          <w:tcPr>
            <w:tcW w:w="540" w:type="dxa"/>
            <w:tcBorders>
              <w:left w:val="nil"/>
              <w:right w:val="nil"/>
            </w:tcBorders>
          </w:tcPr>
          <w:p>
            <w:pPr>
              <w:pStyle w:val="TableParagraph"/>
              <w:spacing w:before="1"/>
              <w:ind w:right="65"/>
              <w:jc w:val="right"/>
              <w:rPr>
                <w:rFonts w:ascii="Arial"/>
                <w:sz w:val="18"/>
              </w:rPr>
            </w:pPr>
            <w:r>
              <w:rPr>
                <w:rFonts w:ascii="Arial"/>
                <w:w w:val="95"/>
                <w:sz w:val="18"/>
              </w:rPr>
              <w:t>11%</w:t>
            </w:r>
          </w:p>
        </w:tc>
        <w:tc>
          <w:tcPr>
            <w:tcW w:w="410" w:type="dxa"/>
            <w:tcBorders>
              <w:left w:val="nil"/>
              <w:right w:val="nil"/>
            </w:tcBorders>
          </w:tcPr>
          <w:p>
            <w:pPr>
              <w:pStyle w:val="TableParagraph"/>
              <w:spacing w:before="1"/>
              <w:ind w:left="57" w:right="53"/>
              <w:jc w:val="center"/>
              <w:rPr>
                <w:rFonts w:ascii="Arial"/>
                <w:sz w:val="18"/>
              </w:rPr>
            </w:pPr>
            <w:r>
              <w:rPr>
                <w:rFonts w:ascii="Arial"/>
                <w:sz w:val="18"/>
              </w:rPr>
              <w:t>6%</w:t>
            </w:r>
          </w:p>
        </w:tc>
        <w:tc>
          <w:tcPr>
            <w:tcW w:w="508" w:type="dxa"/>
            <w:tcBorders>
              <w:left w:val="nil"/>
              <w:right w:val="nil"/>
            </w:tcBorders>
          </w:tcPr>
          <w:p>
            <w:pPr>
              <w:pStyle w:val="TableParagraph"/>
              <w:spacing w:before="1"/>
              <w:ind w:left="153" w:right="54"/>
              <w:jc w:val="center"/>
              <w:rPr>
                <w:rFonts w:ascii="Arial"/>
                <w:sz w:val="18"/>
              </w:rPr>
            </w:pPr>
            <w:r>
              <w:rPr>
                <w:rFonts w:ascii="Arial"/>
                <w:sz w:val="18"/>
              </w:rPr>
              <w:t>7%</w:t>
            </w:r>
          </w:p>
        </w:tc>
        <w:tc>
          <w:tcPr>
            <w:tcW w:w="508" w:type="dxa"/>
            <w:tcBorders>
              <w:left w:val="nil"/>
              <w:right w:val="nil"/>
            </w:tcBorders>
          </w:tcPr>
          <w:p>
            <w:pPr>
              <w:pStyle w:val="TableParagraph"/>
              <w:spacing w:before="1"/>
              <w:ind w:right="70"/>
              <w:jc w:val="right"/>
              <w:rPr>
                <w:rFonts w:ascii="Arial"/>
                <w:sz w:val="18"/>
              </w:rPr>
            </w:pPr>
            <w:r>
              <w:rPr>
                <w:rFonts w:ascii="Arial"/>
                <w:w w:val="95"/>
                <w:sz w:val="18"/>
              </w:rPr>
              <w:t>9%</w:t>
            </w:r>
          </w:p>
        </w:tc>
        <w:tc>
          <w:tcPr>
            <w:tcW w:w="502" w:type="dxa"/>
            <w:tcBorders>
              <w:left w:val="nil"/>
              <w:right w:val="nil"/>
            </w:tcBorders>
          </w:tcPr>
          <w:p>
            <w:pPr>
              <w:pStyle w:val="TableParagraph"/>
              <w:spacing w:before="1"/>
              <w:ind w:left="153" w:right="48"/>
              <w:jc w:val="center"/>
              <w:rPr>
                <w:rFonts w:ascii="Arial"/>
                <w:sz w:val="18"/>
              </w:rPr>
            </w:pPr>
            <w:r>
              <w:rPr>
                <w:rFonts w:ascii="Arial"/>
                <w:sz w:val="18"/>
              </w:rPr>
              <w:t>6%</w:t>
            </w:r>
          </w:p>
        </w:tc>
        <w:tc>
          <w:tcPr>
            <w:tcW w:w="540" w:type="dxa"/>
            <w:tcBorders>
              <w:left w:val="nil"/>
              <w:right w:val="nil"/>
            </w:tcBorders>
            <w:shd w:val="clear" w:color="auto" w:fill="D9D9D9"/>
          </w:tcPr>
          <w:p>
            <w:pPr>
              <w:pStyle w:val="TableParagraph"/>
              <w:spacing w:line="204" w:lineRule="exact"/>
              <w:ind w:left="44"/>
              <w:jc w:val="center"/>
              <w:rPr>
                <w:rFonts w:ascii="Arial"/>
                <w:b/>
                <w:sz w:val="18"/>
              </w:rPr>
            </w:pPr>
            <w:r>
              <w:rPr>
                <w:rFonts w:ascii="Arial"/>
                <w:b/>
                <w:sz w:val="18"/>
              </w:rPr>
              <w:t>20%</w:t>
            </w:r>
          </w:p>
        </w:tc>
      </w:tr>
      <w:tr>
        <w:trPr>
          <w:trHeight w:val="631" w:hRule="exact"/>
        </w:trPr>
        <w:tc>
          <w:tcPr>
            <w:tcW w:w="3566" w:type="dxa"/>
            <w:tcBorders>
              <w:left w:val="nil"/>
              <w:right w:val="nil"/>
            </w:tcBorders>
          </w:tcPr>
          <w:p>
            <w:pPr>
              <w:pStyle w:val="TableParagraph"/>
              <w:spacing w:line="206" w:lineRule="exact"/>
              <w:ind w:left="80"/>
              <w:rPr>
                <w:rFonts w:ascii="Arial" w:hAnsi="Arial"/>
                <w:sz w:val="18"/>
              </w:rPr>
            </w:pPr>
            <w:r>
              <w:rPr>
                <w:rFonts w:ascii="Arial" w:hAnsi="Arial"/>
                <w:sz w:val="18"/>
              </w:rPr>
              <w:t>Ser constante en la búsqueda de empleo</w:t>
            </w:r>
          </w:p>
          <w:p>
            <w:pPr>
              <w:pStyle w:val="TableParagraph"/>
              <w:spacing w:before="102"/>
              <w:ind w:left="80" w:right="584"/>
              <w:rPr>
                <w:rFonts w:ascii="Arial" w:hAnsi="Arial"/>
                <w:sz w:val="18"/>
              </w:rPr>
            </w:pPr>
            <w:r>
              <w:rPr>
                <w:rFonts w:ascii="Arial" w:hAnsi="Arial"/>
                <w:sz w:val="18"/>
              </w:rPr>
              <w:t>/Conocimientos sobre su profesión</w:t>
            </w:r>
          </w:p>
        </w:tc>
        <w:tc>
          <w:tcPr>
            <w:tcW w:w="540" w:type="dxa"/>
            <w:tcBorders>
              <w:left w:val="nil"/>
              <w:right w:val="nil"/>
            </w:tcBorders>
          </w:tcPr>
          <w:p>
            <w:pPr>
              <w:pStyle w:val="TableParagraph"/>
              <w:spacing w:before="9"/>
              <w:rPr>
                <w:b/>
                <w:sz w:val="26"/>
              </w:rPr>
            </w:pPr>
          </w:p>
          <w:p>
            <w:pPr>
              <w:pStyle w:val="TableParagraph"/>
              <w:ind w:left="47"/>
              <w:jc w:val="center"/>
              <w:rPr>
                <w:rFonts w:ascii="Arial"/>
                <w:sz w:val="18"/>
              </w:rPr>
            </w:pPr>
            <w:r>
              <w:rPr>
                <w:rFonts w:ascii="Arial"/>
                <w:sz w:val="18"/>
              </w:rPr>
              <w:t>17%</w:t>
            </w:r>
          </w:p>
        </w:tc>
        <w:tc>
          <w:tcPr>
            <w:tcW w:w="514" w:type="dxa"/>
            <w:tcBorders>
              <w:left w:val="nil"/>
              <w:right w:val="nil"/>
            </w:tcBorders>
          </w:tcPr>
          <w:p>
            <w:pPr>
              <w:pStyle w:val="TableParagraph"/>
              <w:spacing w:before="9"/>
              <w:rPr>
                <w:b/>
                <w:sz w:val="26"/>
              </w:rPr>
            </w:pPr>
          </w:p>
          <w:p>
            <w:pPr>
              <w:pStyle w:val="TableParagraph"/>
              <w:ind w:right="70"/>
              <w:jc w:val="right"/>
              <w:rPr>
                <w:rFonts w:ascii="Arial"/>
                <w:sz w:val="18"/>
              </w:rPr>
            </w:pPr>
            <w:r>
              <w:rPr>
                <w:rFonts w:ascii="Arial"/>
                <w:w w:val="95"/>
                <w:sz w:val="18"/>
              </w:rPr>
              <w:t>9%</w:t>
            </w:r>
          </w:p>
        </w:tc>
        <w:tc>
          <w:tcPr>
            <w:tcW w:w="507" w:type="dxa"/>
            <w:tcBorders>
              <w:left w:val="nil"/>
              <w:right w:val="nil"/>
            </w:tcBorders>
          </w:tcPr>
          <w:p>
            <w:pPr>
              <w:pStyle w:val="TableParagraph"/>
              <w:spacing w:before="9"/>
              <w:rPr>
                <w:b/>
                <w:sz w:val="26"/>
              </w:rPr>
            </w:pPr>
          </w:p>
          <w:p>
            <w:pPr>
              <w:pStyle w:val="TableParagraph"/>
              <w:ind w:right="70"/>
              <w:jc w:val="right"/>
              <w:rPr>
                <w:rFonts w:ascii="Arial"/>
                <w:sz w:val="18"/>
              </w:rPr>
            </w:pPr>
            <w:r>
              <w:rPr>
                <w:rFonts w:ascii="Arial"/>
                <w:w w:val="95"/>
                <w:sz w:val="18"/>
              </w:rPr>
              <w:t>9%</w:t>
            </w:r>
          </w:p>
        </w:tc>
        <w:tc>
          <w:tcPr>
            <w:tcW w:w="403" w:type="dxa"/>
            <w:tcBorders>
              <w:left w:val="nil"/>
              <w:right w:val="nil"/>
            </w:tcBorders>
          </w:tcPr>
          <w:p>
            <w:pPr>
              <w:pStyle w:val="TableParagraph"/>
              <w:spacing w:before="9"/>
              <w:rPr>
                <w:b/>
                <w:sz w:val="26"/>
              </w:rPr>
            </w:pPr>
          </w:p>
          <w:p>
            <w:pPr>
              <w:pStyle w:val="TableParagraph"/>
              <w:ind w:left="52" w:right="50"/>
              <w:jc w:val="center"/>
              <w:rPr>
                <w:rFonts w:ascii="Arial"/>
                <w:sz w:val="18"/>
              </w:rPr>
            </w:pPr>
            <w:r>
              <w:rPr>
                <w:rFonts w:ascii="Arial"/>
                <w:sz w:val="18"/>
              </w:rPr>
              <w:t>6%</w:t>
            </w:r>
          </w:p>
        </w:tc>
        <w:tc>
          <w:tcPr>
            <w:tcW w:w="540" w:type="dxa"/>
            <w:tcBorders>
              <w:left w:val="nil"/>
              <w:right w:val="nil"/>
            </w:tcBorders>
            <w:shd w:val="clear" w:color="auto" w:fill="D9D9D9"/>
          </w:tcPr>
          <w:p>
            <w:pPr>
              <w:pStyle w:val="TableParagraph"/>
              <w:spacing w:before="5"/>
              <w:rPr>
                <w:b/>
                <w:sz w:val="26"/>
              </w:rPr>
            </w:pPr>
          </w:p>
          <w:p>
            <w:pPr>
              <w:pStyle w:val="TableParagraph"/>
              <w:ind w:right="65"/>
              <w:jc w:val="right"/>
              <w:rPr>
                <w:rFonts w:ascii="Arial"/>
                <w:b/>
                <w:sz w:val="18"/>
              </w:rPr>
            </w:pPr>
            <w:r>
              <w:rPr>
                <w:rFonts w:ascii="Arial"/>
                <w:b/>
                <w:sz w:val="18"/>
              </w:rPr>
              <w:t>19%</w:t>
            </w:r>
          </w:p>
        </w:tc>
        <w:tc>
          <w:tcPr>
            <w:tcW w:w="410" w:type="dxa"/>
            <w:tcBorders>
              <w:left w:val="nil"/>
              <w:right w:val="nil"/>
            </w:tcBorders>
          </w:tcPr>
          <w:p>
            <w:pPr>
              <w:pStyle w:val="TableParagraph"/>
              <w:spacing w:before="9"/>
              <w:rPr>
                <w:b/>
                <w:sz w:val="26"/>
              </w:rPr>
            </w:pPr>
          </w:p>
          <w:p>
            <w:pPr>
              <w:pStyle w:val="TableParagraph"/>
              <w:ind w:left="57" w:right="53"/>
              <w:jc w:val="center"/>
              <w:rPr>
                <w:rFonts w:ascii="Arial"/>
                <w:sz w:val="18"/>
              </w:rPr>
            </w:pPr>
            <w:r>
              <w:rPr>
                <w:rFonts w:ascii="Arial"/>
                <w:sz w:val="18"/>
              </w:rPr>
              <w:t>6%</w:t>
            </w:r>
          </w:p>
        </w:tc>
        <w:tc>
          <w:tcPr>
            <w:tcW w:w="508" w:type="dxa"/>
            <w:tcBorders>
              <w:left w:val="nil"/>
              <w:right w:val="nil"/>
            </w:tcBorders>
          </w:tcPr>
          <w:p>
            <w:pPr>
              <w:pStyle w:val="TableParagraph"/>
              <w:spacing w:before="9"/>
              <w:rPr>
                <w:b/>
                <w:sz w:val="26"/>
              </w:rPr>
            </w:pPr>
          </w:p>
          <w:p>
            <w:pPr>
              <w:pStyle w:val="TableParagraph"/>
              <w:ind w:left="153" w:right="54"/>
              <w:jc w:val="center"/>
              <w:rPr>
                <w:rFonts w:ascii="Arial"/>
                <w:sz w:val="18"/>
              </w:rPr>
            </w:pPr>
            <w:r>
              <w:rPr>
                <w:rFonts w:ascii="Arial"/>
                <w:sz w:val="18"/>
              </w:rPr>
              <w:t>7%</w:t>
            </w:r>
          </w:p>
        </w:tc>
        <w:tc>
          <w:tcPr>
            <w:tcW w:w="508" w:type="dxa"/>
            <w:tcBorders>
              <w:left w:val="nil"/>
              <w:right w:val="nil"/>
            </w:tcBorders>
          </w:tcPr>
          <w:p>
            <w:pPr>
              <w:pStyle w:val="TableParagraph"/>
              <w:spacing w:before="9"/>
              <w:rPr>
                <w:b/>
                <w:sz w:val="26"/>
              </w:rPr>
            </w:pPr>
          </w:p>
          <w:p>
            <w:pPr>
              <w:pStyle w:val="TableParagraph"/>
              <w:ind w:right="70"/>
              <w:jc w:val="right"/>
              <w:rPr>
                <w:rFonts w:ascii="Arial"/>
                <w:sz w:val="18"/>
              </w:rPr>
            </w:pPr>
            <w:r>
              <w:rPr>
                <w:rFonts w:ascii="Arial"/>
                <w:w w:val="95"/>
                <w:sz w:val="18"/>
              </w:rPr>
              <w:t>9%</w:t>
            </w:r>
          </w:p>
        </w:tc>
        <w:tc>
          <w:tcPr>
            <w:tcW w:w="502" w:type="dxa"/>
            <w:tcBorders>
              <w:left w:val="nil"/>
              <w:right w:val="nil"/>
            </w:tcBorders>
          </w:tcPr>
          <w:p>
            <w:pPr>
              <w:pStyle w:val="TableParagraph"/>
              <w:spacing w:before="9"/>
              <w:rPr>
                <w:b/>
                <w:sz w:val="26"/>
              </w:rPr>
            </w:pPr>
          </w:p>
          <w:p>
            <w:pPr>
              <w:pStyle w:val="TableParagraph"/>
              <w:ind w:left="153" w:right="48"/>
              <w:jc w:val="center"/>
              <w:rPr>
                <w:rFonts w:ascii="Arial"/>
                <w:sz w:val="18"/>
              </w:rPr>
            </w:pPr>
            <w:r>
              <w:rPr>
                <w:rFonts w:ascii="Arial"/>
                <w:sz w:val="18"/>
              </w:rPr>
              <w:t>7%</w:t>
            </w:r>
          </w:p>
        </w:tc>
        <w:tc>
          <w:tcPr>
            <w:tcW w:w="540" w:type="dxa"/>
            <w:tcBorders>
              <w:left w:val="nil"/>
              <w:right w:val="nil"/>
            </w:tcBorders>
          </w:tcPr>
          <w:p>
            <w:pPr>
              <w:pStyle w:val="TableParagraph"/>
              <w:spacing w:before="9"/>
              <w:rPr>
                <w:b/>
                <w:sz w:val="26"/>
              </w:rPr>
            </w:pPr>
          </w:p>
          <w:p>
            <w:pPr>
              <w:pStyle w:val="TableParagraph"/>
              <w:ind w:left="43"/>
              <w:jc w:val="center"/>
              <w:rPr>
                <w:rFonts w:ascii="Arial"/>
                <w:sz w:val="18"/>
              </w:rPr>
            </w:pPr>
            <w:r>
              <w:rPr>
                <w:rFonts w:ascii="Arial"/>
                <w:sz w:val="18"/>
              </w:rPr>
              <w:t>11%</w:t>
            </w:r>
          </w:p>
        </w:tc>
      </w:tr>
      <w:tr>
        <w:trPr>
          <w:trHeight w:val="319" w:hRule="exact"/>
        </w:trPr>
        <w:tc>
          <w:tcPr>
            <w:tcW w:w="3566" w:type="dxa"/>
            <w:tcBorders>
              <w:left w:val="nil"/>
              <w:right w:val="nil"/>
            </w:tcBorders>
          </w:tcPr>
          <w:p>
            <w:pPr>
              <w:pStyle w:val="TableParagraph"/>
              <w:spacing w:line="206" w:lineRule="exact"/>
              <w:ind w:left="80" w:right="584"/>
              <w:rPr>
                <w:rFonts w:ascii="Arial" w:hAnsi="Arial"/>
                <w:sz w:val="18"/>
              </w:rPr>
            </w:pPr>
            <w:r>
              <w:rPr>
                <w:rFonts w:ascii="Arial" w:hAnsi="Arial"/>
                <w:sz w:val="18"/>
              </w:rPr>
              <w:t>Dominio del idioma inglés</w:t>
            </w:r>
          </w:p>
        </w:tc>
        <w:tc>
          <w:tcPr>
            <w:tcW w:w="540" w:type="dxa"/>
            <w:tcBorders>
              <w:left w:val="nil"/>
              <w:right w:val="nil"/>
            </w:tcBorders>
          </w:tcPr>
          <w:p>
            <w:pPr>
              <w:pStyle w:val="TableParagraph"/>
              <w:spacing w:line="206" w:lineRule="exact"/>
              <w:ind w:left="47"/>
              <w:jc w:val="center"/>
              <w:rPr>
                <w:rFonts w:ascii="Arial"/>
                <w:sz w:val="18"/>
              </w:rPr>
            </w:pPr>
            <w:r>
              <w:rPr>
                <w:rFonts w:ascii="Arial"/>
                <w:sz w:val="18"/>
              </w:rPr>
              <w:t>17%</w:t>
            </w:r>
          </w:p>
        </w:tc>
        <w:tc>
          <w:tcPr>
            <w:tcW w:w="514" w:type="dxa"/>
            <w:tcBorders>
              <w:left w:val="nil"/>
              <w:right w:val="nil"/>
            </w:tcBorders>
          </w:tcPr>
          <w:p>
            <w:pPr>
              <w:pStyle w:val="TableParagraph"/>
              <w:spacing w:line="206" w:lineRule="exact"/>
              <w:ind w:right="70"/>
              <w:jc w:val="right"/>
              <w:rPr>
                <w:rFonts w:ascii="Arial"/>
                <w:sz w:val="18"/>
              </w:rPr>
            </w:pPr>
            <w:r>
              <w:rPr>
                <w:rFonts w:ascii="Arial"/>
                <w:w w:val="95"/>
                <w:sz w:val="18"/>
              </w:rPr>
              <w:t>9%</w:t>
            </w:r>
          </w:p>
        </w:tc>
        <w:tc>
          <w:tcPr>
            <w:tcW w:w="507" w:type="dxa"/>
            <w:tcBorders>
              <w:left w:val="nil"/>
              <w:right w:val="nil"/>
            </w:tcBorders>
          </w:tcPr>
          <w:p>
            <w:pPr>
              <w:pStyle w:val="TableParagraph"/>
              <w:spacing w:line="206" w:lineRule="exact"/>
              <w:ind w:right="70"/>
              <w:jc w:val="right"/>
              <w:rPr>
                <w:rFonts w:ascii="Arial"/>
                <w:sz w:val="18"/>
              </w:rPr>
            </w:pPr>
            <w:r>
              <w:rPr>
                <w:rFonts w:ascii="Arial"/>
                <w:w w:val="95"/>
                <w:sz w:val="18"/>
              </w:rPr>
              <w:t>6%</w:t>
            </w:r>
          </w:p>
        </w:tc>
        <w:tc>
          <w:tcPr>
            <w:tcW w:w="403" w:type="dxa"/>
            <w:tcBorders>
              <w:left w:val="nil"/>
              <w:right w:val="nil"/>
            </w:tcBorders>
          </w:tcPr>
          <w:p>
            <w:pPr>
              <w:pStyle w:val="TableParagraph"/>
              <w:spacing w:line="206" w:lineRule="exact"/>
              <w:ind w:left="52" w:right="50"/>
              <w:jc w:val="center"/>
              <w:rPr>
                <w:rFonts w:ascii="Arial"/>
                <w:sz w:val="18"/>
              </w:rPr>
            </w:pPr>
            <w:r>
              <w:rPr>
                <w:rFonts w:ascii="Arial"/>
                <w:sz w:val="18"/>
              </w:rPr>
              <w:t>6%</w:t>
            </w:r>
          </w:p>
        </w:tc>
        <w:tc>
          <w:tcPr>
            <w:tcW w:w="540" w:type="dxa"/>
            <w:tcBorders>
              <w:left w:val="nil"/>
              <w:right w:val="nil"/>
            </w:tcBorders>
          </w:tcPr>
          <w:p>
            <w:pPr>
              <w:pStyle w:val="TableParagraph"/>
              <w:spacing w:line="206" w:lineRule="exact"/>
              <w:ind w:right="65"/>
              <w:jc w:val="right"/>
              <w:rPr>
                <w:rFonts w:ascii="Arial"/>
                <w:sz w:val="18"/>
              </w:rPr>
            </w:pPr>
            <w:r>
              <w:rPr>
                <w:rFonts w:ascii="Arial"/>
                <w:w w:val="95"/>
                <w:sz w:val="18"/>
              </w:rPr>
              <w:t>15%</w:t>
            </w:r>
          </w:p>
        </w:tc>
        <w:tc>
          <w:tcPr>
            <w:tcW w:w="410" w:type="dxa"/>
            <w:tcBorders>
              <w:left w:val="nil"/>
              <w:right w:val="nil"/>
            </w:tcBorders>
          </w:tcPr>
          <w:p>
            <w:pPr>
              <w:pStyle w:val="TableParagraph"/>
              <w:spacing w:line="206" w:lineRule="exact"/>
              <w:ind w:left="57" w:right="53"/>
              <w:jc w:val="center"/>
              <w:rPr>
                <w:rFonts w:ascii="Arial"/>
                <w:sz w:val="18"/>
              </w:rPr>
            </w:pPr>
            <w:r>
              <w:rPr>
                <w:rFonts w:ascii="Arial"/>
                <w:sz w:val="18"/>
              </w:rPr>
              <w:t>7%</w:t>
            </w:r>
          </w:p>
        </w:tc>
        <w:tc>
          <w:tcPr>
            <w:tcW w:w="508" w:type="dxa"/>
            <w:tcBorders>
              <w:left w:val="nil"/>
              <w:right w:val="nil"/>
            </w:tcBorders>
          </w:tcPr>
          <w:p>
            <w:pPr>
              <w:pStyle w:val="TableParagraph"/>
              <w:spacing w:line="206" w:lineRule="exact"/>
              <w:ind w:left="153" w:right="54"/>
              <w:jc w:val="center"/>
              <w:rPr>
                <w:rFonts w:ascii="Arial"/>
                <w:sz w:val="18"/>
              </w:rPr>
            </w:pPr>
            <w:r>
              <w:rPr>
                <w:rFonts w:ascii="Arial"/>
                <w:sz w:val="18"/>
              </w:rPr>
              <w:t>6%</w:t>
            </w:r>
          </w:p>
        </w:tc>
        <w:tc>
          <w:tcPr>
            <w:tcW w:w="508" w:type="dxa"/>
            <w:tcBorders>
              <w:left w:val="nil"/>
              <w:right w:val="nil"/>
            </w:tcBorders>
          </w:tcPr>
          <w:p>
            <w:pPr>
              <w:pStyle w:val="TableParagraph"/>
              <w:spacing w:line="206" w:lineRule="exact"/>
              <w:ind w:right="70"/>
              <w:jc w:val="right"/>
              <w:rPr>
                <w:rFonts w:ascii="Arial"/>
                <w:sz w:val="18"/>
              </w:rPr>
            </w:pPr>
            <w:r>
              <w:rPr>
                <w:rFonts w:ascii="Arial"/>
                <w:w w:val="95"/>
                <w:sz w:val="18"/>
              </w:rPr>
              <w:t>9%</w:t>
            </w:r>
          </w:p>
        </w:tc>
        <w:tc>
          <w:tcPr>
            <w:tcW w:w="502" w:type="dxa"/>
            <w:tcBorders>
              <w:left w:val="nil"/>
              <w:right w:val="nil"/>
            </w:tcBorders>
          </w:tcPr>
          <w:p>
            <w:pPr>
              <w:pStyle w:val="TableParagraph"/>
              <w:spacing w:line="206" w:lineRule="exact"/>
              <w:ind w:left="153" w:right="48"/>
              <w:jc w:val="center"/>
              <w:rPr>
                <w:rFonts w:ascii="Arial"/>
                <w:sz w:val="18"/>
              </w:rPr>
            </w:pPr>
            <w:r>
              <w:rPr>
                <w:rFonts w:ascii="Arial"/>
                <w:sz w:val="18"/>
              </w:rPr>
              <w:t>6%</w:t>
            </w:r>
          </w:p>
        </w:tc>
        <w:tc>
          <w:tcPr>
            <w:tcW w:w="540" w:type="dxa"/>
            <w:tcBorders>
              <w:left w:val="nil"/>
              <w:right w:val="nil"/>
            </w:tcBorders>
          </w:tcPr>
          <w:p>
            <w:pPr>
              <w:pStyle w:val="TableParagraph"/>
              <w:spacing w:line="206" w:lineRule="exact"/>
              <w:ind w:left="43"/>
              <w:jc w:val="center"/>
              <w:rPr>
                <w:rFonts w:ascii="Arial"/>
                <w:sz w:val="18"/>
              </w:rPr>
            </w:pPr>
            <w:r>
              <w:rPr>
                <w:rFonts w:ascii="Arial"/>
                <w:sz w:val="18"/>
              </w:rPr>
              <w:t>20%</w:t>
            </w:r>
          </w:p>
        </w:tc>
      </w:tr>
      <w:tr>
        <w:trPr>
          <w:trHeight w:val="322" w:hRule="exact"/>
        </w:trPr>
        <w:tc>
          <w:tcPr>
            <w:tcW w:w="3566" w:type="dxa"/>
            <w:tcBorders>
              <w:left w:val="nil"/>
              <w:right w:val="nil"/>
            </w:tcBorders>
          </w:tcPr>
          <w:p>
            <w:pPr>
              <w:pStyle w:val="TableParagraph"/>
              <w:spacing w:line="206" w:lineRule="exact"/>
              <w:ind w:left="80" w:right="584"/>
              <w:rPr>
                <w:rFonts w:ascii="Arial"/>
                <w:sz w:val="18"/>
              </w:rPr>
            </w:pPr>
            <w:r>
              <w:rPr>
                <w:rFonts w:ascii="Arial"/>
                <w:sz w:val="18"/>
              </w:rPr>
              <w:t>Recomendaciones</w:t>
            </w:r>
          </w:p>
        </w:tc>
        <w:tc>
          <w:tcPr>
            <w:tcW w:w="540" w:type="dxa"/>
            <w:tcBorders>
              <w:left w:val="nil"/>
              <w:right w:val="nil"/>
            </w:tcBorders>
          </w:tcPr>
          <w:p>
            <w:pPr>
              <w:pStyle w:val="TableParagraph"/>
              <w:spacing w:line="206" w:lineRule="exact"/>
              <w:ind w:left="47"/>
              <w:jc w:val="center"/>
              <w:rPr>
                <w:rFonts w:ascii="Arial"/>
                <w:sz w:val="18"/>
              </w:rPr>
            </w:pPr>
            <w:r>
              <w:rPr>
                <w:rFonts w:ascii="Arial"/>
                <w:sz w:val="18"/>
              </w:rPr>
              <w:t>20%</w:t>
            </w:r>
          </w:p>
        </w:tc>
        <w:tc>
          <w:tcPr>
            <w:tcW w:w="514" w:type="dxa"/>
            <w:tcBorders>
              <w:left w:val="nil"/>
              <w:right w:val="nil"/>
            </w:tcBorders>
          </w:tcPr>
          <w:p>
            <w:pPr>
              <w:pStyle w:val="TableParagraph"/>
              <w:spacing w:line="206" w:lineRule="exact"/>
              <w:ind w:right="70"/>
              <w:jc w:val="right"/>
              <w:rPr>
                <w:rFonts w:ascii="Arial"/>
                <w:sz w:val="18"/>
              </w:rPr>
            </w:pPr>
            <w:r>
              <w:rPr>
                <w:rFonts w:ascii="Arial"/>
                <w:w w:val="95"/>
                <w:sz w:val="18"/>
              </w:rPr>
              <w:t>9%</w:t>
            </w:r>
          </w:p>
        </w:tc>
        <w:tc>
          <w:tcPr>
            <w:tcW w:w="507" w:type="dxa"/>
            <w:tcBorders>
              <w:left w:val="nil"/>
              <w:right w:val="nil"/>
            </w:tcBorders>
          </w:tcPr>
          <w:p>
            <w:pPr>
              <w:pStyle w:val="TableParagraph"/>
              <w:spacing w:line="206" w:lineRule="exact"/>
              <w:ind w:right="70"/>
              <w:jc w:val="right"/>
              <w:rPr>
                <w:rFonts w:ascii="Arial"/>
                <w:sz w:val="18"/>
              </w:rPr>
            </w:pPr>
            <w:r>
              <w:rPr>
                <w:rFonts w:ascii="Arial"/>
                <w:w w:val="95"/>
                <w:sz w:val="18"/>
              </w:rPr>
              <w:t>7%</w:t>
            </w:r>
          </w:p>
        </w:tc>
        <w:tc>
          <w:tcPr>
            <w:tcW w:w="403" w:type="dxa"/>
            <w:tcBorders>
              <w:left w:val="nil"/>
              <w:right w:val="nil"/>
            </w:tcBorders>
          </w:tcPr>
          <w:p>
            <w:pPr>
              <w:pStyle w:val="TableParagraph"/>
              <w:spacing w:line="206" w:lineRule="exact"/>
              <w:ind w:left="52" w:right="50"/>
              <w:jc w:val="center"/>
              <w:rPr>
                <w:rFonts w:ascii="Arial"/>
                <w:sz w:val="18"/>
              </w:rPr>
            </w:pPr>
            <w:r>
              <w:rPr>
                <w:rFonts w:ascii="Arial"/>
                <w:sz w:val="18"/>
              </w:rPr>
              <w:t>7%</w:t>
            </w:r>
          </w:p>
        </w:tc>
        <w:tc>
          <w:tcPr>
            <w:tcW w:w="540" w:type="dxa"/>
            <w:tcBorders>
              <w:left w:val="nil"/>
              <w:right w:val="nil"/>
            </w:tcBorders>
          </w:tcPr>
          <w:p>
            <w:pPr>
              <w:pStyle w:val="TableParagraph"/>
              <w:spacing w:line="206" w:lineRule="exact"/>
              <w:ind w:right="65"/>
              <w:jc w:val="right"/>
              <w:rPr>
                <w:rFonts w:ascii="Arial"/>
                <w:sz w:val="18"/>
              </w:rPr>
            </w:pPr>
            <w:r>
              <w:rPr>
                <w:rFonts w:ascii="Arial"/>
                <w:w w:val="95"/>
                <w:sz w:val="18"/>
              </w:rPr>
              <w:t>6%</w:t>
            </w:r>
          </w:p>
        </w:tc>
        <w:tc>
          <w:tcPr>
            <w:tcW w:w="410" w:type="dxa"/>
            <w:tcBorders>
              <w:left w:val="nil"/>
              <w:right w:val="nil"/>
            </w:tcBorders>
          </w:tcPr>
          <w:p>
            <w:pPr>
              <w:pStyle w:val="TableParagraph"/>
              <w:spacing w:line="206" w:lineRule="exact"/>
              <w:ind w:left="57" w:right="53"/>
              <w:jc w:val="center"/>
              <w:rPr>
                <w:rFonts w:ascii="Arial"/>
                <w:sz w:val="18"/>
              </w:rPr>
            </w:pPr>
            <w:r>
              <w:rPr>
                <w:rFonts w:ascii="Arial"/>
                <w:sz w:val="18"/>
              </w:rPr>
              <w:t>4%</w:t>
            </w:r>
          </w:p>
        </w:tc>
        <w:tc>
          <w:tcPr>
            <w:tcW w:w="508" w:type="dxa"/>
            <w:tcBorders>
              <w:left w:val="nil"/>
              <w:right w:val="nil"/>
            </w:tcBorders>
          </w:tcPr>
          <w:p>
            <w:pPr>
              <w:pStyle w:val="TableParagraph"/>
              <w:spacing w:line="206" w:lineRule="exact"/>
              <w:ind w:left="153" w:right="54"/>
              <w:jc w:val="center"/>
              <w:rPr>
                <w:rFonts w:ascii="Arial"/>
                <w:sz w:val="18"/>
              </w:rPr>
            </w:pPr>
            <w:r>
              <w:rPr>
                <w:rFonts w:ascii="Arial"/>
                <w:sz w:val="18"/>
              </w:rPr>
              <w:t>2%</w:t>
            </w:r>
          </w:p>
        </w:tc>
        <w:tc>
          <w:tcPr>
            <w:tcW w:w="508" w:type="dxa"/>
            <w:tcBorders>
              <w:left w:val="nil"/>
              <w:right w:val="nil"/>
            </w:tcBorders>
          </w:tcPr>
          <w:p>
            <w:pPr>
              <w:pStyle w:val="TableParagraph"/>
              <w:spacing w:line="206" w:lineRule="exact"/>
              <w:ind w:right="70"/>
              <w:jc w:val="right"/>
              <w:rPr>
                <w:rFonts w:ascii="Arial"/>
                <w:sz w:val="18"/>
              </w:rPr>
            </w:pPr>
            <w:r>
              <w:rPr>
                <w:rFonts w:ascii="Arial"/>
                <w:w w:val="95"/>
                <w:sz w:val="18"/>
              </w:rPr>
              <w:t>9%</w:t>
            </w:r>
          </w:p>
        </w:tc>
        <w:tc>
          <w:tcPr>
            <w:tcW w:w="502" w:type="dxa"/>
            <w:tcBorders>
              <w:left w:val="nil"/>
              <w:right w:val="nil"/>
            </w:tcBorders>
          </w:tcPr>
          <w:p>
            <w:pPr>
              <w:pStyle w:val="TableParagraph"/>
              <w:spacing w:line="206" w:lineRule="exact"/>
              <w:ind w:left="153" w:right="48"/>
              <w:jc w:val="center"/>
              <w:rPr>
                <w:rFonts w:ascii="Arial"/>
                <w:sz w:val="18"/>
              </w:rPr>
            </w:pPr>
            <w:r>
              <w:rPr>
                <w:rFonts w:ascii="Arial"/>
                <w:sz w:val="18"/>
              </w:rPr>
              <w:t>6%</w:t>
            </w:r>
          </w:p>
        </w:tc>
        <w:tc>
          <w:tcPr>
            <w:tcW w:w="540" w:type="dxa"/>
            <w:tcBorders>
              <w:left w:val="nil"/>
              <w:right w:val="nil"/>
            </w:tcBorders>
            <w:shd w:val="clear" w:color="auto" w:fill="D9D9D9"/>
          </w:tcPr>
          <w:p>
            <w:pPr>
              <w:pStyle w:val="TableParagraph"/>
              <w:spacing w:line="201" w:lineRule="exact"/>
              <w:ind w:left="44"/>
              <w:jc w:val="center"/>
              <w:rPr>
                <w:rFonts w:ascii="Arial"/>
                <w:b/>
                <w:sz w:val="18"/>
              </w:rPr>
            </w:pPr>
            <w:r>
              <w:rPr>
                <w:rFonts w:ascii="Arial"/>
                <w:b/>
                <w:sz w:val="18"/>
              </w:rPr>
              <w:t>30%</w:t>
            </w:r>
          </w:p>
        </w:tc>
      </w:tr>
      <w:tr>
        <w:trPr>
          <w:trHeight w:val="319" w:hRule="exact"/>
        </w:trPr>
        <w:tc>
          <w:tcPr>
            <w:tcW w:w="3566" w:type="dxa"/>
            <w:tcBorders>
              <w:left w:val="nil"/>
              <w:right w:val="nil"/>
            </w:tcBorders>
          </w:tcPr>
          <w:p>
            <w:pPr>
              <w:pStyle w:val="TableParagraph"/>
              <w:spacing w:line="206" w:lineRule="exact"/>
              <w:ind w:left="80" w:right="584"/>
              <w:rPr>
                <w:rFonts w:ascii="Arial" w:hAnsi="Arial"/>
                <w:sz w:val="18"/>
              </w:rPr>
            </w:pPr>
            <w:r>
              <w:rPr>
                <w:rFonts w:ascii="Arial" w:hAnsi="Arial"/>
                <w:sz w:val="18"/>
              </w:rPr>
              <w:t>Género (ser hombre)</w:t>
            </w:r>
          </w:p>
        </w:tc>
        <w:tc>
          <w:tcPr>
            <w:tcW w:w="540" w:type="dxa"/>
            <w:tcBorders>
              <w:left w:val="nil"/>
              <w:right w:val="nil"/>
            </w:tcBorders>
          </w:tcPr>
          <w:p>
            <w:pPr>
              <w:pStyle w:val="TableParagraph"/>
              <w:spacing w:line="206" w:lineRule="exact"/>
              <w:ind w:left="47"/>
              <w:jc w:val="center"/>
              <w:rPr>
                <w:rFonts w:ascii="Arial"/>
                <w:sz w:val="18"/>
              </w:rPr>
            </w:pPr>
            <w:r>
              <w:rPr>
                <w:rFonts w:ascii="Arial"/>
                <w:sz w:val="18"/>
              </w:rPr>
              <w:t>13%</w:t>
            </w:r>
          </w:p>
        </w:tc>
        <w:tc>
          <w:tcPr>
            <w:tcW w:w="514" w:type="dxa"/>
            <w:tcBorders>
              <w:left w:val="nil"/>
              <w:right w:val="nil"/>
            </w:tcBorders>
          </w:tcPr>
          <w:p>
            <w:pPr>
              <w:pStyle w:val="TableParagraph"/>
              <w:spacing w:line="206" w:lineRule="exact"/>
              <w:ind w:right="70"/>
              <w:jc w:val="right"/>
              <w:rPr>
                <w:rFonts w:ascii="Arial"/>
                <w:sz w:val="18"/>
              </w:rPr>
            </w:pPr>
            <w:r>
              <w:rPr>
                <w:rFonts w:ascii="Arial"/>
                <w:w w:val="95"/>
                <w:sz w:val="18"/>
              </w:rPr>
              <w:t>4%</w:t>
            </w:r>
          </w:p>
        </w:tc>
        <w:tc>
          <w:tcPr>
            <w:tcW w:w="507" w:type="dxa"/>
            <w:tcBorders>
              <w:left w:val="nil"/>
              <w:right w:val="nil"/>
            </w:tcBorders>
          </w:tcPr>
          <w:p>
            <w:pPr>
              <w:pStyle w:val="TableParagraph"/>
              <w:spacing w:line="206" w:lineRule="exact"/>
              <w:ind w:right="70"/>
              <w:jc w:val="right"/>
              <w:rPr>
                <w:rFonts w:ascii="Arial"/>
                <w:sz w:val="18"/>
              </w:rPr>
            </w:pPr>
            <w:r>
              <w:rPr>
                <w:rFonts w:ascii="Arial"/>
                <w:w w:val="95"/>
                <w:sz w:val="18"/>
              </w:rPr>
              <w:t>4%</w:t>
            </w:r>
          </w:p>
        </w:tc>
        <w:tc>
          <w:tcPr>
            <w:tcW w:w="403" w:type="dxa"/>
            <w:tcBorders>
              <w:left w:val="nil"/>
              <w:right w:val="nil"/>
            </w:tcBorders>
          </w:tcPr>
          <w:p>
            <w:pPr>
              <w:pStyle w:val="TableParagraph"/>
              <w:spacing w:line="206" w:lineRule="exact"/>
              <w:ind w:left="52" w:right="50"/>
              <w:jc w:val="center"/>
              <w:rPr>
                <w:rFonts w:ascii="Arial"/>
                <w:sz w:val="18"/>
              </w:rPr>
            </w:pPr>
            <w:r>
              <w:rPr>
                <w:rFonts w:ascii="Arial"/>
                <w:sz w:val="18"/>
              </w:rPr>
              <w:t>6%</w:t>
            </w:r>
          </w:p>
        </w:tc>
        <w:tc>
          <w:tcPr>
            <w:tcW w:w="540" w:type="dxa"/>
            <w:tcBorders>
              <w:left w:val="nil"/>
              <w:right w:val="nil"/>
            </w:tcBorders>
          </w:tcPr>
          <w:p>
            <w:pPr>
              <w:pStyle w:val="TableParagraph"/>
              <w:spacing w:line="206" w:lineRule="exact"/>
              <w:ind w:right="65"/>
              <w:jc w:val="right"/>
              <w:rPr>
                <w:rFonts w:ascii="Arial"/>
                <w:sz w:val="18"/>
              </w:rPr>
            </w:pPr>
            <w:r>
              <w:rPr>
                <w:rFonts w:ascii="Arial"/>
                <w:w w:val="95"/>
                <w:sz w:val="18"/>
              </w:rPr>
              <w:t>4%</w:t>
            </w:r>
          </w:p>
        </w:tc>
        <w:tc>
          <w:tcPr>
            <w:tcW w:w="410" w:type="dxa"/>
            <w:tcBorders>
              <w:left w:val="nil"/>
              <w:right w:val="nil"/>
            </w:tcBorders>
          </w:tcPr>
          <w:p>
            <w:pPr>
              <w:pStyle w:val="TableParagraph"/>
              <w:spacing w:line="206" w:lineRule="exact"/>
              <w:ind w:left="57" w:right="53"/>
              <w:jc w:val="center"/>
              <w:rPr>
                <w:rFonts w:ascii="Arial"/>
                <w:sz w:val="18"/>
              </w:rPr>
            </w:pPr>
            <w:r>
              <w:rPr>
                <w:rFonts w:ascii="Arial"/>
                <w:sz w:val="18"/>
              </w:rPr>
              <w:t>4%</w:t>
            </w:r>
          </w:p>
        </w:tc>
        <w:tc>
          <w:tcPr>
            <w:tcW w:w="508" w:type="dxa"/>
            <w:tcBorders>
              <w:left w:val="nil"/>
              <w:right w:val="nil"/>
            </w:tcBorders>
          </w:tcPr>
          <w:p>
            <w:pPr>
              <w:pStyle w:val="TableParagraph"/>
              <w:spacing w:line="206" w:lineRule="exact"/>
              <w:ind w:left="153" w:right="54"/>
              <w:jc w:val="center"/>
              <w:rPr>
                <w:rFonts w:ascii="Arial"/>
                <w:sz w:val="18"/>
              </w:rPr>
            </w:pPr>
            <w:r>
              <w:rPr>
                <w:rFonts w:ascii="Arial"/>
                <w:sz w:val="18"/>
              </w:rPr>
              <w:t>2%</w:t>
            </w:r>
          </w:p>
        </w:tc>
        <w:tc>
          <w:tcPr>
            <w:tcW w:w="508" w:type="dxa"/>
            <w:tcBorders>
              <w:left w:val="nil"/>
              <w:right w:val="nil"/>
            </w:tcBorders>
          </w:tcPr>
          <w:p>
            <w:pPr>
              <w:pStyle w:val="TableParagraph"/>
              <w:spacing w:line="206" w:lineRule="exact"/>
              <w:ind w:right="70"/>
              <w:jc w:val="right"/>
              <w:rPr>
                <w:rFonts w:ascii="Arial"/>
                <w:sz w:val="18"/>
              </w:rPr>
            </w:pPr>
            <w:r>
              <w:rPr>
                <w:rFonts w:ascii="Arial"/>
                <w:w w:val="95"/>
                <w:sz w:val="18"/>
              </w:rPr>
              <w:t>11%</w:t>
            </w:r>
          </w:p>
        </w:tc>
        <w:tc>
          <w:tcPr>
            <w:tcW w:w="502" w:type="dxa"/>
            <w:tcBorders>
              <w:left w:val="nil"/>
              <w:right w:val="nil"/>
            </w:tcBorders>
          </w:tcPr>
          <w:p>
            <w:pPr>
              <w:pStyle w:val="TableParagraph"/>
              <w:spacing w:line="206" w:lineRule="exact"/>
              <w:ind w:left="153" w:right="48"/>
              <w:jc w:val="center"/>
              <w:rPr>
                <w:rFonts w:ascii="Arial"/>
                <w:sz w:val="18"/>
              </w:rPr>
            </w:pPr>
            <w:r>
              <w:rPr>
                <w:rFonts w:ascii="Arial"/>
                <w:sz w:val="18"/>
              </w:rPr>
              <w:t>4%</w:t>
            </w:r>
          </w:p>
        </w:tc>
        <w:tc>
          <w:tcPr>
            <w:tcW w:w="540" w:type="dxa"/>
            <w:tcBorders>
              <w:left w:val="nil"/>
              <w:right w:val="nil"/>
            </w:tcBorders>
            <w:shd w:val="clear" w:color="auto" w:fill="D9D9D9"/>
          </w:tcPr>
          <w:p>
            <w:pPr>
              <w:pStyle w:val="TableParagraph"/>
              <w:spacing w:line="201" w:lineRule="exact"/>
              <w:ind w:left="44"/>
              <w:jc w:val="center"/>
              <w:rPr>
                <w:rFonts w:ascii="Arial"/>
                <w:b/>
                <w:sz w:val="18"/>
              </w:rPr>
            </w:pPr>
            <w:r>
              <w:rPr>
                <w:rFonts w:ascii="Arial"/>
                <w:b/>
                <w:sz w:val="18"/>
              </w:rPr>
              <w:t>50%</w:t>
            </w:r>
          </w:p>
        </w:tc>
      </w:tr>
      <w:tr>
        <w:trPr>
          <w:trHeight w:val="322" w:hRule="exact"/>
        </w:trPr>
        <w:tc>
          <w:tcPr>
            <w:tcW w:w="3566" w:type="dxa"/>
            <w:tcBorders>
              <w:left w:val="nil"/>
              <w:right w:val="nil"/>
            </w:tcBorders>
          </w:tcPr>
          <w:p>
            <w:pPr>
              <w:pStyle w:val="TableParagraph"/>
              <w:spacing w:before="1"/>
              <w:ind w:left="80" w:right="584"/>
              <w:rPr>
                <w:rFonts w:ascii="Arial" w:hAnsi="Arial"/>
                <w:sz w:val="18"/>
              </w:rPr>
            </w:pPr>
            <w:r>
              <w:rPr>
                <w:rFonts w:ascii="Arial" w:hAnsi="Arial"/>
                <w:sz w:val="18"/>
              </w:rPr>
              <w:t>Género (ser mujer)</w:t>
            </w:r>
          </w:p>
        </w:tc>
        <w:tc>
          <w:tcPr>
            <w:tcW w:w="540" w:type="dxa"/>
            <w:tcBorders>
              <w:left w:val="nil"/>
              <w:right w:val="nil"/>
            </w:tcBorders>
          </w:tcPr>
          <w:p>
            <w:pPr>
              <w:pStyle w:val="TableParagraph"/>
              <w:spacing w:before="1"/>
              <w:ind w:left="47"/>
              <w:jc w:val="center"/>
              <w:rPr>
                <w:rFonts w:ascii="Arial"/>
                <w:sz w:val="18"/>
              </w:rPr>
            </w:pPr>
            <w:r>
              <w:rPr>
                <w:rFonts w:ascii="Arial"/>
                <w:sz w:val="18"/>
              </w:rPr>
              <w:t>17%</w:t>
            </w:r>
          </w:p>
        </w:tc>
        <w:tc>
          <w:tcPr>
            <w:tcW w:w="514" w:type="dxa"/>
            <w:tcBorders>
              <w:left w:val="nil"/>
              <w:right w:val="nil"/>
            </w:tcBorders>
          </w:tcPr>
          <w:p>
            <w:pPr>
              <w:pStyle w:val="TableParagraph"/>
              <w:spacing w:before="1"/>
              <w:ind w:right="70"/>
              <w:jc w:val="right"/>
              <w:rPr>
                <w:rFonts w:ascii="Arial"/>
                <w:sz w:val="18"/>
              </w:rPr>
            </w:pPr>
            <w:r>
              <w:rPr>
                <w:rFonts w:ascii="Arial"/>
                <w:w w:val="95"/>
                <w:sz w:val="18"/>
              </w:rPr>
              <w:t>7%</w:t>
            </w:r>
          </w:p>
        </w:tc>
        <w:tc>
          <w:tcPr>
            <w:tcW w:w="507" w:type="dxa"/>
            <w:tcBorders>
              <w:left w:val="nil"/>
              <w:right w:val="nil"/>
            </w:tcBorders>
          </w:tcPr>
          <w:p>
            <w:pPr>
              <w:pStyle w:val="TableParagraph"/>
              <w:spacing w:before="1"/>
              <w:ind w:right="70"/>
              <w:jc w:val="right"/>
              <w:rPr>
                <w:rFonts w:ascii="Arial"/>
                <w:sz w:val="18"/>
              </w:rPr>
            </w:pPr>
            <w:r>
              <w:rPr>
                <w:rFonts w:ascii="Arial"/>
                <w:w w:val="95"/>
                <w:sz w:val="18"/>
              </w:rPr>
              <w:t>2%</w:t>
            </w:r>
          </w:p>
        </w:tc>
        <w:tc>
          <w:tcPr>
            <w:tcW w:w="403" w:type="dxa"/>
            <w:tcBorders>
              <w:left w:val="nil"/>
              <w:right w:val="nil"/>
            </w:tcBorders>
          </w:tcPr>
          <w:p>
            <w:pPr>
              <w:pStyle w:val="TableParagraph"/>
              <w:spacing w:before="1"/>
              <w:ind w:left="52" w:right="50"/>
              <w:jc w:val="center"/>
              <w:rPr>
                <w:rFonts w:ascii="Arial"/>
                <w:sz w:val="18"/>
              </w:rPr>
            </w:pPr>
            <w:r>
              <w:rPr>
                <w:rFonts w:ascii="Arial"/>
                <w:sz w:val="18"/>
              </w:rPr>
              <w:t>6%</w:t>
            </w:r>
          </w:p>
        </w:tc>
        <w:tc>
          <w:tcPr>
            <w:tcW w:w="540" w:type="dxa"/>
            <w:tcBorders>
              <w:left w:val="nil"/>
              <w:right w:val="nil"/>
            </w:tcBorders>
          </w:tcPr>
          <w:p>
            <w:pPr>
              <w:pStyle w:val="TableParagraph"/>
              <w:spacing w:before="1"/>
              <w:ind w:right="65"/>
              <w:jc w:val="right"/>
              <w:rPr>
                <w:rFonts w:ascii="Arial"/>
                <w:sz w:val="18"/>
              </w:rPr>
            </w:pPr>
            <w:r>
              <w:rPr>
                <w:rFonts w:ascii="Arial"/>
                <w:w w:val="95"/>
                <w:sz w:val="18"/>
              </w:rPr>
              <w:t>2%</w:t>
            </w:r>
          </w:p>
        </w:tc>
        <w:tc>
          <w:tcPr>
            <w:tcW w:w="410" w:type="dxa"/>
            <w:tcBorders>
              <w:left w:val="nil"/>
              <w:right w:val="nil"/>
            </w:tcBorders>
          </w:tcPr>
          <w:p>
            <w:pPr>
              <w:pStyle w:val="TableParagraph"/>
              <w:spacing w:before="1"/>
              <w:ind w:left="57" w:right="53"/>
              <w:jc w:val="center"/>
              <w:rPr>
                <w:rFonts w:ascii="Arial"/>
                <w:sz w:val="18"/>
              </w:rPr>
            </w:pPr>
            <w:r>
              <w:rPr>
                <w:rFonts w:ascii="Arial"/>
                <w:sz w:val="18"/>
              </w:rPr>
              <w:t>6%</w:t>
            </w:r>
          </w:p>
        </w:tc>
        <w:tc>
          <w:tcPr>
            <w:tcW w:w="508" w:type="dxa"/>
            <w:tcBorders>
              <w:left w:val="nil"/>
              <w:right w:val="nil"/>
            </w:tcBorders>
          </w:tcPr>
          <w:p>
            <w:pPr>
              <w:pStyle w:val="TableParagraph"/>
              <w:spacing w:before="1"/>
              <w:ind w:left="153" w:right="54"/>
              <w:jc w:val="center"/>
              <w:rPr>
                <w:rFonts w:ascii="Arial"/>
                <w:sz w:val="18"/>
              </w:rPr>
            </w:pPr>
            <w:r>
              <w:rPr>
                <w:rFonts w:ascii="Arial"/>
                <w:sz w:val="18"/>
              </w:rPr>
              <w:t>4%</w:t>
            </w:r>
          </w:p>
        </w:tc>
        <w:tc>
          <w:tcPr>
            <w:tcW w:w="508" w:type="dxa"/>
            <w:tcBorders>
              <w:left w:val="nil"/>
              <w:right w:val="nil"/>
            </w:tcBorders>
          </w:tcPr>
          <w:p>
            <w:pPr>
              <w:pStyle w:val="TableParagraph"/>
              <w:spacing w:before="1"/>
              <w:ind w:right="70"/>
              <w:jc w:val="right"/>
              <w:rPr>
                <w:rFonts w:ascii="Arial"/>
                <w:sz w:val="18"/>
              </w:rPr>
            </w:pPr>
            <w:r>
              <w:rPr>
                <w:rFonts w:ascii="Arial"/>
                <w:w w:val="95"/>
                <w:sz w:val="18"/>
              </w:rPr>
              <w:t>6%</w:t>
            </w:r>
          </w:p>
        </w:tc>
        <w:tc>
          <w:tcPr>
            <w:tcW w:w="502" w:type="dxa"/>
            <w:tcBorders>
              <w:left w:val="nil"/>
              <w:right w:val="nil"/>
            </w:tcBorders>
          </w:tcPr>
          <w:p>
            <w:pPr>
              <w:pStyle w:val="TableParagraph"/>
              <w:spacing w:before="1"/>
              <w:ind w:left="153" w:right="48"/>
              <w:jc w:val="center"/>
              <w:rPr>
                <w:rFonts w:ascii="Arial"/>
                <w:sz w:val="18"/>
              </w:rPr>
            </w:pPr>
            <w:r>
              <w:rPr>
                <w:rFonts w:ascii="Arial"/>
                <w:sz w:val="18"/>
              </w:rPr>
              <w:t>6%</w:t>
            </w:r>
          </w:p>
        </w:tc>
        <w:tc>
          <w:tcPr>
            <w:tcW w:w="540" w:type="dxa"/>
            <w:tcBorders>
              <w:left w:val="nil"/>
              <w:right w:val="nil"/>
            </w:tcBorders>
            <w:shd w:val="clear" w:color="auto" w:fill="D9D9D9"/>
          </w:tcPr>
          <w:p>
            <w:pPr>
              <w:pStyle w:val="TableParagraph"/>
              <w:spacing w:line="204" w:lineRule="exact"/>
              <w:ind w:left="44"/>
              <w:jc w:val="center"/>
              <w:rPr>
                <w:rFonts w:ascii="Arial"/>
                <w:b/>
                <w:sz w:val="18"/>
              </w:rPr>
            </w:pPr>
            <w:r>
              <w:rPr>
                <w:rFonts w:ascii="Arial"/>
                <w:b/>
                <w:sz w:val="18"/>
              </w:rPr>
              <w:t>46%</w:t>
            </w:r>
          </w:p>
        </w:tc>
      </w:tr>
      <w:tr>
        <w:trPr>
          <w:trHeight w:val="319" w:hRule="exact"/>
        </w:trPr>
        <w:tc>
          <w:tcPr>
            <w:tcW w:w="3566" w:type="dxa"/>
            <w:tcBorders>
              <w:left w:val="nil"/>
              <w:right w:val="nil"/>
            </w:tcBorders>
          </w:tcPr>
          <w:p>
            <w:pPr>
              <w:pStyle w:val="TableParagraph"/>
              <w:spacing w:line="206" w:lineRule="exact"/>
              <w:ind w:left="80" w:right="584"/>
              <w:rPr>
                <w:rFonts w:ascii="Arial"/>
                <w:sz w:val="18"/>
              </w:rPr>
            </w:pPr>
            <w:r>
              <w:rPr>
                <w:rFonts w:ascii="Arial"/>
                <w:sz w:val="18"/>
              </w:rPr>
              <w:t>Edad</w:t>
            </w:r>
          </w:p>
        </w:tc>
        <w:tc>
          <w:tcPr>
            <w:tcW w:w="540" w:type="dxa"/>
            <w:tcBorders>
              <w:left w:val="nil"/>
              <w:right w:val="nil"/>
            </w:tcBorders>
          </w:tcPr>
          <w:p>
            <w:pPr>
              <w:pStyle w:val="TableParagraph"/>
              <w:spacing w:line="206" w:lineRule="exact"/>
              <w:ind w:left="47"/>
              <w:jc w:val="center"/>
              <w:rPr>
                <w:rFonts w:ascii="Arial"/>
                <w:sz w:val="18"/>
              </w:rPr>
            </w:pPr>
            <w:r>
              <w:rPr>
                <w:rFonts w:ascii="Arial"/>
                <w:sz w:val="18"/>
              </w:rPr>
              <w:t>13%</w:t>
            </w:r>
          </w:p>
        </w:tc>
        <w:tc>
          <w:tcPr>
            <w:tcW w:w="514" w:type="dxa"/>
            <w:tcBorders>
              <w:left w:val="nil"/>
              <w:right w:val="nil"/>
            </w:tcBorders>
          </w:tcPr>
          <w:p>
            <w:pPr>
              <w:pStyle w:val="TableParagraph"/>
              <w:spacing w:line="206" w:lineRule="exact"/>
              <w:ind w:right="70"/>
              <w:jc w:val="right"/>
              <w:rPr>
                <w:rFonts w:ascii="Arial"/>
                <w:sz w:val="18"/>
              </w:rPr>
            </w:pPr>
            <w:r>
              <w:rPr>
                <w:rFonts w:ascii="Arial"/>
                <w:w w:val="95"/>
                <w:sz w:val="18"/>
              </w:rPr>
              <w:t>7%</w:t>
            </w:r>
          </w:p>
        </w:tc>
        <w:tc>
          <w:tcPr>
            <w:tcW w:w="507" w:type="dxa"/>
            <w:tcBorders>
              <w:left w:val="nil"/>
              <w:right w:val="nil"/>
            </w:tcBorders>
          </w:tcPr>
          <w:p>
            <w:pPr>
              <w:pStyle w:val="TableParagraph"/>
              <w:spacing w:line="206" w:lineRule="exact"/>
              <w:ind w:right="70"/>
              <w:jc w:val="right"/>
              <w:rPr>
                <w:rFonts w:ascii="Arial"/>
                <w:sz w:val="18"/>
              </w:rPr>
            </w:pPr>
            <w:r>
              <w:rPr>
                <w:rFonts w:ascii="Arial"/>
                <w:w w:val="95"/>
                <w:sz w:val="18"/>
              </w:rPr>
              <w:t>7%</w:t>
            </w:r>
          </w:p>
        </w:tc>
        <w:tc>
          <w:tcPr>
            <w:tcW w:w="403" w:type="dxa"/>
            <w:tcBorders>
              <w:left w:val="nil"/>
              <w:right w:val="nil"/>
            </w:tcBorders>
          </w:tcPr>
          <w:p>
            <w:pPr>
              <w:pStyle w:val="TableParagraph"/>
              <w:spacing w:line="206" w:lineRule="exact"/>
              <w:ind w:left="52" w:right="50"/>
              <w:jc w:val="center"/>
              <w:rPr>
                <w:rFonts w:ascii="Arial"/>
                <w:sz w:val="18"/>
              </w:rPr>
            </w:pPr>
            <w:r>
              <w:rPr>
                <w:rFonts w:ascii="Arial"/>
                <w:sz w:val="18"/>
              </w:rPr>
              <w:t>9%</w:t>
            </w:r>
          </w:p>
        </w:tc>
        <w:tc>
          <w:tcPr>
            <w:tcW w:w="540" w:type="dxa"/>
            <w:tcBorders>
              <w:left w:val="nil"/>
              <w:right w:val="nil"/>
            </w:tcBorders>
          </w:tcPr>
          <w:p>
            <w:pPr>
              <w:pStyle w:val="TableParagraph"/>
              <w:spacing w:line="206" w:lineRule="exact"/>
              <w:ind w:right="65"/>
              <w:jc w:val="right"/>
              <w:rPr>
                <w:rFonts w:ascii="Arial"/>
                <w:sz w:val="18"/>
              </w:rPr>
            </w:pPr>
            <w:r>
              <w:rPr>
                <w:rFonts w:ascii="Arial"/>
                <w:w w:val="95"/>
                <w:sz w:val="18"/>
              </w:rPr>
              <w:t>7%</w:t>
            </w:r>
          </w:p>
        </w:tc>
        <w:tc>
          <w:tcPr>
            <w:tcW w:w="410" w:type="dxa"/>
            <w:tcBorders>
              <w:left w:val="nil"/>
              <w:right w:val="nil"/>
            </w:tcBorders>
          </w:tcPr>
          <w:p>
            <w:pPr>
              <w:pStyle w:val="TableParagraph"/>
              <w:spacing w:line="206" w:lineRule="exact"/>
              <w:ind w:left="57" w:right="53"/>
              <w:jc w:val="center"/>
              <w:rPr>
                <w:rFonts w:ascii="Arial"/>
                <w:sz w:val="18"/>
              </w:rPr>
            </w:pPr>
            <w:r>
              <w:rPr>
                <w:rFonts w:ascii="Arial"/>
                <w:sz w:val="18"/>
              </w:rPr>
              <w:t>9%</w:t>
            </w:r>
          </w:p>
        </w:tc>
        <w:tc>
          <w:tcPr>
            <w:tcW w:w="508" w:type="dxa"/>
            <w:tcBorders>
              <w:left w:val="nil"/>
              <w:right w:val="nil"/>
            </w:tcBorders>
          </w:tcPr>
          <w:p>
            <w:pPr>
              <w:pStyle w:val="TableParagraph"/>
              <w:spacing w:line="206" w:lineRule="exact"/>
              <w:ind w:left="153" w:right="54"/>
              <w:jc w:val="center"/>
              <w:rPr>
                <w:rFonts w:ascii="Arial"/>
                <w:sz w:val="18"/>
              </w:rPr>
            </w:pPr>
            <w:r>
              <w:rPr>
                <w:rFonts w:ascii="Arial"/>
                <w:sz w:val="18"/>
              </w:rPr>
              <w:t>2%</w:t>
            </w:r>
          </w:p>
        </w:tc>
        <w:tc>
          <w:tcPr>
            <w:tcW w:w="508" w:type="dxa"/>
            <w:tcBorders>
              <w:left w:val="nil"/>
              <w:right w:val="nil"/>
            </w:tcBorders>
          </w:tcPr>
          <w:p>
            <w:pPr>
              <w:pStyle w:val="TableParagraph"/>
              <w:spacing w:line="206" w:lineRule="exact"/>
              <w:ind w:right="70"/>
              <w:jc w:val="right"/>
              <w:rPr>
                <w:rFonts w:ascii="Arial"/>
                <w:sz w:val="18"/>
              </w:rPr>
            </w:pPr>
            <w:r>
              <w:rPr>
                <w:rFonts w:ascii="Arial"/>
                <w:w w:val="95"/>
                <w:sz w:val="18"/>
              </w:rPr>
              <w:t>13%</w:t>
            </w:r>
          </w:p>
        </w:tc>
        <w:tc>
          <w:tcPr>
            <w:tcW w:w="502" w:type="dxa"/>
            <w:tcBorders>
              <w:left w:val="nil"/>
              <w:right w:val="nil"/>
            </w:tcBorders>
          </w:tcPr>
          <w:p>
            <w:pPr>
              <w:pStyle w:val="TableParagraph"/>
              <w:spacing w:line="206" w:lineRule="exact"/>
              <w:ind w:left="153" w:right="48"/>
              <w:jc w:val="center"/>
              <w:rPr>
                <w:rFonts w:ascii="Arial"/>
                <w:sz w:val="18"/>
              </w:rPr>
            </w:pPr>
            <w:r>
              <w:rPr>
                <w:rFonts w:ascii="Arial"/>
                <w:sz w:val="18"/>
              </w:rPr>
              <w:t>7%</w:t>
            </w:r>
          </w:p>
        </w:tc>
        <w:tc>
          <w:tcPr>
            <w:tcW w:w="540" w:type="dxa"/>
            <w:tcBorders>
              <w:left w:val="nil"/>
              <w:right w:val="nil"/>
            </w:tcBorders>
            <w:shd w:val="clear" w:color="auto" w:fill="D9D9D9"/>
          </w:tcPr>
          <w:p>
            <w:pPr>
              <w:pStyle w:val="TableParagraph"/>
              <w:spacing w:line="201" w:lineRule="exact"/>
              <w:ind w:left="44"/>
              <w:jc w:val="center"/>
              <w:rPr>
                <w:rFonts w:ascii="Arial"/>
                <w:b/>
                <w:sz w:val="18"/>
              </w:rPr>
            </w:pPr>
            <w:r>
              <w:rPr>
                <w:rFonts w:ascii="Arial"/>
                <w:b/>
                <w:sz w:val="18"/>
              </w:rPr>
              <w:t>24%</w:t>
            </w:r>
          </w:p>
        </w:tc>
      </w:tr>
      <w:tr>
        <w:trPr>
          <w:trHeight w:val="324" w:hRule="exact"/>
        </w:trPr>
        <w:tc>
          <w:tcPr>
            <w:tcW w:w="3566" w:type="dxa"/>
            <w:tcBorders>
              <w:left w:val="nil"/>
              <w:right w:val="nil"/>
            </w:tcBorders>
          </w:tcPr>
          <w:p>
            <w:pPr>
              <w:pStyle w:val="TableParagraph"/>
              <w:spacing w:before="1"/>
              <w:ind w:left="80" w:right="584"/>
              <w:rPr>
                <w:rFonts w:ascii="Arial"/>
                <w:sz w:val="18"/>
              </w:rPr>
            </w:pPr>
            <w:r>
              <w:rPr>
                <w:rFonts w:ascii="Arial"/>
                <w:sz w:val="18"/>
              </w:rPr>
              <w:t>Estado civil</w:t>
            </w:r>
          </w:p>
        </w:tc>
        <w:tc>
          <w:tcPr>
            <w:tcW w:w="540" w:type="dxa"/>
            <w:tcBorders>
              <w:left w:val="nil"/>
              <w:right w:val="nil"/>
            </w:tcBorders>
          </w:tcPr>
          <w:p>
            <w:pPr>
              <w:pStyle w:val="TableParagraph"/>
              <w:spacing w:before="1"/>
              <w:ind w:left="47"/>
              <w:jc w:val="center"/>
              <w:rPr>
                <w:rFonts w:ascii="Arial"/>
                <w:sz w:val="18"/>
              </w:rPr>
            </w:pPr>
            <w:r>
              <w:rPr>
                <w:rFonts w:ascii="Arial"/>
                <w:sz w:val="18"/>
              </w:rPr>
              <w:t>17%</w:t>
            </w:r>
          </w:p>
        </w:tc>
        <w:tc>
          <w:tcPr>
            <w:tcW w:w="514" w:type="dxa"/>
            <w:tcBorders>
              <w:left w:val="nil"/>
              <w:right w:val="nil"/>
            </w:tcBorders>
          </w:tcPr>
          <w:p>
            <w:pPr>
              <w:pStyle w:val="TableParagraph"/>
              <w:spacing w:before="1"/>
              <w:ind w:right="70"/>
              <w:jc w:val="right"/>
              <w:rPr>
                <w:rFonts w:ascii="Arial"/>
                <w:sz w:val="18"/>
              </w:rPr>
            </w:pPr>
            <w:r>
              <w:rPr>
                <w:rFonts w:ascii="Arial"/>
                <w:w w:val="95"/>
                <w:sz w:val="18"/>
              </w:rPr>
              <w:t>11%</w:t>
            </w:r>
          </w:p>
        </w:tc>
        <w:tc>
          <w:tcPr>
            <w:tcW w:w="507" w:type="dxa"/>
            <w:tcBorders>
              <w:left w:val="nil"/>
              <w:right w:val="nil"/>
            </w:tcBorders>
          </w:tcPr>
          <w:p>
            <w:pPr>
              <w:pStyle w:val="TableParagraph"/>
              <w:spacing w:before="1"/>
              <w:ind w:right="70"/>
              <w:jc w:val="right"/>
              <w:rPr>
                <w:rFonts w:ascii="Arial"/>
                <w:sz w:val="18"/>
              </w:rPr>
            </w:pPr>
            <w:r>
              <w:rPr>
                <w:rFonts w:ascii="Arial"/>
                <w:w w:val="95"/>
                <w:sz w:val="18"/>
              </w:rPr>
              <w:t>6%</w:t>
            </w:r>
          </w:p>
        </w:tc>
        <w:tc>
          <w:tcPr>
            <w:tcW w:w="403" w:type="dxa"/>
            <w:tcBorders>
              <w:left w:val="nil"/>
              <w:right w:val="nil"/>
            </w:tcBorders>
          </w:tcPr>
          <w:p>
            <w:pPr>
              <w:pStyle w:val="TableParagraph"/>
              <w:spacing w:before="1"/>
              <w:ind w:left="52" w:right="50"/>
              <w:jc w:val="center"/>
              <w:rPr>
                <w:rFonts w:ascii="Arial"/>
                <w:sz w:val="18"/>
              </w:rPr>
            </w:pPr>
            <w:r>
              <w:rPr>
                <w:rFonts w:ascii="Arial"/>
                <w:sz w:val="18"/>
              </w:rPr>
              <w:t>0%</w:t>
            </w:r>
          </w:p>
        </w:tc>
        <w:tc>
          <w:tcPr>
            <w:tcW w:w="540" w:type="dxa"/>
            <w:tcBorders>
              <w:left w:val="nil"/>
              <w:right w:val="nil"/>
            </w:tcBorders>
          </w:tcPr>
          <w:p>
            <w:pPr>
              <w:pStyle w:val="TableParagraph"/>
              <w:spacing w:before="1"/>
              <w:ind w:right="65"/>
              <w:jc w:val="right"/>
              <w:rPr>
                <w:rFonts w:ascii="Arial"/>
                <w:sz w:val="18"/>
              </w:rPr>
            </w:pPr>
            <w:r>
              <w:rPr>
                <w:rFonts w:ascii="Arial"/>
                <w:w w:val="95"/>
                <w:sz w:val="18"/>
              </w:rPr>
              <w:t>6%</w:t>
            </w:r>
          </w:p>
        </w:tc>
        <w:tc>
          <w:tcPr>
            <w:tcW w:w="410" w:type="dxa"/>
            <w:tcBorders>
              <w:left w:val="nil"/>
              <w:right w:val="nil"/>
            </w:tcBorders>
          </w:tcPr>
          <w:p>
            <w:pPr>
              <w:pStyle w:val="TableParagraph"/>
              <w:spacing w:before="1"/>
              <w:ind w:left="57" w:right="53"/>
              <w:jc w:val="center"/>
              <w:rPr>
                <w:rFonts w:ascii="Arial"/>
                <w:sz w:val="18"/>
              </w:rPr>
            </w:pPr>
            <w:r>
              <w:rPr>
                <w:rFonts w:ascii="Arial"/>
                <w:sz w:val="18"/>
              </w:rPr>
              <w:t>4%</w:t>
            </w:r>
          </w:p>
        </w:tc>
        <w:tc>
          <w:tcPr>
            <w:tcW w:w="508" w:type="dxa"/>
            <w:tcBorders>
              <w:left w:val="nil"/>
              <w:right w:val="nil"/>
            </w:tcBorders>
          </w:tcPr>
          <w:p>
            <w:pPr>
              <w:pStyle w:val="TableParagraph"/>
              <w:spacing w:before="1"/>
              <w:ind w:left="153" w:right="54"/>
              <w:jc w:val="center"/>
              <w:rPr>
                <w:rFonts w:ascii="Arial"/>
                <w:sz w:val="18"/>
              </w:rPr>
            </w:pPr>
            <w:r>
              <w:rPr>
                <w:rFonts w:ascii="Arial"/>
                <w:sz w:val="18"/>
              </w:rPr>
              <w:t>2%</w:t>
            </w:r>
          </w:p>
        </w:tc>
        <w:tc>
          <w:tcPr>
            <w:tcW w:w="508" w:type="dxa"/>
            <w:tcBorders>
              <w:left w:val="nil"/>
              <w:right w:val="nil"/>
            </w:tcBorders>
          </w:tcPr>
          <w:p>
            <w:pPr>
              <w:pStyle w:val="TableParagraph"/>
              <w:spacing w:before="1"/>
              <w:ind w:right="70"/>
              <w:jc w:val="right"/>
              <w:rPr>
                <w:rFonts w:ascii="Arial"/>
                <w:sz w:val="18"/>
              </w:rPr>
            </w:pPr>
            <w:r>
              <w:rPr>
                <w:rFonts w:ascii="Arial"/>
                <w:w w:val="95"/>
                <w:sz w:val="18"/>
              </w:rPr>
              <w:t>9%</w:t>
            </w:r>
          </w:p>
        </w:tc>
        <w:tc>
          <w:tcPr>
            <w:tcW w:w="502" w:type="dxa"/>
            <w:tcBorders>
              <w:left w:val="nil"/>
              <w:right w:val="nil"/>
            </w:tcBorders>
          </w:tcPr>
          <w:p>
            <w:pPr>
              <w:pStyle w:val="TableParagraph"/>
              <w:spacing w:before="1"/>
              <w:ind w:left="153" w:right="48"/>
              <w:jc w:val="center"/>
              <w:rPr>
                <w:rFonts w:ascii="Arial"/>
                <w:sz w:val="18"/>
              </w:rPr>
            </w:pPr>
            <w:r>
              <w:rPr>
                <w:rFonts w:ascii="Arial"/>
                <w:sz w:val="18"/>
              </w:rPr>
              <w:t>7%</w:t>
            </w:r>
          </w:p>
        </w:tc>
        <w:tc>
          <w:tcPr>
            <w:tcW w:w="540" w:type="dxa"/>
            <w:tcBorders>
              <w:left w:val="nil"/>
              <w:right w:val="nil"/>
            </w:tcBorders>
            <w:shd w:val="clear" w:color="auto" w:fill="D9D9D9"/>
          </w:tcPr>
          <w:p>
            <w:pPr>
              <w:pStyle w:val="TableParagraph"/>
              <w:spacing w:line="204" w:lineRule="exact"/>
              <w:ind w:left="44"/>
              <w:jc w:val="center"/>
              <w:rPr>
                <w:rFonts w:ascii="Arial"/>
                <w:b/>
                <w:sz w:val="18"/>
              </w:rPr>
            </w:pPr>
            <w:r>
              <w:rPr>
                <w:rFonts w:ascii="Arial"/>
                <w:b/>
                <w:sz w:val="18"/>
              </w:rPr>
              <w:t>39%</w:t>
            </w:r>
          </w:p>
        </w:tc>
      </w:tr>
    </w:tbl>
    <w:p>
      <w:pPr>
        <w:spacing w:line="240" w:lineRule="auto" w:before="0"/>
        <w:ind w:left="2881" w:right="378" w:hanging="2471"/>
        <w:jc w:val="left"/>
        <w:rPr>
          <w:sz w:val="20"/>
        </w:rPr>
      </w:pPr>
      <w:r>
        <w:rPr>
          <w:sz w:val="20"/>
        </w:rPr>
        <w:t>Fuente: elaboración propia con base en el “Cuestionario transición egresados universitarios-mercado de trabajo, Facultad de Economía UAEMéx”</w:t>
      </w:r>
    </w:p>
    <w:p>
      <w:pPr>
        <w:pStyle w:val="BodyText"/>
        <w:spacing w:before="2"/>
        <w:rPr>
          <w:sz w:val="20"/>
        </w:rPr>
      </w:pPr>
    </w:p>
    <w:p>
      <w:pPr>
        <w:pStyle w:val="BodyText"/>
        <w:spacing w:line="360" w:lineRule="auto"/>
        <w:ind w:left="142" w:right="115"/>
        <w:jc w:val="both"/>
      </w:pPr>
      <w:r>
        <w:rPr/>
        <w:t>Los dos rubros que obtuvieron la calificación mayor fueron: titulación superior y conocimientos de informática/computación. El primero, la titulación superior, con el porcentaje más alto, 28% de los encuestados lo calificó como “muy importante”, con lo  cual se sustenta la teoría de las señales en donde el empleador evalúa al “buscador” como mejor calificado y capaz de aprender, siendo la señal si éste concluyó una carrera profesional.</w:t>
      </w:r>
    </w:p>
    <w:p>
      <w:pPr>
        <w:pStyle w:val="BodyText"/>
        <w:spacing w:line="360" w:lineRule="auto" w:before="6"/>
        <w:ind w:left="142" w:right="120"/>
        <w:jc w:val="both"/>
      </w:pPr>
      <w:r>
        <w:rPr/>
        <w:t>Contar con conocimientos de informática/ computación obtuvo 22% de las respuestas, en el valor de “muy importante”. Lo que indica que la mayoría tiene un interés por preparase  para enfrentar el mercado de trabajo con habilidades adicionales a las que se obtienen al estudiar la Licenciatura de Economía y necesarios para la época actual altamente tecnológica.</w:t>
      </w:r>
    </w:p>
    <w:p>
      <w:pPr>
        <w:pStyle w:val="BodyText"/>
      </w:pPr>
    </w:p>
    <w:p>
      <w:pPr>
        <w:pStyle w:val="BodyText"/>
        <w:spacing w:line="360" w:lineRule="auto" w:before="143"/>
        <w:ind w:left="142" w:right="110"/>
        <w:jc w:val="both"/>
      </w:pPr>
      <w:r>
        <w:rPr/>
        <w:t>El ser hombre o mujer, ya no es un factor que a los jóvenes preocupe, estas dos características obtuvieron la valoración más baja. Por lo tanto se infiere que los egresados no consideran que exista una diferencia entre las oportunidades que tienen los hombres y</w:t>
      </w:r>
    </w:p>
    <w:p>
      <w:pPr>
        <w:spacing w:after="0" w:line="360" w:lineRule="auto"/>
        <w:jc w:val="both"/>
        <w:sectPr>
          <w:pgSz w:w="12240" w:h="15840"/>
          <w:pgMar w:header="0" w:footer="1003" w:top="1360" w:bottom="1200" w:left="1560" w:right="1580"/>
        </w:sectPr>
      </w:pPr>
    </w:p>
    <w:p>
      <w:pPr>
        <w:pStyle w:val="BodyText"/>
        <w:spacing w:line="360" w:lineRule="auto" w:before="50"/>
        <w:ind w:left="102" w:right="117"/>
        <w:jc w:val="both"/>
      </w:pPr>
      <w:r>
        <w:rPr/>
        <w:t>las mujeres, es decir que si existe una vacante no será un aspecto discriminatorio ser varón  o mujer, para obtener el puesto. Los dos últimos aspectos, edad y estado civil, tampoco deberían afectar la contratación de la persona, sin embargo en muchas ofertas de empleo se sigue publicando como requisito el rango de edad y el estado civil que el candidato debe cumplir.</w:t>
      </w:r>
    </w:p>
    <w:p>
      <w:pPr>
        <w:pStyle w:val="BodyText"/>
      </w:pPr>
    </w:p>
    <w:p>
      <w:pPr>
        <w:pStyle w:val="BodyText"/>
        <w:spacing w:before="11"/>
        <w:rPr>
          <w:sz w:val="29"/>
        </w:rPr>
      </w:pPr>
    </w:p>
    <w:p>
      <w:pPr>
        <w:pStyle w:val="BodyText"/>
        <w:spacing w:line="360" w:lineRule="auto"/>
        <w:ind w:left="102" w:right="117"/>
        <w:jc w:val="both"/>
      </w:pPr>
      <w:r>
        <w:rPr/>
        <w:t>Adicionalmente, y como complemento a la pregunta anterior, se cuestionó si se formaron  en algunas habilidades y competencias complementarias o si participaron en actividades extracurriculares durante la carrera, después de egresar o en ambos tiempos, que ayudaran a complementar su carrera profesional. Con base en las respuestas se puede afirmar que sí existió un interés por complementar su formación, ver gráfica 6.12. Derivado principalmente de un interés personal (48% de las respuestas) y fue el de computación el que mayor respuestas contabilizó, y los intercambios internacionales el que menos respuestas</w:t>
      </w:r>
      <w:r>
        <w:rPr>
          <w:spacing w:val="-4"/>
        </w:rPr>
        <w:t> </w:t>
      </w:r>
      <w:r>
        <w:rPr/>
        <w:t>obtuvo.</w:t>
      </w:r>
    </w:p>
    <w:p>
      <w:pPr>
        <w:spacing w:after="0" w:line="360" w:lineRule="auto"/>
        <w:jc w:val="both"/>
        <w:sectPr>
          <w:pgSz w:w="12240" w:h="15840"/>
          <w:pgMar w:header="0" w:footer="1003" w:top="1360" w:bottom="1200" w:left="1600" w:right="1580"/>
        </w:sectPr>
      </w:pPr>
    </w:p>
    <w:p>
      <w:pPr>
        <w:pStyle w:val="Heading3"/>
        <w:spacing w:before="53"/>
        <w:ind w:left="435" w:right="837" w:firstLine="1"/>
        <w:jc w:val="center"/>
      </w:pPr>
      <w:r>
        <w:rPr/>
        <w:t>Gráfica 6.12. Señale si realizó alguna de estas actividades complementarias (extracurriculares, no contenidas en el plan de estudios) durante o después de la carrera</w:t>
      </w:r>
    </w:p>
    <w:p>
      <w:pPr>
        <w:spacing w:before="157"/>
        <w:ind w:left="166" w:right="0" w:firstLine="0"/>
        <w:jc w:val="left"/>
        <w:rPr>
          <w:rFonts w:ascii="Calibri"/>
          <w:sz w:val="20"/>
        </w:rPr>
      </w:pPr>
      <w:r>
        <w:rPr/>
        <w:pict>
          <v:group style="position:absolute;margin-left:104.264999pt;margin-top:4.701492pt;width:402.05pt;height:133.6pt;mso-position-horizontal-relative:page;mso-position-vertical-relative:paragraph;z-index:6424" coordorigin="2085,94" coordsize="8041,2672">
            <v:shape style="position:absolute;left:2155;top:692;width:7964;height:1604" coordorigin="2155,692" coordsize="7964,1604" path="m9998,2295l10118,2295m9677,2295l9838,2295m9113,2295l9516,2295m8390,2295l8791,2295m7666,2295l8069,2295m6941,2295l7344,2295m5494,2295l5897,2295m4610,2295l5172,2295m3886,2295l4450,2295m3322,2295l3725,2295m2760,2295l3000,2295m2155,2295l2278,2295m2155,1894l2278,1894m2155,1493l2278,1493m2438,1092l3000,1092m2155,1092l2278,1092m2155,692l3000,692e" filled="false" stroked="true" strokeweight=".72pt" strokecolor="#858585">
              <v:path arrowok="t"/>
            </v:shape>
            <v:rect style="position:absolute;left:2278;top:692;width:161;height:2004" filled="true" fillcolor="#40699c" stroked="false">
              <v:fill type="solid"/>
            </v:rect>
            <v:shape style="position:absolute;left:2599;top:692;width:1126;height:1203" coordorigin="2599,692" coordsize="1126,1203" path="m2599,1894l3000,1894m3161,1493l3725,1493m2599,1493l3000,1493m3161,1092l3725,1092m3161,692l3725,692e" filled="false" stroked="true" strokeweight=".72pt" strokecolor="#858585">
              <v:path arrowok="t"/>
            </v:shape>
            <v:rect style="position:absolute;left:3000;top:449;width:161;height:2246" filled="true" fillcolor="#40699c" stroked="false">
              <v:fill type="solid"/>
            </v:rect>
            <v:shape style="position:absolute;left:3322;top:692;width:1128;height:1203" coordorigin="3322,692" coordsize="1128,1203" path="m3886,1894l4450,1894m3322,1894l3725,1894m3886,1493l4450,1493m3886,1092l4450,1092m3886,692l4450,692e" filled="false" stroked="true" strokeweight=".72pt" strokecolor="#858585">
              <v:path arrowok="t"/>
            </v:shape>
            <v:rect style="position:absolute;left:3725;top:610;width:161;height:2086" filled="true" fillcolor="#40699c" stroked="false">
              <v:fill type="solid"/>
            </v:rect>
            <v:shape style="position:absolute;left:4610;top:692;width:4476;height:1203" coordorigin="4610,692" coordsize="4476,1203" path="m4610,1894l5172,1894m4610,1493l5172,1493m4610,1092l6780,1092m4610,692l9086,692e" filled="false" stroked="true" strokeweight=".72pt" strokecolor="#858585">
              <v:path arrowok="t"/>
            </v:shape>
            <v:rect style="position:absolute;left:4450;top:531;width:161;height:2165" filled="true" fillcolor="#40699c" stroked="false">
              <v:fill type="solid"/>
            </v:rect>
            <v:line style="position:absolute" from="5333,1493" to="5897,1493" stroked="true" strokeweight=".72pt" strokecolor="#858585"/>
            <v:rect style="position:absolute;left:5172;top:1332;width:161;height:1363" filled="true" fillcolor="#40699c" stroked="false">
              <v:fill type="solid"/>
            </v:rect>
            <v:shape style="position:absolute;left:5494;top:1493;width:1287;height:401" coordorigin="5494,1493" coordsize="1287,401" path="m5494,1894l5897,1894m6058,1493l6780,1493e" filled="false" stroked="true" strokeweight=".72pt" strokecolor="#858585">
              <v:path arrowok="t"/>
            </v:shape>
            <v:shape style="position:absolute;left:5897;top:1332;width:884;height:1364" coordorigin="5897,1332" coordsize="884,1364" path="m6058,1332l5897,1332,5897,2696,6058,2696,6058,1332m6780,2456l6619,2456,6619,2696,6780,2696,6780,2456e" filled="true" fillcolor="#40699c" stroked="false">
              <v:path arrowok="t"/>
              <v:fill type="solid"/>
            </v:shape>
            <v:line style="position:absolute" from="6941,1894" to="9516,1894" stroked="true" strokeweight=".72pt" strokecolor="#858585"/>
            <v:shape style="position:absolute;left:7344;top:1894;width:1608;height:802" coordorigin="7344,1894" coordsize="1608,802" path="m7505,1894l7344,1894,7344,2696,7505,2696,7505,1894m8230,2134l8069,2134,8069,2696,8230,2696,8230,2134m8952,2055l8791,2055,8791,2696,8952,2696,8952,2055e" filled="true" fillcolor="#40699c" stroked="false">
              <v:path arrowok="t"/>
              <v:fill type="solid"/>
            </v:shape>
            <v:shape style="position:absolute;left:6941;top:1493;width:3178;height:401" coordorigin="6941,1493" coordsize="3178,401" path="m9677,1894l10118,1894m6941,1493l10118,1493e" filled="false" stroked="true" strokeweight=".72pt" strokecolor="#858585">
              <v:path arrowok="t"/>
            </v:shape>
            <v:rect style="position:absolute;left:9516;top:1493;width:161;height:1202" filled="true" fillcolor="#40699c" stroked="false">
              <v:fill type="solid"/>
            </v:rect>
            <v:shape style="position:absolute;left:2438;top:1412;width:3056;height:1284" coordorigin="2438,1412" coordsize="3056,1284" path="m2599,1412l2438,1412,2438,2696,2599,2696,2599,1412m3322,1652l3161,1652,3161,2696,3322,2696,3322,1652m4046,2295l3886,2295,3886,2696,4046,2696,4046,2295m4771,2374l4610,2374,4610,2696,4771,2696,4771,2374m5494,1652l5333,1652,5333,2696,5494,2696,5494,1652e" filled="true" fillcolor="#4f81bc" stroked="false">
              <v:path arrowok="t"/>
              <v:fill type="solid"/>
            </v:shape>
            <v:shape style="position:absolute;left:6218;top:1894;width:562;height:401" coordorigin="6218,1894" coordsize="562,401" path="m6218,2295l6780,2295m6218,1894l6780,1894e" filled="false" stroked="true" strokeweight=".72pt" strokecolor="#858585">
              <v:path arrowok="t"/>
            </v:shape>
            <v:rect style="position:absolute;left:6058;top:1733;width:161;height:962" filled="true" fillcolor="#4f81bc" stroked="false">
              <v:fill type="solid"/>
            </v:rect>
            <v:line style="position:absolute" from="6941,1092" to="9086,1092" stroked="true" strokeweight=".72pt" strokecolor="#858585"/>
            <v:shape style="position:absolute;left:6780;top:771;width:3058;height:1925" coordorigin="6780,771" coordsize="3058,1925" path="m6941,771l6780,771,6780,2696,6941,2696,6941,771m7666,2134l7505,2134,7505,2696,7666,2696,7666,2134m8390,2055l8230,2055,8230,2696,8390,2696,8390,2055m9113,2055l8952,2055,8952,2696,9113,2696,9113,2055m9838,2456l9677,2456,9677,2696,9838,2696,9838,2456e" filled="true" fillcolor="#4f81bc" stroked="false">
              <v:path arrowok="t"/>
              <v:fill type="solid"/>
            </v:shape>
            <v:shape style="position:absolute;left:2599;top:1973;width:1608;height:723" coordorigin="2599,1973" coordsize="1608,723" path="m2760,1973l2599,1973,2599,2696,2760,2696,2760,1973m3482,2456l3322,2456,3322,2696,3482,2696,3482,2456m4207,2456l4046,2456,4046,2696,4207,2696,4207,2456e" filled="true" fillcolor="#aab9d6" stroked="false">
              <v:path arrowok="t"/>
              <v:fill type="solid"/>
            </v:shape>
            <v:line style="position:absolute" from="4771,2655" to="4932,2655" stroked="true" strokeweight="4.08pt" strokecolor="#aab9d6"/>
            <v:rect style="position:absolute;left:5494;top:2456;width:161;height:240" filled="true" fillcolor="#aab9d6" stroked="false">
              <v:fill type="solid"/>
            </v:rect>
            <v:shape style="position:absolute;left:6218;top:2655;width:884;height:2" coordorigin="6218,2655" coordsize="884,0" path="m6218,2655l6379,2655m6941,2655l7102,2655e" filled="false" stroked="true" strokeweight="4.08pt" strokecolor="#aab9d6">
              <v:path arrowok="t"/>
            </v:shape>
            <v:shape style="position:absolute;left:7666;top:2055;width:2333;height:641" coordorigin="7666,2055" coordsize="2333,641" path="m7826,2535l7666,2535,7666,2696,7826,2696,7826,2535m8551,2535l8390,2535,8390,2696,8551,2696,8551,2535m9274,2456l9113,2456,9113,2696,9274,2696,9274,2456m9998,2055l9838,2055,9838,2696,9998,2696,9998,2055e" filled="true" fillcolor="#aab9d6" stroked="false">
              <v:path arrowok="t"/>
              <v:fill type="solid"/>
            </v:shape>
            <v:line style="position:absolute" from="2155,291" to="9086,291" stroked="true" strokeweight=".72pt" strokecolor="#858585"/>
            <v:shape style="position:absolute;left:2093;top:291;width:63;height:2405" coordorigin="2093,291" coordsize="63,2405" path="m2155,2696l2155,291m2093,2696l2155,2696m2093,2295l2155,2295m2093,1894l2155,1894m2093,1493l2155,1493m2093,1092l2155,1092m2093,692l2155,692m2093,291l2155,291e" filled="false" stroked="true" strokeweight=".72pt" strokecolor="#858585">
              <v:path arrowok="t"/>
            </v:shape>
            <v:shape style="position:absolute;left:2155;top:291;width:7964;height:2468" coordorigin="2155,291" coordsize="7964,2468" path="m2155,2696l10118,2696m2155,2696l2155,2758m2880,2696l2880,2758m3605,2696l3605,2758m4327,2696l4327,2758m5052,2696l5052,2758m5774,2696l5774,2758m6499,2696l6499,2758m7224,2696l7224,2758m7946,2696l7946,2758m8671,2696l8671,2758m9396,2696l9396,2758m10118,2696l10118,2758m10037,1092l10118,1092m10037,692l10118,692m10037,291l10118,291e" filled="false" stroked="true" strokeweight=".72pt" strokecolor="#858585">
              <v:path arrowok="t"/>
            </v:shape>
            <v:rect style="position:absolute;left:9086;top:94;width:950;height:1234" filled="true" fillcolor="#d9d9d9" stroked="false">
              <v:fill type="solid"/>
            </v:rect>
            <v:rect style="position:absolute;left:9156;top:245;width:110;height:110" filled="true" fillcolor="#40699c" stroked="false">
              <v:fill type="solid"/>
            </v:rect>
            <v:rect style="position:absolute;left:9156;top:656;width:110;height:110" filled="true" fillcolor="#4f81bc" stroked="false">
              <v:fill type="solid"/>
            </v:rect>
            <v:rect style="position:absolute;left:9156;top:1068;width:110;height:108" filled="true" fillcolor="#aab9d6" stroked="false">
              <v:fill type="solid"/>
            </v:rect>
            <v:shape style="position:absolute;left:9314;top:208;width:687;height:1022" type="#_x0000_t202" filled="false" stroked="false">
              <v:textbox inset="0,0,0,0">
                <w:txbxContent>
                  <w:p>
                    <w:pPr>
                      <w:spacing w:line="203" w:lineRule="exact" w:before="0"/>
                      <w:ind w:left="0" w:right="0" w:firstLine="0"/>
                      <w:jc w:val="left"/>
                      <w:rPr>
                        <w:rFonts w:ascii="Calibri"/>
                        <w:sz w:val="20"/>
                      </w:rPr>
                    </w:pPr>
                    <w:r>
                      <w:rPr>
                        <w:rFonts w:ascii="Calibri"/>
                        <w:sz w:val="20"/>
                      </w:rPr>
                      <w:t>Durante</w:t>
                    </w:r>
                  </w:p>
                  <w:p>
                    <w:pPr>
                      <w:spacing w:line="412" w:lineRule="exact" w:before="28"/>
                      <w:ind w:left="0" w:right="0" w:firstLine="0"/>
                      <w:jc w:val="left"/>
                      <w:rPr>
                        <w:rFonts w:ascii="Calibri" w:hAnsi="Calibri"/>
                        <w:sz w:val="20"/>
                      </w:rPr>
                    </w:pPr>
                    <w:r>
                      <w:rPr>
                        <w:rFonts w:ascii="Calibri" w:hAnsi="Calibri"/>
                        <w:w w:val="95"/>
                        <w:sz w:val="20"/>
                      </w:rPr>
                      <w:t>Después </w:t>
                    </w:r>
                    <w:r>
                      <w:rPr>
                        <w:rFonts w:ascii="Calibri" w:hAnsi="Calibri"/>
                        <w:sz w:val="20"/>
                      </w:rPr>
                      <w:t>Ambos</w:t>
                    </w:r>
                  </w:p>
                </w:txbxContent>
              </v:textbox>
              <w10:wrap type="none"/>
            </v:shape>
            <w10:wrap type="none"/>
          </v:group>
        </w:pict>
      </w:r>
      <w:r>
        <w:rPr>
          <w:rFonts w:ascii="Calibri"/>
          <w:sz w:val="20"/>
        </w:rPr>
        <w:t>30</w:t>
      </w:r>
    </w:p>
    <w:p>
      <w:pPr>
        <w:spacing w:before="157"/>
        <w:ind w:left="166" w:right="0" w:firstLine="0"/>
        <w:jc w:val="left"/>
        <w:rPr>
          <w:rFonts w:ascii="Calibri"/>
          <w:sz w:val="20"/>
        </w:rPr>
      </w:pPr>
      <w:r>
        <w:rPr>
          <w:rFonts w:ascii="Calibri"/>
          <w:sz w:val="20"/>
        </w:rPr>
        <w:t>25</w:t>
      </w:r>
    </w:p>
    <w:p>
      <w:pPr>
        <w:spacing w:before="156"/>
        <w:ind w:left="166" w:right="0" w:firstLine="0"/>
        <w:jc w:val="left"/>
        <w:rPr>
          <w:rFonts w:ascii="Calibri"/>
          <w:sz w:val="20"/>
        </w:rPr>
      </w:pPr>
      <w:r>
        <w:rPr>
          <w:rFonts w:ascii="Calibri"/>
          <w:sz w:val="20"/>
        </w:rPr>
        <w:t>20</w:t>
      </w:r>
    </w:p>
    <w:p>
      <w:pPr>
        <w:spacing w:before="156"/>
        <w:ind w:left="166" w:right="0" w:firstLine="0"/>
        <w:jc w:val="left"/>
        <w:rPr>
          <w:rFonts w:ascii="Calibri"/>
          <w:sz w:val="20"/>
        </w:rPr>
      </w:pPr>
      <w:r>
        <w:rPr>
          <w:rFonts w:ascii="Calibri"/>
          <w:sz w:val="20"/>
        </w:rPr>
        <w:t>15</w:t>
      </w:r>
    </w:p>
    <w:p>
      <w:pPr>
        <w:spacing w:before="157"/>
        <w:ind w:left="166" w:right="0" w:firstLine="0"/>
        <w:jc w:val="left"/>
        <w:rPr>
          <w:rFonts w:ascii="Calibri"/>
          <w:sz w:val="20"/>
        </w:rPr>
      </w:pPr>
      <w:r>
        <w:rPr>
          <w:rFonts w:ascii="Calibri"/>
          <w:sz w:val="20"/>
        </w:rPr>
        <w:t>10</w:t>
      </w:r>
    </w:p>
    <w:p>
      <w:pPr>
        <w:spacing w:before="156"/>
        <w:ind w:left="267" w:right="0" w:firstLine="0"/>
        <w:jc w:val="left"/>
        <w:rPr>
          <w:rFonts w:ascii="Calibri"/>
          <w:sz w:val="20"/>
        </w:rPr>
      </w:pPr>
      <w:r>
        <w:rPr>
          <w:rFonts w:ascii="Calibri"/>
          <w:w w:val="99"/>
          <w:sz w:val="20"/>
        </w:rPr>
        <w:t>5</w:t>
      </w:r>
    </w:p>
    <w:p>
      <w:pPr>
        <w:spacing w:before="156"/>
        <w:ind w:left="267" w:right="0" w:firstLine="0"/>
        <w:jc w:val="left"/>
        <w:rPr>
          <w:rFonts w:ascii="Calibri"/>
          <w:sz w:val="20"/>
        </w:rPr>
      </w:pPr>
      <w:r>
        <w:rPr/>
        <w:pict>
          <v:shape style="position:absolute;margin-left:114.650002pt;margin-top:19.894987pt;width:24.2pt;height:41.65pt;mso-position-horizontal-relative:page;mso-position-vertical-relative:paragraph;z-index:6448" type="#_x0000_t202" filled="false" stroked="false">
            <v:textbox inset="0,0,0,0" style="layout-flow:vertical;mso-layout-flow-alt:bottom-to-top">
              <w:txbxContent>
                <w:p>
                  <w:pPr>
                    <w:spacing w:line="223" w:lineRule="exact" w:before="0"/>
                    <w:ind w:left="99" w:right="-175" w:hanging="80"/>
                    <w:jc w:val="left"/>
                    <w:rPr>
                      <w:rFonts w:ascii="Calibri"/>
                      <w:sz w:val="20"/>
                    </w:rPr>
                  </w:pPr>
                  <w:r>
                    <w:rPr>
                      <w:rFonts w:ascii="Calibri"/>
                      <w:spacing w:val="-1"/>
                      <w:w w:val="99"/>
                      <w:sz w:val="20"/>
                    </w:rPr>
                    <w:t>Cur</w:t>
                  </w:r>
                  <w:r>
                    <w:rPr>
                      <w:rFonts w:ascii="Calibri"/>
                      <w:spacing w:val="1"/>
                      <w:w w:val="99"/>
                      <w:sz w:val="20"/>
                    </w:rPr>
                    <w:t>s</w:t>
                  </w:r>
                  <w:r>
                    <w:rPr>
                      <w:rFonts w:ascii="Calibri"/>
                      <w:w w:val="99"/>
                      <w:sz w:val="20"/>
                    </w:rPr>
                    <w:t>os</w:t>
                  </w:r>
                  <w:r>
                    <w:rPr>
                      <w:rFonts w:ascii="Calibri"/>
                      <w:spacing w:val="-2"/>
                      <w:sz w:val="20"/>
                    </w:rPr>
                    <w:t> </w:t>
                  </w:r>
                  <w:r>
                    <w:rPr>
                      <w:rFonts w:ascii="Calibri"/>
                      <w:spacing w:val="1"/>
                      <w:w w:val="99"/>
                      <w:sz w:val="20"/>
                    </w:rPr>
                    <w:t>d</w:t>
                  </w:r>
                  <w:r>
                    <w:rPr>
                      <w:rFonts w:ascii="Calibri"/>
                      <w:w w:val="99"/>
                      <w:sz w:val="20"/>
                    </w:rPr>
                    <w:t>e</w:t>
                  </w:r>
                </w:p>
                <w:p>
                  <w:pPr>
                    <w:spacing w:before="0"/>
                    <w:ind w:left="99" w:right="-270" w:firstLine="0"/>
                    <w:jc w:val="left"/>
                    <w:rPr>
                      <w:rFonts w:ascii="Calibri"/>
                      <w:sz w:val="20"/>
                    </w:rPr>
                  </w:pPr>
                  <w:r>
                    <w:rPr>
                      <w:rFonts w:ascii="Calibri"/>
                      <w:w w:val="99"/>
                      <w:sz w:val="20"/>
                    </w:rPr>
                    <w:t>idio</w:t>
                  </w:r>
                  <w:r>
                    <w:rPr>
                      <w:rFonts w:ascii="Calibri"/>
                      <w:spacing w:val="1"/>
                      <w:w w:val="99"/>
                      <w:sz w:val="20"/>
                    </w:rPr>
                    <w:t>m</w:t>
                  </w:r>
                  <w:r>
                    <w:rPr>
                      <w:rFonts w:ascii="Calibri"/>
                      <w:w w:val="99"/>
                      <w:sz w:val="20"/>
                    </w:rPr>
                    <w:t>as</w:t>
                  </w:r>
                </w:p>
              </w:txbxContent>
            </v:textbox>
            <w10:wrap type="none"/>
          </v:shape>
        </w:pict>
      </w:r>
      <w:r>
        <w:rPr/>
        <w:pict>
          <v:shape style="position:absolute;margin-left:150.839996pt;margin-top:12.970511pt;width:24.2pt;height:51.6pt;mso-position-horizontal-relative:page;mso-position-vertical-relative:paragraph;z-index:6472" type="#_x0000_t202" filled="false" stroked="false">
            <v:textbox inset="0,0,0,0" style="layout-flow:vertical;mso-layout-flow-alt:bottom-to-top">
              <w:txbxContent>
                <w:p>
                  <w:pPr>
                    <w:spacing w:line="223" w:lineRule="exact" w:before="0"/>
                    <w:ind w:left="51" w:right="-127" w:firstLine="0"/>
                    <w:jc w:val="left"/>
                    <w:rPr>
                      <w:rFonts w:ascii="Calibri"/>
                      <w:sz w:val="20"/>
                    </w:rPr>
                  </w:pPr>
                  <w:r>
                    <w:rPr>
                      <w:rFonts w:ascii="Calibri"/>
                      <w:spacing w:val="-1"/>
                      <w:w w:val="99"/>
                      <w:sz w:val="20"/>
                    </w:rPr>
                    <w:t>Cur</w:t>
                  </w:r>
                  <w:r>
                    <w:rPr>
                      <w:rFonts w:ascii="Calibri"/>
                      <w:spacing w:val="1"/>
                      <w:w w:val="99"/>
                      <w:sz w:val="20"/>
                    </w:rPr>
                    <w:t>s</w:t>
                  </w:r>
                  <w:r>
                    <w:rPr>
                      <w:rFonts w:ascii="Calibri"/>
                      <w:w w:val="99"/>
                      <w:sz w:val="20"/>
                    </w:rPr>
                    <w:t>os</w:t>
                  </w:r>
                  <w:r>
                    <w:rPr>
                      <w:rFonts w:ascii="Calibri"/>
                      <w:spacing w:val="-2"/>
                      <w:sz w:val="20"/>
                    </w:rPr>
                    <w:t> </w:t>
                  </w:r>
                  <w:r>
                    <w:rPr>
                      <w:rFonts w:ascii="Calibri"/>
                      <w:spacing w:val="1"/>
                      <w:w w:val="99"/>
                      <w:sz w:val="20"/>
                    </w:rPr>
                    <w:t>d</w:t>
                  </w:r>
                  <w:r>
                    <w:rPr>
                      <w:rFonts w:ascii="Calibri"/>
                      <w:w w:val="99"/>
                      <w:sz w:val="20"/>
                    </w:rPr>
                    <w:t>e</w:t>
                  </w:r>
                </w:p>
                <w:p>
                  <w:pPr>
                    <w:spacing w:before="0"/>
                    <w:ind w:left="20" w:right="-544" w:firstLine="0"/>
                    <w:jc w:val="left"/>
                    <w:rPr>
                      <w:rFonts w:ascii="Calibri" w:hAnsi="Calibri"/>
                      <w:sz w:val="20"/>
                    </w:rPr>
                  </w:pPr>
                  <w:r>
                    <w:rPr>
                      <w:rFonts w:ascii="Calibri" w:hAnsi="Calibri"/>
                      <w:w w:val="99"/>
                      <w:sz w:val="20"/>
                    </w:rPr>
                    <w:t>co</w:t>
                  </w:r>
                  <w:r>
                    <w:rPr>
                      <w:rFonts w:ascii="Calibri" w:hAnsi="Calibri"/>
                      <w:spacing w:val="1"/>
                      <w:w w:val="99"/>
                      <w:sz w:val="20"/>
                    </w:rPr>
                    <w:t>m</w:t>
                  </w:r>
                  <w:r>
                    <w:rPr>
                      <w:rFonts w:ascii="Calibri" w:hAnsi="Calibri"/>
                      <w:w w:val="99"/>
                      <w:sz w:val="20"/>
                    </w:rPr>
                    <w:t>p</w:t>
                  </w:r>
                  <w:r>
                    <w:rPr>
                      <w:rFonts w:ascii="Calibri" w:hAnsi="Calibri"/>
                      <w:spacing w:val="-2"/>
                      <w:w w:val="99"/>
                      <w:sz w:val="20"/>
                    </w:rPr>
                    <w:t>u</w:t>
                  </w:r>
                  <w:r>
                    <w:rPr>
                      <w:rFonts w:ascii="Calibri" w:hAnsi="Calibri"/>
                      <w:w w:val="99"/>
                      <w:sz w:val="20"/>
                    </w:rPr>
                    <w:t>ta</w:t>
                  </w:r>
                  <w:r>
                    <w:rPr>
                      <w:rFonts w:ascii="Calibri" w:hAnsi="Calibri"/>
                      <w:w w:val="99"/>
                      <w:sz w:val="20"/>
                    </w:rPr>
                    <w:t>c</w:t>
                  </w:r>
                  <w:r>
                    <w:rPr>
                      <w:rFonts w:ascii="Calibri" w:hAnsi="Calibri"/>
                      <w:spacing w:val="1"/>
                      <w:w w:val="99"/>
                      <w:sz w:val="20"/>
                    </w:rPr>
                    <w:t>i</w:t>
                  </w:r>
                  <w:r>
                    <w:rPr>
                      <w:rFonts w:ascii="Calibri" w:hAnsi="Calibri"/>
                      <w:w w:val="99"/>
                      <w:sz w:val="20"/>
                    </w:rPr>
                    <w:t>…</w:t>
                  </w:r>
                </w:p>
              </w:txbxContent>
            </v:textbox>
            <w10:wrap type="none"/>
          </v:shape>
        </w:pict>
      </w:r>
      <w:r>
        <w:rPr/>
        <w:pict>
          <v:shape style="position:absolute;margin-left:187.042007pt;margin-top:16.2754pt;width:24.25pt;height:45.25pt;mso-position-horizontal-relative:page;mso-position-vertical-relative:paragraph;z-index:6496" type="#_x0000_t202" filled="false" stroked="false">
            <v:textbox inset="0,0,0,0" style="layout-flow:vertical;mso-layout-flow-alt:bottom-to-top">
              <w:txbxContent>
                <w:p>
                  <w:pPr>
                    <w:spacing w:line="223" w:lineRule="exact" w:before="0"/>
                    <w:ind w:left="20" w:right="-96" w:firstLine="0"/>
                    <w:jc w:val="left"/>
                    <w:rPr>
                      <w:rFonts w:ascii="Calibri"/>
                      <w:sz w:val="20"/>
                    </w:rPr>
                  </w:pPr>
                  <w:r>
                    <w:rPr>
                      <w:rFonts w:ascii="Calibri"/>
                      <w:spacing w:val="-1"/>
                      <w:w w:val="99"/>
                      <w:sz w:val="20"/>
                    </w:rPr>
                    <w:t>C</w:t>
                  </w:r>
                  <w:r>
                    <w:rPr>
                      <w:rFonts w:ascii="Calibri"/>
                      <w:w w:val="99"/>
                      <w:sz w:val="20"/>
                    </w:rPr>
                    <w:t>urs</w:t>
                  </w:r>
                  <w:r>
                    <w:rPr>
                      <w:rFonts w:ascii="Calibri"/>
                      <w:spacing w:val="-1"/>
                      <w:w w:val="99"/>
                      <w:sz w:val="20"/>
                    </w:rPr>
                    <w:t>o</w:t>
                  </w:r>
                  <w:r>
                    <w:rPr>
                      <w:rFonts w:ascii="Calibri"/>
                      <w:w w:val="99"/>
                      <w:sz w:val="20"/>
                    </w:rPr>
                    <w:t>s</w:t>
                  </w:r>
                  <w:r>
                    <w:rPr>
                      <w:rFonts w:ascii="Calibri"/>
                      <w:spacing w:val="-2"/>
                      <w:sz w:val="20"/>
                    </w:rPr>
                    <w:t> </w:t>
                  </w:r>
                  <w:r>
                    <w:rPr>
                      <w:rFonts w:ascii="Calibri"/>
                      <w:w w:val="99"/>
                      <w:sz w:val="20"/>
                    </w:rPr>
                    <w:t>de</w:t>
                  </w:r>
                </w:p>
                <w:p>
                  <w:pPr>
                    <w:spacing w:before="0"/>
                    <w:ind w:left="87" w:right="-417" w:firstLine="0"/>
                    <w:jc w:val="left"/>
                    <w:rPr>
                      <w:rFonts w:ascii="Calibri" w:hAnsi="Calibri"/>
                      <w:sz w:val="20"/>
                    </w:rPr>
                  </w:pPr>
                  <w:r>
                    <w:rPr>
                      <w:rFonts w:ascii="Calibri" w:hAnsi="Calibri"/>
                      <w:w w:val="99"/>
                      <w:sz w:val="20"/>
                    </w:rPr>
                    <w:t>t</w:t>
                  </w:r>
                  <w:r>
                    <w:rPr>
                      <w:rFonts w:ascii="Calibri" w:hAnsi="Calibri"/>
                      <w:spacing w:val="-1"/>
                      <w:w w:val="99"/>
                      <w:sz w:val="20"/>
                    </w:rPr>
                    <w:t>é</w:t>
                  </w:r>
                  <w:r>
                    <w:rPr>
                      <w:rFonts w:ascii="Calibri" w:hAnsi="Calibri"/>
                      <w:spacing w:val="1"/>
                      <w:w w:val="99"/>
                      <w:sz w:val="20"/>
                    </w:rPr>
                    <w:t>c</w:t>
                  </w:r>
                  <w:r>
                    <w:rPr>
                      <w:rFonts w:ascii="Calibri" w:hAnsi="Calibri"/>
                      <w:spacing w:val="-2"/>
                      <w:w w:val="99"/>
                      <w:sz w:val="20"/>
                    </w:rPr>
                    <w:t>n</w:t>
                  </w:r>
                  <w:r>
                    <w:rPr>
                      <w:rFonts w:ascii="Calibri" w:hAnsi="Calibri"/>
                      <w:spacing w:val="1"/>
                      <w:w w:val="100"/>
                      <w:sz w:val="20"/>
                    </w:rPr>
                    <w:t>i</w:t>
                  </w:r>
                  <w:r>
                    <w:rPr>
                      <w:rFonts w:ascii="Calibri" w:hAnsi="Calibri"/>
                      <w:w w:val="99"/>
                      <w:sz w:val="20"/>
                    </w:rPr>
                    <w:t>ca</w:t>
                  </w:r>
                  <w:r>
                    <w:rPr>
                      <w:rFonts w:ascii="Calibri" w:hAnsi="Calibri"/>
                      <w:spacing w:val="-2"/>
                      <w:w w:val="99"/>
                      <w:sz w:val="20"/>
                    </w:rPr>
                    <w:t>s</w:t>
                  </w:r>
                  <w:r>
                    <w:rPr>
                      <w:rFonts w:ascii="Calibri" w:hAnsi="Calibri"/>
                      <w:w w:val="99"/>
                      <w:sz w:val="20"/>
                    </w:rPr>
                    <w:t>…</w:t>
                  </w:r>
                </w:p>
              </w:txbxContent>
            </v:textbox>
            <w10:wrap type="none"/>
          </v:shape>
        </w:pict>
      </w:r>
      <w:r>
        <w:rPr/>
        <w:pict>
          <v:shape style="position:absolute;margin-left:223.25pt;margin-top:13.094631pt;width:24.2pt;height:50.1pt;mso-position-horizontal-relative:page;mso-position-vertical-relative:paragraph;z-index:6520" type="#_x0000_t202" filled="false" stroked="false">
            <v:textbox inset="0,0,0,0" style="layout-flow:vertical;mso-layout-flow-alt:bottom-to-top">
              <w:txbxContent>
                <w:p>
                  <w:pPr>
                    <w:spacing w:line="223" w:lineRule="exact" w:before="0"/>
                    <w:ind w:left="36" w:right="-112" w:firstLine="0"/>
                    <w:jc w:val="left"/>
                    <w:rPr>
                      <w:rFonts w:ascii="Calibri"/>
                      <w:sz w:val="20"/>
                    </w:rPr>
                  </w:pPr>
                  <w:r>
                    <w:rPr>
                      <w:rFonts w:ascii="Calibri"/>
                      <w:spacing w:val="-1"/>
                      <w:w w:val="99"/>
                      <w:sz w:val="20"/>
                    </w:rPr>
                    <w:t>Cur</w:t>
                  </w:r>
                  <w:r>
                    <w:rPr>
                      <w:rFonts w:ascii="Calibri"/>
                      <w:spacing w:val="1"/>
                      <w:w w:val="99"/>
                      <w:sz w:val="20"/>
                    </w:rPr>
                    <w:t>s</w:t>
                  </w:r>
                  <w:r>
                    <w:rPr>
                      <w:rFonts w:ascii="Calibri"/>
                      <w:w w:val="99"/>
                      <w:sz w:val="20"/>
                    </w:rPr>
                    <w:t>os</w:t>
                  </w:r>
                  <w:r>
                    <w:rPr>
                      <w:rFonts w:ascii="Calibri"/>
                      <w:spacing w:val="-2"/>
                      <w:sz w:val="20"/>
                    </w:rPr>
                    <w:t> </w:t>
                  </w:r>
                  <w:r>
                    <w:rPr>
                      <w:rFonts w:ascii="Calibri"/>
                      <w:spacing w:val="1"/>
                      <w:w w:val="99"/>
                      <w:sz w:val="20"/>
                    </w:rPr>
                    <w:t>d</w:t>
                  </w:r>
                  <w:r>
                    <w:rPr>
                      <w:rFonts w:ascii="Calibri"/>
                      <w:w w:val="99"/>
                      <w:sz w:val="20"/>
                    </w:rPr>
                    <w:t>e</w:t>
                  </w:r>
                </w:p>
                <w:p>
                  <w:pPr>
                    <w:spacing w:before="0"/>
                    <w:ind w:left="20" w:right="-516" w:firstLine="0"/>
                    <w:jc w:val="left"/>
                    <w:rPr>
                      <w:rFonts w:ascii="Calibri" w:hAnsi="Calibri"/>
                      <w:sz w:val="20"/>
                    </w:rPr>
                  </w:pPr>
                  <w:r>
                    <w:rPr>
                      <w:rFonts w:ascii="Calibri" w:hAnsi="Calibri"/>
                      <w:spacing w:val="-1"/>
                      <w:w w:val="99"/>
                      <w:sz w:val="20"/>
                    </w:rPr>
                    <w:t>e</w:t>
                  </w:r>
                  <w:r>
                    <w:rPr>
                      <w:rFonts w:ascii="Calibri" w:hAnsi="Calibri"/>
                      <w:spacing w:val="2"/>
                      <w:w w:val="99"/>
                      <w:sz w:val="20"/>
                    </w:rPr>
                    <w:t>c</w:t>
                  </w:r>
                  <w:r>
                    <w:rPr>
                      <w:rFonts w:ascii="Calibri" w:hAnsi="Calibri"/>
                      <w:w w:val="99"/>
                      <w:sz w:val="20"/>
                    </w:rPr>
                    <w:t>o</w:t>
                  </w:r>
                  <w:r>
                    <w:rPr>
                      <w:rFonts w:ascii="Calibri" w:hAnsi="Calibri"/>
                      <w:spacing w:val="-2"/>
                      <w:w w:val="99"/>
                      <w:sz w:val="20"/>
                    </w:rPr>
                    <w:t>n</w:t>
                  </w:r>
                  <w:r>
                    <w:rPr>
                      <w:rFonts w:ascii="Calibri" w:hAnsi="Calibri"/>
                      <w:w w:val="99"/>
                      <w:sz w:val="20"/>
                    </w:rPr>
                    <w:t>o</w:t>
                  </w:r>
                  <w:r>
                    <w:rPr>
                      <w:rFonts w:ascii="Calibri" w:hAnsi="Calibri"/>
                      <w:spacing w:val="1"/>
                      <w:w w:val="99"/>
                      <w:sz w:val="20"/>
                    </w:rPr>
                    <w:t>m</w:t>
                  </w:r>
                  <w:r>
                    <w:rPr>
                      <w:rFonts w:ascii="Calibri" w:hAnsi="Calibri"/>
                      <w:spacing w:val="-1"/>
                      <w:w w:val="99"/>
                      <w:sz w:val="20"/>
                    </w:rPr>
                    <w:t>e</w:t>
                  </w:r>
                  <w:r>
                    <w:rPr>
                      <w:rFonts w:ascii="Calibri" w:hAnsi="Calibri"/>
                      <w:w w:val="99"/>
                      <w:sz w:val="20"/>
                    </w:rPr>
                    <w:t>t…</w:t>
                  </w:r>
                </w:p>
              </w:txbxContent>
            </v:textbox>
            <w10:wrap type="none"/>
          </v:shape>
        </w:pict>
      </w:r>
      <w:r>
        <w:rPr/>
        <w:pict>
          <v:shape style="position:absolute;margin-left:259.440002pt;margin-top:19.883682pt;width:24.2pt;height:41.8pt;mso-position-horizontal-relative:page;mso-position-vertical-relative:paragraph;z-index:6544" type="#_x0000_t202" filled="false" stroked="false">
            <v:textbox inset="0,0,0,0" style="layout-flow:vertical;mso-layout-flow-alt:bottom-to-top">
              <w:txbxContent>
                <w:p>
                  <w:pPr>
                    <w:spacing w:line="223" w:lineRule="exact" w:before="0"/>
                    <w:ind w:left="20" w:right="-96" w:firstLine="2"/>
                    <w:jc w:val="left"/>
                    <w:rPr>
                      <w:rFonts w:ascii="Calibri"/>
                      <w:sz w:val="20"/>
                    </w:rPr>
                  </w:pPr>
                  <w:r>
                    <w:rPr>
                      <w:rFonts w:ascii="Calibri"/>
                      <w:spacing w:val="-1"/>
                      <w:w w:val="99"/>
                      <w:sz w:val="20"/>
                    </w:rPr>
                    <w:t>Cur</w:t>
                  </w:r>
                  <w:r>
                    <w:rPr>
                      <w:rFonts w:ascii="Calibri"/>
                      <w:spacing w:val="1"/>
                      <w:w w:val="99"/>
                      <w:sz w:val="20"/>
                    </w:rPr>
                    <w:t>s</w:t>
                  </w:r>
                  <w:r>
                    <w:rPr>
                      <w:rFonts w:ascii="Calibri"/>
                      <w:w w:val="99"/>
                      <w:sz w:val="20"/>
                    </w:rPr>
                    <w:t>os</w:t>
                  </w:r>
                  <w:r>
                    <w:rPr>
                      <w:rFonts w:ascii="Calibri"/>
                      <w:spacing w:val="-2"/>
                      <w:sz w:val="20"/>
                    </w:rPr>
                    <w:t> </w:t>
                  </w:r>
                  <w:r>
                    <w:rPr>
                      <w:rFonts w:ascii="Calibri"/>
                      <w:spacing w:val="1"/>
                      <w:w w:val="99"/>
                      <w:sz w:val="20"/>
                    </w:rPr>
                    <w:t>d</w:t>
                  </w:r>
                  <w:r>
                    <w:rPr>
                      <w:rFonts w:ascii="Calibri"/>
                      <w:w w:val="99"/>
                      <w:sz w:val="20"/>
                    </w:rPr>
                    <w:t>e</w:t>
                  </w:r>
                </w:p>
                <w:p>
                  <w:pPr>
                    <w:spacing w:before="0"/>
                    <w:ind w:left="20" w:right="-350" w:firstLine="0"/>
                    <w:jc w:val="left"/>
                    <w:rPr>
                      <w:rFonts w:ascii="Calibri" w:hAnsi="Calibri"/>
                      <w:sz w:val="20"/>
                    </w:rPr>
                  </w:pPr>
                  <w:r>
                    <w:rPr>
                      <w:rFonts w:ascii="Calibri" w:hAnsi="Calibri"/>
                      <w:w w:val="99"/>
                      <w:sz w:val="20"/>
                    </w:rPr>
                    <w:t>r</w:t>
                  </w:r>
                  <w:r>
                    <w:rPr>
                      <w:rFonts w:ascii="Calibri" w:hAnsi="Calibri"/>
                      <w:spacing w:val="1"/>
                      <w:w w:val="99"/>
                      <w:sz w:val="20"/>
                    </w:rPr>
                    <w:t>e</w:t>
                  </w:r>
                  <w:r>
                    <w:rPr>
                      <w:rFonts w:ascii="Calibri" w:hAnsi="Calibri"/>
                      <w:spacing w:val="-2"/>
                      <w:w w:val="99"/>
                      <w:sz w:val="20"/>
                    </w:rPr>
                    <w:t>d</w:t>
                  </w:r>
                  <w:r>
                    <w:rPr>
                      <w:rFonts w:ascii="Calibri" w:hAnsi="Calibri"/>
                      <w:w w:val="99"/>
                      <w:sz w:val="20"/>
                    </w:rPr>
                    <w:t>ac</w:t>
                  </w:r>
                  <w:r>
                    <w:rPr>
                      <w:rFonts w:ascii="Calibri" w:hAnsi="Calibri"/>
                      <w:spacing w:val="2"/>
                      <w:w w:val="99"/>
                      <w:sz w:val="20"/>
                    </w:rPr>
                    <w:t>c</w:t>
                  </w:r>
                  <w:r>
                    <w:rPr>
                      <w:rFonts w:ascii="Calibri" w:hAnsi="Calibri"/>
                      <w:w w:val="99"/>
                      <w:sz w:val="20"/>
                    </w:rPr>
                    <w:t>ión</w:t>
                  </w:r>
                </w:p>
              </w:txbxContent>
            </v:textbox>
            <w10:wrap type="none"/>
          </v:shape>
        </w:pict>
      </w:r>
      <w:r>
        <w:rPr/>
        <w:pict>
          <v:shape style="position:absolute;margin-left:295.660004pt;margin-top:12.984672pt;width:24.2pt;height:50.1pt;mso-position-horizontal-relative:page;mso-position-vertical-relative:paragraph;z-index:6568" type="#_x0000_t202" filled="false" stroked="false">
            <v:textbox inset="0,0,0,0" style="layout-flow:vertical;mso-layout-flow-alt:bottom-to-top">
              <w:txbxContent>
                <w:p>
                  <w:pPr>
                    <w:spacing w:line="223" w:lineRule="exact" w:before="0"/>
                    <w:ind w:left="36" w:right="-112" w:firstLine="0"/>
                    <w:jc w:val="left"/>
                    <w:rPr>
                      <w:rFonts w:ascii="Calibri"/>
                      <w:sz w:val="20"/>
                    </w:rPr>
                  </w:pPr>
                  <w:r>
                    <w:rPr>
                      <w:rFonts w:ascii="Calibri"/>
                      <w:spacing w:val="-1"/>
                      <w:w w:val="99"/>
                      <w:sz w:val="20"/>
                    </w:rPr>
                    <w:t>Cur</w:t>
                  </w:r>
                  <w:r>
                    <w:rPr>
                      <w:rFonts w:ascii="Calibri"/>
                      <w:spacing w:val="1"/>
                      <w:w w:val="99"/>
                      <w:sz w:val="20"/>
                    </w:rPr>
                    <w:t>s</w:t>
                  </w:r>
                  <w:r>
                    <w:rPr>
                      <w:rFonts w:ascii="Calibri"/>
                      <w:w w:val="99"/>
                      <w:sz w:val="20"/>
                    </w:rPr>
                    <w:t>os</w:t>
                  </w:r>
                  <w:r>
                    <w:rPr>
                      <w:rFonts w:ascii="Calibri"/>
                      <w:spacing w:val="-2"/>
                      <w:sz w:val="20"/>
                    </w:rPr>
                    <w:t> </w:t>
                  </w:r>
                  <w:r>
                    <w:rPr>
                      <w:rFonts w:ascii="Calibri"/>
                      <w:spacing w:val="1"/>
                      <w:w w:val="99"/>
                      <w:sz w:val="20"/>
                    </w:rPr>
                    <w:t>d</w:t>
                  </w:r>
                  <w:r>
                    <w:rPr>
                      <w:rFonts w:ascii="Calibri"/>
                      <w:w w:val="99"/>
                      <w:sz w:val="20"/>
                    </w:rPr>
                    <w:t>e</w:t>
                  </w:r>
                </w:p>
                <w:p>
                  <w:pPr>
                    <w:spacing w:before="0"/>
                    <w:ind w:left="20" w:right="-515" w:firstLine="0"/>
                    <w:jc w:val="left"/>
                    <w:rPr>
                      <w:rFonts w:ascii="Calibri" w:hAnsi="Calibri"/>
                      <w:sz w:val="20"/>
                    </w:rPr>
                  </w:pPr>
                  <w:r>
                    <w:rPr>
                      <w:rFonts w:ascii="Calibri" w:hAnsi="Calibri"/>
                      <w:w w:val="99"/>
                      <w:sz w:val="20"/>
                    </w:rPr>
                    <w:t>o</w:t>
                  </w:r>
                  <w:r>
                    <w:rPr>
                      <w:rFonts w:ascii="Calibri" w:hAnsi="Calibri"/>
                      <w:w w:val="99"/>
                      <w:sz w:val="20"/>
                    </w:rPr>
                    <w:t>ri</w:t>
                  </w:r>
                  <w:r>
                    <w:rPr>
                      <w:rFonts w:ascii="Calibri" w:hAnsi="Calibri"/>
                      <w:spacing w:val="1"/>
                      <w:w w:val="99"/>
                      <w:sz w:val="20"/>
                    </w:rPr>
                    <w:t>e</w:t>
                  </w:r>
                  <w:r>
                    <w:rPr>
                      <w:rFonts w:ascii="Calibri" w:hAnsi="Calibri"/>
                      <w:spacing w:val="-2"/>
                      <w:w w:val="99"/>
                      <w:sz w:val="20"/>
                    </w:rPr>
                    <w:t>n</w:t>
                  </w:r>
                  <w:r>
                    <w:rPr>
                      <w:rFonts w:ascii="Calibri" w:hAnsi="Calibri"/>
                      <w:w w:val="99"/>
                      <w:sz w:val="20"/>
                    </w:rPr>
                    <w:t>ta</w:t>
                  </w:r>
                  <w:r>
                    <w:rPr>
                      <w:rFonts w:ascii="Calibri" w:hAnsi="Calibri"/>
                      <w:w w:val="99"/>
                      <w:sz w:val="20"/>
                    </w:rPr>
                    <w:t>c</w:t>
                  </w:r>
                  <w:r>
                    <w:rPr>
                      <w:rFonts w:ascii="Calibri" w:hAnsi="Calibri"/>
                      <w:spacing w:val="1"/>
                      <w:w w:val="99"/>
                      <w:sz w:val="20"/>
                    </w:rPr>
                    <w:t>i</w:t>
                  </w:r>
                  <w:r>
                    <w:rPr>
                      <w:rFonts w:ascii="Calibri" w:hAnsi="Calibri"/>
                      <w:w w:val="99"/>
                      <w:sz w:val="20"/>
                    </w:rPr>
                    <w:t>ó…</w:t>
                  </w:r>
                </w:p>
              </w:txbxContent>
            </v:textbox>
            <w10:wrap type="none"/>
          </v:shape>
        </w:pict>
      </w:r>
      <w:r>
        <w:rPr/>
        <w:pict>
          <v:shape style="position:absolute;margin-left:331.850006pt;margin-top:13.921191pt;width:24.2pt;height:47.6pt;mso-position-horizontal-relative:page;mso-position-vertical-relative:paragraph;z-index:6592" type="#_x0000_t202" filled="false" stroked="false">
            <v:textbox inset="0,0,0,0" style="layout-flow:vertical;mso-layout-flow-alt:bottom-to-top">
              <w:txbxContent>
                <w:p>
                  <w:pPr>
                    <w:spacing w:line="223" w:lineRule="exact" w:before="0"/>
                    <w:ind w:left="20" w:right="-96" w:firstLine="0"/>
                    <w:jc w:val="left"/>
                    <w:rPr>
                      <w:rFonts w:ascii="Calibri"/>
                      <w:sz w:val="20"/>
                    </w:rPr>
                  </w:pPr>
                  <w:r>
                    <w:rPr>
                      <w:rFonts w:ascii="Calibri"/>
                      <w:spacing w:val="-1"/>
                      <w:w w:val="99"/>
                      <w:sz w:val="20"/>
                    </w:rPr>
                    <w:t>Cur</w:t>
                  </w:r>
                  <w:r>
                    <w:rPr>
                      <w:rFonts w:ascii="Calibri"/>
                      <w:spacing w:val="1"/>
                      <w:w w:val="99"/>
                      <w:sz w:val="20"/>
                    </w:rPr>
                    <w:t>s</w:t>
                  </w:r>
                  <w:r>
                    <w:rPr>
                      <w:rFonts w:ascii="Calibri"/>
                      <w:w w:val="99"/>
                      <w:sz w:val="20"/>
                    </w:rPr>
                    <w:t>os</w:t>
                  </w:r>
                  <w:r>
                    <w:rPr>
                      <w:rFonts w:ascii="Calibri"/>
                      <w:spacing w:val="-2"/>
                      <w:sz w:val="20"/>
                    </w:rPr>
                    <w:t> </w:t>
                  </w:r>
                  <w:r>
                    <w:rPr>
                      <w:rFonts w:ascii="Calibri"/>
                      <w:spacing w:val="1"/>
                      <w:w w:val="99"/>
                      <w:sz w:val="20"/>
                    </w:rPr>
                    <w:t>d</w:t>
                  </w:r>
                  <w:r>
                    <w:rPr>
                      <w:rFonts w:ascii="Calibri"/>
                      <w:w w:val="99"/>
                      <w:sz w:val="20"/>
                    </w:rPr>
                    <w:t>e</w:t>
                  </w:r>
                </w:p>
                <w:p>
                  <w:pPr>
                    <w:spacing w:before="0"/>
                    <w:ind w:left="36" w:right="-465" w:firstLine="0"/>
                    <w:jc w:val="left"/>
                    <w:rPr>
                      <w:rFonts w:ascii="Calibri" w:hAnsi="Calibri"/>
                      <w:sz w:val="20"/>
                    </w:rPr>
                  </w:pPr>
                  <w:r>
                    <w:rPr>
                      <w:rFonts w:ascii="Calibri" w:hAnsi="Calibri"/>
                      <w:w w:val="99"/>
                      <w:sz w:val="20"/>
                    </w:rPr>
                    <w:t>po</w:t>
                  </w:r>
                  <w:r>
                    <w:rPr>
                      <w:rFonts w:ascii="Calibri" w:hAnsi="Calibri"/>
                      <w:spacing w:val="-1"/>
                      <w:w w:val="99"/>
                      <w:sz w:val="20"/>
                    </w:rPr>
                    <w:t>s</w:t>
                  </w:r>
                  <w:r>
                    <w:rPr>
                      <w:rFonts w:ascii="Calibri" w:hAnsi="Calibri"/>
                      <w:spacing w:val="2"/>
                      <w:w w:val="99"/>
                      <w:sz w:val="20"/>
                    </w:rPr>
                    <w:t>g</w:t>
                  </w:r>
                  <w:r>
                    <w:rPr>
                      <w:rFonts w:ascii="Calibri" w:hAnsi="Calibri"/>
                      <w:w w:val="99"/>
                      <w:sz w:val="20"/>
                    </w:rPr>
                    <w:t>ra</w:t>
                  </w:r>
                  <w:r>
                    <w:rPr>
                      <w:rFonts w:ascii="Calibri" w:hAnsi="Calibri"/>
                      <w:spacing w:val="-2"/>
                      <w:w w:val="99"/>
                      <w:sz w:val="20"/>
                    </w:rPr>
                    <w:t>d</w:t>
                  </w:r>
                  <w:r>
                    <w:rPr>
                      <w:rFonts w:ascii="Calibri" w:hAnsi="Calibri"/>
                      <w:w w:val="99"/>
                      <w:sz w:val="20"/>
                    </w:rPr>
                    <w:t>o</w:t>
                  </w:r>
                  <w:r>
                    <w:rPr>
                      <w:rFonts w:ascii="Calibri" w:hAnsi="Calibri"/>
                      <w:w w:val="99"/>
                      <w:sz w:val="20"/>
                    </w:rPr>
                    <w:t>…</w:t>
                  </w:r>
                </w:p>
              </w:txbxContent>
            </v:textbox>
            <w10:wrap type="none"/>
          </v:shape>
        </w:pict>
      </w:r>
      <w:r>
        <w:rPr/>
        <w:pict>
          <v:shape style="position:absolute;margin-left:368.040009pt;margin-top:19.845583pt;width:24.2pt;height:45.65pt;mso-position-horizontal-relative:page;mso-position-vertical-relative:paragraph;z-index:6616" type="#_x0000_t202" filled="false" stroked="false">
            <v:textbox inset="0,0,0,0" style="layout-flow:vertical;mso-layout-flow-alt:bottom-to-top">
              <w:txbxContent>
                <w:p>
                  <w:pPr>
                    <w:spacing w:line="223" w:lineRule="exact" w:before="0"/>
                    <w:ind w:left="20" w:right="-428" w:firstLine="0"/>
                    <w:jc w:val="left"/>
                    <w:rPr>
                      <w:rFonts w:ascii="Calibri"/>
                      <w:sz w:val="20"/>
                    </w:rPr>
                  </w:pPr>
                  <w:r>
                    <w:rPr>
                      <w:rFonts w:ascii="Calibri"/>
                      <w:w w:val="99"/>
                      <w:sz w:val="20"/>
                    </w:rPr>
                    <w:t>Pr</w:t>
                  </w:r>
                  <w:r>
                    <w:rPr>
                      <w:rFonts w:ascii="Calibri"/>
                      <w:spacing w:val="1"/>
                      <w:w w:val="99"/>
                      <w:sz w:val="20"/>
                    </w:rPr>
                    <w:t>o</w:t>
                  </w:r>
                  <w:r>
                    <w:rPr>
                      <w:rFonts w:ascii="Calibri"/>
                      <w:w w:val="99"/>
                      <w:sz w:val="20"/>
                    </w:rPr>
                    <w:t>gra</w:t>
                  </w:r>
                  <w:r>
                    <w:rPr>
                      <w:rFonts w:ascii="Calibri"/>
                      <w:spacing w:val="2"/>
                      <w:w w:val="99"/>
                      <w:sz w:val="20"/>
                    </w:rPr>
                    <w:t>m</w:t>
                  </w:r>
                  <w:r>
                    <w:rPr>
                      <w:rFonts w:ascii="Calibri"/>
                      <w:w w:val="99"/>
                      <w:sz w:val="20"/>
                    </w:rPr>
                    <w:t>as</w:t>
                  </w:r>
                </w:p>
                <w:p>
                  <w:pPr>
                    <w:spacing w:before="0"/>
                    <w:ind w:left="354" w:right="-232" w:firstLine="0"/>
                    <w:jc w:val="left"/>
                    <w:rPr>
                      <w:rFonts w:ascii="Calibri" w:hAnsi="Calibri"/>
                      <w:sz w:val="20"/>
                    </w:rPr>
                  </w:pPr>
                  <w:r>
                    <w:rPr>
                      <w:rFonts w:ascii="Calibri" w:hAnsi="Calibri"/>
                      <w:spacing w:val="1"/>
                      <w:w w:val="99"/>
                      <w:sz w:val="20"/>
                    </w:rPr>
                    <w:t>d</w:t>
                  </w:r>
                  <w:r>
                    <w:rPr>
                      <w:rFonts w:ascii="Calibri" w:hAnsi="Calibri"/>
                      <w:spacing w:val="-1"/>
                      <w:w w:val="99"/>
                      <w:sz w:val="20"/>
                    </w:rPr>
                    <w:t>e</w:t>
                  </w:r>
                  <w:r>
                    <w:rPr>
                      <w:rFonts w:ascii="Calibri" w:hAnsi="Calibri"/>
                      <w:w w:val="99"/>
                      <w:sz w:val="20"/>
                    </w:rPr>
                    <w:t>…</w:t>
                  </w:r>
                </w:p>
              </w:txbxContent>
            </v:textbox>
            <w10:wrap type="none"/>
          </v:shape>
        </w:pict>
      </w:r>
      <w:r>
        <w:rPr/>
        <w:pict>
          <v:shape style="position:absolute;margin-left:404.26001pt;margin-top:19.845583pt;width:24.2pt;height:45.65pt;mso-position-horizontal-relative:page;mso-position-vertical-relative:paragraph;z-index:6640" type="#_x0000_t202" filled="false" stroked="false">
            <v:textbox inset="0,0,0,0" style="layout-flow:vertical;mso-layout-flow-alt:bottom-to-top">
              <w:txbxContent>
                <w:p>
                  <w:pPr>
                    <w:spacing w:line="223" w:lineRule="exact" w:before="0"/>
                    <w:ind w:left="20" w:right="-428" w:firstLine="0"/>
                    <w:jc w:val="left"/>
                    <w:rPr>
                      <w:rFonts w:ascii="Calibri"/>
                      <w:sz w:val="20"/>
                    </w:rPr>
                  </w:pPr>
                  <w:r>
                    <w:rPr>
                      <w:rFonts w:ascii="Calibri"/>
                      <w:w w:val="99"/>
                      <w:sz w:val="20"/>
                    </w:rPr>
                    <w:t>Pr</w:t>
                  </w:r>
                  <w:r>
                    <w:rPr>
                      <w:rFonts w:ascii="Calibri"/>
                      <w:spacing w:val="1"/>
                      <w:w w:val="99"/>
                      <w:sz w:val="20"/>
                    </w:rPr>
                    <w:t>o</w:t>
                  </w:r>
                  <w:r>
                    <w:rPr>
                      <w:rFonts w:ascii="Calibri"/>
                      <w:w w:val="99"/>
                      <w:sz w:val="20"/>
                    </w:rPr>
                    <w:t>gra</w:t>
                  </w:r>
                  <w:r>
                    <w:rPr>
                      <w:rFonts w:ascii="Calibri"/>
                      <w:spacing w:val="2"/>
                      <w:w w:val="99"/>
                      <w:sz w:val="20"/>
                    </w:rPr>
                    <w:t>m</w:t>
                  </w:r>
                  <w:r>
                    <w:rPr>
                      <w:rFonts w:ascii="Calibri"/>
                      <w:w w:val="99"/>
                      <w:sz w:val="20"/>
                    </w:rPr>
                    <w:t>as</w:t>
                  </w:r>
                </w:p>
                <w:p>
                  <w:pPr>
                    <w:spacing w:before="0"/>
                    <w:ind w:left="354" w:right="-232" w:firstLine="0"/>
                    <w:jc w:val="left"/>
                    <w:rPr>
                      <w:rFonts w:ascii="Calibri" w:hAnsi="Calibri"/>
                      <w:sz w:val="20"/>
                    </w:rPr>
                  </w:pPr>
                  <w:r>
                    <w:rPr>
                      <w:rFonts w:ascii="Calibri" w:hAnsi="Calibri"/>
                      <w:spacing w:val="1"/>
                      <w:w w:val="99"/>
                      <w:sz w:val="20"/>
                    </w:rPr>
                    <w:t>d</w:t>
                  </w:r>
                  <w:r>
                    <w:rPr>
                      <w:rFonts w:ascii="Calibri" w:hAnsi="Calibri"/>
                      <w:spacing w:val="-1"/>
                      <w:w w:val="99"/>
                      <w:sz w:val="20"/>
                    </w:rPr>
                    <w:t>e</w:t>
                  </w:r>
                  <w:r>
                    <w:rPr>
                      <w:rFonts w:ascii="Calibri" w:hAnsi="Calibri"/>
                      <w:w w:val="99"/>
                      <w:sz w:val="20"/>
                    </w:rPr>
                    <w:t>…</w:t>
                  </w:r>
                </w:p>
              </w:txbxContent>
            </v:textbox>
            <w10:wrap type="none"/>
          </v:shape>
        </w:pict>
      </w:r>
      <w:r>
        <w:rPr/>
        <w:pict>
          <v:shape style="position:absolute;margin-left:440.450012pt;margin-top:19.845583pt;width:24.2pt;height:45.65pt;mso-position-horizontal-relative:page;mso-position-vertical-relative:paragraph;z-index:6664" type="#_x0000_t202" filled="false" stroked="false">
            <v:textbox inset="0,0,0,0" style="layout-flow:vertical;mso-layout-flow-alt:bottom-to-top">
              <w:txbxContent>
                <w:p>
                  <w:pPr>
                    <w:spacing w:line="223" w:lineRule="exact" w:before="0"/>
                    <w:ind w:left="20" w:right="-428" w:firstLine="0"/>
                    <w:jc w:val="left"/>
                    <w:rPr>
                      <w:rFonts w:ascii="Calibri"/>
                      <w:sz w:val="20"/>
                    </w:rPr>
                  </w:pPr>
                  <w:r>
                    <w:rPr>
                      <w:rFonts w:ascii="Calibri"/>
                      <w:w w:val="99"/>
                      <w:sz w:val="20"/>
                    </w:rPr>
                    <w:t>Pr</w:t>
                  </w:r>
                  <w:r>
                    <w:rPr>
                      <w:rFonts w:ascii="Calibri"/>
                      <w:spacing w:val="1"/>
                      <w:w w:val="99"/>
                      <w:sz w:val="20"/>
                    </w:rPr>
                    <w:t>o</w:t>
                  </w:r>
                  <w:r>
                    <w:rPr>
                      <w:rFonts w:ascii="Calibri"/>
                      <w:w w:val="99"/>
                      <w:sz w:val="20"/>
                    </w:rPr>
                    <w:t>gra</w:t>
                  </w:r>
                  <w:r>
                    <w:rPr>
                      <w:rFonts w:ascii="Calibri"/>
                      <w:spacing w:val="2"/>
                      <w:w w:val="99"/>
                      <w:sz w:val="20"/>
                    </w:rPr>
                    <w:t>m</w:t>
                  </w:r>
                  <w:r>
                    <w:rPr>
                      <w:rFonts w:ascii="Calibri"/>
                      <w:w w:val="99"/>
                      <w:sz w:val="20"/>
                    </w:rPr>
                    <w:t>as</w:t>
                  </w:r>
                </w:p>
                <w:p>
                  <w:pPr>
                    <w:spacing w:before="0"/>
                    <w:ind w:left="354" w:right="-232" w:firstLine="0"/>
                    <w:jc w:val="left"/>
                    <w:rPr>
                      <w:rFonts w:ascii="Calibri" w:hAnsi="Calibri"/>
                      <w:sz w:val="20"/>
                    </w:rPr>
                  </w:pPr>
                  <w:r>
                    <w:rPr>
                      <w:rFonts w:ascii="Calibri" w:hAnsi="Calibri"/>
                      <w:spacing w:val="1"/>
                      <w:w w:val="99"/>
                      <w:sz w:val="20"/>
                    </w:rPr>
                    <w:t>d</w:t>
                  </w:r>
                  <w:r>
                    <w:rPr>
                      <w:rFonts w:ascii="Calibri" w:hAnsi="Calibri"/>
                      <w:spacing w:val="-1"/>
                      <w:w w:val="99"/>
                      <w:sz w:val="20"/>
                    </w:rPr>
                    <w:t>e</w:t>
                  </w:r>
                  <w:r>
                    <w:rPr>
                      <w:rFonts w:ascii="Calibri" w:hAnsi="Calibri"/>
                      <w:w w:val="99"/>
                      <w:sz w:val="20"/>
                    </w:rPr>
                    <w:t>…</w:t>
                  </w:r>
                </w:p>
              </w:txbxContent>
            </v:textbox>
            <w10:wrap type="none"/>
          </v:shape>
        </w:pict>
      </w:r>
      <w:r>
        <w:rPr/>
        <w:pict>
          <v:shape style="position:absolute;margin-left:482.76001pt;margin-top:19.846607pt;width:12pt;height:36.5pt;mso-position-horizontal-relative:page;mso-position-vertical-relative:paragraph;z-index:6688" type="#_x0000_t202" filled="false" stroked="false">
            <v:textbox inset="0,0,0,0" style="layout-flow:vertical;mso-layout-flow-alt:bottom-to-top">
              <w:txbxContent>
                <w:p>
                  <w:pPr>
                    <w:spacing w:line="223" w:lineRule="exact" w:before="0"/>
                    <w:ind w:left="20" w:right="-488" w:firstLine="0"/>
                    <w:jc w:val="left"/>
                    <w:rPr>
                      <w:rFonts w:ascii="Calibri"/>
                      <w:sz w:val="20"/>
                    </w:rPr>
                  </w:pPr>
                  <w:r>
                    <w:rPr>
                      <w:rFonts w:ascii="Calibri"/>
                      <w:w w:val="99"/>
                      <w:sz w:val="20"/>
                    </w:rPr>
                    <w:t>Ninguno</w:t>
                  </w:r>
                </w:p>
              </w:txbxContent>
            </v:textbox>
            <w10:wrap type="none"/>
          </v:shape>
        </w:pict>
      </w:r>
      <w:r>
        <w:rPr>
          <w:rFonts w:ascii="Calibri"/>
          <w:w w:val="99"/>
          <w:sz w:val="20"/>
        </w:rPr>
        <w:t>0</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16"/>
        </w:rPr>
      </w:pPr>
    </w:p>
    <w:p>
      <w:pPr>
        <w:spacing w:before="1"/>
        <w:ind w:left="370" w:right="770" w:firstLine="0"/>
        <w:jc w:val="center"/>
        <w:rPr>
          <w:sz w:val="20"/>
        </w:rPr>
      </w:pPr>
      <w:r>
        <w:rPr>
          <w:sz w:val="20"/>
        </w:rPr>
        <w:t>Fuente: elaboración propia con base en el “Cuestionario transición egresados universitarios-mercado de trabajo, Facultad de Economía UAEMéx”</w:t>
      </w:r>
    </w:p>
    <w:p>
      <w:pPr>
        <w:pStyle w:val="BodyText"/>
        <w:spacing w:before="2"/>
        <w:rPr>
          <w:sz w:val="17"/>
        </w:rPr>
      </w:pPr>
    </w:p>
    <w:p>
      <w:pPr>
        <w:pStyle w:val="BodyText"/>
        <w:spacing w:line="360" w:lineRule="auto"/>
        <w:ind w:left="102" w:right="497"/>
        <w:jc w:val="both"/>
      </w:pPr>
      <w:r>
        <w:rPr/>
        <w:t>Se observa también que, los cuatro aspectos que durante el estudio de la Licenciatura de Economía fueron atendidos por los encuestados fueron: cursos de computación, cursos de econometría, curso de técnicas estadísticas y cursos de idiomas. En el segundo grupo las actividades que realizaron después de egresar en primer lugar se encontró “un curso de posgrado”, lo cual no es una sorpresa, debido a que es necesario concluir la licenciatura para poder cursar una maestría o un</w:t>
      </w:r>
      <w:r>
        <w:rPr>
          <w:spacing w:val="-8"/>
        </w:rPr>
        <w:t> </w:t>
      </w:r>
      <w:r>
        <w:rPr/>
        <w:t>doctorado.</w:t>
      </w:r>
    </w:p>
    <w:p>
      <w:pPr>
        <w:pStyle w:val="BodyText"/>
      </w:pPr>
    </w:p>
    <w:p>
      <w:pPr>
        <w:pStyle w:val="BodyText"/>
        <w:spacing w:line="360" w:lineRule="auto" w:before="143"/>
        <w:ind w:left="102" w:right="495"/>
        <w:jc w:val="both"/>
      </w:pPr>
      <w:r>
        <w:rPr/>
        <w:t>Es importante para conocer la calidad de la transición si tenían poder de decisión en su primer empleo, el 50% no tomaba decisiones, el 32% tenía un nivel de decisión ejecutivo, 11% gerencia media y 5% gerencia alta, y el 2% seleccionó la respuesta otro. </w:t>
      </w:r>
      <w:r>
        <w:rPr>
          <w:spacing w:val="2"/>
        </w:rPr>
        <w:t>Con </w:t>
      </w:r>
      <w:r>
        <w:rPr/>
        <w:t>base en la teoría se preguntó si el primer empleo era el que deseaban o lo aceptaron como algo temporal. El 72% lo aceptó como algo temporal, y el 28% realmente se contrató en el trabajo que</w:t>
      </w:r>
      <w:r>
        <w:rPr>
          <w:spacing w:val="-5"/>
        </w:rPr>
        <w:t> </w:t>
      </w:r>
      <w:r>
        <w:rPr/>
        <w:t>deseaba.</w:t>
      </w:r>
    </w:p>
    <w:p>
      <w:pPr>
        <w:pStyle w:val="BodyText"/>
      </w:pPr>
    </w:p>
    <w:p>
      <w:pPr>
        <w:pStyle w:val="BodyText"/>
        <w:spacing w:line="360" w:lineRule="auto" w:before="143"/>
        <w:ind w:left="102" w:right="499"/>
        <w:jc w:val="both"/>
      </w:pPr>
      <w:r>
        <w:rPr/>
        <w:t>El número de personas que trabajaban en la organización donde se contrataron en su primer empleo, obtuvo 21% entre 10 y 49 personas, 17% respondió que de 100 a 249 y 1000 ó</w:t>
      </w:r>
    </w:p>
    <w:p>
      <w:pPr>
        <w:pStyle w:val="BodyText"/>
        <w:spacing w:line="360" w:lineRule="auto" w:before="4"/>
        <w:ind w:left="102" w:right="504"/>
        <w:jc w:val="both"/>
      </w:pPr>
      <w:r>
        <w:rPr/>
        <w:t>más. 16% de 1 a 9, 15% de 250 a 999 y 14% de 50 a 99. Lo cual corresponde al hecho de que en México predominan las empresas clasificadas como tamaño micro y pequeñas.</w:t>
      </w:r>
    </w:p>
    <w:p>
      <w:pPr>
        <w:spacing w:after="0" w:line="360" w:lineRule="auto"/>
        <w:jc w:val="both"/>
        <w:sectPr>
          <w:pgSz w:w="12240" w:h="15840"/>
          <w:pgMar w:header="0" w:footer="1003" w:top="1360" w:bottom="1200" w:left="1600" w:right="1200"/>
        </w:sectPr>
      </w:pPr>
    </w:p>
    <w:p>
      <w:pPr>
        <w:pStyle w:val="BodyText"/>
        <w:spacing w:line="360" w:lineRule="auto" w:before="50"/>
        <w:ind w:left="102" w:right="119"/>
        <w:jc w:val="both"/>
      </w:pPr>
      <w:r>
        <w:rPr/>
        <w:t>La siguiente cuestión se planteo en relación a la participación que tuvieron los egresados en el establecimiento de los objetivos de la organización, estrategias de trabajo y la autonomía para realizarlo. El 40% respondió que tuvo el poder de decisión sobre cómo realizar el trabajo, el 26% contó con facultades de decisión sobre los objetivos de su propio trabajo. 23% participó en el establecimiento de las estrategias de la organización y el 11% estableció objetivos para la</w:t>
      </w:r>
      <w:r>
        <w:rPr>
          <w:spacing w:val="-5"/>
        </w:rPr>
        <w:t> </w:t>
      </w:r>
      <w:r>
        <w:rPr/>
        <w:t>organización.</w:t>
      </w:r>
    </w:p>
    <w:p>
      <w:pPr>
        <w:pStyle w:val="BodyText"/>
      </w:pPr>
    </w:p>
    <w:p>
      <w:pPr>
        <w:pStyle w:val="BodyText"/>
        <w:spacing w:line="360" w:lineRule="auto" w:before="143"/>
        <w:ind w:left="102" w:right="117"/>
        <w:jc w:val="both"/>
      </w:pPr>
      <w:r>
        <w:rPr/>
        <w:t>Se preguntó si contaban con experiencia previa a su primer empleo además de las prácticas profesionales, el 85% respondió que “no” y el 15% respondió que “si”. Finalmente, se cuestionó respecto a los mayores obstáculos desde que se graduó hasta que consiguió su primer empleo. En donde la falta de experiencia laboral (20%) fue la respuesta con el  mayor porcentaje, seguido de la falta de formación práctica (18%). Todos los resultados se muestran en la tabla</w:t>
      </w:r>
      <w:r>
        <w:rPr>
          <w:spacing w:val="-4"/>
        </w:rPr>
        <w:t> </w:t>
      </w:r>
      <w:r>
        <w:rPr/>
        <w:t>6.3.</w:t>
      </w:r>
    </w:p>
    <w:p>
      <w:pPr>
        <w:pStyle w:val="BodyText"/>
        <w:spacing w:before="8"/>
      </w:pPr>
    </w:p>
    <w:p>
      <w:pPr>
        <w:pStyle w:val="Heading3"/>
        <w:spacing w:before="0"/>
        <w:ind w:left="944" w:right="595" w:hanging="353"/>
        <w:jc w:val="left"/>
      </w:pPr>
      <w:r>
        <w:rPr/>
        <w:t>Tabla 6.3. ¿Cuáles fueron para usted los mayores obstáculos en el período de transición desde que se graduó hasta que consiguió su primer empleo:</w:t>
      </w:r>
    </w:p>
    <w:p>
      <w:pPr>
        <w:pStyle w:val="BodyText"/>
        <w:spacing w:before="3"/>
        <w:rPr>
          <w:b/>
        </w:rPr>
      </w:pPr>
    </w:p>
    <w:tbl>
      <w:tblPr>
        <w:tblW w:w="0" w:type="auto"/>
        <w:jc w:val="left"/>
        <w:tblInd w:w="6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78"/>
        <w:gridCol w:w="975"/>
      </w:tblGrid>
      <w:tr>
        <w:trPr>
          <w:trHeight w:val="264" w:hRule="exact"/>
        </w:trPr>
        <w:tc>
          <w:tcPr>
            <w:tcW w:w="6678" w:type="dxa"/>
          </w:tcPr>
          <w:p>
            <w:pPr>
              <w:pStyle w:val="TableParagraph"/>
              <w:spacing w:line="223" w:lineRule="exact"/>
              <w:ind w:left="103"/>
              <w:rPr>
                <w:sz w:val="20"/>
              </w:rPr>
            </w:pPr>
            <w:r>
              <w:rPr>
                <w:sz w:val="20"/>
              </w:rPr>
              <w:t>La falta de conocimientos que debía darme la titulación</w:t>
            </w:r>
          </w:p>
        </w:tc>
        <w:tc>
          <w:tcPr>
            <w:tcW w:w="975" w:type="dxa"/>
          </w:tcPr>
          <w:p>
            <w:pPr>
              <w:pStyle w:val="TableParagraph"/>
              <w:spacing w:line="223" w:lineRule="exact"/>
              <w:ind w:right="99"/>
              <w:jc w:val="right"/>
              <w:rPr>
                <w:sz w:val="20"/>
              </w:rPr>
            </w:pPr>
            <w:r>
              <w:rPr>
                <w:sz w:val="20"/>
              </w:rPr>
              <w:t>4%</w:t>
            </w:r>
          </w:p>
        </w:tc>
      </w:tr>
      <w:tr>
        <w:trPr>
          <w:trHeight w:val="267" w:hRule="exact"/>
        </w:trPr>
        <w:tc>
          <w:tcPr>
            <w:tcW w:w="6678" w:type="dxa"/>
          </w:tcPr>
          <w:p>
            <w:pPr>
              <w:pStyle w:val="TableParagraph"/>
              <w:spacing w:line="224" w:lineRule="exact"/>
              <w:ind w:left="103"/>
              <w:rPr>
                <w:sz w:val="20"/>
              </w:rPr>
            </w:pPr>
            <w:r>
              <w:rPr>
                <w:sz w:val="20"/>
              </w:rPr>
              <w:t>La falta de formación práctica</w:t>
            </w:r>
          </w:p>
        </w:tc>
        <w:tc>
          <w:tcPr>
            <w:tcW w:w="975" w:type="dxa"/>
          </w:tcPr>
          <w:p>
            <w:pPr>
              <w:pStyle w:val="TableParagraph"/>
              <w:spacing w:line="224" w:lineRule="exact"/>
              <w:ind w:right="99"/>
              <w:jc w:val="right"/>
              <w:rPr>
                <w:sz w:val="20"/>
              </w:rPr>
            </w:pPr>
            <w:r>
              <w:rPr>
                <w:sz w:val="20"/>
              </w:rPr>
              <w:t>18%</w:t>
            </w:r>
          </w:p>
        </w:tc>
      </w:tr>
      <w:tr>
        <w:trPr>
          <w:trHeight w:val="264" w:hRule="exact"/>
        </w:trPr>
        <w:tc>
          <w:tcPr>
            <w:tcW w:w="6678" w:type="dxa"/>
          </w:tcPr>
          <w:p>
            <w:pPr>
              <w:pStyle w:val="TableParagraph"/>
              <w:spacing w:line="223" w:lineRule="exact"/>
              <w:ind w:left="103"/>
              <w:rPr>
                <w:sz w:val="20"/>
              </w:rPr>
            </w:pPr>
            <w:r>
              <w:rPr>
                <w:sz w:val="20"/>
              </w:rPr>
              <w:t>La falta de orientación laboral en la universidad</w:t>
            </w:r>
          </w:p>
        </w:tc>
        <w:tc>
          <w:tcPr>
            <w:tcW w:w="975" w:type="dxa"/>
          </w:tcPr>
          <w:p>
            <w:pPr>
              <w:pStyle w:val="TableParagraph"/>
              <w:spacing w:line="223" w:lineRule="exact"/>
              <w:ind w:right="99"/>
              <w:jc w:val="right"/>
              <w:rPr>
                <w:sz w:val="20"/>
              </w:rPr>
            </w:pPr>
            <w:r>
              <w:rPr>
                <w:sz w:val="20"/>
              </w:rPr>
              <w:t>15%</w:t>
            </w:r>
          </w:p>
        </w:tc>
      </w:tr>
      <w:tr>
        <w:trPr>
          <w:trHeight w:val="264" w:hRule="exact"/>
        </w:trPr>
        <w:tc>
          <w:tcPr>
            <w:tcW w:w="6678" w:type="dxa"/>
          </w:tcPr>
          <w:p>
            <w:pPr>
              <w:pStyle w:val="TableParagraph"/>
              <w:spacing w:line="223" w:lineRule="exact"/>
              <w:ind w:left="103"/>
              <w:rPr>
                <w:sz w:val="20"/>
              </w:rPr>
            </w:pPr>
            <w:r>
              <w:rPr>
                <w:sz w:val="20"/>
              </w:rPr>
              <w:t>La falta de experiencia laboral</w:t>
            </w:r>
          </w:p>
        </w:tc>
        <w:tc>
          <w:tcPr>
            <w:tcW w:w="975" w:type="dxa"/>
          </w:tcPr>
          <w:p>
            <w:pPr>
              <w:pStyle w:val="TableParagraph"/>
              <w:spacing w:line="223" w:lineRule="exact"/>
              <w:ind w:right="99"/>
              <w:jc w:val="right"/>
              <w:rPr>
                <w:sz w:val="20"/>
              </w:rPr>
            </w:pPr>
            <w:r>
              <w:rPr>
                <w:sz w:val="20"/>
              </w:rPr>
              <w:t>20%</w:t>
            </w:r>
          </w:p>
        </w:tc>
      </w:tr>
      <w:tr>
        <w:trPr>
          <w:trHeight w:val="266" w:hRule="exact"/>
        </w:trPr>
        <w:tc>
          <w:tcPr>
            <w:tcW w:w="6678" w:type="dxa"/>
          </w:tcPr>
          <w:p>
            <w:pPr>
              <w:pStyle w:val="TableParagraph"/>
              <w:spacing w:line="226" w:lineRule="exact"/>
              <w:ind w:left="103"/>
              <w:rPr>
                <w:sz w:val="20"/>
              </w:rPr>
            </w:pPr>
            <w:r>
              <w:rPr>
                <w:sz w:val="20"/>
              </w:rPr>
              <w:t>Discriminación por razón de edad</w:t>
            </w:r>
          </w:p>
        </w:tc>
        <w:tc>
          <w:tcPr>
            <w:tcW w:w="975" w:type="dxa"/>
          </w:tcPr>
          <w:p>
            <w:pPr>
              <w:pStyle w:val="TableParagraph"/>
              <w:spacing w:line="226" w:lineRule="exact"/>
              <w:ind w:right="99"/>
              <w:jc w:val="right"/>
              <w:rPr>
                <w:sz w:val="20"/>
              </w:rPr>
            </w:pPr>
            <w:r>
              <w:rPr>
                <w:sz w:val="20"/>
              </w:rPr>
              <w:t>3%</w:t>
            </w:r>
          </w:p>
        </w:tc>
      </w:tr>
      <w:tr>
        <w:trPr>
          <w:trHeight w:val="264" w:hRule="exact"/>
        </w:trPr>
        <w:tc>
          <w:tcPr>
            <w:tcW w:w="6678" w:type="dxa"/>
          </w:tcPr>
          <w:p>
            <w:pPr>
              <w:pStyle w:val="TableParagraph"/>
              <w:spacing w:line="223" w:lineRule="exact"/>
              <w:ind w:left="103"/>
              <w:rPr>
                <w:sz w:val="20"/>
              </w:rPr>
            </w:pPr>
            <w:r>
              <w:rPr>
                <w:sz w:val="20"/>
              </w:rPr>
              <w:t>Las condiciones laborales</w:t>
            </w:r>
          </w:p>
        </w:tc>
        <w:tc>
          <w:tcPr>
            <w:tcW w:w="975" w:type="dxa"/>
          </w:tcPr>
          <w:p>
            <w:pPr>
              <w:pStyle w:val="TableParagraph"/>
              <w:spacing w:line="223" w:lineRule="exact"/>
              <w:ind w:right="99"/>
              <w:jc w:val="right"/>
              <w:rPr>
                <w:sz w:val="20"/>
              </w:rPr>
            </w:pPr>
            <w:r>
              <w:rPr>
                <w:sz w:val="20"/>
              </w:rPr>
              <w:t>7%</w:t>
            </w:r>
          </w:p>
        </w:tc>
      </w:tr>
      <w:tr>
        <w:trPr>
          <w:trHeight w:val="266" w:hRule="exact"/>
        </w:trPr>
        <w:tc>
          <w:tcPr>
            <w:tcW w:w="6678" w:type="dxa"/>
          </w:tcPr>
          <w:p>
            <w:pPr>
              <w:pStyle w:val="TableParagraph"/>
              <w:spacing w:line="223" w:lineRule="exact"/>
              <w:ind w:left="103"/>
              <w:rPr>
                <w:sz w:val="20"/>
              </w:rPr>
            </w:pPr>
            <w:r>
              <w:rPr>
                <w:sz w:val="20"/>
              </w:rPr>
              <w:t>La situación personal (razones familiares…)</w:t>
            </w:r>
          </w:p>
        </w:tc>
        <w:tc>
          <w:tcPr>
            <w:tcW w:w="975" w:type="dxa"/>
          </w:tcPr>
          <w:p>
            <w:pPr>
              <w:pStyle w:val="TableParagraph"/>
              <w:spacing w:line="223" w:lineRule="exact"/>
              <w:ind w:right="99"/>
              <w:jc w:val="right"/>
              <w:rPr>
                <w:sz w:val="20"/>
              </w:rPr>
            </w:pPr>
            <w:r>
              <w:rPr>
                <w:sz w:val="20"/>
              </w:rPr>
              <w:t>2%</w:t>
            </w:r>
          </w:p>
        </w:tc>
      </w:tr>
      <w:tr>
        <w:trPr>
          <w:trHeight w:val="264" w:hRule="exact"/>
        </w:trPr>
        <w:tc>
          <w:tcPr>
            <w:tcW w:w="6678" w:type="dxa"/>
          </w:tcPr>
          <w:p>
            <w:pPr>
              <w:pStyle w:val="TableParagraph"/>
              <w:spacing w:line="223" w:lineRule="exact"/>
              <w:ind w:left="103"/>
              <w:rPr>
                <w:sz w:val="20"/>
              </w:rPr>
            </w:pPr>
            <w:r>
              <w:rPr>
                <w:sz w:val="20"/>
              </w:rPr>
              <w:t>Tener una titulación con unas pocas oportunidades profesionales</w:t>
            </w:r>
          </w:p>
        </w:tc>
        <w:tc>
          <w:tcPr>
            <w:tcW w:w="975" w:type="dxa"/>
          </w:tcPr>
          <w:p>
            <w:pPr>
              <w:pStyle w:val="TableParagraph"/>
              <w:spacing w:line="223" w:lineRule="exact"/>
              <w:ind w:right="99"/>
              <w:jc w:val="right"/>
              <w:rPr>
                <w:sz w:val="20"/>
              </w:rPr>
            </w:pPr>
            <w:r>
              <w:rPr>
                <w:sz w:val="20"/>
              </w:rPr>
              <w:t>6%</w:t>
            </w:r>
          </w:p>
        </w:tc>
      </w:tr>
      <w:tr>
        <w:trPr>
          <w:trHeight w:val="264" w:hRule="exact"/>
        </w:trPr>
        <w:tc>
          <w:tcPr>
            <w:tcW w:w="6678" w:type="dxa"/>
          </w:tcPr>
          <w:p>
            <w:pPr>
              <w:pStyle w:val="TableParagraph"/>
              <w:spacing w:line="223" w:lineRule="exact"/>
              <w:ind w:left="103"/>
              <w:rPr>
                <w:sz w:val="20"/>
              </w:rPr>
            </w:pPr>
            <w:r>
              <w:rPr>
                <w:sz w:val="20"/>
              </w:rPr>
              <w:t>Intentar acceder a un empleo que no requiere la Licenciatura en Economía</w:t>
            </w:r>
          </w:p>
        </w:tc>
        <w:tc>
          <w:tcPr>
            <w:tcW w:w="975" w:type="dxa"/>
          </w:tcPr>
          <w:p>
            <w:pPr>
              <w:pStyle w:val="TableParagraph"/>
              <w:spacing w:line="223" w:lineRule="exact"/>
              <w:ind w:right="99"/>
              <w:jc w:val="right"/>
              <w:rPr>
                <w:sz w:val="20"/>
              </w:rPr>
            </w:pPr>
            <w:r>
              <w:rPr>
                <w:sz w:val="20"/>
              </w:rPr>
              <w:t>6%</w:t>
            </w:r>
          </w:p>
        </w:tc>
      </w:tr>
      <w:tr>
        <w:trPr>
          <w:trHeight w:val="266" w:hRule="exact"/>
        </w:trPr>
        <w:tc>
          <w:tcPr>
            <w:tcW w:w="6678" w:type="dxa"/>
          </w:tcPr>
          <w:p>
            <w:pPr>
              <w:pStyle w:val="TableParagraph"/>
              <w:spacing w:line="226" w:lineRule="exact"/>
              <w:ind w:left="103"/>
              <w:rPr>
                <w:sz w:val="20"/>
              </w:rPr>
            </w:pPr>
            <w:r>
              <w:rPr>
                <w:sz w:val="20"/>
              </w:rPr>
              <w:t>Discriminación por razón de sexo (ser hombre/mujer)</w:t>
            </w:r>
          </w:p>
        </w:tc>
        <w:tc>
          <w:tcPr>
            <w:tcW w:w="975" w:type="dxa"/>
          </w:tcPr>
          <w:p>
            <w:pPr>
              <w:pStyle w:val="TableParagraph"/>
              <w:spacing w:line="226" w:lineRule="exact"/>
              <w:ind w:right="99"/>
              <w:jc w:val="right"/>
              <w:rPr>
                <w:sz w:val="20"/>
              </w:rPr>
            </w:pPr>
            <w:r>
              <w:rPr>
                <w:sz w:val="20"/>
              </w:rPr>
              <w:t>1%</w:t>
            </w:r>
          </w:p>
        </w:tc>
      </w:tr>
      <w:tr>
        <w:trPr>
          <w:trHeight w:val="264" w:hRule="exact"/>
        </w:trPr>
        <w:tc>
          <w:tcPr>
            <w:tcW w:w="6678" w:type="dxa"/>
          </w:tcPr>
          <w:p>
            <w:pPr>
              <w:pStyle w:val="TableParagraph"/>
              <w:spacing w:line="223" w:lineRule="exact"/>
              <w:ind w:left="103"/>
              <w:rPr>
                <w:sz w:val="20"/>
              </w:rPr>
            </w:pPr>
            <w:r>
              <w:rPr>
                <w:sz w:val="20"/>
              </w:rPr>
              <w:t>No tener contactos</w:t>
            </w:r>
          </w:p>
        </w:tc>
        <w:tc>
          <w:tcPr>
            <w:tcW w:w="975" w:type="dxa"/>
          </w:tcPr>
          <w:p>
            <w:pPr>
              <w:pStyle w:val="TableParagraph"/>
              <w:spacing w:line="223" w:lineRule="exact"/>
              <w:ind w:right="99"/>
              <w:jc w:val="right"/>
              <w:rPr>
                <w:sz w:val="20"/>
              </w:rPr>
            </w:pPr>
            <w:r>
              <w:rPr>
                <w:sz w:val="20"/>
              </w:rPr>
              <w:t>10%</w:t>
            </w:r>
          </w:p>
        </w:tc>
      </w:tr>
      <w:tr>
        <w:trPr>
          <w:trHeight w:val="266" w:hRule="exact"/>
        </w:trPr>
        <w:tc>
          <w:tcPr>
            <w:tcW w:w="6678" w:type="dxa"/>
          </w:tcPr>
          <w:p>
            <w:pPr>
              <w:pStyle w:val="TableParagraph"/>
              <w:spacing w:line="223" w:lineRule="exact"/>
              <w:ind w:left="103"/>
              <w:rPr>
                <w:sz w:val="20"/>
              </w:rPr>
            </w:pPr>
            <w:r>
              <w:rPr>
                <w:sz w:val="20"/>
              </w:rPr>
              <w:t>Infravaloración de la carrera cursada</w:t>
            </w:r>
          </w:p>
        </w:tc>
        <w:tc>
          <w:tcPr>
            <w:tcW w:w="975" w:type="dxa"/>
          </w:tcPr>
          <w:p>
            <w:pPr>
              <w:pStyle w:val="TableParagraph"/>
              <w:spacing w:line="223" w:lineRule="exact"/>
              <w:ind w:right="99"/>
              <w:jc w:val="right"/>
              <w:rPr>
                <w:sz w:val="20"/>
              </w:rPr>
            </w:pPr>
            <w:r>
              <w:rPr>
                <w:sz w:val="20"/>
              </w:rPr>
              <w:t>5%</w:t>
            </w:r>
          </w:p>
        </w:tc>
      </w:tr>
      <w:tr>
        <w:trPr>
          <w:trHeight w:val="264" w:hRule="exact"/>
        </w:trPr>
        <w:tc>
          <w:tcPr>
            <w:tcW w:w="6678" w:type="dxa"/>
          </w:tcPr>
          <w:p>
            <w:pPr>
              <w:pStyle w:val="TableParagraph"/>
              <w:spacing w:line="223" w:lineRule="exact"/>
              <w:ind w:left="103"/>
              <w:rPr>
                <w:sz w:val="20"/>
              </w:rPr>
            </w:pPr>
            <w:r>
              <w:rPr>
                <w:sz w:val="20"/>
              </w:rPr>
              <w:t>Otro (Por favor especifique)</w:t>
            </w:r>
          </w:p>
        </w:tc>
        <w:tc>
          <w:tcPr>
            <w:tcW w:w="975" w:type="dxa"/>
          </w:tcPr>
          <w:p>
            <w:pPr>
              <w:pStyle w:val="TableParagraph"/>
              <w:spacing w:line="223" w:lineRule="exact"/>
              <w:ind w:right="99"/>
              <w:jc w:val="right"/>
              <w:rPr>
                <w:sz w:val="20"/>
              </w:rPr>
            </w:pPr>
            <w:r>
              <w:rPr>
                <w:sz w:val="20"/>
              </w:rPr>
              <w:t>1%</w:t>
            </w:r>
          </w:p>
        </w:tc>
      </w:tr>
    </w:tbl>
    <w:p>
      <w:pPr>
        <w:spacing w:line="240" w:lineRule="auto" w:before="0"/>
        <w:ind w:left="2841" w:right="378" w:hanging="2471"/>
        <w:jc w:val="left"/>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rPr>
          <w:sz w:val="20"/>
        </w:rPr>
      </w:pPr>
    </w:p>
    <w:p>
      <w:pPr>
        <w:pStyle w:val="BodyText"/>
        <w:rPr>
          <w:sz w:val="16"/>
        </w:rPr>
      </w:pPr>
    </w:p>
    <w:p>
      <w:pPr>
        <w:pStyle w:val="BodyText"/>
        <w:spacing w:line="360" w:lineRule="auto"/>
        <w:ind w:left="102" w:right="117"/>
        <w:jc w:val="both"/>
      </w:pPr>
      <w:r>
        <w:rPr/>
        <w:t>En este constructo se revisaron las principales características del primer empleo que a su vez, determinan cómo es el proceso de transición de la universidad al mercado de trabajo. Se revisaron aspectos generales de formación básica, que es la que se adquiere en la universidad, y de formación complementaria que el egresado considera es necesaria para poder insertarse en el mercado de trabajo y que es adquirida en su mayoría por interés</w:t>
      </w:r>
    </w:p>
    <w:p>
      <w:pPr>
        <w:spacing w:after="0" w:line="360" w:lineRule="auto"/>
        <w:jc w:val="both"/>
        <w:sectPr>
          <w:pgSz w:w="12240" w:h="15840"/>
          <w:pgMar w:header="0" w:footer="1003" w:top="1360" w:bottom="1200" w:left="1600" w:right="1580"/>
        </w:sectPr>
      </w:pPr>
    </w:p>
    <w:p>
      <w:pPr>
        <w:pStyle w:val="BodyText"/>
        <w:spacing w:line="360" w:lineRule="auto" w:before="50"/>
        <w:ind w:left="102" w:right="120"/>
        <w:jc w:val="both"/>
      </w:pPr>
      <w:r>
        <w:rPr/>
        <w:t>propio. Se confirmaron los dos principales supuestos de la teoría de las señales, en donde contar con preparación profesional y las calificaciones obtenidas fueron consideradas (de acuerdo a las respuestas de los encuestados) como las principales “señales” para ser contratados. El 28% de los encuestados tardó entre cero y tres meses en ser contratado, y el 51% contestó que duró más de 12 meses, una vez contratado en su primer empleo. Sólo el 30% refirió que el factor que más influyó en su contratación fueron las recomendaciones. Un dato relevante es que el ser hombre (50%) o mujer (46%) no influyó,</w:t>
      </w:r>
    </w:p>
    <w:p>
      <w:pPr>
        <w:pStyle w:val="BodyText"/>
      </w:pPr>
    </w:p>
    <w:p>
      <w:pPr>
        <w:pStyle w:val="Heading3"/>
        <w:numPr>
          <w:ilvl w:val="1"/>
          <w:numId w:val="75"/>
        </w:numPr>
        <w:tabs>
          <w:tab w:pos="522" w:val="left" w:leader="none"/>
        </w:tabs>
        <w:spacing w:line="240" w:lineRule="auto" w:before="215" w:after="0"/>
        <w:ind w:left="522" w:right="0" w:hanging="420"/>
        <w:jc w:val="both"/>
      </w:pPr>
      <w:bookmarkStart w:name="_bookmark76" w:id="139"/>
      <w:bookmarkEnd w:id="139"/>
      <w:r>
        <w:rPr>
          <w:b w:val="0"/>
        </w:rPr>
      </w:r>
      <w:bookmarkStart w:name="_bookmark76" w:id="140"/>
      <w:bookmarkEnd w:id="140"/>
      <w:r>
        <w:rPr/>
        <w:t>Cons</w:t>
      </w:r>
      <w:r>
        <w:rPr/>
        <w:t>olidación de la</w:t>
      </w:r>
      <w:r>
        <w:rPr>
          <w:spacing w:val="-6"/>
        </w:rPr>
        <w:t> </w:t>
      </w:r>
      <w:r>
        <w:rPr/>
        <w:t>transición</w:t>
      </w:r>
    </w:p>
    <w:p>
      <w:pPr>
        <w:pStyle w:val="BodyText"/>
        <w:rPr>
          <w:b/>
        </w:rPr>
      </w:pPr>
    </w:p>
    <w:p>
      <w:pPr>
        <w:pStyle w:val="BodyText"/>
        <w:spacing w:line="360" w:lineRule="auto" w:before="175"/>
        <w:ind w:left="102" w:right="116"/>
        <w:jc w:val="both"/>
      </w:pPr>
      <w:r>
        <w:rPr/>
        <w:t>La intención de este constructo fue conocer que características ayudaron a los egresados a permanecer en el mercado de trabajo. Se inició con la pregunta si continúan laborando en el primer empleo, a lo que el 76% respondió que “no” y 24% que “si”. Lo que muestra estabilidad laboral.</w:t>
      </w:r>
    </w:p>
    <w:p>
      <w:pPr>
        <w:pStyle w:val="BodyText"/>
      </w:pPr>
    </w:p>
    <w:p>
      <w:pPr>
        <w:pStyle w:val="BodyText"/>
        <w:spacing w:line="360" w:lineRule="auto" w:before="143"/>
        <w:ind w:left="102" w:right="116"/>
        <w:jc w:val="both"/>
      </w:pPr>
      <w:r>
        <w:rPr/>
        <w:t>La siguiente pregunta fue: ¿tuvo la oportunidad de aprender cosas nuevas en su primer empleo? 90% contestó que “si” y 10% que “no”. Adicionalmente, se cuestionó si necesitó capacitación inicial para el empleo, el 74% respondió que sí y el 26% que no. Con estas dos preguntas, se apoyan las inferencias realizadas con base en las respuestas de la sección anterior respecto a la falta de vinculación entre los programas educativos y el mercado de trabajo. Es necesario reforzar y conocer más a fondo lo que el mercado de trabajo requiere con respecto a lo que las universidades están formando.</w:t>
      </w:r>
    </w:p>
    <w:p>
      <w:pPr>
        <w:pStyle w:val="BodyText"/>
      </w:pPr>
    </w:p>
    <w:p>
      <w:pPr>
        <w:pStyle w:val="BodyText"/>
        <w:spacing w:line="360" w:lineRule="auto" w:before="143"/>
        <w:ind w:left="102" w:right="119"/>
        <w:jc w:val="both"/>
      </w:pPr>
      <w:r>
        <w:rPr/>
        <w:t>El 44% fue promovido en su primer empleo. Y el 45% consideró que su proceso de transición fue corto y no estuvo relacionado con la carrera de economía. El hecho de que no esté vinculado con la profesión estudiada es un punto de alarma para la UAEMéx porque entonces se debe revisar el programa educativo vigente y valorar sí la teoría es compatible con la práctica profesional.</w:t>
      </w:r>
    </w:p>
    <w:p>
      <w:pPr>
        <w:pStyle w:val="BodyText"/>
      </w:pPr>
    </w:p>
    <w:p>
      <w:pPr>
        <w:pStyle w:val="BodyText"/>
        <w:spacing w:line="360" w:lineRule="auto" w:before="143"/>
        <w:ind w:left="102" w:right="120"/>
        <w:jc w:val="both"/>
      </w:pPr>
      <w:r>
        <w:rPr/>
        <w:t>Finalmente, se cuestionó respecto al apoyo y seguimiento brindado por el departamento de vinculación de la Facultad de Economía de la UAEMéx. El 82 % consideró que no hubo</w:t>
      </w:r>
    </w:p>
    <w:p>
      <w:pPr>
        <w:spacing w:after="0" w:line="360" w:lineRule="auto"/>
        <w:jc w:val="both"/>
        <w:sectPr>
          <w:pgSz w:w="12240" w:h="15840"/>
          <w:pgMar w:header="0" w:footer="1003" w:top="1360" w:bottom="1200" w:left="1600" w:right="1580"/>
        </w:sectPr>
      </w:pPr>
    </w:p>
    <w:p>
      <w:pPr>
        <w:pStyle w:val="BodyText"/>
        <w:spacing w:line="360" w:lineRule="auto" w:before="50"/>
        <w:ind w:left="102" w:right="119"/>
        <w:jc w:val="both"/>
      </w:pPr>
      <w:r>
        <w:rPr/>
        <w:t>seguimiento por parte de la Facultad de Economía respecto a su incorporación al mercado de trabajo. Lo cual indica que en su mayoría los egresados consiguen insertarse al mercado de trabajo por sus propios medios, y a pesar de que existen los programas los egresados no están recurriendo a ellos en su proceso de transición.</w:t>
      </w:r>
    </w:p>
    <w:p>
      <w:pPr>
        <w:pStyle w:val="BodyText"/>
      </w:pPr>
    </w:p>
    <w:p>
      <w:pPr>
        <w:pStyle w:val="BodyText"/>
        <w:spacing w:line="360" w:lineRule="auto" w:before="143"/>
        <w:ind w:left="102" w:right="120"/>
        <w:jc w:val="both"/>
      </w:pPr>
      <w:r>
        <w:rPr/>
        <w:t>En este constructo se revisaron los aspectos que ayudaron a consolidar la carrera  profesional del egresado, identificando aspectos relacionados entre su primer empleo y los trabajos subsecuentes. En dónde se encontró que un 45% no consideró que su trabajo estuviera vinculado con la carrera de economía, el 74% necesitó capacitación para el trabajo, con uno de los puntos más importantes que fue el que el 78% de los encuestados continúa laborando en su primer empleo. El siguiente constructo se evalúa el trabajo actual con ello se buscó conocer las características y condiciones del  empleo de los</w:t>
      </w:r>
      <w:r>
        <w:rPr>
          <w:spacing w:val="-15"/>
        </w:rPr>
        <w:t> </w:t>
      </w:r>
      <w:r>
        <w:rPr/>
        <w:t>economistas.</w:t>
      </w:r>
    </w:p>
    <w:p>
      <w:pPr>
        <w:pStyle w:val="BodyText"/>
      </w:pPr>
    </w:p>
    <w:p>
      <w:pPr>
        <w:pStyle w:val="Heading3"/>
        <w:numPr>
          <w:ilvl w:val="1"/>
          <w:numId w:val="75"/>
        </w:numPr>
        <w:tabs>
          <w:tab w:pos="522" w:val="left" w:leader="none"/>
        </w:tabs>
        <w:spacing w:line="240" w:lineRule="auto" w:before="212" w:after="0"/>
        <w:ind w:left="522" w:right="0" w:hanging="420"/>
        <w:jc w:val="both"/>
      </w:pPr>
      <w:bookmarkStart w:name="_bookmark77" w:id="141"/>
      <w:bookmarkEnd w:id="141"/>
      <w:r>
        <w:rPr>
          <w:b w:val="0"/>
        </w:rPr>
      </w:r>
      <w:bookmarkStart w:name="_bookmark77" w:id="142"/>
      <w:bookmarkEnd w:id="142"/>
      <w:r>
        <w:rPr/>
        <w:t>T</w:t>
      </w:r>
      <w:r>
        <w:rPr/>
        <w:t>rabajo</w:t>
      </w:r>
      <w:r>
        <w:rPr>
          <w:spacing w:val="-4"/>
        </w:rPr>
        <w:t> </w:t>
      </w:r>
      <w:r>
        <w:rPr/>
        <w:t>actual</w:t>
      </w:r>
    </w:p>
    <w:p>
      <w:pPr>
        <w:pStyle w:val="BodyText"/>
        <w:rPr>
          <w:b/>
        </w:rPr>
      </w:pPr>
    </w:p>
    <w:p>
      <w:pPr>
        <w:pStyle w:val="BodyText"/>
        <w:spacing w:line="360" w:lineRule="auto" w:before="175"/>
        <w:ind w:left="102" w:right="117"/>
        <w:jc w:val="both"/>
      </w:pPr>
      <w:r>
        <w:rPr/>
        <w:t>Las preguntas planteadas en este constructo están relacionadas con las condiciones actuales del mercado de trabajo del Estado de México y de los egresados de la Licenciatura de Economía de la UAEMéx. El 77% sigue trabajando con un contrato permanente. 15% eventualmente y 8% no por motivos personales, ver gráfica 6.13.</w:t>
      </w:r>
    </w:p>
    <w:p>
      <w:pPr>
        <w:pStyle w:val="BodyText"/>
      </w:pPr>
    </w:p>
    <w:p>
      <w:pPr>
        <w:pStyle w:val="Heading3"/>
        <w:spacing w:before="148"/>
        <w:ind w:left="102"/>
      </w:pPr>
      <w:r>
        <w:rPr/>
        <w:t>Gráfica 6.13. ¿Trabaja actualmente?</w:t>
      </w:r>
    </w:p>
    <w:p>
      <w:pPr>
        <w:pStyle w:val="BodyText"/>
        <w:spacing w:before="10"/>
        <w:rPr>
          <w:b/>
          <w:sz w:val="23"/>
        </w:rPr>
      </w:pPr>
    </w:p>
    <w:p>
      <w:pPr>
        <w:spacing w:before="59"/>
        <w:ind w:left="1812" w:right="0" w:firstLine="0"/>
        <w:jc w:val="left"/>
        <w:rPr>
          <w:rFonts w:ascii="Calibri"/>
          <w:sz w:val="20"/>
        </w:rPr>
      </w:pPr>
      <w:r>
        <w:rPr/>
        <w:pict>
          <v:group style="position:absolute;margin-left:136.664993pt;margin-top:19.691496pt;width:338.7pt;height:50.8pt;mso-position-horizontal-relative:page;mso-position-vertical-relative:paragraph;z-index:6784;mso-wrap-distance-left:0;mso-wrap-distance-right:0" coordorigin="2733,394" coordsize="6774,1016">
            <v:rect style="position:absolute;left:3247;top:394;width:677;height:1008" filled="true" fillcolor="#006fc0" stroked="false">
              <v:fill type="solid"/>
            </v:rect>
            <v:rect style="position:absolute;left:4937;top:1200;width:677;height:202" filled="true" fillcolor="#006fc0" stroked="false">
              <v:fill type="solid"/>
            </v:rect>
            <v:rect style="position:absolute;left:6626;top:1294;width:677;height:108" filled="true" fillcolor="#006fc0" stroked="false">
              <v:fill type="solid"/>
            </v:rect>
            <v:line style="position:absolute" from="2741,1402" to="9499,1402" stroked="true" strokeweight=".72pt" strokecolor="#858585"/>
            <v:shape style="position:absolute;left:5103;top:90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6844;top:1001;width:2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8%</w:t>
                    </w:r>
                  </w:p>
                </w:txbxContent>
              </v:textbox>
              <w10:wrap type="none"/>
            </v:shape>
            <v:shape style="position:absolute;left:8534;top:1109;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w10:wrap type="topAndBottom"/>
          </v:group>
        </w:pict>
      </w:r>
      <w:r>
        <w:rPr>
          <w:rFonts w:ascii="Calibri"/>
          <w:sz w:val="20"/>
        </w:rPr>
        <w:t>77%</w:t>
      </w:r>
    </w:p>
    <w:p>
      <w:pPr>
        <w:spacing w:after="0"/>
        <w:jc w:val="left"/>
        <w:rPr>
          <w:rFonts w:ascii="Calibri"/>
          <w:sz w:val="20"/>
        </w:rPr>
        <w:sectPr>
          <w:pgSz w:w="12240" w:h="15840"/>
          <w:pgMar w:header="0" w:footer="1003" w:top="1360" w:bottom="1200" w:left="1600" w:right="1580"/>
        </w:sectPr>
      </w:pPr>
    </w:p>
    <w:p>
      <w:pPr>
        <w:tabs>
          <w:tab w:pos="3106" w:val="left" w:leader="none"/>
          <w:tab w:pos="4863" w:val="left" w:leader="none"/>
        </w:tabs>
        <w:spacing w:line="195" w:lineRule="exact" w:before="64"/>
        <w:ind w:left="1297" w:right="0" w:firstLine="0"/>
        <w:jc w:val="left"/>
        <w:rPr>
          <w:rFonts w:ascii="Calibri"/>
          <w:sz w:val="16"/>
        </w:rPr>
      </w:pPr>
      <w:r>
        <w:rPr>
          <w:rFonts w:ascii="Calibri"/>
          <w:sz w:val="16"/>
        </w:rPr>
        <w:t>Si</w:t>
      </w:r>
      <w:r>
        <w:rPr>
          <w:rFonts w:ascii="Calibri"/>
          <w:spacing w:val="-3"/>
          <w:sz w:val="16"/>
        </w:rPr>
        <w:t> </w:t>
      </w:r>
      <w:r>
        <w:rPr>
          <w:rFonts w:ascii="Calibri"/>
          <w:sz w:val="16"/>
        </w:rPr>
        <w:t>permanentemente</w:t>
        <w:tab/>
        <w:t>Si</w:t>
      </w:r>
      <w:r>
        <w:rPr>
          <w:rFonts w:ascii="Calibri"/>
          <w:spacing w:val="-3"/>
          <w:sz w:val="16"/>
        </w:rPr>
        <w:t> </w:t>
      </w:r>
      <w:r>
        <w:rPr>
          <w:rFonts w:ascii="Calibri"/>
          <w:sz w:val="16"/>
        </w:rPr>
        <w:t>eventualmente</w:t>
        <w:tab/>
        <w:t>No por</w:t>
      </w:r>
      <w:r>
        <w:rPr>
          <w:rFonts w:ascii="Calibri"/>
          <w:spacing w:val="-4"/>
          <w:sz w:val="16"/>
        </w:rPr>
        <w:t> </w:t>
      </w:r>
      <w:r>
        <w:rPr>
          <w:rFonts w:ascii="Calibri"/>
          <w:sz w:val="16"/>
        </w:rPr>
        <w:t>motivos</w:t>
      </w:r>
    </w:p>
    <w:p>
      <w:pPr>
        <w:spacing w:line="195" w:lineRule="exact" w:before="0"/>
        <w:ind w:left="0" w:right="146" w:firstLine="0"/>
        <w:jc w:val="right"/>
        <w:rPr>
          <w:rFonts w:ascii="Calibri"/>
          <w:sz w:val="16"/>
        </w:rPr>
      </w:pPr>
      <w:r>
        <w:rPr>
          <w:rFonts w:ascii="Calibri"/>
          <w:sz w:val="16"/>
        </w:rPr>
        <w:t>personales</w:t>
      </w:r>
    </w:p>
    <w:p>
      <w:pPr>
        <w:spacing w:before="64"/>
        <w:ind w:left="411" w:right="0" w:firstLine="0"/>
        <w:jc w:val="left"/>
        <w:rPr>
          <w:rFonts w:ascii="Calibri"/>
          <w:sz w:val="16"/>
        </w:rPr>
      </w:pPr>
      <w:r>
        <w:rPr/>
        <w:br w:type="column"/>
      </w:r>
      <w:r>
        <w:rPr>
          <w:rFonts w:ascii="Calibri"/>
          <w:sz w:val="16"/>
        </w:rPr>
        <w:t>No he buscado trabajo</w:t>
      </w:r>
    </w:p>
    <w:p>
      <w:pPr>
        <w:spacing w:after="0"/>
        <w:jc w:val="left"/>
        <w:rPr>
          <w:rFonts w:ascii="Calibri"/>
          <w:sz w:val="16"/>
        </w:rPr>
        <w:sectPr>
          <w:type w:val="continuous"/>
          <w:pgSz w:w="12240" w:h="15840"/>
          <w:pgMar w:top="1340" w:bottom="280" w:left="1600" w:right="1580"/>
          <w:cols w:num="2" w:equalWidth="0">
            <w:col w:w="5869" w:space="40"/>
            <w:col w:w="3151"/>
          </w:cols>
        </w:sectPr>
      </w:pPr>
    </w:p>
    <w:p>
      <w:pPr>
        <w:pStyle w:val="BodyText"/>
        <w:spacing w:before="8"/>
        <w:rPr>
          <w:rFonts w:ascii="Calibri"/>
          <w:sz w:val="14"/>
        </w:rPr>
      </w:pPr>
    </w:p>
    <w:p>
      <w:pPr>
        <w:spacing w:before="74"/>
        <w:ind w:left="109" w:right="129" w:firstLine="0"/>
        <w:jc w:val="center"/>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rPr>
          <w:sz w:val="20"/>
        </w:rPr>
      </w:pPr>
    </w:p>
    <w:p>
      <w:pPr>
        <w:pStyle w:val="BodyText"/>
        <w:spacing w:line="360" w:lineRule="auto" w:before="170"/>
        <w:ind w:left="102" w:right="120" w:hanging="1"/>
        <w:jc w:val="center"/>
      </w:pPr>
      <w:r>
        <w:rPr/>
        <w:t>El siguiente cuestionamiento estuvo relacionado con sus conocimientos y  capacidades como licenciado en economía, a lo que los egresados consideraron: 60% el trabajo actual</w:t>
      </w:r>
    </w:p>
    <w:p>
      <w:pPr>
        <w:spacing w:after="0" w:line="360" w:lineRule="auto"/>
        <w:jc w:val="center"/>
        <w:sectPr>
          <w:type w:val="continuous"/>
          <w:pgSz w:w="12240" w:h="15840"/>
          <w:pgMar w:top="1340" w:bottom="280" w:left="1600" w:right="1580"/>
        </w:sectPr>
      </w:pPr>
    </w:p>
    <w:p>
      <w:pPr>
        <w:pStyle w:val="BodyText"/>
        <w:spacing w:line="360" w:lineRule="auto" w:before="50"/>
        <w:ind w:left="102" w:right="118"/>
        <w:jc w:val="both"/>
      </w:pPr>
      <w:r>
        <w:rPr/>
        <w:t>estaba a la altura de su preparación, 24% no correspondía a la profesión de economía para  la cual se prepararon, 9% está por debajo de su preparación y 7% no necesita una preparación en economía, 0% que está por encima de su preparación. Es interesante  destacar que el porcentaje más alto sí considera que la preparación fue acorde con las actividades que desempeñan actualmente en su trabajo, con ello se puede apreciar que si hay una concordancia entre lo que se está formando en la licenciatura de Economía y lo que los empleadores requieren en el mercado de</w:t>
      </w:r>
      <w:r>
        <w:rPr>
          <w:spacing w:val="-5"/>
        </w:rPr>
        <w:t> </w:t>
      </w:r>
      <w:r>
        <w:rPr/>
        <w:t>trabajo.</w:t>
      </w:r>
    </w:p>
    <w:p>
      <w:pPr>
        <w:pStyle w:val="BodyText"/>
        <w:spacing w:line="360" w:lineRule="auto" w:before="205"/>
        <w:ind w:left="102" w:right="117"/>
        <w:jc w:val="both"/>
      </w:pPr>
      <w:r>
        <w:rPr/>
        <w:t>Fue importante conocer si estaban contratados en más de un empleo, para ello se cuestionó si tenían otra ocupación además de la que consideraban la principal teniendo como resultado que el 76% respondió que no, contra 18% que dijo que sí y el 6% que marcó la casilla de “otro”. Continuando con la contrastación entre la formación como economistas y el empleo actual se planteo ¿cómo es la relación entre el trabajo actual y la profesión de economía? teniendo como mayor repuesta “medianamente relacionado” (43%), seguido de “poco o nada relacionado” (31%) y “muy relacionado” (27%) (ver gráfica 6.14). Dónde nuevamente los encuestados hacen referencia a que su formación no estuvo relacionada con el</w:t>
      </w:r>
      <w:r>
        <w:rPr>
          <w:spacing w:val="-1"/>
        </w:rPr>
        <w:t> </w:t>
      </w:r>
      <w:r>
        <w:rPr/>
        <w:t>empleo.</w:t>
      </w:r>
    </w:p>
    <w:p>
      <w:pPr>
        <w:pStyle w:val="Heading3"/>
        <w:spacing w:before="210"/>
        <w:ind w:left="1064"/>
        <w:jc w:val="left"/>
      </w:pPr>
      <w:r>
        <w:rPr/>
        <w:t>Gráfica 6.14. Relación entre trabajo actual y profesión de economía</w:t>
      </w:r>
    </w:p>
    <w:p>
      <w:pPr>
        <w:pStyle w:val="BodyText"/>
        <w:rPr>
          <w:b/>
          <w:sz w:val="20"/>
        </w:rPr>
      </w:pPr>
    </w:p>
    <w:p>
      <w:pPr>
        <w:pStyle w:val="BodyText"/>
        <w:spacing w:before="5"/>
        <w:rPr>
          <w:b/>
          <w:sz w:val="17"/>
        </w:rPr>
      </w:pPr>
    </w:p>
    <w:p>
      <w:pPr>
        <w:spacing w:after="0"/>
        <w:rPr>
          <w:sz w:val="17"/>
        </w:rPr>
        <w:sectPr>
          <w:pgSz w:w="12240" w:h="15840"/>
          <w:pgMar w:header="0" w:footer="1003" w:top="1360" w:bottom="1200" w:left="1600" w:right="1580"/>
        </w:sectPr>
      </w:pPr>
    </w:p>
    <w:p>
      <w:pPr>
        <w:pStyle w:val="BodyText"/>
        <w:spacing w:before="3"/>
        <w:rPr>
          <w:b/>
          <w:sz w:val="27"/>
        </w:rPr>
      </w:pPr>
    </w:p>
    <w:p>
      <w:pPr>
        <w:spacing w:before="0"/>
        <w:ind w:left="0" w:right="0" w:firstLine="0"/>
        <w:jc w:val="right"/>
        <w:rPr>
          <w:rFonts w:ascii="Calibri"/>
          <w:sz w:val="20"/>
        </w:rPr>
      </w:pPr>
      <w:r>
        <w:rPr>
          <w:rFonts w:ascii="Calibri"/>
          <w:sz w:val="20"/>
        </w:rPr>
        <w:t>27%</w:t>
      </w:r>
    </w:p>
    <w:p>
      <w:pPr>
        <w:spacing w:before="59"/>
        <w:ind w:left="0" w:right="0" w:firstLine="0"/>
        <w:jc w:val="right"/>
        <w:rPr>
          <w:rFonts w:ascii="Calibri"/>
          <w:sz w:val="20"/>
        </w:rPr>
      </w:pPr>
      <w:r>
        <w:rPr/>
        <w:br w:type="column"/>
      </w:r>
      <w:r>
        <w:rPr>
          <w:rFonts w:ascii="Calibri"/>
          <w:sz w:val="20"/>
        </w:rPr>
        <w:t>43%</w:t>
      </w:r>
    </w:p>
    <w:p>
      <w:pPr>
        <w:pStyle w:val="BodyText"/>
        <w:spacing w:before="5"/>
        <w:rPr>
          <w:rFonts w:ascii="Calibri"/>
          <w:sz w:val="20"/>
        </w:rPr>
      </w:pPr>
      <w:r>
        <w:rPr/>
        <w:br w:type="column"/>
      </w:r>
      <w:r>
        <w:rPr>
          <w:rFonts w:ascii="Calibri"/>
          <w:sz w:val="20"/>
        </w:rPr>
      </w:r>
    </w:p>
    <w:p>
      <w:pPr>
        <w:spacing w:before="0"/>
        <w:ind w:left="1850" w:right="2090" w:firstLine="0"/>
        <w:jc w:val="center"/>
        <w:rPr>
          <w:rFonts w:ascii="Calibri"/>
          <w:sz w:val="20"/>
        </w:rPr>
      </w:pPr>
      <w:r>
        <w:rPr/>
        <w:pict>
          <v:group style="position:absolute;margin-left:136.664993pt;margin-top:7.24149pt;width:338.7pt;height:33.65pt;mso-position-horizontal-relative:page;mso-position-vertical-relative:paragraph;z-index:-395848" coordorigin="2733,145" coordsize="6774,673">
            <v:shape style="position:absolute;left:3415;top:145;width:5410;height:665" coordorigin="3415,145" coordsize="5410,665" path="m4318,397l3415,397,3415,810,4318,810,4318,397m6571,145l5669,145,5669,810,6571,810,6571,145m8825,334l7922,334,7922,810,8825,810,8825,334e" filled="true" fillcolor="#006fc0" stroked="false">
              <v:path arrowok="t"/>
              <v:fill type="solid"/>
            </v:shape>
            <v:line style="position:absolute" from="2741,810" to="9499,810" stroked="true" strokeweight=".72pt" strokecolor="#858585"/>
            <w10:wrap type="none"/>
          </v:group>
        </w:pict>
      </w:r>
      <w:r>
        <w:rPr>
          <w:rFonts w:ascii="Calibri"/>
          <w:sz w:val="20"/>
        </w:rPr>
        <w:t>31%</w:t>
      </w:r>
    </w:p>
    <w:p>
      <w:pPr>
        <w:spacing w:after="0"/>
        <w:jc w:val="center"/>
        <w:rPr>
          <w:rFonts w:ascii="Calibri"/>
          <w:sz w:val="20"/>
        </w:rPr>
        <w:sectPr>
          <w:type w:val="continuous"/>
          <w:pgSz w:w="12240" w:h="15840"/>
          <w:pgMar w:top="1340" w:bottom="280" w:left="1600" w:right="1580"/>
          <w:cols w:num="3" w:equalWidth="0">
            <w:col w:w="2439" w:space="40"/>
            <w:col w:w="2214" w:space="40"/>
            <w:col w:w="4327"/>
          </w:cols>
        </w:sectPr>
      </w:pPr>
    </w:p>
    <w:p>
      <w:pPr>
        <w:pStyle w:val="BodyText"/>
        <w:rPr>
          <w:rFonts w:ascii="Calibri"/>
          <w:sz w:val="20"/>
        </w:rPr>
      </w:pPr>
    </w:p>
    <w:p>
      <w:pPr>
        <w:pStyle w:val="BodyText"/>
        <w:spacing w:before="3"/>
        <w:rPr>
          <w:rFonts w:ascii="Calibri"/>
          <w:sz w:val="27"/>
        </w:rPr>
      </w:pPr>
    </w:p>
    <w:p>
      <w:pPr>
        <w:spacing w:after="0"/>
        <w:rPr>
          <w:rFonts w:ascii="Calibri"/>
          <w:sz w:val="27"/>
        </w:rPr>
        <w:sectPr>
          <w:type w:val="continuous"/>
          <w:pgSz w:w="12240" w:h="15840"/>
          <w:pgMar w:top="1340" w:bottom="280" w:left="1600" w:right="1580"/>
        </w:sectPr>
      </w:pPr>
    </w:p>
    <w:p>
      <w:pPr>
        <w:tabs>
          <w:tab w:pos="3865" w:val="left" w:leader="none"/>
        </w:tabs>
        <w:spacing w:before="59"/>
        <w:ind w:left="4018" w:right="0" w:hanging="2471"/>
        <w:jc w:val="left"/>
        <w:rPr>
          <w:rFonts w:ascii="Calibri"/>
          <w:sz w:val="21"/>
        </w:rPr>
      </w:pPr>
      <w:r>
        <w:rPr>
          <w:rFonts w:ascii="Calibri"/>
          <w:sz w:val="21"/>
        </w:rPr>
        <w:t>Muy</w:t>
      </w:r>
      <w:r>
        <w:rPr>
          <w:rFonts w:ascii="Calibri"/>
          <w:spacing w:val="-3"/>
          <w:sz w:val="21"/>
        </w:rPr>
        <w:t> </w:t>
      </w:r>
      <w:r>
        <w:rPr>
          <w:rFonts w:ascii="Calibri"/>
          <w:sz w:val="21"/>
        </w:rPr>
        <w:t>relacionado</w:t>
        <w:tab/>
      </w:r>
      <w:r>
        <w:rPr>
          <w:rFonts w:ascii="Calibri"/>
          <w:spacing w:val="-1"/>
          <w:sz w:val="21"/>
        </w:rPr>
        <w:t>Medianamente </w:t>
      </w:r>
      <w:r>
        <w:rPr>
          <w:rFonts w:ascii="Calibri"/>
          <w:sz w:val="21"/>
        </w:rPr>
        <w:t>relacionado</w:t>
      </w:r>
    </w:p>
    <w:p>
      <w:pPr>
        <w:spacing w:before="59"/>
        <w:ind w:left="507" w:right="0" w:firstLine="0"/>
        <w:jc w:val="left"/>
        <w:rPr>
          <w:rFonts w:ascii="Calibri"/>
          <w:sz w:val="21"/>
        </w:rPr>
      </w:pPr>
      <w:r>
        <w:rPr/>
        <w:br w:type="column"/>
      </w:r>
      <w:r>
        <w:rPr>
          <w:rFonts w:ascii="Calibri"/>
          <w:sz w:val="21"/>
        </w:rPr>
        <w:t>Poco o nada relacionado</w:t>
      </w:r>
    </w:p>
    <w:p>
      <w:pPr>
        <w:spacing w:after="0"/>
        <w:jc w:val="left"/>
        <w:rPr>
          <w:rFonts w:ascii="Calibri"/>
          <w:sz w:val="21"/>
        </w:rPr>
        <w:sectPr>
          <w:type w:val="continuous"/>
          <w:pgSz w:w="12240" w:h="15840"/>
          <w:pgMar w:top="1340" w:bottom="280" w:left="1600" w:right="1580"/>
          <w:cols w:num="2" w:equalWidth="0">
            <w:col w:w="5178" w:space="40"/>
            <w:col w:w="3842"/>
          </w:cols>
        </w:sectPr>
      </w:pPr>
    </w:p>
    <w:p>
      <w:pPr>
        <w:pStyle w:val="BodyText"/>
        <w:spacing w:before="11"/>
        <w:rPr>
          <w:rFonts w:ascii="Calibri"/>
          <w:sz w:val="29"/>
        </w:rPr>
      </w:pPr>
    </w:p>
    <w:p>
      <w:pPr>
        <w:spacing w:before="74"/>
        <w:ind w:left="2841" w:right="378" w:hanging="2471"/>
        <w:jc w:val="left"/>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rPr>
          <w:sz w:val="20"/>
        </w:rPr>
      </w:pPr>
    </w:p>
    <w:p>
      <w:pPr>
        <w:pStyle w:val="BodyText"/>
        <w:spacing w:before="9"/>
      </w:pPr>
    </w:p>
    <w:p>
      <w:pPr>
        <w:pStyle w:val="BodyText"/>
        <w:spacing w:line="360" w:lineRule="auto"/>
        <w:ind w:left="102" w:right="118"/>
        <w:jc w:val="both"/>
      </w:pPr>
      <w:r>
        <w:rPr/>
        <w:t>Para poder evaluar la calidad y consolidación de la transición es importante conocer si obtuvieron un empleo de tiempo completo o a tiempo parcial, el 78% consiguió un empleo a tiempo completo (ver gráfica 6.15.)  lo que es un indicativo más de la alta empleabilidad  y estabilidad con que cuenta la licenciatura de Economía de la</w:t>
      </w:r>
      <w:r>
        <w:rPr>
          <w:spacing w:val="-9"/>
        </w:rPr>
        <w:t> </w:t>
      </w:r>
      <w:r>
        <w:rPr/>
        <w:t>UAEMéx.</w:t>
      </w:r>
    </w:p>
    <w:p>
      <w:pPr>
        <w:spacing w:after="0" w:line="360" w:lineRule="auto"/>
        <w:jc w:val="both"/>
        <w:sectPr>
          <w:type w:val="continuous"/>
          <w:pgSz w:w="12240" w:h="15840"/>
          <w:pgMar w:top="1340" w:bottom="280" w:left="1600" w:right="1580"/>
        </w:sectPr>
      </w:pPr>
    </w:p>
    <w:p>
      <w:pPr>
        <w:pStyle w:val="Heading3"/>
        <w:ind w:right="20"/>
        <w:jc w:val="center"/>
      </w:pPr>
      <w:r>
        <w:rPr/>
        <w:t>Gráfica 6.15. Empleo actual ¿tiempo completo o parcial?</w:t>
      </w:r>
    </w:p>
    <w:p>
      <w:pPr>
        <w:pStyle w:val="BodyText"/>
        <w:rPr>
          <w:b/>
          <w:sz w:val="20"/>
        </w:rPr>
      </w:pPr>
    </w:p>
    <w:p>
      <w:pPr>
        <w:pStyle w:val="BodyText"/>
        <w:rPr>
          <w:b/>
          <w:sz w:val="20"/>
        </w:rPr>
      </w:pPr>
    </w:p>
    <w:p>
      <w:pPr>
        <w:pStyle w:val="BodyText"/>
        <w:spacing w:before="2"/>
        <w:rPr>
          <w:b/>
          <w:sz w:val="14"/>
        </w:rPr>
      </w:pPr>
      <w:r>
        <w:rPr/>
        <w:pict>
          <v:group style="position:absolute;margin-left:86.519997pt;margin-top:10.14627pt;width:426.85pt;height:86.55pt;mso-position-horizontal-relative:page;mso-position-vertical-relative:paragraph;z-index:6904;mso-wrap-distance-left:0;mso-wrap-distance-right:0" coordorigin="1730,203" coordsize="8537,1731">
            <v:shape style="position:absolute;left:1730;top:203;width:8537;height:1730" type="#_x0000_t75" stroked="false">
              <v:imagedata r:id="rId117" o:title=""/>
            </v:shape>
            <v:rect style="position:absolute;left:8482;top:416;width:110;height:110" filled="true" fillcolor="#006fc0" stroked="false">
              <v:fill type="solid"/>
            </v:rect>
            <v:rect style="position:absolute;left:8482;top:840;width:110;height:110" filled="true" fillcolor="#ffff00" stroked="false">
              <v:fill type="solid"/>
            </v:rect>
            <v:shape style="position:absolute;left:4927;top:370;width:344;height:200" type="#_x0000_t202" filled="false" stroked="false">
              <v:textbox inset="0,0,0,0">
                <w:txbxContent>
                  <w:p>
                    <w:pPr>
                      <w:spacing w:line="200" w:lineRule="exact" w:before="0"/>
                      <w:ind w:left="0" w:right="-19" w:firstLine="0"/>
                      <w:jc w:val="left"/>
                      <w:rPr>
                        <w:rFonts w:ascii="Calibri"/>
                        <w:sz w:val="20"/>
                      </w:rPr>
                    </w:pPr>
                    <w:r>
                      <w:rPr>
                        <w:rFonts w:ascii="Calibri"/>
                        <w:spacing w:val="-1"/>
                        <w:sz w:val="20"/>
                      </w:rPr>
                      <w:t>22%</w:t>
                    </w:r>
                  </w:p>
                </w:txbxContent>
              </v:textbox>
              <w10:wrap type="none"/>
            </v:shape>
            <v:shape style="position:absolute;left:8641;top:379;width:1429;height:623" type="#_x0000_t202" filled="false" stroked="false">
              <v:textbox inset="0,0,0,0">
                <w:txbxContent>
                  <w:p>
                    <w:pPr>
                      <w:spacing w:line="203" w:lineRule="exact" w:before="0"/>
                      <w:ind w:left="0" w:right="-16" w:firstLine="0"/>
                      <w:jc w:val="left"/>
                      <w:rPr>
                        <w:rFonts w:ascii="Calibri"/>
                        <w:sz w:val="20"/>
                      </w:rPr>
                    </w:pPr>
                    <w:r>
                      <w:rPr>
                        <w:rFonts w:ascii="Calibri"/>
                        <w:sz w:val="20"/>
                      </w:rPr>
                      <w:t>Tiempo</w:t>
                    </w:r>
                    <w:r>
                      <w:rPr>
                        <w:rFonts w:ascii="Calibri"/>
                        <w:spacing w:val="-7"/>
                        <w:sz w:val="20"/>
                      </w:rPr>
                      <w:t> </w:t>
                    </w:r>
                    <w:r>
                      <w:rPr>
                        <w:rFonts w:ascii="Calibri"/>
                        <w:sz w:val="20"/>
                      </w:rPr>
                      <w:t>completo</w:t>
                    </w:r>
                  </w:p>
                  <w:p>
                    <w:pPr>
                      <w:spacing w:line="240" w:lineRule="exact" w:before="179"/>
                      <w:ind w:left="0" w:right="-16" w:firstLine="0"/>
                      <w:jc w:val="left"/>
                      <w:rPr>
                        <w:rFonts w:ascii="Calibri"/>
                        <w:sz w:val="20"/>
                      </w:rPr>
                    </w:pPr>
                    <w:r>
                      <w:rPr>
                        <w:rFonts w:ascii="Calibri"/>
                        <w:sz w:val="20"/>
                      </w:rPr>
                      <w:t>Tiempo parcial</w:t>
                    </w:r>
                  </w:p>
                </w:txbxContent>
              </v:textbox>
              <w10:wrap type="none"/>
            </v:shape>
            <v:shape style="position:absolute;left:6742;top:107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78%</w:t>
                    </w:r>
                  </w:p>
                </w:txbxContent>
              </v:textbox>
              <w10:wrap type="none"/>
            </v:shape>
            <w10:wrap type="topAndBottom"/>
          </v:group>
        </w:pict>
      </w:r>
    </w:p>
    <w:p>
      <w:pPr>
        <w:pStyle w:val="BodyText"/>
        <w:spacing w:before="1"/>
        <w:rPr>
          <w:b/>
          <w:sz w:val="26"/>
        </w:rPr>
      </w:pPr>
    </w:p>
    <w:p>
      <w:pPr>
        <w:spacing w:line="242" w:lineRule="auto" w:before="0"/>
        <w:ind w:left="109" w:right="129" w:firstLine="0"/>
        <w:jc w:val="center"/>
        <w:rPr>
          <w:sz w:val="20"/>
        </w:rPr>
      </w:pPr>
      <w:r>
        <w:rPr>
          <w:sz w:val="20"/>
        </w:rPr>
        <w:t>Fuente: elaboración propia con base en el “Cuestionario transición egresados universitarios-mercado de trabajo, Facultad de Economía UAEMéx”</w:t>
      </w:r>
    </w:p>
    <w:p>
      <w:pPr>
        <w:pStyle w:val="BodyText"/>
        <w:spacing w:before="1"/>
        <w:rPr>
          <w:sz w:val="17"/>
        </w:rPr>
      </w:pPr>
    </w:p>
    <w:p>
      <w:pPr>
        <w:pStyle w:val="BodyText"/>
        <w:spacing w:line="360" w:lineRule="auto"/>
        <w:ind w:left="102" w:right="117"/>
        <w:jc w:val="both"/>
      </w:pPr>
      <w:r>
        <w:rPr/>
        <w:t>En donde el 53% trabaja para el sector público y el 47% para el sector privado. Siendo sector servicios de gobierno el que más egresados tiene contratados seguido de servicios educativos, ver tabla 6.4.</w:t>
      </w:r>
    </w:p>
    <w:p>
      <w:pPr>
        <w:pStyle w:val="Heading3"/>
        <w:spacing w:before="210"/>
        <w:ind w:right="17"/>
        <w:jc w:val="center"/>
      </w:pPr>
      <w:r>
        <w:rPr/>
        <w:t>Tabla 6.4. Sector en el que se ubica el trabajo</w:t>
      </w:r>
    </w:p>
    <w:p>
      <w:pPr>
        <w:pStyle w:val="BodyText"/>
        <w:spacing w:before="5" w:after="1"/>
        <w:rPr>
          <w:b/>
          <w:sz w:val="29"/>
        </w:rPr>
      </w:pPr>
    </w:p>
    <w:tbl>
      <w:tblPr>
        <w:tblW w:w="0" w:type="auto"/>
        <w:jc w:val="left"/>
        <w:tblInd w:w="16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58"/>
        <w:gridCol w:w="2936"/>
      </w:tblGrid>
      <w:tr>
        <w:trPr>
          <w:trHeight w:val="264" w:hRule="exact"/>
        </w:trPr>
        <w:tc>
          <w:tcPr>
            <w:tcW w:w="2758" w:type="dxa"/>
          </w:tcPr>
          <w:p>
            <w:pPr>
              <w:pStyle w:val="TableParagraph"/>
              <w:spacing w:line="223" w:lineRule="exact"/>
              <w:ind w:left="103"/>
              <w:rPr>
                <w:sz w:val="20"/>
              </w:rPr>
            </w:pPr>
            <w:r>
              <w:rPr>
                <w:sz w:val="20"/>
              </w:rPr>
              <w:t>Agropecuario</w:t>
            </w:r>
          </w:p>
        </w:tc>
        <w:tc>
          <w:tcPr>
            <w:tcW w:w="2936" w:type="dxa"/>
          </w:tcPr>
          <w:p>
            <w:pPr>
              <w:pStyle w:val="TableParagraph"/>
              <w:spacing w:line="223" w:lineRule="exact"/>
              <w:ind w:right="102"/>
              <w:jc w:val="right"/>
              <w:rPr>
                <w:sz w:val="20"/>
              </w:rPr>
            </w:pPr>
            <w:r>
              <w:rPr>
                <w:sz w:val="20"/>
              </w:rPr>
              <w:t>4%</w:t>
            </w:r>
          </w:p>
        </w:tc>
      </w:tr>
      <w:tr>
        <w:trPr>
          <w:trHeight w:val="266" w:hRule="exact"/>
        </w:trPr>
        <w:tc>
          <w:tcPr>
            <w:tcW w:w="2758" w:type="dxa"/>
          </w:tcPr>
          <w:p>
            <w:pPr>
              <w:pStyle w:val="TableParagraph"/>
              <w:spacing w:line="226" w:lineRule="exact"/>
              <w:ind w:left="103"/>
              <w:rPr>
                <w:sz w:val="20"/>
              </w:rPr>
            </w:pPr>
            <w:r>
              <w:rPr>
                <w:sz w:val="20"/>
              </w:rPr>
              <w:t>Industrial</w:t>
            </w:r>
          </w:p>
        </w:tc>
        <w:tc>
          <w:tcPr>
            <w:tcW w:w="2936" w:type="dxa"/>
          </w:tcPr>
          <w:p>
            <w:pPr>
              <w:pStyle w:val="TableParagraph"/>
              <w:spacing w:line="226" w:lineRule="exact"/>
              <w:ind w:right="102"/>
              <w:jc w:val="right"/>
              <w:rPr>
                <w:sz w:val="20"/>
              </w:rPr>
            </w:pPr>
            <w:r>
              <w:rPr>
                <w:sz w:val="20"/>
              </w:rPr>
              <w:t>6%</w:t>
            </w:r>
          </w:p>
        </w:tc>
      </w:tr>
      <w:tr>
        <w:trPr>
          <w:trHeight w:val="264" w:hRule="exact"/>
        </w:trPr>
        <w:tc>
          <w:tcPr>
            <w:tcW w:w="2758" w:type="dxa"/>
          </w:tcPr>
          <w:p>
            <w:pPr>
              <w:pStyle w:val="TableParagraph"/>
              <w:spacing w:line="223" w:lineRule="exact"/>
              <w:ind w:left="103"/>
              <w:rPr>
                <w:sz w:val="20"/>
              </w:rPr>
            </w:pPr>
            <w:r>
              <w:rPr>
                <w:sz w:val="20"/>
              </w:rPr>
              <w:t>Comercio</w:t>
            </w:r>
          </w:p>
        </w:tc>
        <w:tc>
          <w:tcPr>
            <w:tcW w:w="2936" w:type="dxa"/>
          </w:tcPr>
          <w:p>
            <w:pPr>
              <w:pStyle w:val="TableParagraph"/>
              <w:spacing w:line="223" w:lineRule="exact"/>
              <w:ind w:right="102"/>
              <w:jc w:val="right"/>
              <w:rPr>
                <w:sz w:val="20"/>
              </w:rPr>
            </w:pPr>
            <w:r>
              <w:rPr>
                <w:sz w:val="20"/>
              </w:rPr>
              <w:t>8%</w:t>
            </w:r>
          </w:p>
        </w:tc>
      </w:tr>
      <w:tr>
        <w:trPr>
          <w:trHeight w:val="266" w:hRule="exact"/>
        </w:trPr>
        <w:tc>
          <w:tcPr>
            <w:tcW w:w="2758" w:type="dxa"/>
          </w:tcPr>
          <w:p>
            <w:pPr>
              <w:pStyle w:val="TableParagraph"/>
              <w:spacing w:line="223" w:lineRule="exact"/>
              <w:ind w:left="103"/>
              <w:rPr>
                <w:sz w:val="20"/>
              </w:rPr>
            </w:pPr>
            <w:r>
              <w:rPr>
                <w:sz w:val="20"/>
              </w:rPr>
              <w:t>Servicios educativos</w:t>
            </w:r>
          </w:p>
        </w:tc>
        <w:tc>
          <w:tcPr>
            <w:tcW w:w="2936" w:type="dxa"/>
          </w:tcPr>
          <w:p>
            <w:pPr>
              <w:pStyle w:val="TableParagraph"/>
              <w:spacing w:line="223" w:lineRule="exact"/>
              <w:ind w:right="102"/>
              <w:jc w:val="right"/>
              <w:rPr>
                <w:sz w:val="20"/>
              </w:rPr>
            </w:pPr>
            <w:r>
              <w:rPr>
                <w:sz w:val="20"/>
              </w:rPr>
              <w:t>23%</w:t>
            </w:r>
          </w:p>
        </w:tc>
      </w:tr>
      <w:tr>
        <w:trPr>
          <w:trHeight w:val="264" w:hRule="exact"/>
        </w:trPr>
        <w:tc>
          <w:tcPr>
            <w:tcW w:w="2758" w:type="dxa"/>
          </w:tcPr>
          <w:p>
            <w:pPr>
              <w:pStyle w:val="TableParagraph"/>
              <w:spacing w:line="224" w:lineRule="exact"/>
              <w:ind w:left="103"/>
              <w:rPr>
                <w:sz w:val="20"/>
              </w:rPr>
            </w:pPr>
            <w:r>
              <w:rPr>
                <w:sz w:val="20"/>
              </w:rPr>
              <w:t>Servicios salud</w:t>
            </w:r>
          </w:p>
        </w:tc>
        <w:tc>
          <w:tcPr>
            <w:tcW w:w="2936" w:type="dxa"/>
          </w:tcPr>
          <w:p>
            <w:pPr>
              <w:pStyle w:val="TableParagraph"/>
              <w:spacing w:line="224" w:lineRule="exact"/>
              <w:ind w:right="102"/>
              <w:jc w:val="right"/>
              <w:rPr>
                <w:sz w:val="20"/>
              </w:rPr>
            </w:pPr>
            <w:r>
              <w:rPr>
                <w:sz w:val="20"/>
              </w:rPr>
              <w:t>3%</w:t>
            </w:r>
          </w:p>
        </w:tc>
      </w:tr>
      <w:tr>
        <w:trPr>
          <w:trHeight w:val="266" w:hRule="exact"/>
        </w:trPr>
        <w:tc>
          <w:tcPr>
            <w:tcW w:w="2758" w:type="dxa"/>
          </w:tcPr>
          <w:p>
            <w:pPr>
              <w:pStyle w:val="TableParagraph"/>
              <w:spacing w:line="223" w:lineRule="exact"/>
              <w:ind w:left="103"/>
              <w:rPr>
                <w:sz w:val="20"/>
              </w:rPr>
            </w:pPr>
            <w:r>
              <w:rPr>
                <w:sz w:val="20"/>
              </w:rPr>
              <w:t>Servicios turismo</w:t>
            </w:r>
          </w:p>
        </w:tc>
        <w:tc>
          <w:tcPr>
            <w:tcW w:w="2936" w:type="dxa"/>
          </w:tcPr>
          <w:p>
            <w:pPr>
              <w:pStyle w:val="TableParagraph"/>
              <w:spacing w:line="223" w:lineRule="exact"/>
              <w:ind w:right="102"/>
              <w:jc w:val="right"/>
              <w:rPr>
                <w:sz w:val="20"/>
              </w:rPr>
            </w:pPr>
            <w:r>
              <w:rPr>
                <w:sz w:val="20"/>
              </w:rPr>
              <w:t>1%</w:t>
            </w:r>
          </w:p>
        </w:tc>
      </w:tr>
      <w:tr>
        <w:trPr>
          <w:trHeight w:val="264" w:hRule="exact"/>
        </w:trPr>
        <w:tc>
          <w:tcPr>
            <w:tcW w:w="2758" w:type="dxa"/>
          </w:tcPr>
          <w:p>
            <w:pPr>
              <w:pStyle w:val="TableParagraph"/>
              <w:spacing w:line="223" w:lineRule="exact"/>
              <w:ind w:left="103"/>
              <w:rPr>
                <w:sz w:val="20"/>
              </w:rPr>
            </w:pPr>
            <w:r>
              <w:rPr>
                <w:sz w:val="20"/>
              </w:rPr>
              <w:t>Servicios transporte</w:t>
            </w:r>
          </w:p>
        </w:tc>
        <w:tc>
          <w:tcPr>
            <w:tcW w:w="2936" w:type="dxa"/>
          </w:tcPr>
          <w:p>
            <w:pPr>
              <w:pStyle w:val="TableParagraph"/>
              <w:spacing w:line="223" w:lineRule="exact"/>
              <w:ind w:right="102"/>
              <w:jc w:val="right"/>
              <w:rPr>
                <w:sz w:val="20"/>
              </w:rPr>
            </w:pPr>
            <w:r>
              <w:rPr>
                <w:sz w:val="20"/>
              </w:rPr>
              <w:t>1%</w:t>
            </w:r>
          </w:p>
        </w:tc>
      </w:tr>
      <w:tr>
        <w:trPr>
          <w:trHeight w:val="264" w:hRule="exact"/>
        </w:trPr>
        <w:tc>
          <w:tcPr>
            <w:tcW w:w="2758" w:type="dxa"/>
          </w:tcPr>
          <w:p>
            <w:pPr>
              <w:pStyle w:val="TableParagraph"/>
              <w:spacing w:line="223" w:lineRule="exact"/>
              <w:ind w:left="103"/>
              <w:rPr>
                <w:sz w:val="20"/>
              </w:rPr>
            </w:pPr>
            <w:r>
              <w:rPr>
                <w:sz w:val="20"/>
              </w:rPr>
              <w:t>Servicios profesionales</w:t>
            </w:r>
          </w:p>
        </w:tc>
        <w:tc>
          <w:tcPr>
            <w:tcW w:w="2936" w:type="dxa"/>
          </w:tcPr>
          <w:p>
            <w:pPr>
              <w:pStyle w:val="TableParagraph"/>
              <w:spacing w:line="223" w:lineRule="exact"/>
              <w:ind w:right="102"/>
              <w:jc w:val="right"/>
              <w:rPr>
                <w:sz w:val="20"/>
              </w:rPr>
            </w:pPr>
            <w:r>
              <w:rPr>
                <w:sz w:val="20"/>
              </w:rPr>
              <w:t>0%</w:t>
            </w:r>
          </w:p>
        </w:tc>
      </w:tr>
      <w:tr>
        <w:trPr>
          <w:trHeight w:val="266" w:hRule="exact"/>
        </w:trPr>
        <w:tc>
          <w:tcPr>
            <w:tcW w:w="2758" w:type="dxa"/>
          </w:tcPr>
          <w:p>
            <w:pPr>
              <w:pStyle w:val="TableParagraph"/>
              <w:spacing w:line="226" w:lineRule="exact"/>
              <w:ind w:left="103"/>
              <w:rPr>
                <w:sz w:val="20"/>
              </w:rPr>
            </w:pPr>
            <w:r>
              <w:rPr>
                <w:sz w:val="20"/>
              </w:rPr>
              <w:t>Servicios bancarios</w:t>
            </w:r>
          </w:p>
        </w:tc>
        <w:tc>
          <w:tcPr>
            <w:tcW w:w="2936" w:type="dxa"/>
          </w:tcPr>
          <w:p>
            <w:pPr>
              <w:pStyle w:val="TableParagraph"/>
              <w:spacing w:line="226" w:lineRule="exact"/>
              <w:ind w:right="102"/>
              <w:jc w:val="right"/>
              <w:rPr>
                <w:sz w:val="20"/>
              </w:rPr>
            </w:pPr>
            <w:r>
              <w:rPr>
                <w:sz w:val="20"/>
              </w:rPr>
              <w:t>12%</w:t>
            </w:r>
          </w:p>
        </w:tc>
      </w:tr>
      <w:tr>
        <w:trPr>
          <w:trHeight w:val="264" w:hRule="exact"/>
        </w:trPr>
        <w:tc>
          <w:tcPr>
            <w:tcW w:w="2758" w:type="dxa"/>
          </w:tcPr>
          <w:p>
            <w:pPr>
              <w:pStyle w:val="TableParagraph"/>
              <w:spacing w:line="223" w:lineRule="exact"/>
              <w:ind w:left="103"/>
              <w:rPr>
                <w:sz w:val="20"/>
              </w:rPr>
            </w:pPr>
            <w:r>
              <w:rPr>
                <w:sz w:val="20"/>
              </w:rPr>
              <w:t>Servicios de gobierno</w:t>
            </w:r>
          </w:p>
        </w:tc>
        <w:tc>
          <w:tcPr>
            <w:tcW w:w="2936" w:type="dxa"/>
          </w:tcPr>
          <w:p>
            <w:pPr>
              <w:pStyle w:val="TableParagraph"/>
              <w:spacing w:line="223" w:lineRule="exact"/>
              <w:ind w:right="102"/>
              <w:jc w:val="right"/>
              <w:rPr>
                <w:sz w:val="20"/>
              </w:rPr>
            </w:pPr>
            <w:r>
              <w:rPr>
                <w:sz w:val="20"/>
              </w:rPr>
              <w:t>25%</w:t>
            </w:r>
          </w:p>
        </w:tc>
      </w:tr>
      <w:tr>
        <w:trPr>
          <w:trHeight w:val="266" w:hRule="exact"/>
        </w:trPr>
        <w:tc>
          <w:tcPr>
            <w:tcW w:w="2758" w:type="dxa"/>
          </w:tcPr>
          <w:p>
            <w:pPr>
              <w:pStyle w:val="TableParagraph"/>
              <w:spacing w:line="223" w:lineRule="exact"/>
              <w:ind w:left="103"/>
              <w:rPr>
                <w:sz w:val="20"/>
              </w:rPr>
            </w:pPr>
            <w:r>
              <w:rPr>
                <w:sz w:val="20"/>
              </w:rPr>
              <w:t>Asociaciones o agrupaciones</w:t>
            </w:r>
          </w:p>
        </w:tc>
        <w:tc>
          <w:tcPr>
            <w:tcW w:w="2936" w:type="dxa"/>
          </w:tcPr>
          <w:p>
            <w:pPr>
              <w:pStyle w:val="TableParagraph"/>
              <w:spacing w:line="223" w:lineRule="exact"/>
              <w:ind w:right="102"/>
              <w:jc w:val="right"/>
              <w:rPr>
                <w:sz w:val="20"/>
              </w:rPr>
            </w:pPr>
            <w:r>
              <w:rPr>
                <w:sz w:val="20"/>
              </w:rPr>
              <w:t>0%</w:t>
            </w:r>
          </w:p>
        </w:tc>
      </w:tr>
      <w:tr>
        <w:trPr>
          <w:trHeight w:val="264" w:hRule="exact"/>
        </w:trPr>
        <w:tc>
          <w:tcPr>
            <w:tcW w:w="2758" w:type="dxa"/>
          </w:tcPr>
          <w:p>
            <w:pPr>
              <w:pStyle w:val="TableParagraph"/>
              <w:spacing w:line="223" w:lineRule="exact"/>
              <w:ind w:left="103"/>
              <w:rPr>
                <w:sz w:val="20"/>
              </w:rPr>
            </w:pPr>
            <w:r>
              <w:rPr>
                <w:sz w:val="20"/>
              </w:rPr>
              <w:t>Otro (Por favor especifique)</w:t>
            </w:r>
          </w:p>
        </w:tc>
        <w:tc>
          <w:tcPr>
            <w:tcW w:w="2936" w:type="dxa"/>
          </w:tcPr>
          <w:p>
            <w:pPr>
              <w:pStyle w:val="TableParagraph"/>
              <w:spacing w:line="223" w:lineRule="exact"/>
              <w:ind w:right="102"/>
              <w:jc w:val="right"/>
              <w:rPr>
                <w:sz w:val="20"/>
              </w:rPr>
            </w:pPr>
            <w:r>
              <w:rPr>
                <w:sz w:val="20"/>
              </w:rPr>
              <w:t>16%</w:t>
            </w:r>
          </w:p>
        </w:tc>
      </w:tr>
    </w:tbl>
    <w:p>
      <w:pPr>
        <w:spacing w:line="242" w:lineRule="auto" w:before="0"/>
        <w:ind w:left="2841" w:right="378" w:hanging="2471"/>
        <w:jc w:val="left"/>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rPr>
          <w:sz w:val="20"/>
        </w:rPr>
      </w:pPr>
    </w:p>
    <w:p>
      <w:pPr>
        <w:pStyle w:val="BodyText"/>
        <w:rPr>
          <w:sz w:val="20"/>
        </w:rPr>
      </w:pPr>
    </w:p>
    <w:p>
      <w:pPr>
        <w:pStyle w:val="BodyText"/>
        <w:spacing w:line="360" w:lineRule="auto" w:before="121"/>
        <w:ind w:left="102" w:right="115"/>
        <w:jc w:val="both"/>
      </w:pPr>
      <w:r>
        <w:rPr/>
        <w:t>Con diferentes porcentajes para el puesto que ocupan, destacando “empleado”(19%), seguido de “otro” (13%), “analista”(12%), “profesional”(11%) y “gerente de área”(10%) (ver gráfica 6.16.), de lo que se puede inferir que en su mayoría son contratados en organizaciones en lugar de ser los creadores de su propio empleo.</w:t>
      </w:r>
    </w:p>
    <w:p>
      <w:pPr>
        <w:spacing w:after="0" w:line="360" w:lineRule="auto"/>
        <w:jc w:val="both"/>
        <w:sectPr>
          <w:pgSz w:w="12240" w:h="15840"/>
          <w:pgMar w:header="0" w:footer="1003" w:top="1360" w:bottom="1200" w:left="1600" w:right="1580"/>
        </w:sectPr>
      </w:pPr>
    </w:p>
    <w:p>
      <w:pPr>
        <w:pStyle w:val="Heading3"/>
        <w:ind w:left="1890" w:right="1698"/>
        <w:jc w:val="left"/>
      </w:pPr>
      <w:r>
        <w:rPr/>
        <w:t>Gráfica 6.16. Puesto ocupado en el empleado actual</w:t>
      </w:r>
    </w:p>
    <w:p>
      <w:pPr>
        <w:pStyle w:val="BodyText"/>
        <w:rPr>
          <w:b/>
          <w:sz w:val="20"/>
        </w:rPr>
      </w:pPr>
    </w:p>
    <w:p>
      <w:pPr>
        <w:pStyle w:val="BodyText"/>
        <w:rPr>
          <w:b/>
          <w:sz w:val="20"/>
        </w:rPr>
      </w:pPr>
    </w:p>
    <w:p>
      <w:pPr>
        <w:pStyle w:val="BodyText"/>
        <w:rPr>
          <w:b/>
          <w:sz w:val="20"/>
        </w:rPr>
      </w:pPr>
    </w:p>
    <w:p>
      <w:pPr>
        <w:pStyle w:val="BodyText"/>
        <w:spacing w:before="2"/>
        <w:rPr>
          <w:b/>
        </w:rPr>
      </w:pPr>
    </w:p>
    <w:p>
      <w:pPr>
        <w:spacing w:after="0"/>
        <w:sectPr>
          <w:footerReference w:type="default" r:id="rId118"/>
          <w:pgSz w:w="12240" w:h="15840"/>
          <w:pgMar w:footer="1003" w:header="0" w:top="1360" w:bottom="1200" w:left="1600" w:right="260"/>
          <w:pgNumType w:start="160"/>
        </w:sectPr>
      </w:pPr>
    </w:p>
    <w:p>
      <w:pPr>
        <w:pStyle w:val="BodyText"/>
        <w:rPr>
          <w:b/>
          <w:sz w:val="26"/>
        </w:rPr>
      </w:pPr>
    </w:p>
    <w:p>
      <w:pPr>
        <w:pStyle w:val="BodyText"/>
        <w:rPr>
          <w:b/>
          <w:sz w:val="26"/>
        </w:rPr>
      </w:pPr>
    </w:p>
    <w:p>
      <w:pPr>
        <w:pStyle w:val="BodyText"/>
        <w:spacing w:before="1"/>
        <w:rPr>
          <w:b/>
          <w:sz w:val="23"/>
        </w:rPr>
      </w:pPr>
    </w:p>
    <w:p>
      <w:pPr>
        <w:spacing w:before="0"/>
        <w:ind w:left="1252" w:right="0" w:firstLine="0"/>
        <w:jc w:val="left"/>
        <w:rPr>
          <w:sz w:val="20"/>
        </w:rPr>
      </w:pPr>
      <w:r>
        <w:rPr/>
        <w:pict>
          <v:shape style="position:absolute;margin-left:143.675446pt;margin-top:22.309576pt;width:12pt;height:52.75pt;mso-position-horizontal-relative:page;mso-position-vertical-relative:paragraph;z-index:6952" type="#_x0000_t202" filled="false" stroked="false">
            <v:textbox inset="0,0,0,0" style="layout-flow:vertical;mso-layout-flow-alt:bottom-to-top">
              <w:txbxContent>
                <w:p>
                  <w:pPr>
                    <w:spacing w:line="224" w:lineRule="exact" w:before="0"/>
                    <w:ind w:left="20" w:right="-464" w:firstLine="0"/>
                    <w:jc w:val="left"/>
                    <w:rPr>
                      <w:sz w:val="20"/>
                    </w:rPr>
                  </w:pPr>
                  <w:r>
                    <w:rPr>
                      <w:w w:val="99"/>
                      <w:sz w:val="20"/>
                    </w:rPr>
                    <w:t>Dir</w:t>
                  </w:r>
                  <w:r>
                    <w:rPr>
                      <w:w w:val="99"/>
                      <w:sz w:val="20"/>
                    </w:rPr>
                    <w:t>ec</w:t>
                  </w:r>
                  <w:r>
                    <w:rPr>
                      <w:w w:val="99"/>
                      <w:sz w:val="20"/>
                    </w:rPr>
                    <w:t>to</w:t>
                  </w:r>
                  <w:r>
                    <w:rPr>
                      <w:w w:val="99"/>
                      <w:sz w:val="20"/>
                    </w:rPr>
                    <w:t>r</w:t>
                  </w:r>
                  <w:r>
                    <w:rPr>
                      <w:sz w:val="20"/>
                    </w:rPr>
                    <w:t> </w:t>
                  </w:r>
                  <w:r>
                    <w:rPr>
                      <w:spacing w:val="-2"/>
                      <w:w w:val="99"/>
                      <w:sz w:val="20"/>
                    </w:rPr>
                    <w:t>o</w:t>
                  </w:r>
                  <w:r>
                    <w:rPr>
                      <w:w w:val="99"/>
                      <w:sz w:val="20"/>
                    </w:rPr>
                    <w:t>…</w:t>
                  </w:r>
                </w:p>
              </w:txbxContent>
            </v:textbox>
            <w10:wrap type="none"/>
          </v:shape>
        </w:pict>
      </w:r>
      <w:r>
        <w:rPr>
          <w:position w:val="-5"/>
          <w:sz w:val="20"/>
        </w:rPr>
        <w:t>3%   </w:t>
      </w:r>
      <w:r>
        <w:rPr>
          <w:sz w:val="20"/>
        </w:rPr>
        <w:t>4%</w:t>
      </w:r>
    </w:p>
    <w:p>
      <w:pPr>
        <w:pStyle w:val="BodyText"/>
        <w:rPr>
          <w:sz w:val="26"/>
        </w:rPr>
      </w:pPr>
      <w:r>
        <w:rPr/>
        <w:br w:type="column"/>
      </w:r>
      <w:r>
        <w:rPr>
          <w:sz w:val="26"/>
        </w:rPr>
      </w:r>
    </w:p>
    <w:p>
      <w:pPr>
        <w:spacing w:before="170"/>
        <w:ind w:left="89" w:right="0" w:firstLine="0"/>
        <w:jc w:val="left"/>
        <w:rPr>
          <w:sz w:val="20"/>
        </w:rPr>
      </w:pPr>
      <w:r>
        <w:rPr>
          <w:sz w:val="20"/>
        </w:rPr>
        <w:t>11% </w:t>
      </w:r>
      <w:r>
        <w:rPr>
          <w:position w:val="-5"/>
          <w:sz w:val="20"/>
        </w:rPr>
        <w:t>10%</w:t>
      </w:r>
    </w:p>
    <w:p>
      <w:pPr>
        <w:spacing w:line="228" w:lineRule="exact" w:before="48"/>
        <w:ind w:left="0" w:right="0" w:firstLine="0"/>
        <w:jc w:val="right"/>
        <w:rPr>
          <w:sz w:val="20"/>
        </w:rPr>
      </w:pPr>
      <w:r>
        <w:rPr>
          <w:sz w:val="20"/>
        </w:rPr>
        <w:t>5%</w:t>
      </w:r>
    </w:p>
    <w:p>
      <w:pPr>
        <w:spacing w:line="228" w:lineRule="exact" w:before="0"/>
        <w:ind w:left="1035" w:right="0" w:firstLine="0"/>
        <w:jc w:val="left"/>
        <w:rPr>
          <w:sz w:val="20"/>
        </w:rPr>
      </w:pPr>
      <w:r>
        <w:rPr/>
        <w:pict>
          <v:shape style="position:absolute;margin-left:210.825455pt;margin-top:13.723437pt;width:12pt;height:51.1pt;mso-position-horizontal-relative:page;mso-position-vertical-relative:paragraph;z-index:7024" type="#_x0000_t202" filled="false" stroked="false">
            <v:textbox inset="0,0,0,0" style="layout-flow:vertical;mso-layout-flow-alt:bottom-to-top">
              <w:txbxContent>
                <w:p>
                  <w:pPr>
                    <w:spacing w:line="224" w:lineRule="exact" w:before="0"/>
                    <w:ind w:left="20" w:right="-433" w:firstLine="0"/>
                    <w:jc w:val="left"/>
                    <w:rPr>
                      <w:sz w:val="20"/>
                    </w:rPr>
                  </w:pPr>
                  <w:r>
                    <w:rPr>
                      <w:w w:val="99"/>
                      <w:sz w:val="20"/>
                    </w:rPr>
                    <w:t>Ge</w:t>
                  </w:r>
                  <w:r>
                    <w:rPr>
                      <w:spacing w:val="1"/>
                      <w:w w:val="99"/>
                      <w:sz w:val="20"/>
                    </w:rPr>
                    <w:t>r</w:t>
                  </w:r>
                  <w:r>
                    <w:rPr>
                      <w:w w:val="99"/>
                      <w:sz w:val="20"/>
                    </w:rPr>
                    <w:t>e</w:t>
                  </w:r>
                  <w:r>
                    <w:rPr>
                      <w:spacing w:val="1"/>
                      <w:w w:val="99"/>
                      <w:sz w:val="20"/>
                    </w:rPr>
                    <w:t>n</w:t>
                  </w:r>
                  <w:r>
                    <w:rPr>
                      <w:w w:val="99"/>
                      <w:sz w:val="20"/>
                    </w:rPr>
                    <w:t>te</w:t>
                  </w:r>
                  <w:r>
                    <w:rPr>
                      <w:sz w:val="20"/>
                    </w:rPr>
                    <w:t> </w:t>
                  </w:r>
                  <w:r>
                    <w:rPr>
                      <w:spacing w:val="-2"/>
                      <w:w w:val="99"/>
                      <w:sz w:val="20"/>
                    </w:rPr>
                    <w:t>o</w:t>
                  </w:r>
                  <w:r>
                    <w:rPr>
                      <w:w w:val="99"/>
                      <w:sz w:val="20"/>
                    </w:rPr>
                    <w:t>…</w:t>
                  </w:r>
                </w:p>
              </w:txbxContent>
            </v:textbox>
            <w10:wrap type="none"/>
          </v:shape>
        </w:pict>
      </w:r>
      <w:r>
        <w:rPr>
          <w:sz w:val="20"/>
        </w:rPr>
        <w:t>1%</w:t>
      </w:r>
    </w:p>
    <w:p>
      <w:pPr>
        <w:pStyle w:val="BodyText"/>
        <w:rPr>
          <w:sz w:val="20"/>
        </w:rPr>
      </w:pPr>
      <w:r>
        <w:rPr/>
        <w:br w:type="column"/>
      </w:r>
      <w:r>
        <w:rPr>
          <w:sz w:val="20"/>
        </w:rPr>
      </w:r>
    </w:p>
    <w:p>
      <w:pPr>
        <w:pStyle w:val="BodyText"/>
        <w:rPr>
          <w:sz w:val="20"/>
        </w:rPr>
      </w:pPr>
    </w:p>
    <w:p>
      <w:pPr>
        <w:spacing w:line="199" w:lineRule="exact" w:before="122"/>
        <w:ind w:left="140" w:right="0" w:firstLine="0"/>
        <w:jc w:val="left"/>
        <w:rPr>
          <w:sz w:val="20"/>
        </w:rPr>
      </w:pPr>
      <w:r>
        <w:rPr>
          <w:sz w:val="20"/>
        </w:rPr>
        <w:t>9%</w:t>
      </w:r>
    </w:p>
    <w:p>
      <w:pPr>
        <w:spacing w:line="169" w:lineRule="exact" w:before="0"/>
        <w:ind w:left="569" w:right="874" w:firstLine="0"/>
        <w:jc w:val="center"/>
        <w:rPr>
          <w:sz w:val="20"/>
        </w:rPr>
      </w:pPr>
      <w:r>
        <w:rPr>
          <w:sz w:val="20"/>
        </w:rPr>
        <w:t>6%</w:t>
      </w:r>
    </w:p>
    <w:p>
      <w:pPr>
        <w:spacing w:line="260" w:lineRule="exact" w:before="0"/>
        <w:ind w:left="1035" w:right="0" w:firstLine="0"/>
        <w:jc w:val="left"/>
        <w:rPr>
          <w:sz w:val="20"/>
        </w:rPr>
      </w:pPr>
      <w:r>
        <w:rPr/>
        <w:pict>
          <v:shape style="position:absolute;margin-left:278.005463pt;margin-top:17.904022pt;width:12pt;height:40pt;mso-position-horizontal-relative:page;mso-position-vertical-relative:paragraph;z-index:7096" type="#_x0000_t202" filled="false" stroked="false">
            <v:textbox inset="0,0,0,0" style="layout-flow:vertical;mso-layout-flow-alt:bottom-to-top">
              <w:txbxContent>
                <w:p>
                  <w:pPr>
                    <w:spacing w:line="224" w:lineRule="exact" w:before="0"/>
                    <w:ind w:left="20" w:right="-189" w:firstLine="0"/>
                    <w:jc w:val="left"/>
                    <w:rPr>
                      <w:sz w:val="20"/>
                    </w:rPr>
                  </w:pPr>
                  <w:r>
                    <w:rPr>
                      <w:spacing w:val="-1"/>
                      <w:w w:val="99"/>
                      <w:sz w:val="20"/>
                    </w:rPr>
                    <w:t>J</w:t>
                  </w:r>
                  <w:r>
                    <w:rPr>
                      <w:w w:val="99"/>
                      <w:sz w:val="20"/>
                    </w:rPr>
                    <w:t>e</w:t>
                  </w:r>
                  <w:r>
                    <w:rPr>
                      <w:spacing w:val="1"/>
                      <w:w w:val="99"/>
                      <w:sz w:val="20"/>
                    </w:rPr>
                    <w:t>f</w:t>
                  </w:r>
                  <w:r>
                    <w:rPr>
                      <w:w w:val="99"/>
                      <w:sz w:val="20"/>
                    </w:rPr>
                    <w:t>e</w:t>
                  </w:r>
                  <w:r>
                    <w:rPr>
                      <w:sz w:val="20"/>
                    </w:rPr>
                    <w:t> </w:t>
                  </w:r>
                  <w:r>
                    <w:rPr>
                      <w:spacing w:val="1"/>
                      <w:w w:val="99"/>
                      <w:sz w:val="20"/>
                    </w:rPr>
                    <w:t>d</w:t>
                  </w:r>
                  <w:r>
                    <w:rPr>
                      <w:w w:val="99"/>
                      <w:sz w:val="20"/>
                    </w:rPr>
                    <w:t>e…</w:t>
                  </w:r>
                </w:p>
              </w:txbxContent>
            </v:textbox>
            <w10:wrap type="none"/>
          </v:shape>
        </w:pict>
      </w:r>
      <w:r>
        <w:rPr/>
        <w:pict>
          <v:shape style="position:absolute;margin-left:300.395447pt;margin-top:17.985022pt;width:12pt;height:50.25pt;mso-position-horizontal-relative:page;mso-position-vertical-relative:paragraph;z-index:7120" type="#_x0000_t202" filled="false" stroked="false">
            <v:textbox inset="0,0,0,0" style="layout-flow:vertical;mso-layout-flow-alt:bottom-to-top">
              <w:txbxContent>
                <w:p>
                  <w:pPr>
                    <w:spacing w:line="224" w:lineRule="exact" w:before="0"/>
                    <w:ind w:left="20" w:right="-762" w:firstLine="0"/>
                    <w:jc w:val="left"/>
                    <w:rPr>
                      <w:sz w:val="20"/>
                    </w:rPr>
                  </w:pPr>
                  <w:r>
                    <w:rPr>
                      <w:w w:val="99"/>
                      <w:sz w:val="20"/>
                    </w:rPr>
                    <w:t>Ejec</w:t>
                  </w:r>
                  <w:r>
                    <w:rPr>
                      <w:spacing w:val="1"/>
                      <w:w w:val="99"/>
                      <w:sz w:val="20"/>
                    </w:rPr>
                    <w:t>u</w:t>
                  </w:r>
                  <w:r>
                    <w:rPr>
                      <w:w w:val="99"/>
                      <w:sz w:val="20"/>
                    </w:rPr>
                    <w:t>tiv</w:t>
                  </w:r>
                  <w:r>
                    <w:rPr>
                      <w:spacing w:val="-2"/>
                      <w:w w:val="99"/>
                      <w:sz w:val="20"/>
                    </w:rPr>
                    <w:t>o</w:t>
                  </w:r>
                  <w:r>
                    <w:rPr>
                      <w:w w:val="99"/>
                      <w:sz w:val="20"/>
                    </w:rPr>
                    <w:t>…</w:t>
                  </w:r>
                </w:p>
              </w:txbxContent>
            </v:textbox>
            <w10:wrap type="none"/>
          </v:shape>
        </w:pict>
      </w:r>
      <w:r>
        <w:rPr/>
        <w:pict>
          <v:shape style="position:absolute;margin-left:457.085449pt;margin-top:17.973942pt;width:12pt;height:49.95pt;mso-position-horizontal-relative:page;mso-position-vertical-relative:paragraph;z-index:7288" type="#_x0000_t202" filled="false" stroked="false">
            <v:textbox inset="0,0,0,0" style="layout-flow:vertical;mso-layout-flow-alt:bottom-to-top">
              <w:txbxContent>
                <w:p>
                  <w:pPr>
                    <w:spacing w:line="224" w:lineRule="exact" w:before="0"/>
                    <w:ind w:left="20" w:right="-340" w:firstLine="0"/>
                    <w:jc w:val="left"/>
                    <w:rPr>
                      <w:sz w:val="20"/>
                    </w:rPr>
                  </w:pPr>
                  <w:r>
                    <w:rPr>
                      <w:w w:val="99"/>
                      <w:sz w:val="20"/>
                    </w:rPr>
                    <w:t>Otro</w:t>
                  </w:r>
                  <w:r>
                    <w:rPr>
                      <w:spacing w:val="1"/>
                      <w:sz w:val="20"/>
                    </w:rPr>
                    <w:t> </w:t>
                  </w:r>
                  <w:r>
                    <w:rPr>
                      <w:spacing w:val="-2"/>
                      <w:w w:val="99"/>
                      <w:sz w:val="20"/>
                    </w:rPr>
                    <w:t>(</w:t>
                  </w:r>
                  <w:r>
                    <w:rPr>
                      <w:spacing w:val="1"/>
                      <w:w w:val="99"/>
                      <w:sz w:val="20"/>
                    </w:rPr>
                    <w:t>P</w:t>
                  </w:r>
                  <w:r>
                    <w:rPr>
                      <w:spacing w:val="-2"/>
                      <w:w w:val="99"/>
                      <w:sz w:val="20"/>
                    </w:rPr>
                    <w:t>o</w:t>
                  </w:r>
                  <w:r>
                    <w:rPr>
                      <w:w w:val="99"/>
                      <w:sz w:val="20"/>
                    </w:rPr>
                    <w:t>r…</w:t>
                  </w:r>
                </w:p>
              </w:txbxContent>
            </v:textbox>
            <w10:wrap type="none"/>
          </v:shape>
        </w:pict>
      </w:r>
      <w:r>
        <w:rPr>
          <w:position w:val="-5"/>
          <w:sz w:val="20"/>
        </w:rPr>
        <w:t>2%   </w:t>
      </w:r>
      <w:r>
        <w:rPr>
          <w:sz w:val="20"/>
        </w:rPr>
        <w:t>3%</w:t>
      </w:r>
    </w:p>
    <w:p>
      <w:pPr>
        <w:spacing w:before="74"/>
        <w:ind w:left="89" w:right="-17" w:firstLine="0"/>
        <w:jc w:val="left"/>
        <w:rPr>
          <w:sz w:val="20"/>
        </w:rPr>
      </w:pPr>
      <w:r>
        <w:rPr/>
        <w:br w:type="column"/>
      </w:r>
      <w:r>
        <w:rPr>
          <w:sz w:val="20"/>
        </w:rPr>
        <w:t>19%</w:t>
      </w:r>
    </w:p>
    <w:p>
      <w:pPr>
        <w:pStyle w:val="BodyText"/>
        <w:rPr>
          <w:sz w:val="20"/>
        </w:rPr>
      </w:pPr>
      <w:r>
        <w:rPr/>
        <w:br w:type="column"/>
      </w:r>
      <w:r>
        <w:rPr>
          <w:sz w:val="20"/>
        </w:rPr>
      </w:r>
    </w:p>
    <w:p>
      <w:pPr>
        <w:pStyle w:val="BodyText"/>
        <w:spacing w:before="10"/>
        <w:rPr>
          <w:sz w:val="15"/>
        </w:rPr>
      </w:pPr>
    </w:p>
    <w:p>
      <w:pPr>
        <w:spacing w:before="0"/>
        <w:ind w:left="39" w:right="-18" w:firstLine="0"/>
        <w:jc w:val="left"/>
        <w:rPr>
          <w:sz w:val="20"/>
        </w:rPr>
      </w:pPr>
      <w:r>
        <w:rPr>
          <w:sz w:val="20"/>
        </w:rPr>
        <w:t>12%</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spacing w:before="169"/>
        <w:ind w:left="89" w:right="0" w:firstLine="0"/>
        <w:jc w:val="left"/>
        <w:rPr>
          <w:sz w:val="20"/>
        </w:rPr>
      </w:pPr>
      <w:r>
        <w:rPr/>
        <w:pict>
          <v:shape style="position:absolute;margin-left:166.065445pt;margin-top:29.428619pt;width:12pt;height:59.75pt;mso-position-horizontal-relative:page;mso-position-vertical-relative:paragraph;z-index:6976" type="#_x0000_t202" filled="false" stroked="false">
            <v:textbox inset="0,0,0,0" style="layout-flow:vertical;mso-layout-flow-alt:bottom-to-top">
              <w:txbxContent>
                <w:p>
                  <w:pPr>
                    <w:spacing w:line="224" w:lineRule="exact" w:before="0"/>
                    <w:ind w:left="20" w:right="-314" w:firstLine="0"/>
                    <w:jc w:val="left"/>
                    <w:rPr>
                      <w:sz w:val="20"/>
                    </w:rPr>
                  </w:pPr>
                  <w:r>
                    <w:rPr>
                      <w:w w:val="99"/>
                      <w:sz w:val="20"/>
                    </w:rPr>
                    <w:t>D</w:t>
                  </w:r>
                  <w:r>
                    <w:rPr>
                      <w:spacing w:val="1"/>
                      <w:w w:val="99"/>
                      <w:sz w:val="20"/>
                    </w:rPr>
                    <w:t>u</w:t>
                  </w:r>
                  <w:r>
                    <w:rPr>
                      <w:w w:val="99"/>
                      <w:sz w:val="20"/>
                    </w:rPr>
                    <w:t>e</w:t>
                  </w:r>
                  <w:r>
                    <w:rPr>
                      <w:spacing w:val="1"/>
                      <w:w w:val="99"/>
                      <w:sz w:val="20"/>
                    </w:rPr>
                    <w:t>ñ</w:t>
                  </w:r>
                  <w:r>
                    <w:rPr>
                      <w:w w:val="99"/>
                      <w:sz w:val="20"/>
                    </w:rPr>
                    <w:t>o</w:t>
                  </w:r>
                  <w:r>
                    <w:rPr>
                      <w:spacing w:val="-1"/>
                      <w:sz w:val="20"/>
                    </w:rPr>
                    <w:t> </w:t>
                  </w:r>
                  <w:r>
                    <w:rPr>
                      <w:w w:val="99"/>
                      <w:sz w:val="20"/>
                    </w:rPr>
                    <w:t>o</w:t>
                  </w:r>
                  <w:r>
                    <w:rPr>
                      <w:spacing w:val="1"/>
                      <w:sz w:val="20"/>
                    </w:rPr>
                    <w:t> </w:t>
                  </w:r>
                  <w:r>
                    <w:rPr>
                      <w:spacing w:val="-1"/>
                      <w:w w:val="99"/>
                      <w:sz w:val="20"/>
                    </w:rPr>
                    <w:t>s</w:t>
                  </w:r>
                  <w:r>
                    <w:rPr>
                      <w:spacing w:val="1"/>
                      <w:w w:val="99"/>
                      <w:sz w:val="20"/>
                    </w:rPr>
                    <w:t>o</w:t>
                  </w:r>
                  <w:r>
                    <w:rPr>
                      <w:w w:val="99"/>
                      <w:sz w:val="20"/>
                    </w:rPr>
                    <w:t>cio</w:t>
                  </w:r>
                </w:p>
              </w:txbxContent>
            </v:textbox>
            <w10:wrap type="none"/>
          </v:shape>
        </w:pict>
      </w:r>
      <w:r>
        <w:rPr/>
        <w:pict>
          <v:shape style="position:absolute;margin-left:188.455444pt;margin-top:29.470058pt;width:12pt;height:47.45pt;mso-position-horizontal-relative:page;mso-position-vertical-relative:paragraph;z-index:7000" type="#_x0000_t202" filled="false" stroked="false">
            <v:textbox inset="0,0,0,0" style="layout-flow:vertical;mso-layout-flow-alt:bottom-to-top">
              <w:txbxContent>
                <w:p>
                  <w:pPr>
                    <w:spacing w:line="224" w:lineRule="exact" w:before="0"/>
                    <w:ind w:left="20" w:right="-707" w:firstLine="0"/>
                    <w:jc w:val="left"/>
                    <w:rPr>
                      <w:sz w:val="20"/>
                    </w:rPr>
                  </w:pPr>
                  <w:r>
                    <w:rPr>
                      <w:w w:val="99"/>
                      <w:sz w:val="20"/>
                    </w:rPr>
                    <w:t>Pr</w:t>
                  </w:r>
                  <w:r>
                    <w:rPr>
                      <w:spacing w:val="1"/>
                      <w:w w:val="99"/>
                      <w:sz w:val="20"/>
                    </w:rPr>
                    <w:t>o</w:t>
                  </w:r>
                  <w:r>
                    <w:rPr>
                      <w:w w:val="99"/>
                      <w:sz w:val="20"/>
                    </w:rPr>
                    <w:t>fesio</w:t>
                  </w:r>
                  <w:r>
                    <w:rPr>
                      <w:spacing w:val="-2"/>
                      <w:w w:val="99"/>
                      <w:sz w:val="20"/>
                    </w:rPr>
                    <w:t>n</w:t>
                  </w:r>
                  <w:r>
                    <w:rPr>
                      <w:w w:val="99"/>
                      <w:sz w:val="20"/>
                    </w:rPr>
                    <w:t>al</w:t>
                  </w:r>
                </w:p>
              </w:txbxContent>
            </v:textbox>
            <w10:wrap type="none"/>
          </v:shape>
        </w:pict>
      </w:r>
      <w:r>
        <w:rPr/>
        <w:pict>
          <v:shape style="position:absolute;margin-left:233.215454pt;margin-top:29.407944pt;width:12pt;height:46.95pt;mso-position-horizontal-relative:page;mso-position-vertical-relative:paragraph;z-index:7048" type="#_x0000_t202" filled="false" stroked="false">
            <v:textbox inset="0,0,0,0" style="layout-flow:vertical;mso-layout-flow-alt:bottom-to-top">
              <w:txbxContent>
                <w:p>
                  <w:pPr>
                    <w:spacing w:line="224" w:lineRule="exact" w:before="0"/>
                    <w:ind w:left="20" w:right="-698" w:firstLine="0"/>
                    <w:jc w:val="left"/>
                    <w:rPr>
                      <w:sz w:val="20"/>
                    </w:rPr>
                  </w:pPr>
                  <w:r>
                    <w:rPr>
                      <w:w w:val="99"/>
                      <w:sz w:val="20"/>
                    </w:rPr>
                    <w:t>Su</w:t>
                  </w:r>
                  <w:r>
                    <w:rPr>
                      <w:spacing w:val="1"/>
                      <w:w w:val="99"/>
                      <w:sz w:val="20"/>
                    </w:rPr>
                    <w:t>b</w:t>
                  </w:r>
                  <w:r>
                    <w:rPr>
                      <w:spacing w:val="-2"/>
                      <w:w w:val="99"/>
                      <w:sz w:val="20"/>
                    </w:rPr>
                    <w:t>g</w:t>
                  </w:r>
                  <w:r>
                    <w:rPr>
                      <w:w w:val="99"/>
                      <w:sz w:val="20"/>
                    </w:rPr>
                    <w:t>e</w:t>
                  </w:r>
                  <w:r>
                    <w:rPr>
                      <w:spacing w:val="1"/>
                      <w:w w:val="99"/>
                      <w:sz w:val="20"/>
                    </w:rPr>
                    <w:t>r</w:t>
                  </w:r>
                  <w:r>
                    <w:rPr>
                      <w:w w:val="99"/>
                      <w:sz w:val="20"/>
                    </w:rPr>
                    <w:t>e</w:t>
                  </w:r>
                  <w:r>
                    <w:rPr>
                      <w:spacing w:val="1"/>
                      <w:w w:val="99"/>
                      <w:sz w:val="20"/>
                    </w:rPr>
                    <w:t>n</w:t>
                  </w:r>
                  <w:r>
                    <w:rPr>
                      <w:w w:val="99"/>
                      <w:sz w:val="20"/>
                    </w:rPr>
                    <w:t>te</w:t>
                  </w:r>
                </w:p>
              </w:txbxContent>
            </v:textbox>
            <w10:wrap type="none"/>
          </v:shape>
        </w:pict>
      </w:r>
      <w:r>
        <w:rPr/>
        <w:pict>
          <v:shape style="position:absolute;margin-left:255.605453pt;margin-top:29.452986pt;width:12pt;height:48.6pt;mso-position-horizontal-relative:page;mso-position-vertical-relative:paragraph;z-index:7072" type="#_x0000_t202" filled="false" stroked="false">
            <v:textbox inset="0,0,0,0" style="layout-flow:vertical;mso-layout-flow-alt:bottom-to-top">
              <w:txbxContent>
                <w:p>
                  <w:pPr>
                    <w:spacing w:line="224" w:lineRule="exact" w:before="0"/>
                    <w:ind w:left="20" w:right="-729" w:firstLine="0"/>
                    <w:jc w:val="left"/>
                    <w:rPr>
                      <w:sz w:val="20"/>
                    </w:rPr>
                  </w:pPr>
                  <w:r>
                    <w:rPr>
                      <w:w w:val="99"/>
                      <w:sz w:val="20"/>
                    </w:rPr>
                    <w:t>Su</w:t>
                  </w:r>
                  <w:r>
                    <w:rPr>
                      <w:spacing w:val="1"/>
                      <w:w w:val="99"/>
                      <w:sz w:val="20"/>
                    </w:rPr>
                    <w:t>b</w:t>
                  </w:r>
                  <w:r>
                    <w:rPr>
                      <w:spacing w:val="-2"/>
                      <w:w w:val="99"/>
                      <w:sz w:val="20"/>
                    </w:rPr>
                    <w:t>d</w:t>
                  </w:r>
                  <w:r>
                    <w:rPr>
                      <w:spacing w:val="2"/>
                      <w:w w:val="99"/>
                      <w:sz w:val="20"/>
                    </w:rPr>
                    <w:t>i</w:t>
                  </w:r>
                  <w:r>
                    <w:rPr>
                      <w:spacing w:val="-2"/>
                      <w:w w:val="99"/>
                      <w:sz w:val="20"/>
                    </w:rPr>
                    <w:t>r</w:t>
                  </w:r>
                  <w:r>
                    <w:rPr>
                      <w:w w:val="99"/>
                      <w:sz w:val="20"/>
                    </w:rPr>
                    <w:t>ector</w:t>
                  </w:r>
                </w:p>
              </w:txbxContent>
            </v:textbox>
            <w10:wrap type="none"/>
          </v:shape>
        </w:pict>
      </w:r>
      <w:r>
        <w:rPr/>
        <w:pict>
          <v:shape style="position:absolute;margin-left:322.765442pt;margin-top:29.490063pt;width:12pt;height:62.45pt;mso-position-horizontal-relative:page;mso-position-vertical-relative:paragraph;z-index:7144" type="#_x0000_t202" filled="false" stroked="false">
            <v:textbox inset="0,0,0,0" style="layout-flow:vertical;mso-layout-flow-alt:bottom-to-top">
              <w:txbxContent>
                <w:p>
                  <w:pPr>
                    <w:spacing w:line="224" w:lineRule="exact" w:before="0"/>
                    <w:ind w:left="20" w:right="0" w:firstLine="0"/>
                    <w:jc w:val="left"/>
                    <w:rPr>
                      <w:sz w:val="20"/>
                    </w:rPr>
                  </w:pPr>
                  <w:r>
                    <w:rPr>
                      <w:spacing w:val="-1"/>
                      <w:w w:val="99"/>
                      <w:sz w:val="20"/>
                    </w:rPr>
                    <w:t>J</w:t>
                  </w:r>
                  <w:r>
                    <w:rPr>
                      <w:w w:val="99"/>
                      <w:sz w:val="20"/>
                    </w:rPr>
                    <w:t>e</w:t>
                  </w:r>
                  <w:r>
                    <w:rPr>
                      <w:spacing w:val="1"/>
                      <w:w w:val="99"/>
                      <w:sz w:val="20"/>
                    </w:rPr>
                    <w:t>f</w:t>
                  </w:r>
                  <w:r>
                    <w:rPr>
                      <w:w w:val="99"/>
                      <w:sz w:val="20"/>
                    </w:rPr>
                    <w:t>e</w:t>
                  </w:r>
                  <w:r>
                    <w:rPr>
                      <w:sz w:val="20"/>
                    </w:rPr>
                    <w:t> </w:t>
                  </w:r>
                  <w:r>
                    <w:rPr>
                      <w:spacing w:val="1"/>
                      <w:w w:val="99"/>
                      <w:sz w:val="20"/>
                    </w:rPr>
                    <w:t>d</w:t>
                  </w:r>
                  <w:r>
                    <w:rPr>
                      <w:w w:val="99"/>
                      <w:sz w:val="20"/>
                    </w:rPr>
                    <w:t>e</w:t>
                  </w:r>
                  <w:r>
                    <w:rPr>
                      <w:sz w:val="20"/>
                    </w:rPr>
                    <w:t> </w:t>
                  </w:r>
                  <w:r>
                    <w:rPr>
                      <w:w w:val="99"/>
                      <w:sz w:val="20"/>
                    </w:rPr>
                    <w:t>O</w:t>
                  </w:r>
                  <w:r>
                    <w:rPr>
                      <w:spacing w:val="-2"/>
                      <w:w w:val="99"/>
                      <w:sz w:val="20"/>
                    </w:rPr>
                    <w:t>f</w:t>
                  </w:r>
                  <w:r>
                    <w:rPr>
                      <w:spacing w:val="2"/>
                      <w:w w:val="99"/>
                      <w:sz w:val="20"/>
                    </w:rPr>
                    <w:t>i</w:t>
                  </w:r>
                  <w:r>
                    <w:rPr>
                      <w:w w:val="99"/>
                      <w:sz w:val="20"/>
                    </w:rPr>
                    <w:t>ci</w:t>
                  </w:r>
                  <w:r>
                    <w:rPr>
                      <w:spacing w:val="-1"/>
                      <w:w w:val="99"/>
                      <w:sz w:val="20"/>
                    </w:rPr>
                    <w:t>n</w:t>
                  </w:r>
                  <w:r>
                    <w:rPr>
                      <w:w w:val="99"/>
                      <w:sz w:val="20"/>
                    </w:rPr>
                    <w:t>a</w:t>
                  </w:r>
                </w:p>
              </w:txbxContent>
            </v:textbox>
            <w10:wrap type="none"/>
          </v:shape>
        </w:pict>
      </w:r>
      <w:r>
        <w:rPr/>
        <w:pict>
          <v:shape style="position:absolute;margin-left:345.155457pt;margin-top:29.469545pt;width:12pt;height:45.25pt;mso-position-horizontal-relative:page;mso-position-vertical-relative:paragraph;z-index:7168" type="#_x0000_t202" filled="false" stroked="false">
            <v:textbox inset="0,0,0,0" style="layout-flow:vertical;mso-layout-flow-alt:bottom-to-top">
              <w:txbxContent>
                <w:p>
                  <w:pPr>
                    <w:spacing w:line="224" w:lineRule="exact" w:before="0"/>
                    <w:ind w:left="20" w:right="-663" w:firstLine="0"/>
                    <w:jc w:val="left"/>
                    <w:rPr>
                      <w:sz w:val="20"/>
                    </w:rPr>
                  </w:pPr>
                  <w:r>
                    <w:rPr>
                      <w:w w:val="99"/>
                      <w:sz w:val="20"/>
                    </w:rPr>
                    <w:t>Su</w:t>
                  </w:r>
                  <w:r>
                    <w:rPr>
                      <w:spacing w:val="1"/>
                      <w:w w:val="99"/>
                      <w:sz w:val="20"/>
                    </w:rPr>
                    <w:t>p</w:t>
                  </w:r>
                  <w:r>
                    <w:rPr>
                      <w:w w:val="99"/>
                      <w:sz w:val="20"/>
                    </w:rPr>
                    <w:t>e</w:t>
                  </w:r>
                  <w:r>
                    <w:rPr>
                      <w:spacing w:val="-2"/>
                      <w:w w:val="99"/>
                      <w:sz w:val="20"/>
                    </w:rPr>
                    <w:t>r</w:t>
                  </w:r>
                  <w:r>
                    <w:rPr>
                      <w:spacing w:val="1"/>
                      <w:w w:val="99"/>
                      <w:sz w:val="20"/>
                    </w:rPr>
                    <w:t>v</w:t>
                  </w:r>
                  <w:r>
                    <w:rPr>
                      <w:w w:val="99"/>
                      <w:sz w:val="20"/>
                    </w:rPr>
                    <w:t>i</w:t>
                  </w:r>
                  <w:r>
                    <w:rPr>
                      <w:spacing w:val="1"/>
                      <w:w w:val="99"/>
                      <w:sz w:val="20"/>
                    </w:rPr>
                    <w:t>s</w:t>
                  </w:r>
                  <w:r>
                    <w:rPr>
                      <w:spacing w:val="-2"/>
                      <w:w w:val="99"/>
                      <w:sz w:val="20"/>
                    </w:rPr>
                    <w:t>o</w:t>
                  </w:r>
                  <w:r>
                    <w:rPr>
                      <w:w w:val="99"/>
                      <w:sz w:val="20"/>
                    </w:rPr>
                    <w:t>r</w:t>
                  </w:r>
                </w:p>
              </w:txbxContent>
            </v:textbox>
            <w10:wrap type="none"/>
          </v:shape>
        </w:pict>
      </w:r>
      <w:r>
        <w:rPr/>
        <w:pict>
          <v:shape style="position:absolute;margin-left:367.545441pt;margin-top:29.458385pt;width:12pt;height:42.5pt;mso-position-horizontal-relative:page;mso-position-vertical-relative:paragraph;z-index:7192" type="#_x0000_t202" filled="false" stroked="false">
            <v:textbox inset="0,0,0,0" style="layout-flow:vertical;mso-layout-flow-alt:bottom-to-top">
              <w:txbxContent>
                <w:p>
                  <w:pPr>
                    <w:spacing w:line="224" w:lineRule="exact" w:before="0"/>
                    <w:ind w:left="20" w:right="-606" w:firstLine="0"/>
                    <w:jc w:val="left"/>
                    <w:rPr>
                      <w:sz w:val="20"/>
                    </w:rPr>
                  </w:pPr>
                  <w:r>
                    <w:rPr>
                      <w:w w:val="99"/>
                      <w:sz w:val="20"/>
                    </w:rPr>
                    <w:t>Em</w:t>
                  </w:r>
                  <w:r>
                    <w:rPr>
                      <w:spacing w:val="-2"/>
                      <w:w w:val="99"/>
                      <w:sz w:val="20"/>
                    </w:rPr>
                    <w:t>p</w:t>
                  </w:r>
                  <w:r>
                    <w:rPr>
                      <w:spacing w:val="2"/>
                      <w:w w:val="99"/>
                      <w:sz w:val="20"/>
                    </w:rPr>
                    <w:t>l</w:t>
                  </w:r>
                  <w:r>
                    <w:rPr>
                      <w:w w:val="99"/>
                      <w:sz w:val="20"/>
                    </w:rPr>
                    <w:t>ea</w:t>
                  </w:r>
                  <w:r>
                    <w:rPr>
                      <w:spacing w:val="-2"/>
                      <w:w w:val="99"/>
                      <w:sz w:val="20"/>
                    </w:rPr>
                    <w:t>d</w:t>
                  </w:r>
                  <w:r>
                    <w:rPr>
                      <w:w w:val="99"/>
                      <w:sz w:val="20"/>
                    </w:rPr>
                    <w:t>o</w:t>
                  </w:r>
                </w:p>
              </w:txbxContent>
            </v:textbox>
            <w10:wrap type="none"/>
          </v:shape>
        </w:pict>
      </w:r>
      <w:r>
        <w:rPr/>
        <w:pict>
          <v:shape style="position:absolute;margin-left:389.935455pt;margin-top:29.361303pt;width:12pt;height:35.35pt;mso-position-horizontal-relative:page;mso-position-vertical-relative:paragraph;z-index:7216" type="#_x0000_t202" filled="false" stroked="false">
            <v:textbox inset="0,0,0,0" style="layout-flow:vertical;mso-layout-flow-alt:bottom-to-top">
              <w:txbxContent>
                <w:p>
                  <w:pPr>
                    <w:spacing w:line="224" w:lineRule="exact" w:before="0"/>
                    <w:ind w:left="20" w:right="-466" w:firstLine="0"/>
                    <w:jc w:val="left"/>
                    <w:rPr>
                      <w:sz w:val="20"/>
                    </w:rPr>
                  </w:pPr>
                  <w:r>
                    <w:rPr>
                      <w:w w:val="99"/>
                      <w:sz w:val="20"/>
                    </w:rPr>
                    <w:t>A</w:t>
                  </w:r>
                  <w:r>
                    <w:rPr>
                      <w:spacing w:val="1"/>
                      <w:w w:val="99"/>
                      <w:sz w:val="20"/>
                    </w:rPr>
                    <w:t>n</w:t>
                  </w:r>
                  <w:r>
                    <w:rPr>
                      <w:w w:val="99"/>
                      <w:sz w:val="20"/>
                    </w:rPr>
                    <w:t>ali</w:t>
                  </w:r>
                  <w:r>
                    <w:rPr>
                      <w:spacing w:val="1"/>
                      <w:w w:val="99"/>
                      <w:sz w:val="20"/>
                    </w:rPr>
                    <w:t>s</w:t>
                  </w:r>
                  <w:r>
                    <w:rPr>
                      <w:w w:val="99"/>
                      <w:sz w:val="20"/>
                    </w:rPr>
                    <w:t>ta</w:t>
                  </w:r>
                </w:p>
              </w:txbxContent>
            </v:textbox>
            <w10:wrap type="none"/>
          </v:shape>
        </w:pict>
      </w:r>
      <w:r>
        <w:rPr/>
        <w:pict>
          <v:shape style="position:absolute;margin-left:412.325439pt;margin-top:19.471985pt;width:12pt;height:63.3pt;mso-position-horizontal-relative:page;mso-position-vertical-relative:paragraph;z-index:-395416" type="#_x0000_t202" filled="false" stroked="false">
            <v:textbox inset="0,0,0,0" style="layout-flow:vertical;mso-layout-flow-alt:bottom-to-top">
              <w:txbxContent>
                <w:p>
                  <w:pPr>
                    <w:spacing w:line="224" w:lineRule="exact" w:before="0"/>
                    <w:ind w:left="20" w:right="-588" w:firstLine="0"/>
                    <w:jc w:val="left"/>
                    <w:rPr>
                      <w:sz w:val="20"/>
                    </w:rPr>
                  </w:pPr>
                  <w:r>
                    <w:rPr>
                      <w:w w:val="99"/>
                      <w:sz w:val="20"/>
                    </w:rPr>
                    <w:t>Ve</w:t>
                  </w:r>
                  <w:r>
                    <w:rPr>
                      <w:spacing w:val="1"/>
                      <w:w w:val="99"/>
                      <w:sz w:val="20"/>
                    </w:rPr>
                    <w:t>nd</w:t>
                  </w:r>
                  <w:r>
                    <w:rPr>
                      <w:w w:val="99"/>
                      <w:sz w:val="20"/>
                    </w:rPr>
                    <w:t>e</w:t>
                  </w:r>
                  <w:r>
                    <w:rPr>
                      <w:spacing w:val="-1"/>
                      <w:w w:val="99"/>
                      <w:sz w:val="20"/>
                    </w:rPr>
                    <w:t>d</w:t>
                  </w:r>
                  <w:r>
                    <w:rPr>
                      <w:spacing w:val="1"/>
                      <w:w w:val="99"/>
                      <w:sz w:val="20"/>
                    </w:rPr>
                    <w:t>o</w:t>
                  </w:r>
                  <w:r>
                    <w:rPr>
                      <w:w w:val="99"/>
                      <w:sz w:val="20"/>
                    </w:rPr>
                    <w:t>r</w:t>
                  </w:r>
                  <w:r>
                    <w:rPr>
                      <w:spacing w:val="-2"/>
                      <w:sz w:val="20"/>
                    </w:rPr>
                    <w:t> </w:t>
                  </w:r>
                  <w:r>
                    <w:rPr>
                      <w:w w:val="99"/>
                      <w:sz w:val="20"/>
                    </w:rPr>
                    <w:t>e</w:t>
                  </w:r>
                  <w:r>
                    <w:rPr>
                      <w:spacing w:val="1"/>
                      <w:w w:val="99"/>
                      <w:sz w:val="20"/>
                    </w:rPr>
                    <w:t>n</w:t>
                  </w:r>
                  <w:r>
                    <w:rPr>
                      <w:w w:val="99"/>
                      <w:sz w:val="20"/>
                    </w:rPr>
                    <w:t>…</w:t>
                  </w:r>
                </w:p>
              </w:txbxContent>
            </v:textbox>
            <w10:wrap type="none"/>
          </v:shape>
        </w:pict>
      </w:r>
      <w:r>
        <w:rPr/>
        <w:pict>
          <v:shape style="position:absolute;margin-left:434.706146pt;margin-top:19.446833pt;width:12pt;height:65pt;mso-position-horizontal-relative:page;mso-position-vertical-relative:paragraph;z-index:-395392" type="#_x0000_t202" filled="false" stroked="false">
            <v:textbox inset="0,0,0,0" style="layout-flow:vertical;mso-layout-flow-alt:bottom-to-top">
              <w:txbxContent>
                <w:p>
                  <w:pPr>
                    <w:spacing w:line="224" w:lineRule="exact" w:before="0"/>
                    <w:ind w:left="20" w:right="-607" w:firstLine="0"/>
                    <w:jc w:val="left"/>
                    <w:rPr>
                      <w:sz w:val="20"/>
                    </w:rPr>
                  </w:pPr>
                  <w:r>
                    <w:rPr>
                      <w:w w:val="99"/>
                      <w:sz w:val="20"/>
                    </w:rPr>
                    <w:t>Em</w:t>
                  </w:r>
                  <w:r>
                    <w:rPr>
                      <w:spacing w:val="-2"/>
                      <w:w w:val="99"/>
                      <w:sz w:val="20"/>
                    </w:rPr>
                    <w:t>p</w:t>
                  </w:r>
                  <w:r>
                    <w:rPr>
                      <w:spacing w:val="1"/>
                      <w:w w:val="99"/>
                      <w:sz w:val="20"/>
                    </w:rPr>
                    <w:t>l</w:t>
                  </w:r>
                  <w:r>
                    <w:rPr>
                      <w:w w:val="99"/>
                      <w:sz w:val="20"/>
                    </w:rPr>
                    <w:t>ea</w:t>
                  </w:r>
                  <w:r>
                    <w:rPr>
                      <w:spacing w:val="-2"/>
                      <w:w w:val="99"/>
                      <w:sz w:val="20"/>
                    </w:rPr>
                    <w:t>d</w:t>
                  </w:r>
                  <w:r>
                    <w:rPr>
                      <w:w w:val="99"/>
                      <w:sz w:val="20"/>
                    </w:rPr>
                    <w:t>o</w:t>
                  </w:r>
                  <w:r>
                    <w:rPr>
                      <w:sz w:val="20"/>
                    </w:rPr>
                    <w:t> </w:t>
                  </w:r>
                  <w:r>
                    <w:rPr>
                      <w:spacing w:val="-1"/>
                      <w:w w:val="99"/>
                      <w:sz w:val="20"/>
                    </w:rPr>
                    <w:t>n</w:t>
                  </w:r>
                  <w:r>
                    <w:rPr>
                      <w:w w:val="99"/>
                      <w:sz w:val="20"/>
                    </w:rPr>
                    <w:t>o…</w:t>
                  </w:r>
                </w:p>
              </w:txbxContent>
            </v:textbox>
            <w10:wrap type="none"/>
          </v:shape>
        </w:pict>
      </w:r>
      <w:r>
        <w:rPr>
          <w:sz w:val="20"/>
        </w:rPr>
        <w:t>0%   0%</w:t>
      </w:r>
    </w:p>
    <w:p>
      <w:pPr>
        <w:pStyle w:val="BodyText"/>
        <w:rPr>
          <w:sz w:val="20"/>
        </w:rPr>
      </w:pPr>
      <w:r>
        <w:rPr/>
        <w:br w:type="column"/>
      </w:r>
      <w:r>
        <w:rPr>
          <w:sz w:val="20"/>
        </w:rPr>
      </w:r>
    </w:p>
    <w:p>
      <w:pPr>
        <w:spacing w:before="126"/>
        <w:ind w:left="88" w:right="0" w:firstLine="0"/>
        <w:jc w:val="left"/>
        <w:rPr>
          <w:sz w:val="20"/>
        </w:rPr>
      </w:pPr>
      <w:r>
        <w:rPr>
          <w:sz w:val="20"/>
        </w:rPr>
        <w:t>13%</w:t>
      </w:r>
    </w:p>
    <w:p>
      <w:pPr>
        <w:spacing w:after="0"/>
        <w:jc w:val="left"/>
        <w:rPr>
          <w:sz w:val="20"/>
        </w:rPr>
        <w:sectPr>
          <w:type w:val="continuous"/>
          <w:pgSz w:w="12240" w:h="15840"/>
          <w:pgMar w:top="1340" w:bottom="280" w:left="1600" w:right="260"/>
          <w:cols w:num="7" w:equalWidth="0">
            <w:col w:w="1968" w:space="40"/>
            <w:col w:w="1751" w:space="40"/>
            <w:col w:w="1751" w:space="40"/>
            <w:col w:w="459" w:space="40"/>
            <w:col w:w="408" w:space="40"/>
            <w:col w:w="806" w:space="40"/>
            <w:col w:w="2997"/>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spacing w:line="242" w:lineRule="auto" w:before="73"/>
        <w:ind w:left="2841" w:right="1698" w:hanging="2471"/>
        <w:jc w:val="left"/>
        <w:rPr>
          <w:sz w:val="20"/>
        </w:rPr>
      </w:pPr>
      <w:r>
        <w:rPr/>
        <w:pict>
          <v:group style="position:absolute;margin-left:137.744995pt;margin-top:-136.584061pt;width:336.55pt;height:51.15pt;mso-position-horizontal-relative:page;mso-position-vertical-relative:paragraph;z-index:-395728" coordorigin="2755,-2732" coordsize="6731,1023">
            <v:shape style="position:absolute;left:2897;top:-2338;width:1522;height:622" coordorigin="2897,-2338" coordsize="1522,622" path="m3074,-1887l2897,-1887,2897,-1716,3074,-1716,3074,-1887m3523,-1942l3343,-1942,3343,-1716,3523,-1716,3523,-1942m3970,-2338l3792,-2338,3792,-1716,3970,-1716,3970,-2338m4418,-2280l4238,-2280,4238,-1716,4418,-1716,4418,-2280e" filled="true" fillcolor="#006fc0" stroked="false">
              <v:path arrowok="t"/>
              <v:fill type="solid"/>
            </v:shape>
            <v:line style="position:absolute" from="4687,-1745" to="4865,-1745" stroked="true" strokeweight="2.88pt" strokecolor="#006fc0"/>
            <v:shape style="position:absolute;left:5134;top:-2732;width:4210;height:1016" coordorigin="5134,-2732" coordsize="4210,1016" path="m5314,-2000l5134,-2000,5134,-1716,5314,-1716,5314,-2000m5760,-2225l5582,-2225,5582,-1716,5760,-1716,5760,-2225m6209,-2055l6029,-2055,6029,-1716,6209,-1716,6209,-2055m6655,-1829l6478,-1829,6478,-1716,6655,-1716,6655,-1829m7104,-1887l6924,-1887,6924,-1716,7104,-1716,7104,-1887m7553,-2732l7373,-2732,7373,-1716,7553,-1716,7553,-2732m7999,-2393l7819,-2393,7819,-1716,7999,-1716,7999,-2393m9343,-2451l9163,-2451,9163,-1716,9343,-1716,9343,-2451e" filled="true" fillcolor="#006fc0" stroked="false">
              <v:path arrowok="t"/>
              <v:fill type="solid"/>
            </v:shape>
            <v:line style="position:absolute" from="2762,-1716" to="9478,-1716" stroked="true" strokeweight=".72pt" strokecolor="#858585"/>
            <w10:wrap type="none"/>
          </v:group>
        </w:pict>
      </w:r>
      <w:r>
        <w:rPr>
          <w:sz w:val="20"/>
        </w:rPr>
        <w:t>Fuente: elaboración propia con base en el “Cuestionario transición egresados universitarios-mercado de trabajo, Facultad de Economía UAEMéx”</w:t>
      </w:r>
    </w:p>
    <w:p>
      <w:pPr>
        <w:pStyle w:val="BodyText"/>
        <w:rPr>
          <w:sz w:val="20"/>
        </w:rPr>
      </w:pPr>
    </w:p>
    <w:p>
      <w:pPr>
        <w:pStyle w:val="BodyText"/>
        <w:rPr>
          <w:sz w:val="20"/>
        </w:rPr>
      </w:pPr>
    </w:p>
    <w:p>
      <w:pPr>
        <w:pStyle w:val="BodyText"/>
        <w:rPr>
          <w:sz w:val="20"/>
        </w:rPr>
      </w:pPr>
    </w:p>
    <w:p>
      <w:pPr>
        <w:pStyle w:val="BodyText"/>
        <w:spacing w:line="360" w:lineRule="auto" w:before="120"/>
        <w:ind w:left="102" w:right="1438"/>
        <w:jc w:val="both"/>
      </w:pPr>
      <w:r>
        <w:rPr/>
        <w:t>Con un promedio del número de empleos en los que labora actualmente de uno, 65% refirió que ha tenido un empleo, 16% dos empleos, 11% sin empleo y 7% está contratado en 3 o más empleos. El rango promedio en comparación con los indicadores salariales de 2013 para el Estado de México (Observatorio laboral, 2012) siendo de $11,071 (ingeniería mecánica y metalurgia) el más alto y $6,190 (estomatología y odontología) el más bajo, se encuentran en la media del rango salarial de la entidad.</w:t>
      </w:r>
    </w:p>
    <w:p>
      <w:pPr>
        <w:pStyle w:val="BodyText"/>
      </w:pPr>
    </w:p>
    <w:p>
      <w:pPr>
        <w:pStyle w:val="BodyText"/>
      </w:pPr>
    </w:p>
    <w:p>
      <w:pPr>
        <w:pStyle w:val="BodyText"/>
        <w:spacing w:before="1"/>
        <w:rPr>
          <w:sz w:val="23"/>
        </w:rPr>
      </w:pPr>
    </w:p>
    <w:p>
      <w:pPr>
        <w:pStyle w:val="BodyText"/>
        <w:spacing w:line="360" w:lineRule="auto"/>
        <w:ind w:left="102" w:right="1436"/>
        <w:jc w:val="both"/>
      </w:pPr>
      <w:r>
        <w:rPr/>
        <w:t>Es decir, si se grafica el promedio salarial por profesión de toda la entidad, los licenciados en economía se situarán en el centro, con el 49% de los encuestados en más de $12,000.00 mensuales, y sólo un 7% en un rango de $1.00 a $3,000.00 (gráfica 6.17.), lo cual nos hace inferir que se encuentran en una situación de empleo privilegiada y es una de las carreras en la entidad que no ha sufrido tanto la precarización de las condiciones de empleo. Con un nivel de satisfacción para el 34% como: “satisfecho”, 27% “muy satisfecho”, 25% “medianamente”, 9% “nada satisfecho” y 5% “poco satisfecho”.</w:t>
      </w:r>
    </w:p>
    <w:p>
      <w:pPr>
        <w:spacing w:after="0" w:line="360" w:lineRule="auto"/>
        <w:jc w:val="both"/>
        <w:sectPr>
          <w:type w:val="continuous"/>
          <w:pgSz w:w="12240" w:h="15840"/>
          <w:pgMar w:top="1340" w:bottom="280" w:left="1600" w:right="260"/>
        </w:sectPr>
      </w:pPr>
    </w:p>
    <w:p>
      <w:pPr>
        <w:pStyle w:val="Heading3"/>
        <w:spacing w:before="53"/>
        <w:ind w:left="1786"/>
        <w:jc w:val="left"/>
      </w:pPr>
      <w:r>
        <w:rPr/>
        <w:t>Gráfica 6.17. Salario mensual obtenido empleo actual</w:t>
      </w:r>
    </w:p>
    <w:p>
      <w:pPr>
        <w:pStyle w:val="BodyText"/>
        <w:spacing w:before="1"/>
        <w:rPr>
          <w:b/>
          <w:sz w:val="21"/>
        </w:rPr>
      </w:pPr>
    </w:p>
    <w:p>
      <w:pPr>
        <w:spacing w:before="59"/>
        <w:ind w:left="102" w:right="1047" w:firstLine="0"/>
        <w:jc w:val="right"/>
        <w:rPr>
          <w:rFonts w:ascii="Calibri"/>
          <w:sz w:val="20"/>
        </w:rPr>
      </w:pPr>
      <w:r>
        <w:rPr/>
        <w:pict>
          <v:group style="position:absolute;margin-left:98.504997pt;margin-top:19.571487pt;width:415.15pt;height:97.5pt;mso-position-horizontal-relative:page;mso-position-vertical-relative:paragraph;z-index:7408;mso-wrap-distance-left:0;mso-wrap-distance-right:0" coordorigin="1970,391" coordsize="8303,1950">
            <v:rect style="position:absolute;left:2474;top:2050;width:662;height:283" filled="true" fillcolor="#006fc0" stroked="false">
              <v:fill type="solid"/>
            </v:rect>
            <v:rect style="position:absolute;left:4130;top:1807;width:665;height:526" filled="true" fillcolor="#006fc0" stroked="false">
              <v:fill type="solid"/>
            </v:rect>
            <v:rect style="position:absolute;left:5789;top:1606;width:662;height:727" filled="true" fillcolor="#006fc0" stroked="false">
              <v:fill type="solid"/>
            </v:rect>
            <v:rect style="position:absolute;left:7447;top:1889;width:662;height:444" filled="true" fillcolor="#006fc0" stroked="false">
              <v:fill type="solid"/>
            </v:rect>
            <v:rect style="position:absolute;left:9103;top:391;width:662;height:1942" filled="true" fillcolor="#006fc0" stroked="false">
              <v:fill type="solid"/>
            </v:rect>
            <v:line style="position:absolute" from="1978,2333" to="10265,2333" stroked="true" strokeweight=".72pt" strokecolor="#858585"/>
            <v:shape style="position:absolute;left:5950;top:131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19%</w:t>
                    </w:r>
                  </w:p>
                </w:txbxContent>
              </v:textbox>
              <w10:wrap type="none"/>
            </v:shape>
            <v:shape style="position:absolute;left:4292;top:151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7607;top:159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2685;top:1758;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w:t>
                    </w:r>
                  </w:p>
                </w:txbxContent>
              </v:textbox>
              <w10:wrap type="none"/>
            </v:shape>
            <w10:wrap type="topAndBottom"/>
          </v:group>
        </w:pict>
      </w:r>
      <w:r>
        <w:rPr>
          <w:rFonts w:ascii="Calibri"/>
          <w:w w:val="95"/>
          <w:sz w:val="20"/>
        </w:rPr>
        <w:t>49%</w:t>
      </w:r>
    </w:p>
    <w:p>
      <w:pPr>
        <w:pStyle w:val="BodyText"/>
        <w:spacing w:before="8"/>
        <w:rPr>
          <w:rFonts w:ascii="Calibri"/>
          <w:sz w:val="5"/>
        </w:rPr>
      </w:pPr>
    </w:p>
    <w:p>
      <w:pPr>
        <w:spacing w:after="0"/>
        <w:rPr>
          <w:rFonts w:ascii="Calibri"/>
          <w:sz w:val="5"/>
        </w:rPr>
        <w:sectPr>
          <w:pgSz w:w="12240" w:h="15840"/>
          <w:pgMar w:header="0" w:footer="1003" w:top="1360" w:bottom="1200" w:left="1600" w:right="1580"/>
        </w:sectPr>
      </w:pPr>
    </w:p>
    <w:p>
      <w:pPr>
        <w:spacing w:before="22"/>
        <w:ind w:left="602" w:right="-15" w:firstLine="0"/>
        <w:jc w:val="left"/>
        <w:rPr>
          <w:rFonts w:ascii="Calibri" w:hAnsi="Calibri"/>
          <w:sz w:val="20"/>
        </w:rPr>
      </w:pPr>
      <w:r>
        <w:rPr>
          <w:rFonts w:ascii="Calibri" w:hAnsi="Calibri"/>
          <w:sz w:val="20"/>
        </w:rPr>
        <w:t>1 – 3000</w:t>
      </w:r>
      <w:r>
        <w:rPr>
          <w:rFonts w:ascii="Calibri" w:hAnsi="Calibri"/>
          <w:spacing w:val="-7"/>
          <w:sz w:val="20"/>
        </w:rPr>
        <w:t> </w:t>
      </w:r>
      <w:r>
        <w:rPr>
          <w:rFonts w:ascii="Calibri" w:hAnsi="Calibri"/>
          <w:sz w:val="20"/>
        </w:rPr>
        <w:t>pesos</w:t>
      </w:r>
    </w:p>
    <w:p>
      <w:pPr>
        <w:spacing w:before="22"/>
        <w:ind w:left="258" w:right="-12" w:firstLine="0"/>
        <w:jc w:val="left"/>
        <w:rPr>
          <w:rFonts w:ascii="Calibri" w:hAnsi="Calibri"/>
          <w:sz w:val="20"/>
        </w:rPr>
      </w:pPr>
      <w:r>
        <w:rPr/>
        <w:br w:type="column"/>
      </w:r>
      <w:r>
        <w:rPr>
          <w:rFonts w:ascii="Calibri" w:hAnsi="Calibri"/>
          <w:sz w:val="20"/>
        </w:rPr>
        <w:t>3001 – 6000</w:t>
      </w:r>
      <w:r>
        <w:rPr>
          <w:rFonts w:ascii="Calibri" w:hAnsi="Calibri"/>
          <w:spacing w:val="-9"/>
          <w:sz w:val="20"/>
        </w:rPr>
        <w:t> </w:t>
      </w:r>
      <w:r>
        <w:rPr>
          <w:rFonts w:ascii="Calibri" w:hAnsi="Calibri"/>
          <w:sz w:val="20"/>
        </w:rPr>
        <w:t>pesos</w:t>
      </w:r>
    </w:p>
    <w:p>
      <w:pPr>
        <w:spacing w:before="22"/>
        <w:ind w:left="107" w:right="-8" w:firstLine="0"/>
        <w:jc w:val="left"/>
        <w:rPr>
          <w:rFonts w:ascii="Calibri" w:hAnsi="Calibri"/>
          <w:sz w:val="20"/>
        </w:rPr>
      </w:pPr>
      <w:r>
        <w:rPr/>
        <w:br w:type="column"/>
      </w:r>
      <w:r>
        <w:rPr>
          <w:rFonts w:ascii="Calibri" w:hAnsi="Calibri"/>
          <w:sz w:val="20"/>
        </w:rPr>
        <w:t>6001 – 9000 pesos  9001 -  12000</w:t>
      </w:r>
      <w:r>
        <w:rPr>
          <w:rFonts w:ascii="Calibri" w:hAnsi="Calibri"/>
          <w:spacing w:val="-13"/>
          <w:sz w:val="20"/>
        </w:rPr>
        <w:t> </w:t>
      </w:r>
      <w:r>
        <w:rPr>
          <w:rFonts w:ascii="Calibri" w:hAnsi="Calibri"/>
          <w:sz w:val="20"/>
        </w:rPr>
        <w:t>pesos</w:t>
      </w:r>
    </w:p>
    <w:p>
      <w:pPr>
        <w:spacing w:before="22"/>
        <w:ind w:left="212" w:right="0" w:firstLine="0"/>
        <w:jc w:val="left"/>
        <w:rPr>
          <w:rFonts w:ascii="Calibri" w:hAnsi="Calibri"/>
          <w:sz w:val="20"/>
        </w:rPr>
      </w:pPr>
      <w:r>
        <w:rPr/>
        <w:br w:type="column"/>
      </w:r>
      <w:r>
        <w:rPr>
          <w:rFonts w:ascii="Calibri" w:hAnsi="Calibri"/>
          <w:sz w:val="20"/>
        </w:rPr>
        <w:t>Más de 12000</w:t>
      </w:r>
    </w:p>
    <w:p>
      <w:pPr>
        <w:spacing w:after="0"/>
        <w:jc w:val="left"/>
        <w:rPr>
          <w:rFonts w:ascii="Calibri" w:hAnsi="Calibri"/>
          <w:sz w:val="20"/>
        </w:rPr>
        <w:sectPr>
          <w:type w:val="continuous"/>
          <w:pgSz w:w="12240" w:h="15840"/>
          <w:pgMar w:top="1340" w:bottom="280" w:left="1600" w:right="1580"/>
          <w:cols w:num="4" w:equalWidth="0">
            <w:col w:w="1809" w:space="40"/>
            <w:col w:w="1770" w:space="40"/>
            <w:col w:w="3331" w:space="40"/>
            <w:col w:w="2030"/>
          </w:cols>
        </w:sectPr>
      </w:pPr>
    </w:p>
    <w:p>
      <w:pPr>
        <w:spacing w:before="0"/>
        <w:ind w:left="773" w:right="-16" w:firstLine="0"/>
        <w:jc w:val="left"/>
        <w:rPr>
          <w:rFonts w:ascii="Calibri"/>
          <w:sz w:val="20"/>
        </w:rPr>
      </w:pPr>
      <w:r>
        <w:rPr>
          <w:rFonts w:ascii="Calibri"/>
          <w:spacing w:val="-1"/>
          <w:sz w:val="20"/>
        </w:rPr>
        <w:t>mensuales</w:t>
      </w:r>
    </w:p>
    <w:p>
      <w:pPr>
        <w:spacing w:before="0"/>
        <w:ind w:left="755" w:right="-16" w:firstLine="0"/>
        <w:jc w:val="left"/>
        <w:rPr>
          <w:rFonts w:ascii="Calibri"/>
          <w:sz w:val="20"/>
        </w:rPr>
      </w:pPr>
      <w:r>
        <w:rPr/>
        <w:br w:type="column"/>
      </w:r>
      <w:r>
        <w:rPr>
          <w:rFonts w:ascii="Calibri"/>
          <w:spacing w:val="-1"/>
          <w:sz w:val="20"/>
        </w:rPr>
        <w:t>mensuales</w:t>
      </w:r>
    </w:p>
    <w:p>
      <w:pPr>
        <w:spacing w:before="0"/>
        <w:ind w:left="754" w:right="-15" w:firstLine="0"/>
        <w:jc w:val="left"/>
        <w:rPr>
          <w:rFonts w:ascii="Calibri"/>
          <w:sz w:val="20"/>
        </w:rPr>
      </w:pPr>
      <w:r>
        <w:rPr/>
        <w:br w:type="column"/>
      </w:r>
      <w:r>
        <w:rPr>
          <w:rFonts w:ascii="Calibri"/>
          <w:spacing w:val="-1"/>
          <w:sz w:val="20"/>
        </w:rPr>
        <w:t>mensuales</w:t>
      </w:r>
    </w:p>
    <w:p>
      <w:pPr>
        <w:spacing w:before="0"/>
        <w:ind w:left="754" w:right="0" w:firstLine="0"/>
        <w:jc w:val="left"/>
        <w:rPr>
          <w:rFonts w:ascii="Calibri"/>
          <w:sz w:val="20"/>
        </w:rPr>
      </w:pPr>
      <w:r>
        <w:rPr/>
        <w:br w:type="column"/>
      </w:r>
      <w:r>
        <w:rPr>
          <w:rFonts w:ascii="Calibri"/>
          <w:w w:val="95"/>
          <w:sz w:val="20"/>
        </w:rPr>
        <w:t>mensuales</w:t>
      </w:r>
    </w:p>
    <w:p>
      <w:pPr>
        <w:spacing w:before="0"/>
        <w:ind w:left="495" w:right="0" w:firstLine="0"/>
        <w:jc w:val="left"/>
        <w:rPr>
          <w:rFonts w:ascii="Calibri"/>
          <w:sz w:val="20"/>
        </w:rPr>
      </w:pPr>
      <w:r>
        <w:rPr/>
        <w:br w:type="column"/>
      </w:r>
      <w:r>
        <w:rPr>
          <w:rFonts w:ascii="Calibri"/>
          <w:sz w:val="20"/>
        </w:rPr>
        <w:t>pesos mensuales</w:t>
      </w:r>
    </w:p>
    <w:p>
      <w:pPr>
        <w:spacing w:after="0"/>
        <w:jc w:val="left"/>
        <w:rPr>
          <w:rFonts w:ascii="Calibri"/>
          <w:sz w:val="20"/>
        </w:rPr>
        <w:sectPr>
          <w:type w:val="continuous"/>
          <w:pgSz w:w="12240" w:h="15840"/>
          <w:pgMar w:top="1340" w:bottom="280" w:left="1600" w:right="1580"/>
          <w:cols w:num="5" w:equalWidth="0">
            <w:col w:w="1636" w:space="40"/>
            <w:col w:w="1618" w:space="40"/>
            <w:col w:w="1618" w:space="40"/>
            <w:col w:w="1621" w:space="40"/>
            <w:col w:w="2407"/>
          </w:cols>
        </w:sectPr>
      </w:pPr>
    </w:p>
    <w:p>
      <w:pPr>
        <w:spacing w:before="124"/>
        <w:ind w:left="2841" w:right="378" w:hanging="2471"/>
        <w:jc w:val="left"/>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rPr>
          <w:sz w:val="20"/>
        </w:rPr>
      </w:pPr>
    </w:p>
    <w:p>
      <w:pPr>
        <w:pStyle w:val="BodyText"/>
        <w:rPr>
          <w:sz w:val="20"/>
        </w:rPr>
      </w:pPr>
    </w:p>
    <w:p>
      <w:pPr>
        <w:pStyle w:val="BodyText"/>
        <w:spacing w:before="5"/>
        <w:rPr>
          <w:sz w:val="29"/>
        </w:rPr>
      </w:pPr>
    </w:p>
    <w:p>
      <w:pPr>
        <w:pStyle w:val="BodyText"/>
        <w:spacing w:line="360" w:lineRule="auto"/>
        <w:ind w:left="102" w:right="118"/>
        <w:jc w:val="both"/>
      </w:pPr>
      <w:r>
        <w:rPr/>
        <w:t>Para confirmar y corroborar el nivel de satisfacción que tienen respecto a su empleo actual se cuestionó: “en caso de que buscara otro empleo, indique el motivo: …”, las respuestas obtenidas indican que el 23% lo haría por la necesidad de seguir formándose, el 18% por insatisfacción con el salario, 15% por sentir que hay pocas perspectivas de crecimiento profesional, 13% como complemento al actual, 11% por insatisfacción con las funciones de su puesto, 9% por falta de motivación, 5% por insatisfacción con el trato que recibe, 4%  por otro motivo, y 2% por sentir que puede perder el trabajo actual. Además el 91% consideró que los licenciados en economía deben tener habilidades especiales como: perseverancia, capacidad autodidacta, confianza en sí mismo, formación continua, formación académica, trabajo en equipo y capacidades de comunicación y adaptación fueron las que más alto porcentaje obtuvieron, casi unánimemente (ver tabla</w:t>
      </w:r>
      <w:r>
        <w:rPr>
          <w:spacing w:val="-8"/>
        </w:rPr>
        <w:t> </w:t>
      </w:r>
      <w:r>
        <w:rPr/>
        <w:t>6.4.)</w:t>
      </w:r>
    </w:p>
    <w:p>
      <w:pPr>
        <w:spacing w:after="0" w:line="360" w:lineRule="auto"/>
        <w:jc w:val="both"/>
        <w:sectPr>
          <w:type w:val="continuous"/>
          <w:pgSz w:w="12240" w:h="15840"/>
          <w:pgMar w:top="1340" w:bottom="280" w:left="1600" w:right="1580"/>
        </w:sectPr>
      </w:pPr>
    </w:p>
    <w:p>
      <w:pPr>
        <w:pStyle w:val="Heading3"/>
        <w:spacing w:line="360" w:lineRule="auto" w:after="5"/>
        <w:ind w:left="3917" w:right="192" w:hanging="3656"/>
        <w:jc w:val="left"/>
      </w:pPr>
      <w:r>
        <w:rPr/>
        <w:t>Tabla 6.5. Habilidades esenciales para que un licenciado en economía tenga éxito en su profesión</w:t>
      </w:r>
    </w:p>
    <w:tbl>
      <w:tblPr>
        <w:tblW w:w="0" w:type="auto"/>
        <w:jc w:val="left"/>
        <w:tblInd w:w="2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88"/>
        <w:gridCol w:w="977"/>
        <w:gridCol w:w="977"/>
      </w:tblGrid>
      <w:tr>
        <w:trPr>
          <w:trHeight w:val="266" w:hRule="exact"/>
        </w:trPr>
        <w:tc>
          <w:tcPr>
            <w:tcW w:w="2888" w:type="dxa"/>
          </w:tcPr>
          <w:p>
            <w:pPr/>
          </w:p>
        </w:tc>
        <w:tc>
          <w:tcPr>
            <w:tcW w:w="977" w:type="dxa"/>
          </w:tcPr>
          <w:p>
            <w:pPr>
              <w:pStyle w:val="TableParagraph"/>
              <w:ind w:left="313" w:right="313"/>
              <w:jc w:val="center"/>
              <w:rPr>
                <w:b/>
                <w:sz w:val="20"/>
              </w:rPr>
            </w:pPr>
            <w:r>
              <w:rPr>
                <w:b/>
                <w:sz w:val="20"/>
              </w:rPr>
              <w:t>SI</w:t>
            </w:r>
          </w:p>
        </w:tc>
        <w:tc>
          <w:tcPr>
            <w:tcW w:w="977" w:type="dxa"/>
          </w:tcPr>
          <w:p>
            <w:pPr>
              <w:pStyle w:val="TableParagraph"/>
              <w:ind w:left="313" w:right="313"/>
              <w:jc w:val="center"/>
              <w:rPr>
                <w:b/>
                <w:sz w:val="20"/>
              </w:rPr>
            </w:pPr>
            <w:r>
              <w:rPr>
                <w:b/>
                <w:sz w:val="20"/>
              </w:rPr>
              <w:t>NO</w:t>
            </w:r>
          </w:p>
        </w:tc>
      </w:tr>
      <w:tr>
        <w:trPr>
          <w:trHeight w:val="264" w:hRule="exact"/>
        </w:trPr>
        <w:tc>
          <w:tcPr>
            <w:tcW w:w="2888" w:type="dxa"/>
          </w:tcPr>
          <w:p>
            <w:pPr>
              <w:pStyle w:val="TableParagraph"/>
              <w:spacing w:line="223" w:lineRule="exact"/>
              <w:ind w:left="103"/>
              <w:rPr>
                <w:sz w:val="20"/>
              </w:rPr>
            </w:pPr>
            <w:r>
              <w:rPr>
                <w:sz w:val="20"/>
              </w:rPr>
              <w:t>Perseverancia</w:t>
            </w:r>
          </w:p>
        </w:tc>
        <w:tc>
          <w:tcPr>
            <w:tcW w:w="977" w:type="dxa"/>
          </w:tcPr>
          <w:p>
            <w:pPr>
              <w:pStyle w:val="TableParagraph"/>
              <w:spacing w:line="223" w:lineRule="exact"/>
              <w:ind w:right="99"/>
              <w:jc w:val="right"/>
              <w:rPr>
                <w:sz w:val="20"/>
              </w:rPr>
            </w:pPr>
            <w:r>
              <w:rPr>
                <w:sz w:val="20"/>
              </w:rPr>
              <w:t>94%</w:t>
            </w:r>
          </w:p>
        </w:tc>
        <w:tc>
          <w:tcPr>
            <w:tcW w:w="977" w:type="dxa"/>
          </w:tcPr>
          <w:p>
            <w:pPr>
              <w:pStyle w:val="TableParagraph"/>
              <w:spacing w:line="223" w:lineRule="exact"/>
              <w:ind w:right="99"/>
              <w:jc w:val="right"/>
              <w:rPr>
                <w:sz w:val="20"/>
              </w:rPr>
            </w:pPr>
            <w:r>
              <w:rPr>
                <w:sz w:val="20"/>
              </w:rPr>
              <w:t>6%</w:t>
            </w:r>
          </w:p>
        </w:tc>
      </w:tr>
      <w:tr>
        <w:trPr>
          <w:trHeight w:val="266" w:hRule="exact"/>
        </w:trPr>
        <w:tc>
          <w:tcPr>
            <w:tcW w:w="2888" w:type="dxa"/>
          </w:tcPr>
          <w:p>
            <w:pPr>
              <w:pStyle w:val="TableParagraph"/>
              <w:spacing w:line="223" w:lineRule="exact"/>
              <w:ind w:left="103"/>
              <w:rPr>
                <w:sz w:val="20"/>
              </w:rPr>
            </w:pPr>
            <w:r>
              <w:rPr>
                <w:sz w:val="20"/>
              </w:rPr>
              <w:t>Ambición</w:t>
            </w:r>
          </w:p>
        </w:tc>
        <w:tc>
          <w:tcPr>
            <w:tcW w:w="977" w:type="dxa"/>
          </w:tcPr>
          <w:p>
            <w:pPr>
              <w:pStyle w:val="TableParagraph"/>
              <w:spacing w:line="223" w:lineRule="exact"/>
              <w:ind w:right="99"/>
              <w:jc w:val="right"/>
              <w:rPr>
                <w:sz w:val="20"/>
              </w:rPr>
            </w:pPr>
            <w:r>
              <w:rPr>
                <w:sz w:val="20"/>
              </w:rPr>
              <w:t>80%</w:t>
            </w:r>
          </w:p>
        </w:tc>
        <w:tc>
          <w:tcPr>
            <w:tcW w:w="977" w:type="dxa"/>
          </w:tcPr>
          <w:p>
            <w:pPr>
              <w:pStyle w:val="TableParagraph"/>
              <w:spacing w:line="223" w:lineRule="exact"/>
              <w:ind w:right="99"/>
              <w:jc w:val="right"/>
              <w:rPr>
                <w:sz w:val="20"/>
              </w:rPr>
            </w:pPr>
            <w:r>
              <w:rPr>
                <w:sz w:val="20"/>
              </w:rPr>
              <w:t>20%</w:t>
            </w:r>
          </w:p>
        </w:tc>
      </w:tr>
      <w:tr>
        <w:trPr>
          <w:trHeight w:val="264" w:hRule="exact"/>
        </w:trPr>
        <w:tc>
          <w:tcPr>
            <w:tcW w:w="2888" w:type="dxa"/>
          </w:tcPr>
          <w:p>
            <w:pPr>
              <w:pStyle w:val="TableParagraph"/>
              <w:spacing w:line="223" w:lineRule="exact"/>
              <w:ind w:left="103"/>
              <w:rPr>
                <w:sz w:val="20"/>
              </w:rPr>
            </w:pPr>
            <w:r>
              <w:rPr>
                <w:sz w:val="20"/>
              </w:rPr>
              <w:t>Marcado carácter vocacional</w:t>
            </w:r>
          </w:p>
        </w:tc>
        <w:tc>
          <w:tcPr>
            <w:tcW w:w="977" w:type="dxa"/>
          </w:tcPr>
          <w:p>
            <w:pPr>
              <w:pStyle w:val="TableParagraph"/>
              <w:spacing w:line="223" w:lineRule="exact"/>
              <w:ind w:right="99"/>
              <w:jc w:val="right"/>
              <w:rPr>
                <w:sz w:val="20"/>
              </w:rPr>
            </w:pPr>
            <w:r>
              <w:rPr>
                <w:sz w:val="20"/>
              </w:rPr>
              <w:t>74%</w:t>
            </w:r>
          </w:p>
        </w:tc>
        <w:tc>
          <w:tcPr>
            <w:tcW w:w="977" w:type="dxa"/>
          </w:tcPr>
          <w:p>
            <w:pPr>
              <w:pStyle w:val="TableParagraph"/>
              <w:spacing w:line="223" w:lineRule="exact"/>
              <w:ind w:right="99"/>
              <w:jc w:val="right"/>
              <w:rPr>
                <w:sz w:val="20"/>
              </w:rPr>
            </w:pPr>
            <w:r>
              <w:rPr>
                <w:sz w:val="20"/>
              </w:rPr>
              <w:t>26%</w:t>
            </w:r>
          </w:p>
        </w:tc>
      </w:tr>
      <w:tr>
        <w:trPr>
          <w:trHeight w:val="264" w:hRule="exact"/>
        </w:trPr>
        <w:tc>
          <w:tcPr>
            <w:tcW w:w="2888" w:type="dxa"/>
          </w:tcPr>
          <w:p>
            <w:pPr>
              <w:pStyle w:val="TableParagraph"/>
              <w:spacing w:line="223" w:lineRule="exact"/>
              <w:ind w:left="103"/>
              <w:rPr>
                <w:sz w:val="20"/>
              </w:rPr>
            </w:pPr>
            <w:r>
              <w:rPr>
                <w:sz w:val="20"/>
              </w:rPr>
              <w:t>Confianza en sí mismo</w:t>
            </w:r>
          </w:p>
        </w:tc>
        <w:tc>
          <w:tcPr>
            <w:tcW w:w="977" w:type="dxa"/>
          </w:tcPr>
          <w:p>
            <w:pPr>
              <w:pStyle w:val="TableParagraph"/>
              <w:spacing w:line="223" w:lineRule="exact"/>
              <w:ind w:right="99"/>
              <w:jc w:val="right"/>
              <w:rPr>
                <w:sz w:val="20"/>
              </w:rPr>
            </w:pPr>
            <w:r>
              <w:rPr>
                <w:sz w:val="20"/>
              </w:rPr>
              <w:t>96%</w:t>
            </w:r>
          </w:p>
        </w:tc>
        <w:tc>
          <w:tcPr>
            <w:tcW w:w="977" w:type="dxa"/>
          </w:tcPr>
          <w:p>
            <w:pPr>
              <w:pStyle w:val="TableParagraph"/>
              <w:spacing w:line="223" w:lineRule="exact"/>
              <w:ind w:right="99"/>
              <w:jc w:val="right"/>
              <w:rPr>
                <w:sz w:val="20"/>
              </w:rPr>
            </w:pPr>
            <w:r>
              <w:rPr>
                <w:sz w:val="20"/>
              </w:rPr>
              <w:t>4%</w:t>
            </w:r>
          </w:p>
        </w:tc>
      </w:tr>
      <w:tr>
        <w:trPr>
          <w:trHeight w:val="266" w:hRule="exact"/>
        </w:trPr>
        <w:tc>
          <w:tcPr>
            <w:tcW w:w="2888" w:type="dxa"/>
          </w:tcPr>
          <w:p>
            <w:pPr>
              <w:pStyle w:val="TableParagraph"/>
              <w:spacing w:line="226" w:lineRule="exact"/>
              <w:ind w:left="103"/>
              <w:rPr>
                <w:sz w:val="20"/>
              </w:rPr>
            </w:pPr>
            <w:r>
              <w:rPr>
                <w:sz w:val="20"/>
              </w:rPr>
              <w:t>Capacidad autodidacta</w:t>
            </w:r>
          </w:p>
        </w:tc>
        <w:tc>
          <w:tcPr>
            <w:tcW w:w="977" w:type="dxa"/>
          </w:tcPr>
          <w:p>
            <w:pPr>
              <w:pStyle w:val="TableParagraph"/>
              <w:spacing w:line="226" w:lineRule="exact"/>
              <w:ind w:right="99"/>
              <w:jc w:val="right"/>
              <w:rPr>
                <w:sz w:val="20"/>
              </w:rPr>
            </w:pPr>
            <w:r>
              <w:rPr>
                <w:sz w:val="20"/>
              </w:rPr>
              <w:t>96%</w:t>
            </w:r>
          </w:p>
        </w:tc>
        <w:tc>
          <w:tcPr>
            <w:tcW w:w="977" w:type="dxa"/>
          </w:tcPr>
          <w:p>
            <w:pPr>
              <w:pStyle w:val="TableParagraph"/>
              <w:spacing w:line="226" w:lineRule="exact"/>
              <w:ind w:right="99"/>
              <w:jc w:val="right"/>
              <w:rPr>
                <w:sz w:val="20"/>
              </w:rPr>
            </w:pPr>
            <w:r>
              <w:rPr>
                <w:sz w:val="20"/>
              </w:rPr>
              <w:t>4%</w:t>
            </w:r>
          </w:p>
        </w:tc>
      </w:tr>
      <w:tr>
        <w:trPr>
          <w:trHeight w:val="264" w:hRule="exact"/>
        </w:trPr>
        <w:tc>
          <w:tcPr>
            <w:tcW w:w="2888" w:type="dxa"/>
          </w:tcPr>
          <w:p>
            <w:pPr>
              <w:pStyle w:val="TableParagraph"/>
              <w:spacing w:line="223" w:lineRule="exact"/>
              <w:ind w:left="103"/>
              <w:rPr>
                <w:sz w:val="20"/>
              </w:rPr>
            </w:pPr>
            <w:r>
              <w:rPr>
                <w:sz w:val="20"/>
              </w:rPr>
              <w:t>Formación académica</w:t>
            </w:r>
          </w:p>
        </w:tc>
        <w:tc>
          <w:tcPr>
            <w:tcW w:w="977" w:type="dxa"/>
          </w:tcPr>
          <w:p>
            <w:pPr>
              <w:pStyle w:val="TableParagraph"/>
              <w:spacing w:line="223" w:lineRule="exact"/>
              <w:ind w:right="99"/>
              <w:jc w:val="right"/>
              <w:rPr>
                <w:sz w:val="20"/>
              </w:rPr>
            </w:pPr>
            <w:r>
              <w:rPr>
                <w:sz w:val="20"/>
              </w:rPr>
              <w:t>97%</w:t>
            </w:r>
          </w:p>
        </w:tc>
        <w:tc>
          <w:tcPr>
            <w:tcW w:w="977" w:type="dxa"/>
          </w:tcPr>
          <w:p>
            <w:pPr>
              <w:pStyle w:val="TableParagraph"/>
              <w:spacing w:line="223" w:lineRule="exact"/>
              <w:ind w:right="99"/>
              <w:jc w:val="right"/>
              <w:rPr>
                <w:sz w:val="20"/>
              </w:rPr>
            </w:pPr>
            <w:r>
              <w:rPr>
                <w:sz w:val="20"/>
              </w:rPr>
              <w:t>3%</w:t>
            </w:r>
          </w:p>
        </w:tc>
      </w:tr>
      <w:tr>
        <w:trPr>
          <w:trHeight w:val="266" w:hRule="exact"/>
        </w:trPr>
        <w:tc>
          <w:tcPr>
            <w:tcW w:w="2888" w:type="dxa"/>
          </w:tcPr>
          <w:p>
            <w:pPr>
              <w:pStyle w:val="TableParagraph"/>
              <w:spacing w:line="223" w:lineRule="exact"/>
              <w:ind w:left="103"/>
              <w:rPr>
                <w:sz w:val="20"/>
              </w:rPr>
            </w:pPr>
            <w:r>
              <w:rPr>
                <w:sz w:val="20"/>
              </w:rPr>
              <w:t>Formación continua</w:t>
            </w:r>
          </w:p>
        </w:tc>
        <w:tc>
          <w:tcPr>
            <w:tcW w:w="977" w:type="dxa"/>
          </w:tcPr>
          <w:p>
            <w:pPr>
              <w:pStyle w:val="TableParagraph"/>
              <w:spacing w:line="223" w:lineRule="exact"/>
              <w:ind w:right="99"/>
              <w:jc w:val="right"/>
              <w:rPr>
                <w:sz w:val="20"/>
              </w:rPr>
            </w:pPr>
            <w:r>
              <w:rPr>
                <w:sz w:val="20"/>
              </w:rPr>
              <w:t>93%</w:t>
            </w:r>
          </w:p>
        </w:tc>
        <w:tc>
          <w:tcPr>
            <w:tcW w:w="977" w:type="dxa"/>
          </w:tcPr>
          <w:p>
            <w:pPr>
              <w:pStyle w:val="TableParagraph"/>
              <w:spacing w:line="223" w:lineRule="exact"/>
              <w:ind w:right="99"/>
              <w:jc w:val="right"/>
              <w:rPr>
                <w:sz w:val="20"/>
              </w:rPr>
            </w:pPr>
            <w:r>
              <w:rPr>
                <w:sz w:val="20"/>
              </w:rPr>
              <w:t>7%</w:t>
            </w:r>
          </w:p>
        </w:tc>
      </w:tr>
      <w:tr>
        <w:trPr>
          <w:trHeight w:val="264" w:hRule="exact"/>
        </w:trPr>
        <w:tc>
          <w:tcPr>
            <w:tcW w:w="2888" w:type="dxa"/>
          </w:tcPr>
          <w:p>
            <w:pPr>
              <w:pStyle w:val="TableParagraph"/>
              <w:spacing w:line="223" w:lineRule="exact"/>
              <w:ind w:left="103"/>
              <w:rPr>
                <w:sz w:val="20"/>
              </w:rPr>
            </w:pPr>
            <w:r>
              <w:rPr>
                <w:sz w:val="20"/>
              </w:rPr>
              <w:t>Labor investigadora</w:t>
            </w:r>
          </w:p>
        </w:tc>
        <w:tc>
          <w:tcPr>
            <w:tcW w:w="977" w:type="dxa"/>
          </w:tcPr>
          <w:p>
            <w:pPr>
              <w:pStyle w:val="TableParagraph"/>
              <w:spacing w:line="223" w:lineRule="exact"/>
              <w:ind w:right="99"/>
              <w:jc w:val="right"/>
              <w:rPr>
                <w:sz w:val="20"/>
              </w:rPr>
            </w:pPr>
            <w:r>
              <w:rPr>
                <w:sz w:val="20"/>
              </w:rPr>
              <w:t>82%</w:t>
            </w:r>
          </w:p>
        </w:tc>
        <w:tc>
          <w:tcPr>
            <w:tcW w:w="977" w:type="dxa"/>
          </w:tcPr>
          <w:p>
            <w:pPr>
              <w:pStyle w:val="TableParagraph"/>
              <w:spacing w:line="223" w:lineRule="exact"/>
              <w:ind w:right="99"/>
              <w:jc w:val="right"/>
              <w:rPr>
                <w:sz w:val="20"/>
              </w:rPr>
            </w:pPr>
            <w:r>
              <w:rPr>
                <w:sz w:val="20"/>
              </w:rPr>
              <w:t>18%</w:t>
            </w:r>
          </w:p>
        </w:tc>
      </w:tr>
      <w:tr>
        <w:trPr>
          <w:trHeight w:val="266" w:hRule="exact"/>
        </w:trPr>
        <w:tc>
          <w:tcPr>
            <w:tcW w:w="2888" w:type="dxa"/>
          </w:tcPr>
          <w:p>
            <w:pPr>
              <w:pStyle w:val="TableParagraph"/>
              <w:spacing w:line="223" w:lineRule="exact"/>
              <w:ind w:left="103"/>
              <w:rPr>
                <w:sz w:val="20"/>
              </w:rPr>
            </w:pPr>
            <w:r>
              <w:rPr>
                <w:sz w:val="20"/>
              </w:rPr>
              <w:t>Capacidad de trabajo en equipo</w:t>
            </w:r>
          </w:p>
        </w:tc>
        <w:tc>
          <w:tcPr>
            <w:tcW w:w="977" w:type="dxa"/>
          </w:tcPr>
          <w:p>
            <w:pPr>
              <w:pStyle w:val="TableParagraph"/>
              <w:spacing w:line="223" w:lineRule="exact"/>
              <w:ind w:right="99"/>
              <w:jc w:val="right"/>
              <w:rPr>
                <w:sz w:val="20"/>
              </w:rPr>
            </w:pPr>
            <w:r>
              <w:rPr>
                <w:sz w:val="20"/>
              </w:rPr>
              <w:t>94%</w:t>
            </w:r>
          </w:p>
        </w:tc>
        <w:tc>
          <w:tcPr>
            <w:tcW w:w="977" w:type="dxa"/>
          </w:tcPr>
          <w:p>
            <w:pPr>
              <w:pStyle w:val="TableParagraph"/>
              <w:spacing w:line="223" w:lineRule="exact"/>
              <w:ind w:right="99"/>
              <w:jc w:val="right"/>
              <w:rPr>
                <w:sz w:val="20"/>
              </w:rPr>
            </w:pPr>
            <w:r>
              <w:rPr>
                <w:sz w:val="20"/>
              </w:rPr>
              <w:t>6%</w:t>
            </w:r>
          </w:p>
        </w:tc>
      </w:tr>
      <w:tr>
        <w:trPr>
          <w:trHeight w:val="265" w:hRule="exact"/>
        </w:trPr>
        <w:tc>
          <w:tcPr>
            <w:tcW w:w="2888" w:type="dxa"/>
          </w:tcPr>
          <w:p>
            <w:pPr>
              <w:pStyle w:val="TableParagraph"/>
              <w:spacing w:line="224" w:lineRule="exact"/>
              <w:ind w:left="103"/>
              <w:rPr>
                <w:sz w:val="20"/>
              </w:rPr>
            </w:pPr>
            <w:r>
              <w:rPr>
                <w:sz w:val="20"/>
              </w:rPr>
              <w:t>Capacidad de trabajo individual</w:t>
            </w:r>
          </w:p>
        </w:tc>
        <w:tc>
          <w:tcPr>
            <w:tcW w:w="977" w:type="dxa"/>
          </w:tcPr>
          <w:p>
            <w:pPr>
              <w:pStyle w:val="TableParagraph"/>
              <w:spacing w:line="224" w:lineRule="exact"/>
              <w:ind w:right="99"/>
              <w:jc w:val="right"/>
              <w:rPr>
                <w:sz w:val="20"/>
              </w:rPr>
            </w:pPr>
            <w:r>
              <w:rPr>
                <w:sz w:val="20"/>
              </w:rPr>
              <w:t>84%</w:t>
            </w:r>
          </w:p>
        </w:tc>
        <w:tc>
          <w:tcPr>
            <w:tcW w:w="977" w:type="dxa"/>
          </w:tcPr>
          <w:p>
            <w:pPr>
              <w:pStyle w:val="TableParagraph"/>
              <w:spacing w:line="224" w:lineRule="exact"/>
              <w:ind w:right="99"/>
              <w:jc w:val="right"/>
              <w:rPr>
                <w:sz w:val="20"/>
              </w:rPr>
            </w:pPr>
            <w:r>
              <w:rPr>
                <w:sz w:val="20"/>
              </w:rPr>
              <w:t>16%</w:t>
            </w:r>
          </w:p>
        </w:tc>
      </w:tr>
      <w:tr>
        <w:trPr>
          <w:trHeight w:val="264" w:hRule="exact"/>
        </w:trPr>
        <w:tc>
          <w:tcPr>
            <w:tcW w:w="2888" w:type="dxa"/>
          </w:tcPr>
          <w:p>
            <w:pPr>
              <w:pStyle w:val="TableParagraph"/>
              <w:spacing w:line="223" w:lineRule="exact"/>
              <w:ind w:left="103"/>
              <w:rPr>
                <w:sz w:val="20"/>
              </w:rPr>
            </w:pPr>
            <w:r>
              <w:rPr>
                <w:sz w:val="20"/>
              </w:rPr>
              <w:t>Capacidad de comunicación</w:t>
            </w:r>
          </w:p>
        </w:tc>
        <w:tc>
          <w:tcPr>
            <w:tcW w:w="977" w:type="dxa"/>
          </w:tcPr>
          <w:p>
            <w:pPr>
              <w:pStyle w:val="TableParagraph"/>
              <w:spacing w:line="223" w:lineRule="exact"/>
              <w:ind w:right="99"/>
              <w:jc w:val="right"/>
              <w:rPr>
                <w:sz w:val="20"/>
              </w:rPr>
            </w:pPr>
            <w:r>
              <w:rPr>
                <w:sz w:val="20"/>
              </w:rPr>
              <w:t>97%</w:t>
            </w:r>
          </w:p>
        </w:tc>
        <w:tc>
          <w:tcPr>
            <w:tcW w:w="977" w:type="dxa"/>
          </w:tcPr>
          <w:p>
            <w:pPr>
              <w:pStyle w:val="TableParagraph"/>
              <w:spacing w:line="223" w:lineRule="exact"/>
              <w:ind w:right="99"/>
              <w:jc w:val="right"/>
              <w:rPr>
                <w:sz w:val="20"/>
              </w:rPr>
            </w:pPr>
            <w:r>
              <w:rPr>
                <w:sz w:val="20"/>
              </w:rPr>
              <w:t>3%</w:t>
            </w:r>
          </w:p>
        </w:tc>
      </w:tr>
      <w:tr>
        <w:trPr>
          <w:trHeight w:val="266" w:hRule="exact"/>
        </w:trPr>
        <w:tc>
          <w:tcPr>
            <w:tcW w:w="2888" w:type="dxa"/>
          </w:tcPr>
          <w:p>
            <w:pPr>
              <w:pStyle w:val="TableParagraph"/>
              <w:spacing w:line="226" w:lineRule="exact"/>
              <w:ind w:left="103"/>
              <w:rPr>
                <w:sz w:val="20"/>
              </w:rPr>
            </w:pPr>
            <w:r>
              <w:rPr>
                <w:sz w:val="20"/>
              </w:rPr>
              <w:t>Capacidad de adaptación</w:t>
            </w:r>
          </w:p>
        </w:tc>
        <w:tc>
          <w:tcPr>
            <w:tcW w:w="977" w:type="dxa"/>
          </w:tcPr>
          <w:p>
            <w:pPr>
              <w:pStyle w:val="TableParagraph"/>
              <w:spacing w:line="226" w:lineRule="exact"/>
              <w:ind w:right="99"/>
              <w:jc w:val="right"/>
              <w:rPr>
                <w:sz w:val="20"/>
              </w:rPr>
            </w:pPr>
            <w:r>
              <w:rPr>
                <w:sz w:val="20"/>
              </w:rPr>
              <w:t>93%</w:t>
            </w:r>
          </w:p>
        </w:tc>
        <w:tc>
          <w:tcPr>
            <w:tcW w:w="977" w:type="dxa"/>
          </w:tcPr>
          <w:p>
            <w:pPr>
              <w:pStyle w:val="TableParagraph"/>
              <w:spacing w:line="226" w:lineRule="exact"/>
              <w:ind w:right="99"/>
              <w:jc w:val="right"/>
              <w:rPr>
                <w:sz w:val="20"/>
              </w:rPr>
            </w:pPr>
            <w:r>
              <w:rPr>
                <w:sz w:val="20"/>
              </w:rPr>
              <w:t>7%</w:t>
            </w:r>
          </w:p>
        </w:tc>
      </w:tr>
    </w:tbl>
    <w:p>
      <w:pPr>
        <w:spacing w:line="240" w:lineRule="auto" w:before="0"/>
        <w:ind w:left="115" w:right="115" w:firstLine="0"/>
        <w:jc w:val="center"/>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rPr>
          <w:sz w:val="16"/>
        </w:rPr>
      </w:pPr>
    </w:p>
    <w:p>
      <w:pPr>
        <w:pStyle w:val="BodyText"/>
        <w:spacing w:line="360" w:lineRule="auto"/>
        <w:ind w:left="122" w:right="115"/>
        <w:jc w:val="both"/>
      </w:pPr>
      <w:r>
        <w:rPr/>
        <w:t>En este constructo se revisaron las principales características de empleo que tienen los licenciados en economía, con lo que se puede inferir que no sufren de la precarización de los empleos juveniles que se ha vivido a nivel nacional y Estado de México en los últimos 5 años (desde la crisis de 2008). También destaca el hecho que en su mayoría se encuentran ubicados en un rango salarial promedio de la entidad y que consideraron que su formación como licenciado en economía si es importante y le ha ayudado a que su proceso de transición fuera sencillo y fluido al mercado de</w:t>
      </w:r>
      <w:r>
        <w:rPr>
          <w:spacing w:val="-10"/>
        </w:rPr>
        <w:t> </w:t>
      </w:r>
      <w:r>
        <w:rPr/>
        <w:t>trabajo.</w:t>
      </w:r>
    </w:p>
    <w:p>
      <w:pPr>
        <w:pStyle w:val="BodyText"/>
      </w:pPr>
    </w:p>
    <w:p>
      <w:pPr>
        <w:pStyle w:val="BodyText"/>
        <w:spacing w:line="350" w:lineRule="auto" w:before="143"/>
        <w:ind w:left="122" w:right="121"/>
        <w:jc w:val="both"/>
      </w:pPr>
      <w:r>
        <w:rPr/>
        <w:t>En donde en su mayoría se trata de una trayectoria en éxito precoz y de aproximación sucesiva</w:t>
      </w:r>
      <w:r>
        <w:rPr>
          <w:position w:val="11"/>
          <w:sz w:val="16"/>
        </w:rPr>
        <w:t>29</w:t>
      </w:r>
      <w:r>
        <w:rPr/>
        <w:t>, sin embargo no fue la única detectada se encontró también que existe transición en el ámbito familiar, se analizan estas relaciones y vínculos en su entorno social para determinar en qué medida son responsables de su transición al mercado de trabajo.</w:t>
      </w:r>
    </w:p>
    <w:p>
      <w:pPr>
        <w:pStyle w:val="BodyText"/>
      </w:pPr>
    </w:p>
    <w:p>
      <w:pPr>
        <w:pStyle w:val="BodyText"/>
        <w:spacing w:line="360" w:lineRule="auto" w:before="154"/>
        <w:ind w:left="122" w:right="114"/>
        <w:jc w:val="both"/>
      </w:pPr>
      <w:r>
        <w:rPr/>
        <w:t>En este capítulo se determinó la población y muestra a utilizar, aún cuando se obtuvieron 154</w:t>
      </w:r>
      <w:r>
        <w:rPr>
          <w:spacing w:val="51"/>
        </w:rPr>
        <w:t> </w:t>
      </w:r>
      <w:r>
        <w:rPr/>
        <w:t>respuestas</w:t>
      </w:r>
      <w:r>
        <w:rPr>
          <w:spacing w:val="51"/>
        </w:rPr>
        <w:t> </w:t>
      </w:r>
      <w:r>
        <w:rPr/>
        <w:t>se</w:t>
      </w:r>
      <w:r>
        <w:rPr>
          <w:spacing w:val="53"/>
        </w:rPr>
        <w:t> </w:t>
      </w:r>
      <w:r>
        <w:rPr/>
        <w:t>descartaron</w:t>
      </w:r>
      <w:r>
        <w:rPr>
          <w:spacing w:val="50"/>
        </w:rPr>
        <w:t> </w:t>
      </w:r>
      <w:r>
        <w:rPr/>
        <w:t>28</w:t>
      </w:r>
      <w:r>
        <w:rPr>
          <w:spacing w:val="56"/>
        </w:rPr>
        <w:t> </w:t>
      </w:r>
      <w:r>
        <w:rPr/>
        <w:t>cuestionarios</w:t>
      </w:r>
      <w:r>
        <w:rPr>
          <w:spacing w:val="54"/>
        </w:rPr>
        <w:t> </w:t>
      </w:r>
      <w:r>
        <w:rPr/>
        <w:t>por</w:t>
      </w:r>
      <w:r>
        <w:rPr>
          <w:spacing w:val="50"/>
        </w:rPr>
        <w:t> </w:t>
      </w:r>
      <w:r>
        <w:rPr/>
        <w:t>no</w:t>
      </w:r>
      <w:r>
        <w:rPr>
          <w:spacing w:val="53"/>
        </w:rPr>
        <w:t> </w:t>
      </w:r>
      <w:r>
        <w:rPr/>
        <w:t>cumplir</w:t>
      </w:r>
      <w:r>
        <w:rPr>
          <w:spacing w:val="51"/>
        </w:rPr>
        <w:t> </w:t>
      </w:r>
      <w:r>
        <w:rPr/>
        <w:t>con</w:t>
      </w:r>
      <w:r>
        <w:rPr>
          <w:spacing w:val="53"/>
        </w:rPr>
        <w:t> </w:t>
      </w:r>
      <w:r>
        <w:rPr/>
        <w:t>el</w:t>
      </w:r>
      <w:r>
        <w:rPr>
          <w:spacing w:val="54"/>
        </w:rPr>
        <w:t> </w:t>
      </w:r>
      <w:r>
        <w:rPr/>
        <w:t>criterio</w:t>
      </w:r>
      <w:r>
        <w:rPr>
          <w:spacing w:val="51"/>
        </w:rPr>
        <w:t> </w:t>
      </w:r>
      <w:r>
        <w:rPr/>
        <w:t>de</w:t>
      </w:r>
      <w:r>
        <w:rPr>
          <w:spacing w:val="50"/>
        </w:rPr>
        <w:t> </w:t>
      </w:r>
      <w:r>
        <w:rPr/>
        <w:t>estar</w:t>
      </w:r>
    </w:p>
    <w:p>
      <w:pPr>
        <w:pStyle w:val="BodyText"/>
        <w:spacing w:before="10"/>
        <w:rPr>
          <w:sz w:val="9"/>
        </w:rPr>
      </w:pPr>
      <w:r>
        <w:rPr/>
        <w:pict>
          <v:line style="position:absolute;mso-position-horizontal-relative:page;mso-position-vertical-relative:paragraph;z-index:7432;mso-wrap-distance-left:0;mso-wrap-distance-right:0" from="85.103996pt,8.039781pt" to="229.123996pt,8.039781pt" stroked="true" strokeweight=".71997pt" strokecolor="#000000">
            <w10:wrap type="topAndBottom"/>
          </v:line>
        </w:pict>
      </w:r>
    </w:p>
    <w:p>
      <w:pPr>
        <w:spacing w:before="42"/>
        <w:ind w:left="122" w:right="124" w:firstLine="0"/>
        <w:jc w:val="both"/>
        <w:rPr>
          <w:sz w:val="20"/>
        </w:rPr>
      </w:pPr>
      <w:r>
        <w:rPr>
          <w:position w:val="9"/>
          <w:sz w:val="13"/>
        </w:rPr>
        <w:t>29 </w:t>
      </w:r>
      <w:r>
        <w:rPr>
          <w:b/>
          <w:sz w:val="20"/>
        </w:rPr>
        <w:t>Trayectoria en éxito precoz </w:t>
      </w:r>
      <w:r>
        <w:rPr>
          <w:sz w:val="20"/>
        </w:rPr>
        <w:t>sugiere itinerarios de formación en éxito y sin rupturas y un tránsito positivo a la vida activa (Casal, 1997).</w:t>
      </w:r>
    </w:p>
    <w:p>
      <w:pPr>
        <w:spacing w:before="0"/>
        <w:ind w:left="122" w:right="117" w:firstLine="0"/>
        <w:jc w:val="both"/>
        <w:rPr>
          <w:sz w:val="20"/>
        </w:rPr>
      </w:pPr>
      <w:r>
        <w:rPr>
          <w:b/>
          <w:sz w:val="20"/>
        </w:rPr>
        <w:t>Trayectoria de aproximación sucesiva </w:t>
      </w:r>
      <w:r>
        <w:rPr>
          <w:sz w:val="20"/>
        </w:rPr>
        <w:t>modalidad definida por altas expectativas de mejora social y profesional (carreras profesionales principalmente) en un contexto donde las opciones a tomar resultan confusas o difíciles y el margen de error es más bien alto (Casal, 1997).</w:t>
      </w:r>
    </w:p>
    <w:p>
      <w:pPr>
        <w:spacing w:before="0"/>
        <w:ind w:left="122" w:right="0" w:firstLine="0"/>
        <w:jc w:val="both"/>
        <w:rPr>
          <w:sz w:val="20"/>
        </w:rPr>
      </w:pPr>
      <w:r>
        <w:rPr>
          <w:sz w:val="20"/>
        </w:rPr>
        <w:t>-Para más detalles consultar apartado 2.1.1. Modalidades de transición profesional, pp. 37-40</w:t>
      </w:r>
    </w:p>
    <w:p>
      <w:pPr>
        <w:spacing w:after="0"/>
        <w:jc w:val="both"/>
        <w:rPr>
          <w:sz w:val="20"/>
        </w:rPr>
        <w:sectPr>
          <w:pgSz w:w="12240" w:h="15840"/>
          <w:pgMar w:header="0" w:footer="1003" w:top="1360" w:bottom="1200" w:left="1580" w:right="1580"/>
        </w:sectPr>
      </w:pPr>
    </w:p>
    <w:p>
      <w:pPr>
        <w:pStyle w:val="BodyText"/>
        <w:spacing w:line="360" w:lineRule="auto" w:before="50"/>
        <w:ind w:left="102" w:right="117"/>
        <w:jc w:val="both"/>
      </w:pPr>
      <w:r>
        <w:rPr/>
        <w:t>totalmente contestados, además de que el software empleado para el análisis fue descartando otras más que no cumplían con las características para realizar las pruebas solicitadas. Del análisis descriptivo de datos se puede inferir que tanto los jóvenes como el mercado de trabajo sí consideran importante la formación y preparación universitaria en la carrera de economía, es decir la generación de capital</w:t>
      </w:r>
      <w:r>
        <w:rPr>
          <w:spacing w:val="-9"/>
        </w:rPr>
        <w:t> </w:t>
      </w:r>
      <w:r>
        <w:rPr/>
        <w:t>humano.</w:t>
      </w:r>
    </w:p>
    <w:p>
      <w:pPr>
        <w:pStyle w:val="BodyText"/>
      </w:pPr>
    </w:p>
    <w:p>
      <w:pPr>
        <w:pStyle w:val="BodyText"/>
        <w:spacing w:line="360" w:lineRule="auto" w:before="143"/>
        <w:ind w:left="102" w:right="118"/>
        <w:jc w:val="both"/>
      </w:pPr>
      <w:r>
        <w:rPr/>
        <w:t>Los egresados de la UAEMéx son “medianamente” aceptados en el mercado de trabajo del Estado de México, y que su incorporación al mismo responde al proceso de selección que realizan los empleadores, en donde se observó que la calificación obtenida en la carrera y el estar titulado si son factores determinantes para lograr ser contratados en su primer empleo.</w:t>
      </w:r>
    </w:p>
    <w:p>
      <w:pPr>
        <w:pStyle w:val="BodyText"/>
      </w:pPr>
    </w:p>
    <w:p>
      <w:pPr>
        <w:pStyle w:val="BodyText"/>
        <w:spacing w:line="360" w:lineRule="auto" w:before="143"/>
        <w:ind w:left="102" w:right="119"/>
        <w:jc w:val="both"/>
      </w:pPr>
      <w:r>
        <w:rPr/>
        <w:t>Además de que al momento de encarar el mercado de trabajo se enfrentan con la realidad  de que son escasamente valorados los conocimientos y habilidades que obtuvieron. Los encuestados tienen la idea de que los conocimientos teóricos no están del todo vinculados con los puestos de trabajo, presentándose una desvinculación entre las universidades y el mercado de</w:t>
      </w:r>
      <w:r>
        <w:rPr>
          <w:spacing w:val="-4"/>
        </w:rPr>
        <w:t> </w:t>
      </w:r>
      <w:r>
        <w:rPr/>
        <w:t>trabajo.</w:t>
      </w:r>
    </w:p>
    <w:p>
      <w:pPr>
        <w:pStyle w:val="BodyText"/>
      </w:pPr>
    </w:p>
    <w:p>
      <w:pPr>
        <w:pStyle w:val="BodyText"/>
        <w:spacing w:line="360" w:lineRule="auto" w:before="143"/>
        <w:ind w:left="102" w:right="117"/>
        <w:jc w:val="both"/>
      </w:pPr>
      <w:r>
        <w:rPr/>
        <w:t>Desde la perspectiva de los encuestados tienen la idea de que los empleadores tienen en buen concepto la carrera de economía de la UAEMéx. También, se encontró evidencia de que dicha universidad goza de un buen prestigio a nivel entidad y sus egresados de la Licenciatura de Economía en su mayoría han trabajado, lo cual indica una alta empleabilidad.</w:t>
      </w:r>
    </w:p>
    <w:p>
      <w:pPr>
        <w:pStyle w:val="BodyText"/>
      </w:pPr>
    </w:p>
    <w:p>
      <w:pPr>
        <w:pStyle w:val="BodyText"/>
        <w:spacing w:line="360" w:lineRule="auto" w:before="143"/>
        <w:ind w:left="102" w:right="115"/>
        <w:jc w:val="both"/>
      </w:pPr>
      <w:r>
        <w:rPr/>
        <w:t>Existe un gran interés por parte de los jóvenes por complementar su formación académica, 47% respondió que por iniciativa propia acude a cursos y actividades complementarias extracurriculares que considera ayudan a ser mejor aceptado por el mercado de trabajo. Con los resultados obtenidos se pudo corroborar la teoría del capital humano y del proceso de transición al mercado de trabajo, mostrando que los egresados universitarios de la carrera  de economía viven un proceso de transición al mercado de trabajo corto, destacando que tanto de la UAEMéx como la licenciatura gozan buena reputación ante los empleadores de la</w:t>
      </w:r>
      <w:r>
        <w:rPr>
          <w:spacing w:val="-4"/>
        </w:rPr>
        <w:t> </w:t>
      </w:r>
      <w:r>
        <w:rPr/>
        <w:t>región.</w:t>
      </w:r>
    </w:p>
    <w:p>
      <w:pPr>
        <w:spacing w:after="0" w:line="360" w:lineRule="auto"/>
        <w:jc w:val="both"/>
        <w:sectPr>
          <w:pgSz w:w="12240" w:h="15840"/>
          <w:pgMar w:header="0" w:footer="1003" w:top="1360" w:bottom="1200" w:left="1600" w:right="1580"/>
        </w:sectPr>
      </w:pPr>
    </w:p>
    <w:p>
      <w:pPr>
        <w:pStyle w:val="BodyText"/>
        <w:spacing w:line="360" w:lineRule="auto" w:before="50"/>
        <w:ind w:left="102" w:right="117"/>
        <w:jc w:val="both"/>
      </w:pPr>
      <w:r>
        <w:rPr/>
        <w:t>Se elaboraron tablas cruzadas para las principales dimensiones </w:t>
      </w:r>
      <w:r>
        <w:rPr>
          <w:spacing w:val="3"/>
        </w:rPr>
        <w:t>de </w:t>
      </w:r>
      <w:r>
        <w:rPr/>
        <w:t>las variables de esta investigación: proceso de transición y mercado de trabajo. Encontrándose que en función  de ser hombre o mujer el tiempo para encontrar trabajo sí tiene relación, así como el salario que lograron al insertarse al mercado de trabajo también estuvo determinado por este hecho y el tipo de contrato que les ofrecen es diferente para mujeres y</w:t>
      </w:r>
      <w:r>
        <w:rPr>
          <w:spacing w:val="-17"/>
        </w:rPr>
        <w:t> </w:t>
      </w:r>
      <w:r>
        <w:rPr/>
        <w:t>hombres.</w:t>
      </w:r>
    </w:p>
    <w:p>
      <w:pPr>
        <w:pStyle w:val="BodyText"/>
      </w:pPr>
    </w:p>
    <w:p>
      <w:pPr>
        <w:pStyle w:val="BodyText"/>
        <w:spacing w:line="360" w:lineRule="auto" w:before="143"/>
        <w:ind w:left="102" w:right="117"/>
        <w:jc w:val="both"/>
      </w:pPr>
      <w:r>
        <w:rPr/>
        <w:t>Para el caso de trayectorias profesionales y permanencia en el mercado laboral en función del sexo se cuenta con la evidencia estadística suficiente para determinar que son independientes de ser hombre o mujer.</w:t>
      </w:r>
    </w:p>
    <w:p>
      <w:pPr>
        <w:pStyle w:val="BodyText"/>
      </w:pPr>
    </w:p>
    <w:p>
      <w:pPr>
        <w:pStyle w:val="BodyText"/>
        <w:spacing w:line="360" w:lineRule="auto" w:before="143"/>
        <w:ind w:left="102" w:right="116"/>
        <w:jc w:val="both"/>
      </w:pPr>
      <w:r>
        <w:rPr/>
        <w:t>Las dimensiones tiempo de incorporación, trayectorias profesionales, salario, contrato y permanencia en función del año de egreso se encontró que son independientes, es decir que no tuvieron relación con el año en el que egresaron.</w:t>
      </w:r>
    </w:p>
    <w:p>
      <w:pPr>
        <w:pStyle w:val="BodyText"/>
      </w:pPr>
    </w:p>
    <w:p>
      <w:pPr>
        <w:pStyle w:val="BodyText"/>
        <w:spacing w:before="11"/>
        <w:rPr>
          <w:sz w:val="29"/>
        </w:rPr>
      </w:pPr>
    </w:p>
    <w:p>
      <w:pPr>
        <w:pStyle w:val="BodyText"/>
        <w:spacing w:line="360" w:lineRule="auto"/>
        <w:ind w:left="102" w:right="119"/>
        <w:jc w:val="both"/>
      </w:pPr>
      <w:r>
        <w:rPr/>
        <w:t>Con los resultados obtenidos se pudo corroborar la teoría de la búsqueda, mostrando que  los egresados universitarios de la carrera de economía viven un proceso de transición al mercado de trabajo corto, destacando que tanto de la UAEMéx como la licenciatura gozan buena reputación ante los empleadores de la región. Se confirmó también que existen “señales” que son fundamentales para los empleadores, las cuales son la base para tomar la decisión de contratación de los buscadores, que en este caso son los licenciados en economía. Y el 60% del total encuestado tardó entre 0 y 6 meses para conseguir ser contratado. El salario inicial se encuentra en la media estatal y la mayoría de los egresados han logrado contratos indefinidos en su primer</w:t>
      </w:r>
      <w:r>
        <w:rPr>
          <w:spacing w:val="-7"/>
        </w:rPr>
        <w:t> </w:t>
      </w:r>
      <w:r>
        <w:rPr/>
        <w:t>empleo.</w:t>
      </w:r>
    </w:p>
    <w:p>
      <w:pPr>
        <w:pStyle w:val="BodyText"/>
      </w:pPr>
    </w:p>
    <w:p>
      <w:pPr>
        <w:pStyle w:val="BodyText"/>
        <w:rPr>
          <w:sz w:val="30"/>
        </w:rPr>
      </w:pPr>
    </w:p>
    <w:p>
      <w:pPr>
        <w:pStyle w:val="BodyText"/>
        <w:spacing w:line="360" w:lineRule="auto"/>
        <w:ind w:left="102" w:right="118"/>
        <w:jc w:val="both"/>
      </w:pPr>
      <w:r>
        <w:rPr/>
        <w:t>El tipo de trayectoria profesional que presentan los egresados de la Licenciatura de Economía de la UAEMéx, en su mayoría, se encuentran en dos tipos de trayectorias: éxito precoz y aproximación sucesiva. Lo cual se confirmó con los resultados de cómo percibieron su proceso de transición en donde la mayoría indicó que fue “fácil”. Por lo tanto, es una carrera que no presenta problemas de transición al mercado de trabajo, derivado  de  que  los  egresados  de  la  Licenciatura  de  Economía  cuentan  con  el</w:t>
      </w:r>
      <w:r>
        <w:rPr>
          <w:spacing w:val="-22"/>
        </w:rPr>
        <w:t> </w:t>
      </w:r>
      <w:r>
        <w:rPr/>
        <w:t>capital</w:t>
      </w:r>
    </w:p>
    <w:p>
      <w:pPr>
        <w:spacing w:after="0" w:line="360" w:lineRule="auto"/>
        <w:jc w:val="both"/>
        <w:sectPr>
          <w:pgSz w:w="12240" w:h="15840"/>
          <w:pgMar w:header="0" w:footer="1003" w:top="1360" w:bottom="1200" w:left="1600" w:right="1580"/>
        </w:sectPr>
      </w:pPr>
    </w:p>
    <w:p>
      <w:pPr>
        <w:pStyle w:val="BodyText"/>
        <w:spacing w:line="360" w:lineRule="auto" w:before="50"/>
        <w:ind w:left="102" w:right="124"/>
        <w:jc w:val="both"/>
      </w:pPr>
      <w:r>
        <w:rPr/>
        <w:t>humano necesario para desempeñar las labores que demandan los puestos disponibles en la entidad, así como el prestigio de que goza la Facultad de Economía de la UAEMéx.</w:t>
      </w:r>
    </w:p>
    <w:p>
      <w:pPr>
        <w:pStyle w:val="BodyText"/>
      </w:pPr>
    </w:p>
    <w:p>
      <w:pPr>
        <w:pStyle w:val="BodyText"/>
        <w:spacing w:before="8"/>
        <w:rPr>
          <w:sz w:val="29"/>
        </w:rPr>
      </w:pPr>
    </w:p>
    <w:p>
      <w:pPr>
        <w:pStyle w:val="BodyText"/>
        <w:spacing w:line="360" w:lineRule="auto" w:before="1"/>
        <w:ind w:left="102" w:right="116"/>
        <w:jc w:val="both"/>
      </w:pPr>
      <w:r>
        <w:rPr/>
        <w:t>En el siguiente capítulo se analizan los resultados obtenidos por medio de la teoría de redes sociales, con la intención de determinar si la familia y amigos son determinantes para el proceso de transición de la universidad al mercado de trabajo de los egresados encuestados de la Licenciatura de Economía de la UAEMéx.</w:t>
      </w:r>
    </w:p>
    <w:p>
      <w:pPr>
        <w:spacing w:after="0" w:line="360" w:lineRule="auto"/>
        <w:jc w:val="both"/>
        <w:sectPr>
          <w:pgSz w:w="12240" w:h="15840"/>
          <w:pgMar w:header="0" w:footer="1003" w:top="1360" w:bottom="1200" w:left="1600" w:right="1580"/>
        </w:sectPr>
      </w:pPr>
    </w:p>
    <w:p>
      <w:pPr>
        <w:pStyle w:val="BodyText"/>
        <w:spacing w:before="9"/>
        <w:rPr>
          <w:sz w:val="10"/>
        </w:rPr>
      </w:pPr>
    </w:p>
    <w:p>
      <w:pPr>
        <w:pStyle w:val="Heading3"/>
        <w:spacing w:line="278" w:lineRule="auto" w:before="70"/>
        <w:ind w:left="3504" w:right="3481" w:firstLine="465"/>
        <w:jc w:val="left"/>
      </w:pPr>
      <w:bookmarkStart w:name="_bookmark78" w:id="143"/>
      <w:bookmarkEnd w:id="143"/>
      <w:r>
        <w:rPr>
          <w:b w:val="0"/>
        </w:rPr>
      </w:r>
      <w:r>
        <w:rPr/>
        <w:t>UNIDAD 7 REDES SOCIALES</w:t>
      </w:r>
    </w:p>
    <w:p>
      <w:pPr>
        <w:pStyle w:val="BodyText"/>
        <w:spacing w:before="11"/>
        <w:rPr>
          <w:b/>
          <w:sz w:val="35"/>
        </w:rPr>
      </w:pPr>
    </w:p>
    <w:p>
      <w:pPr>
        <w:spacing w:before="0"/>
        <w:ind w:left="122" w:right="0" w:firstLine="0"/>
        <w:jc w:val="both"/>
        <w:rPr>
          <w:b/>
          <w:sz w:val="24"/>
        </w:rPr>
      </w:pPr>
      <w:r>
        <w:rPr>
          <w:b/>
          <w:sz w:val="24"/>
        </w:rPr>
        <w:t>Introducción</w:t>
      </w:r>
    </w:p>
    <w:p>
      <w:pPr>
        <w:pStyle w:val="BodyText"/>
        <w:spacing w:line="348" w:lineRule="auto" w:before="134"/>
        <w:ind w:left="122" w:right="115"/>
        <w:jc w:val="both"/>
      </w:pPr>
      <w:r>
        <w:rPr/>
        <w:t>Las relaciones sociales que son definidas teóricamente como </w:t>
      </w:r>
      <w:r>
        <w:rPr>
          <w:i/>
        </w:rPr>
        <w:t>redes sociales </w:t>
      </w:r>
      <w:r>
        <w:rPr/>
        <w:t>están cobrando fuerza y relevancia en el ámbito laboral y en el proceso de transición</w:t>
      </w:r>
      <w:r>
        <w:rPr>
          <w:position w:val="11"/>
          <w:sz w:val="16"/>
        </w:rPr>
        <w:t>30 </w:t>
      </w:r>
      <w:r>
        <w:rPr/>
        <w:t>de la escuela al mercado de trabajo, no es extraño que muchos jóvenes se incorporen al empleo por primera vez con la ayuda de algún familiar o amigo. Este tipo de inserción</w:t>
      </w:r>
      <w:r>
        <w:rPr>
          <w:position w:val="11"/>
          <w:sz w:val="16"/>
        </w:rPr>
        <w:t>31 </w:t>
      </w:r>
      <w:r>
        <w:rPr/>
        <w:t>es cuantitativamente importante en México debido a la falta de empleo y al surgimiento del empleo informal.  Por ello, muchos jóvenes buscan ayuda en sus conocidos, iniciando por su</w:t>
      </w:r>
      <w:r>
        <w:rPr>
          <w:spacing w:val="-15"/>
        </w:rPr>
        <w:t> </w:t>
      </w:r>
      <w:r>
        <w:rPr/>
        <w:t>familia.</w:t>
      </w:r>
    </w:p>
    <w:p>
      <w:pPr>
        <w:pStyle w:val="BodyText"/>
      </w:pPr>
    </w:p>
    <w:p>
      <w:pPr>
        <w:pStyle w:val="BodyText"/>
        <w:spacing w:line="360" w:lineRule="auto" w:before="156"/>
        <w:ind w:left="122" w:right="117"/>
        <w:jc w:val="both"/>
      </w:pPr>
      <w:r>
        <w:rPr/>
        <w:t>Derivando en que la transición profesional por medio de redes sociales se caracteriza  porque se contratan en empresas u organizaciones comerciales de carácter familiar, tanto del sector agrícola, como de la pequeña industria (talleres), el comercio al detalle, la venta ambulante y talleres de reparación y servicio. La herencia patrimonial hacia el hijo mayor (en la mayoría de los caso) es otra de las principales características de este tipo de  inserción. Se le conoce como </w:t>
      </w:r>
      <w:r>
        <w:rPr>
          <w:i/>
        </w:rPr>
        <w:t>transición por adscripción familiar </w:t>
      </w:r>
      <w:r>
        <w:rPr/>
        <w:t>(Casal, 1997), la cual presupone una definición del horizonte de clase en función de la familia, una vinculación relativamente escasa con la formación post-obligatoria, y un tránsito escuela-vida activa muy precoz en cuanto a que la inmersión al mercado laboral acontece dentro de  la economía</w:t>
      </w:r>
      <w:r>
        <w:rPr>
          <w:spacing w:val="-6"/>
        </w:rPr>
        <w:t> </w:t>
      </w:r>
      <w:r>
        <w:rPr/>
        <w:t>familiar.</w:t>
      </w:r>
    </w:p>
    <w:p>
      <w:pPr>
        <w:pStyle w:val="BodyText"/>
      </w:pPr>
    </w:p>
    <w:p>
      <w:pPr>
        <w:pStyle w:val="BodyText"/>
        <w:spacing w:line="360" w:lineRule="auto" w:before="143"/>
        <w:ind w:left="122" w:right="121"/>
        <w:jc w:val="both"/>
      </w:pPr>
      <w:r>
        <w:rPr/>
        <w:t>Las redes sociales, a últimas fechas, están siendo utilizadas con fines específicos y deseables para conseguir empleo, conllevando a una nueva forma de gestionar la incorporación al mercado de trabajo de algunos jóvenes. Las relaciones de amistad o familia están permitiendo que el paso de la escuela al mercado laboral sea más rápido, para algunos de ellos. Aunque no es el único factor determinante, pero si es uno de los que en mayor medida está facilitando su incorporación al mercado</w:t>
      </w:r>
      <w:r>
        <w:rPr>
          <w:spacing w:val="-13"/>
        </w:rPr>
        <w:t> </w:t>
      </w:r>
      <w:r>
        <w:rPr/>
        <w:t>laboral.</w:t>
      </w:r>
    </w:p>
    <w:p>
      <w:pPr>
        <w:pStyle w:val="BodyText"/>
        <w:rPr>
          <w:sz w:val="20"/>
        </w:rPr>
      </w:pPr>
    </w:p>
    <w:p>
      <w:pPr>
        <w:pStyle w:val="BodyText"/>
        <w:spacing w:before="8"/>
        <w:rPr>
          <w:sz w:val="18"/>
        </w:rPr>
      </w:pPr>
      <w:r>
        <w:rPr/>
        <w:pict>
          <v:line style="position:absolute;mso-position-horizontal-relative:page;mso-position-vertical-relative:paragraph;z-index:7456;mso-wrap-distance-left:0;mso-wrap-distance-right:0" from="85.103996pt,13.100721pt" to="229.123996pt,13.100721pt" stroked="true" strokeweight=".72003pt" strokecolor="#000000">
            <w10:wrap type="topAndBottom"/>
          </v:line>
        </w:pict>
      </w:r>
    </w:p>
    <w:p>
      <w:pPr>
        <w:spacing w:before="46"/>
        <w:ind w:left="122" w:right="125" w:firstLine="0"/>
        <w:jc w:val="both"/>
        <w:rPr>
          <w:rFonts w:ascii="Arial" w:hAnsi="Arial"/>
          <w:sz w:val="16"/>
        </w:rPr>
      </w:pPr>
      <w:r>
        <w:rPr>
          <w:rFonts w:ascii="Arial" w:hAnsi="Arial"/>
          <w:position w:val="8"/>
          <w:sz w:val="10"/>
        </w:rPr>
        <w:t>30 </w:t>
      </w:r>
      <w:r>
        <w:rPr>
          <w:rFonts w:ascii="Arial" w:hAnsi="Arial"/>
          <w:sz w:val="16"/>
        </w:rPr>
        <w:t>Proceso de transición  se entiende como el paso de la escuela al trabajo o del sistema educativo al mercado de trabajo,  es decir es la entrada en la vida activa, considerada como la idea de un tránsito, de un estado intermedio que tiene una cierta duración, que sufre la influencia de la situación precedente y prefigura la situación futura (Cachón, 1999).</w:t>
      </w:r>
    </w:p>
    <w:p>
      <w:pPr>
        <w:spacing w:line="185" w:lineRule="exact" w:before="0"/>
        <w:ind w:left="122" w:right="0" w:firstLine="0"/>
        <w:jc w:val="both"/>
        <w:rPr>
          <w:rFonts w:ascii="Arial" w:hAnsi="Arial"/>
          <w:sz w:val="16"/>
        </w:rPr>
      </w:pPr>
      <w:r>
        <w:rPr>
          <w:rFonts w:ascii="Arial" w:hAnsi="Arial"/>
          <w:position w:val="8"/>
          <w:sz w:val="10"/>
        </w:rPr>
        <w:t>31 </w:t>
      </w:r>
      <w:r>
        <w:rPr>
          <w:rFonts w:ascii="Arial" w:hAnsi="Arial"/>
          <w:sz w:val="16"/>
        </w:rPr>
        <w:t>Para efectos de este trabajo los términos inserción o transición son utilizados como sinónimos.</w:t>
      </w:r>
    </w:p>
    <w:p>
      <w:pPr>
        <w:spacing w:after="0" w:line="185" w:lineRule="exact"/>
        <w:jc w:val="both"/>
        <w:rPr>
          <w:rFonts w:ascii="Arial" w:hAnsi="Arial"/>
          <w:sz w:val="16"/>
        </w:rPr>
        <w:sectPr>
          <w:pgSz w:w="12240" w:h="15840"/>
          <w:pgMar w:header="0" w:footer="1003" w:top="1500" w:bottom="1200" w:left="1580" w:right="1580"/>
        </w:sectPr>
      </w:pPr>
    </w:p>
    <w:p>
      <w:pPr>
        <w:pStyle w:val="BodyText"/>
        <w:spacing w:line="360" w:lineRule="auto" w:before="50"/>
        <w:ind w:left="122" w:right="123"/>
        <w:jc w:val="both"/>
      </w:pPr>
      <w:r>
        <w:rPr/>
        <w:t>Este capítulo está constituido por tres apartados, en el primero se revisa la teoría de las redes sociales. En el segundo el análisis utilizando la metodología de redes sociales. Finalmente se concluye con base en los</w:t>
      </w:r>
      <w:r>
        <w:rPr>
          <w:spacing w:val="-8"/>
        </w:rPr>
        <w:t> </w:t>
      </w:r>
      <w:r>
        <w:rPr/>
        <w:t>hallazgos.</w:t>
      </w:r>
    </w:p>
    <w:p>
      <w:pPr>
        <w:pStyle w:val="BodyText"/>
      </w:pPr>
    </w:p>
    <w:p>
      <w:pPr>
        <w:pStyle w:val="Heading3"/>
        <w:numPr>
          <w:ilvl w:val="1"/>
          <w:numId w:val="76"/>
        </w:numPr>
        <w:tabs>
          <w:tab w:pos="830" w:val="left" w:leader="none"/>
        </w:tabs>
        <w:spacing w:line="240" w:lineRule="auto" w:before="212" w:after="0"/>
        <w:ind w:left="830" w:right="0" w:hanging="708"/>
        <w:jc w:val="both"/>
      </w:pPr>
      <w:bookmarkStart w:name="_bookmark79" w:id="144"/>
      <w:bookmarkEnd w:id="144"/>
      <w:r>
        <w:rPr>
          <w:b w:val="0"/>
        </w:rPr>
      </w:r>
      <w:bookmarkStart w:name="_bookmark79" w:id="145"/>
      <w:bookmarkEnd w:id="145"/>
      <w:r>
        <w:rPr/>
        <w:t>T</w:t>
      </w:r>
      <w:r>
        <w:rPr/>
        <w:t>eoría de las redes</w:t>
      </w:r>
      <w:r>
        <w:rPr>
          <w:spacing w:val="-5"/>
        </w:rPr>
        <w:t> </w:t>
      </w:r>
      <w:r>
        <w:rPr/>
        <w:t>sociales</w:t>
      </w:r>
    </w:p>
    <w:p>
      <w:pPr>
        <w:pStyle w:val="BodyText"/>
        <w:rPr>
          <w:b/>
        </w:rPr>
      </w:pPr>
    </w:p>
    <w:p>
      <w:pPr>
        <w:pStyle w:val="BodyText"/>
        <w:spacing w:before="6"/>
        <w:rPr>
          <w:b/>
          <w:sz w:val="23"/>
        </w:rPr>
      </w:pPr>
    </w:p>
    <w:p>
      <w:pPr>
        <w:pStyle w:val="BodyText"/>
        <w:spacing w:line="360" w:lineRule="auto"/>
        <w:ind w:left="122" w:right="118"/>
        <w:jc w:val="both"/>
      </w:pPr>
      <w:r>
        <w:rPr/>
        <w:t>El estudio de las redes sociales se remonta hasta la década de los años setenta del siglo XX, en donde el interés principal de análisis fue el conocer y plasmar la manera de como los seres humanos se relacionan y como estas relaciones modifican los resultados de manera</w:t>
      </w:r>
    </w:p>
    <w:p>
      <w:pPr>
        <w:pStyle w:val="BodyText"/>
        <w:spacing w:line="350" w:lineRule="auto" w:before="6"/>
        <w:ind w:left="122" w:right="119"/>
        <w:jc w:val="both"/>
      </w:pPr>
      <w:r>
        <w:rPr/>
        <w:t>positiva en la sociedad. La imagen de una red social comienza con la evocación de actores sociales </w:t>
      </w:r>
      <w:r>
        <w:rPr>
          <w:position w:val="11"/>
          <w:sz w:val="16"/>
        </w:rPr>
        <w:t>32 </w:t>
      </w:r>
      <w:r>
        <w:rPr/>
        <w:t>que están vinculados de diversas maneras en un entorno. Es una forma comprensiva y paradigmática de considerar la estructura social, a partir del estudio de la vinculación y los patrones de relaciones en un sistema social (Wellman, 1997).  El   estudio</w:t>
      </w:r>
    </w:p>
    <w:p>
      <w:pPr>
        <w:pStyle w:val="BodyText"/>
        <w:spacing w:line="360" w:lineRule="auto" w:before="17"/>
        <w:ind w:left="122" w:right="125"/>
        <w:jc w:val="both"/>
      </w:pPr>
      <w:r>
        <w:rPr/>
        <w:t>de las relaciones humanas y como éstas repercuten en las actividades de los individuos dieron origen a la teoría de redes sociales.</w:t>
      </w:r>
    </w:p>
    <w:p>
      <w:pPr>
        <w:pStyle w:val="BodyText"/>
        <w:spacing w:line="360" w:lineRule="auto" w:before="205"/>
        <w:ind w:left="830" w:right="123"/>
        <w:jc w:val="both"/>
      </w:pPr>
      <w:r>
        <w:rPr/>
        <w:t>“… la ciencia de las redes es la ciencia del mundo real, del mundo en el que viven los seres humanos, de la amistad, de los rumores, de las enfermedades, de las tendencias y modas culturales y de las crisis financieras…” (Kossinets y Watts, 2006).</w:t>
      </w:r>
    </w:p>
    <w:p>
      <w:pPr>
        <w:pStyle w:val="BodyText"/>
        <w:spacing w:line="360" w:lineRule="auto" w:before="170"/>
        <w:ind w:left="122" w:right="117"/>
        <w:jc w:val="both"/>
      </w:pPr>
      <w:r>
        <w:rPr/>
        <w:t>En una red social, los vínculos</w:t>
      </w:r>
      <w:r>
        <w:rPr>
          <w:position w:val="11"/>
          <w:sz w:val="16"/>
        </w:rPr>
        <w:t>33 </w:t>
      </w:r>
      <w:r>
        <w:rPr/>
        <w:t>existentes entre actores, cumplen una serie de propiedades que repercuten sobre los diferentes aspectos de las relaciones entre los actores que integran la red. Dichas propiedades son: la intensidad de la relación, la posición del actor y la accesibilidad de un actor respecto a los demás.</w:t>
      </w:r>
    </w:p>
    <w:p>
      <w:pPr>
        <w:pStyle w:val="BodyText"/>
      </w:pPr>
    </w:p>
    <w:p>
      <w:pPr>
        <w:pStyle w:val="Heading3"/>
        <w:numPr>
          <w:ilvl w:val="2"/>
          <w:numId w:val="76"/>
        </w:numPr>
        <w:tabs>
          <w:tab w:pos="830" w:val="left" w:leader="none"/>
        </w:tabs>
        <w:spacing w:line="240" w:lineRule="auto" w:before="211" w:after="0"/>
        <w:ind w:left="830" w:right="0" w:hanging="708"/>
        <w:jc w:val="both"/>
      </w:pPr>
      <w:bookmarkStart w:name="_bookmark80" w:id="146"/>
      <w:bookmarkEnd w:id="146"/>
      <w:r>
        <w:rPr>
          <w:b w:val="0"/>
        </w:rPr>
      </w:r>
      <w:bookmarkStart w:name="_bookmark80" w:id="147"/>
      <w:bookmarkEnd w:id="147"/>
      <w:r>
        <w:rPr/>
        <w:t>Anális</w:t>
      </w:r>
      <w:r>
        <w:rPr/>
        <w:t>is de Redes</w:t>
      </w:r>
      <w:r>
        <w:rPr>
          <w:spacing w:val="-7"/>
        </w:rPr>
        <w:t> </w:t>
      </w:r>
      <w:r>
        <w:rPr/>
        <w:t>Sociales</w:t>
      </w:r>
    </w:p>
    <w:p>
      <w:pPr>
        <w:pStyle w:val="BodyText"/>
        <w:rPr>
          <w:b/>
        </w:rPr>
      </w:pPr>
    </w:p>
    <w:p>
      <w:pPr>
        <w:pStyle w:val="BodyText"/>
        <w:spacing w:before="6"/>
        <w:rPr>
          <w:b/>
          <w:sz w:val="23"/>
        </w:rPr>
      </w:pPr>
    </w:p>
    <w:p>
      <w:pPr>
        <w:pStyle w:val="BodyText"/>
        <w:spacing w:line="360" w:lineRule="auto"/>
        <w:ind w:left="122" w:right="122"/>
        <w:jc w:val="both"/>
      </w:pPr>
      <w:r>
        <w:rPr/>
        <w:t>El Análisis de Redes Sociales (ARS) parte del supuesto de que las relaciones entre individuos u organizaciones constituyen una estructura que puede analizarse por sí   misma.</w:t>
      </w:r>
    </w:p>
    <w:p>
      <w:pPr>
        <w:pStyle w:val="BodyText"/>
        <w:spacing w:before="4"/>
        <w:rPr>
          <w:sz w:val="26"/>
        </w:rPr>
      </w:pPr>
      <w:r>
        <w:rPr/>
        <w:pict>
          <v:line style="position:absolute;mso-position-horizontal-relative:page;mso-position-vertical-relative:paragraph;z-index:7480;mso-wrap-distance-left:0;mso-wrap-distance-right:0" from="85.103996pt,17.515751pt" to="229.123996pt,17.515751pt" stroked="true" strokeweight=".72003pt" strokecolor="#000000">
            <w10:wrap type="topAndBottom"/>
          </v:line>
        </w:pict>
      </w:r>
    </w:p>
    <w:p>
      <w:pPr>
        <w:spacing w:line="237" w:lineRule="exact" w:before="42"/>
        <w:ind w:left="122" w:right="1552" w:firstLine="0"/>
        <w:jc w:val="left"/>
        <w:rPr>
          <w:rFonts w:ascii="Arial" w:hAnsi="Arial"/>
          <w:sz w:val="18"/>
        </w:rPr>
      </w:pPr>
      <w:r>
        <w:rPr>
          <w:position w:val="9"/>
          <w:sz w:val="13"/>
        </w:rPr>
        <w:t>32</w:t>
      </w:r>
      <w:r>
        <w:rPr>
          <w:rFonts w:ascii="Arial" w:hAnsi="Arial"/>
          <w:sz w:val="18"/>
        </w:rPr>
        <w:t>Son los individuos que interactúan en la red social.</w:t>
      </w:r>
    </w:p>
    <w:p>
      <w:pPr>
        <w:spacing w:line="228" w:lineRule="exact" w:before="0"/>
        <w:ind w:left="122" w:right="1552" w:firstLine="0"/>
        <w:jc w:val="left"/>
        <w:rPr>
          <w:rFonts w:ascii="Arial" w:hAnsi="Arial"/>
          <w:sz w:val="18"/>
        </w:rPr>
      </w:pPr>
      <w:r>
        <w:rPr>
          <w:rFonts w:ascii="Arial" w:hAnsi="Arial"/>
          <w:position w:val="9"/>
          <w:sz w:val="12"/>
        </w:rPr>
        <w:t>33</w:t>
      </w:r>
      <w:r>
        <w:rPr>
          <w:rFonts w:ascii="Arial" w:hAnsi="Arial"/>
          <w:sz w:val="18"/>
        </w:rPr>
        <w:t>También llamados relaciones.</w:t>
      </w:r>
    </w:p>
    <w:p>
      <w:pPr>
        <w:spacing w:after="0" w:line="228" w:lineRule="exact"/>
        <w:jc w:val="left"/>
        <w:rPr>
          <w:rFonts w:ascii="Arial" w:hAnsi="Arial"/>
          <w:sz w:val="18"/>
        </w:rPr>
        <w:sectPr>
          <w:pgSz w:w="12240" w:h="15840"/>
          <w:pgMar w:header="0" w:footer="1003" w:top="1360" w:bottom="1200" w:left="1580" w:right="1580"/>
        </w:sectPr>
      </w:pPr>
    </w:p>
    <w:p>
      <w:pPr>
        <w:pStyle w:val="BodyText"/>
        <w:spacing w:line="360" w:lineRule="auto" w:before="50"/>
        <w:ind w:left="102" w:right="119"/>
        <w:jc w:val="both"/>
      </w:pPr>
      <w:r>
        <w:rPr/>
        <w:t>ARS fue definido por Freeman (1979) como un paradigma de investigación organizado y representado por:</w:t>
      </w:r>
    </w:p>
    <w:p>
      <w:pPr>
        <w:pStyle w:val="ListParagraph"/>
        <w:numPr>
          <w:ilvl w:val="3"/>
          <w:numId w:val="76"/>
        </w:numPr>
        <w:tabs>
          <w:tab w:pos="809" w:val="left" w:leader="none"/>
          <w:tab w:pos="810" w:val="left" w:leader="none"/>
        </w:tabs>
        <w:spacing w:line="240" w:lineRule="auto" w:before="205" w:after="0"/>
        <w:ind w:left="822" w:right="0" w:hanging="372"/>
        <w:jc w:val="left"/>
        <w:rPr>
          <w:sz w:val="24"/>
        </w:rPr>
      </w:pPr>
      <w:r>
        <w:rPr>
          <w:sz w:val="24"/>
        </w:rPr>
        <w:t>Un enfoque estructuralista basado en los lazos que unen a los actores</w:t>
      </w:r>
      <w:r>
        <w:rPr>
          <w:spacing w:val="-13"/>
          <w:sz w:val="24"/>
        </w:rPr>
        <w:t> </w:t>
      </w:r>
      <w:r>
        <w:rPr>
          <w:sz w:val="24"/>
        </w:rPr>
        <w:t>sociales.</w:t>
      </w:r>
    </w:p>
    <w:p>
      <w:pPr>
        <w:pStyle w:val="BodyText"/>
        <w:spacing w:before="3"/>
        <w:rPr>
          <w:sz w:val="29"/>
        </w:rPr>
      </w:pPr>
    </w:p>
    <w:p>
      <w:pPr>
        <w:pStyle w:val="ListParagraph"/>
        <w:numPr>
          <w:ilvl w:val="3"/>
          <w:numId w:val="76"/>
        </w:numPr>
        <w:tabs>
          <w:tab w:pos="809" w:val="left" w:leader="none"/>
          <w:tab w:pos="810" w:val="left" w:leader="none"/>
        </w:tabs>
        <w:spacing w:line="240" w:lineRule="auto" w:before="0" w:after="0"/>
        <w:ind w:left="810" w:right="0" w:hanging="360"/>
        <w:jc w:val="left"/>
        <w:rPr>
          <w:sz w:val="24"/>
        </w:rPr>
      </w:pPr>
      <w:r>
        <w:rPr>
          <w:sz w:val="24"/>
        </w:rPr>
        <w:t>Se basa en la colecta sistemática de datos</w:t>
      </w:r>
      <w:r>
        <w:rPr>
          <w:spacing w:val="-7"/>
          <w:sz w:val="24"/>
        </w:rPr>
        <w:t> </w:t>
      </w:r>
      <w:r>
        <w:rPr>
          <w:sz w:val="24"/>
        </w:rPr>
        <w:t>empíricos.</w:t>
      </w:r>
    </w:p>
    <w:p>
      <w:pPr>
        <w:pStyle w:val="BodyText"/>
        <w:spacing w:before="3"/>
        <w:rPr>
          <w:sz w:val="29"/>
        </w:rPr>
      </w:pPr>
    </w:p>
    <w:p>
      <w:pPr>
        <w:pStyle w:val="ListParagraph"/>
        <w:numPr>
          <w:ilvl w:val="3"/>
          <w:numId w:val="76"/>
        </w:numPr>
        <w:tabs>
          <w:tab w:pos="809" w:val="left" w:leader="none"/>
          <w:tab w:pos="810" w:val="left" w:leader="none"/>
        </w:tabs>
        <w:spacing w:line="240" w:lineRule="auto" w:before="0" w:after="0"/>
        <w:ind w:left="810" w:right="0" w:hanging="360"/>
        <w:jc w:val="left"/>
        <w:rPr>
          <w:sz w:val="24"/>
        </w:rPr>
      </w:pPr>
      <w:r>
        <w:rPr>
          <w:sz w:val="24"/>
        </w:rPr>
        <w:t>Recurre fuertemente a la generación de</w:t>
      </w:r>
      <w:r>
        <w:rPr>
          <w:spacing w:val="-9"/>
          <w:sz w:val="24"/>
        </w:rPr>
        <w:t> </w:t>
      </w:r>
      <w:r>
        <w:rPr>
          <w:sz w:val="24"/>
        </w:rPr>
        <w:t>visualizaciones.</w:t>
      </w:r>
    </w:p>
    <w:p>
      <w:pPr>
        <w:pStyle w:val="BodyText"/>
        <w:spacing w:before="3"/>
        <w:rPr>
          <w:sz w:val="29"/>
        </w:rPr>
      </w:pPr>
    </w:p>
    <w:p>
      <w:pPr>
        <w:pStyle w:val="ListParagraph"/>
        <w:numPr>
          <w:ilvl w:val="3"/>
          <w:numId w:val="76"/>
        </w:numPr>
        <w:tabs>
          <w:tab w:pos="809" w:val="left" w:leader="none"/>
          <w:tab w:pos="810" w:val="left" w:leader="none"/>
        </w:tabs>
        <w:spacing w:line="240" w:lineRule="auto" w:before="0" w:after="0"/>
        <w:ind w:left="810" w:right="0" w:hanging="360"/>
        <w:jc w:val="left"/>
        <w:rPr>
          <w:sz w:val="24"/>
        </w:rPr>
      </w:pPr>
      <w:r>
        <w:rPr>
          <w:sz w:val="24"/>
        </w:rPr>
        <w:t>Hace uso de modelos matemáticos y /o</w:t>
      </w:r>
      <w:r>
        <w:rPr>
          <w:spacing w:val="-8"/>
          <w:sz w:val="24"/>
        </w:rPr>
        <w:t> </w:t>
      </w:r>
      <w:r>
        <w:rPr>
          <w:sz w:val="24"/>
        </w:rPr>
        <w:t>computacionales.</w:t>
      </w:r>
    </w:p>
    <w:p>
      <w:pPr>
        <w:pStyle w:val="BodyText"/>
      </w:pPr>
    </w:p>
    <w:p>
      <w:pPr>
        <w:pStyle w:val="BodyText"/>
      </w:pPr>
    </w:p>
    <w:p>
      <w:pPr>
        <w:pStyle w:val="BodyText"/>
        <w:spacing w:before="9"/>
        <w:rPr>
          <w:sz w:val="34"/>
        </w:rPr>
      </w:pPr>
    </w:p>
    <w:p>
      <w:pPr>
        <w:pStyle w:val="BodyText"/>
        <w:spacing w:line="360" w:lineRule="auto"/>
        <w:ind w:left="102" w:right="115"/>
        <w:jc w:val="both"/>
      </w:pPr>
      <w:r>
        <w:rPr/>
        <w:t>Y como </w:t>
      </w:r>
      <w:r>
        <w:rPr>
          <w:spacing w:val="-3"/>
        </w:rPr>
        <w:t>ya </w:t>
      </w:r>
      <w:r>
        <w:rPr/>
        <w:t>se mencionó el análisis de redes sociales considera la estructura social como  una red de relaciones entre actores sociales (Faust EN Mendieta y Schmidt, 2002) en la  que:</w:t>
      </w:r>
    </w:p>
    <w:p>
      <w:pPr>
        <w:pStyle w:val="ListParagraph"/>
        <w:numPr>
          <w:ilvl w:val="3"/>
          <w:numId w:val="76"/>
        </w:numPr>
        <w:tabs>
          <w:tab w:pos="821" w:val="left" w:leader="none"/>
          <w:tab w:pos="822" w:val="left" w:leader="none"/>
        </w:tabs>
        <w:spacing w:line="352" w:lineRule="auto" w:before="205" w:after="0"/>
        <w:ind w:left="822" w:right="123" w:hanging="360"/>
        <w:jc w:val="left"/>
        <w:rPr>
          <w:sz w:val="24"/>
        </w:rPr>
      </w:pPr>
      <w:r>
        <w:rPr>
          <w:sz w:val="24"/>
        </w:rPr>
        <w:t>Se ve a los actores y sus acciones como unidades interdependientes y no como unidades autónomas</w:t>
      </w:r>
      <w:r>
        <w:rPr>
          <w:spacing w:val="-6"/>
          <w:sz w:val="24"/>
        </w:rPr>
        <w:t> </w:t>
      </w:r>
      <w:r>
        <w:rPr>
          <w:sz w:val="24"/>
        </w:rPr>
        <w:t>independientes.</w:t>
      </w:r>
    </w:p>
    <w:p>
      <w:pPr>
        <w:pStyle w:val="ListParagraph"/>
        <w:numPr>
          <w:ilvl w:val="3"/>
          <w:numId w:val="76"/>
        </w:numPr>
        <w:tabs>
          <w:tab w:pos="821" w:val="left" w:leader="none"/>
          <w:tab w:pos="822" w:val="left" w:leader="none"/>
        </w:tabs>
        <w:spacing w:line="350" w:lineRule="auto" w:before="213" w:after="0"/>
        <w:ind w:left="822" w:right="122" w:hanging="360"/>
        <w:jc w:val="left"/>
        <w:rPr>
          <w:sz w:val="24"/>
        </w:rPr>
      </w:pPr>
      <w:r>
        <w:rPr>
          <w:sz w:val="24"/>
        </w:rPr>
        <w:t>Los vínculos relacionales (lazos) entre actores son canales por donde fluye o se transfieren recursos (materiales o</w:t>
      </w:r>
      <w:r>
        <w:rPr>
          <w:spacing w:val="-8"/>
          <w:sz w:val="24"/>
        </w:rPr>
        <w:t> </w:t>
      </w:r>
      <w:r>
        <w:rPr>
          <w:sz w:val="24"/>
        </w:rPr>
        <w:t>no).</w:t>
      </w:r>
    </w:p>
    <w:p>
      <w:pPr>
        <w:pStyle w:val="ListParagraph"/>
        <w:numPr>
          <w:ilvl w:val="3"/>
          <w:numId w:val="76"/>
        </w:numPr>
        <w:tabs>
          <w:tab w:pos="821" w:val="left" w:leader="none"/>
          <w:tab w:pos="822" w:val="left" w:leader="none"/>
        </w:tabs>
        <w:spacing w:line="352" w:lineRule="auto" w:before="215" w:after="0"/>
        <w:ind w:left="822" w:right="123" w:hanging="360"/>
        <w:jc w:val="left"/>
        <w:rPr>
          <w:sz w:val="24"/>
        </w:rPr>
      </w:pPr>
      <w:r>
        <w:rPr>
          <w:sz w:val="24"/>
        </w:rPr>
        <w:t>Conceptualiza la estructura como patrones perdurables de las relaciones entre los actores.</w:t>
      </w:r>
    </w:p>
    <w:p>
      <w:pPr>
        <w:pStyle w:val="ListParagraph"/>
        <w:numPr>
          <w:ilvl w:val="3"/>
          <w:numId w:val="76"/>
        </w:numPr>
        <w:tabs>
          <w:tab w:pos="821" w:val="left" w:leader="none"/>
          <w:tab w:pos="822" w:val="left" w:leader="none"/>
        </w:tabs>
        <w:spacing w:line="350" w:lineRule="auto" w:before="213" w:after="0"/>
        <w:ind w:left="822" w:right="121" w:hanging="360"/>
        <w:jc w:val="left"/>
        <w:rPr>
          <w:sz w:val="24"/>
        </w:rPr>
      </w:pPr>
      <w:r>
        <w:rPr>
          <w:sz w:val="24"/>
        </w:rPr>
        <w:t>Se ve al ambiente estructural de la red como proveedor de oportunidades o restricciones sobre las acciones del</w:t>
      </w:r>
      <w:r>
        <w:rPr>
          <w:spacing w:val="-8"/>
          <w:sz w:val="24"/>
        </w:rPr>
        <w:t> </w:t>
      </w:r>
      <w:r>
        <w:rPr>
          <w:sz w:val="24"/>
        </w:rPr>
        <w:t>individuo.</w:t>
      </w:r>
    </w:p>
    <w:p>
      <w:pPr>
        <w:pStyle w:val="BodyText"/>
      </w:pPr>
    </w:p>
    <w:p>
      <w:pPr>
        <w:pStyle w:val="BodyText"/>
        <w:spacing w:before="5"/>
        <w:rPr>
          <w:sz w:val="19"/>
        </w:rPr>
      </w:pPr>
    </w:p>
    <w:p>
      <w:pPr>
        <w:pStyle w:val="Heading3"/>
        <w:numPr>
          <w:ilvl w:val="2"/>
          <w:numId w:val="76"/>
        </w:numPr>
        <w:tabs>
          <w:tab w:pos="810" w:val="left" w:leader="none"/>
        </w:tabs>
        <w:spacing w:line="240" w:lineRule="auto" w:before="0" w:after="0"/>
        <w:ind w:left="810" w:right="0" w:hanging="708"/>
        <w:jc w:val="both"/>
      </w:pPr>
      <w:bookmarkStart w:name="_bookmark81" w:id="148"/>
      <w:bookmarkEnd w:id="148"/>
      <w:r>
        <w:rPr>
          <w:b w:val="0"/>
        </w:rPr>
      </w:r>
      <w:bookmarkStart w:name="_bookmark81" w:id="149"/>
      <w:bookmarkEnd w:id="149"/>
      <w:r>
        <w:rPr/>
        <w:t>M</w:t>
      </w:r>
      <w:r>
        <w:rPr/>
        <w:t>odelo matemático de las redes</w:t>
      </w:r>
      <w:r>
        <w:rPr>
          <w:spacing w:val="-11"/>
        </w:rPr>
        <w:t> </w:t>
      </w:r>
      <w:r>
        <w:rPr/>
        <w:t>sociales</w:t>
      </w:r>
    </w:p>
    <w:p>
      <w:pPr>
        <w:pStyle w:val="BodyText"/>
        <w:rPr>
          <w:b/>
        </w:rPr>
      </w:pPr>
    </w:p>
    <w:p>
      <w:pPr>
        <w:pStyle w:val="BodyText"/>
        <w:spacing w:before="6"/>
        <w:rPr>
          <w:b/>
          <w:sz w:val="23"/>
        </w:rPr>
      </w:pPr>
    </w:p>
    <w:p>
      <w:pPr>
        <w:pStyle w:val="BodyText"/>
        <w:spacing w:line="360" w:lineRule="auto"/>
        <w:ind w:left="102" w:right="118"/>
        <w:jc w:val="both"/>
      </w:pPr>
      <w:r>
        <w:rPr/>
        <w:t>El modelo matemático de una red social se formula a partir de los nodos que representan a los individuos y las aristas, que representan a los vínculos que los unen. A la representación</w:t>
      </w:r>
    </w:p>
    <w:p>
      <w:pPr>
        <w:spacing w:after="0" w:line="360" w:lineRule="auto"/>
        <w:jc w:val="both"/>
        <w:sectPr>
          <w:pgSz w:w="12240" w:h="15840"/>
          <w:pgMar w:header="0" w:footer="1003" w:top="1360" w:bottom="1200" w:left="1600" w:right="1580"/>
        </w:sectPr>
      </w:pPr>
    </w:p>
    <w:p>
      <w:pPr>
        <w:pStyle w:val="BodyText"/>
        <w:spacing w:line="331" w:lineRule="auto" w:before="50"/>
        <w:ind w:left="122" w:right="192"/>
      </w:pPr>
      <w:r>
        <w:rPr/>
        <w:t>gráfica se le denomina </w:t>
      </w:r>
      <w:r>
        <w:rPr>
          <w:i/>
        </w:rPr>
        <w:t>grafo</w:t>
      </w:r>
      <w:r>
        <w:rPr/>
        <w:t>, cuyo padre y autor de dicha denominación fue el matemático Leonhard Euler en 1730</w:t>
      </w:r>
      <w:r>
        <w:rPr>
          <w:position w:val="11"/>
          <w:sz w:val="16"/>
        </w:rPr>
        <w:t>34</w:t>
      </w:r>
      <w:r>
        <w:rPr/>
        <w:t>.</w:t>
      </w:r>
    </w:p>
    <w:p>
      <w:pPr>
        <w:spacing w:before="222"/>
        <w:ind w:left="122" w:right="1552" w:firstLine="0"/>
        <w:jc w:val="left"/>
        <w:rPr>
          <w:b/>
          <w:i/>
          <w:sz w:val="24"/>
        </w:rPr>
      </w:pPr>
      <w:r>
        <w:rPr>
          <w:sz w:val="24"/>
        </w:rPr>
        <w:t>Así, un grafo es: </w:t>
      </w:r>
      <w:r>
        <w:rPr>
          <w:b/>
          <w:i/>
          <w:sz w:val="24"/>
        </w:rPr>
        <w:t>G= {V, X}</w:t>
      </w:r>
    </w:p>
    <w:p>
      <w:pPr>
        <w:pStyle w:val="BodyText"/>
        <w:spacing w:before="4"/>
        <w:rPr>
          <w:b/>
          <w:i/>
          <w:sz w:val="29"/>
        </w:rPr>
      </w:pPr>
    </w:p>
    <w:p>
      <w:pPr>
        <w:pStyle w:val="BodyText"/>
        <w:spacing w:line="360" w:lineRule="auto" w:before="1"/>
        <w:ind w:left="122" w:right="8022"/>
      </w:pPr>
      <w:r>
        <w:rPr/>
        <w:t>Donde: G =</w:t>
      </w:r>
      <w:r>
        <w:rPr>
          <w:spacing w:val="-4"/>
        </w:rPr>
        <w:t> </w:t>
      </w:r>
      <w:r>
        <w:rPr/>
        <w:t>grafo</w:t>
      </w:r>
    </w:p>
    <w:p>
      <w:pPr>
        <w:pStyle w:val="BodyText"/>
        <w:spacing w:line="360" w:lineRule="auto" w:before="6"/>
        <w:ind w:left="122" w:right="6369"/>
      </w:pPr>
      <w:r>
        <w:rPr/>
        <w:t>V= conjunto de individuos X = conjunto de vínculos</w:t>
      </w:r>
    </w:p>
    <w:p>
      <w:pPr>
        <w:pStyle w:val="BodyText"/>
      </w:pPr>
    </w:p>
    <w:p>
      <w:pPr>
        <w:pStyle w:val="BodyText"/>
        <w:spacing w:line="360" w:lineRule="auto" w:before="143"/>
        <w:ind w:left="122" w:right="262"/>
      </w:pPr>
      <w:r>
        <w:rPr/>
        <w:t>Representa a un conjunto de individuos y al conjunto de vínculos que los unen par a par; visualmente esto es:</w:t>
      </w:r>
    </w:p>
    <w:p>
      <w:pPr>
        <w:pStyle w:val="Heading3"/>
        <w:spacing w:before="11"/>
        <w:ind w:left="115" w:right="115"/>
        <w:jc w:val="center"/>
      </w:pPr>
      <w:r>
        <w:rPr/>
        <w:t>Grafo: red social</w:t>
      </w:r>
    </w:p>
    <w:p>
      <w:pPr>
        <w:pStyle w:val="BodyText"/>
        <w:rPr>
          <w:b/>
          <w:sz w:val="26"/>
        </w:rPr>
      </w:pPr>
      <w:r>
        <w:rPr/>
        <w:drawing>
          <wp:anchor distT="0" distB="0" distL="0" distR="0" allowOverlap="1" layoutInCell="1" locked="0" behindDoc="0" simplePos="0" relativeHeight="7504">
            <wp:simplePos x="0" y="0"/>
            <wp:positionH relativeFrom="page">
              <wp:posOffset>2743454</wp:posOffset>
            </wp:positionH>
            <wp:positionV relativeFrom="paragraph">
              <wp:posOffset>214811</wp:posOffset>
            </wp:positionV>
            <wp:extent cx="2303011" cy="1707642"/>
            <wp:effectExtent l="0" t="0" r="0" b="0"/>
            <wp:wrapTopAndBottom/>
            <wp:docPr id="61" name="image79.jpeg" descr=""/>
            <wp:cNvGraphicFramePr>
              <a:graphicFrameLocks noChangeAspect="1"/>
            </wp:cNvGraphicFramePr>
            <a:graphic>
              <a:graphicData uri="http://schemas.openxmlformats.org/drawingml/2006/picture">
                <pic:pic>
                  <pic:nvPicPr>
                    <pic:cNvPr id="62" name="image79.jpeg"/>
                    <pic:cNvPicPr/>
                  </pic:nvPicPr>
                  <pic:blipFill>
                    <a:blip r:embed="rId119" cstate="print"/>
                    <a:stretch>
                      <a:fillRect/>
                    </a:stretch>
                  </pic:blipFill>
                  <pic:spPr>
                    <a:xfrm>
                      <a:off x="0" y="0"/>
                      <a:ext cx="2303011" cy="1707642"/>
                    </a:xfrm>
                    <a:prstGeom prst="rect">
                      <a:avLst/>
                    </a:prstGeom>
                  </pic:spPr>
                </pic:pic>
              </a:graphicData>
            </a:graphic>
          </wp:anchor>
        </w:drawing>
      </w:r>
    </w:p>
    <w:p>
      <w:pPr>
        <w:pStyle w:val="BodyText"/>
        <w:spacing w:before="10"/>
        <w:rPr>
          <w:b/>
          <w:sz w:val="25"/>
        </w:rPr>
      </w:pPr>
    </w:p>
    <w:p>
      <w:pPr>
        <w:spacing w:before="0"/>
        <w:ind w:left="109" w:right="115" w:firstLine="0"/>
        <w:jc w:val="center"/>
        <w:rPr>
          <w:sz w:val="20"/>
        </w:rPr>
      </w:pPr>
      <w:r>
        <w:rPr>
          <w:sz w:val="20"/>
        </w:rPr>
        <w:t>Fuente: adaptado del grafo con base en Faust EN Mendieta y Schmidt, 2002</w:t>
      </w:r>
    </w:p>
    <w:p>
      <w:pPr>
        <w:pStyle w:val="BodyText"/>
        <w:rPr>
          <w:sz w:val="20"/>
        </w:rPr>
      </w:pPr>
    </w:p>
    <w:p>
      <w:pPr>
        <w:pStyle w:val="BodyText"/>
        <w:rPr>
          <w:sz w:val="20"/>
        </w:rPr>
      </w:pPr>
    </w:p>
    <w:p>
      <w:pPr>
        <w:pStyle w:val="Heading3"/>
        <w:numPr>
          <w:ilvl w:val="2"/>
          <w:numId w:val="76"/>
        </w:numPr>
        <w:tabs>
          <w:tab w:pos="830" w:val="left" w:leader="none"/>
        </w:tabs>
        <w:spacing w:line="240" w:lineRule="auto" w:before="136" w:after="0"/>
        <w:ind w:left="830" w:right="0" w:hanging="708"/>
        <w:jc w:val="both"/>
      </w:pPr>
      <w:bookmarkStart w:name="_bookmark82" w:id="150"/>
      <w:bookmarkEnd w:id="150"/>
      <w:r>
        <w:rPr>
          <w:b w:val="0"/>
        </w:rPr>
      </w:r>
      <w:bookmarkStart w:name="_bookmark82" w:id="151"/>
      <w:bookmarkEnd w:id="151"/>
      <w:r>
        <w:rPr/>
        <w:t>P</w:t>
      </w:r>
      <w:r>
        <w:rPr/>
        <w:t>ropiedades de la red</w:t>
      </w:r>
      <w:r>
        <w:rPr>
          <w:spacing w:val="-7"/>
        </w:rPr>
        <w:t> </w:t>
      </w:r>
      <w:r>
        <w:rPr/>
        <w:t>social</w:t>
      </w:r>
    </w:p>
    <w:p>
      <w:pPr>
        <w:pStyle w:val="BodyText"/>
        <w:rPr>
          <w:b/>
        </w:rPr>
      </w:pPr>
    </w:p>
    <w:p>
      <w:pPr>
        <w:pStyle w:val="BodyText"/>
        <w:spacing w:before="6"/>
        <w:rPr>
          <w:b/>
          <w:sz w:val="23"/>
        </w:rPr>
      </w:pPr>
    </w:p>
    <w:p>
      <w:pPr>
        <w:pStyle w:val="BodyText"/>
        <w:spacing w:line="360" w:lineRule="auto"/>
        <w:ind w:left="122" w:right="124"/>
        <w:jc w:val="both"/>
      </w:pPr>
      <w:r>
        <w:rPr/>
        <w:t>Cuando dos puntos están conectados directamente por una arista, se dice que son adyacentes. El número de puntos de los cuales un determinado punto es adyacente se conoce como el </w:t>
      </w:r>
      <w:r>
        <w:rPr>
          <w:b/>
        </w:rPr>
        <w:t>grado </w:t>
      </w:r>
      <w:r>
        <w:rPr/>
        <w:t>de ese punto.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3"/>
        </w:rPr>
      </w:pPr>
      <w:r>
        <w:rPr/>
        <w:pict>
          <v:line style="position:absolute;mso-position-horizontal-relative:page;mso-position-vertical-relative:paragraph;z-index:7528;mso-wrap-distance-left:0;mso-wrap-distance-right:0" from="85.103996pt,10.32161pt" to="229.123996pt,10.32161pt" stroked="true" strokeweight=".72003pt" strokecolor="#000000">
            <w10:wrap type="topAndBottom"/>
          </v:line>
        </w:pict>
      </w:r>
    </w:p>
    <w:p>
      <w:pPr>
        <w:spacing w:before="42"/>
        <w:ind w:left="122" w:right="1552" w:firstLine="0"/>
        <w:jc w:val="left"/>
        <w:rPr>
          <w:sz w:val="18"/>
        </w:rPr>
      </w:pPr>
      <w:r>
        <w:rPr>
          <w:position w:val="10"/>
          <w:sz w:val="14"/>
        </w:rPr>
        <w:t>34</w:t>
      </w:r>
      <w:r>
        <w:rPr>
          <w:sz w:val="18"/>
        </w:rPr>
        <w:t>Para más información se recomienda revisar el tema de "los puentes de Königsberg".</w:t>
      </w:r>
    </w:p>
    <w:p>
      <w:pPr>
        <w:spacing w:after="0"/>
        <w:jc w:val="left"/>
        <w:rPr>
          <w:sz w:val="18"/>
        </w:rPr>
        <w:sectPr>
          <w:pgSz w:w="12240" w:h="15840"/>
          <w:pgMar w:header="0" w:footer="1003" w:top="1360" w:bottom="1200" w:left="1580" w:right="1580"/>
        </w:sectPr>
      </w:pPr>
    </w:p>
    <w:p>
      <w:pPr>
        <w:pStyle w:val="Heading3"/>
        <w:ind w:right="16"/>
        <w:jc w:val="center"/>
      </w:pPr>
      <w:r>
        <w:rPr/>
        <w:t>Grafo con cinco puntos</w:t>
      </w:r>
    </w:p>
    <w:p>
      <w:pPr>
        <w:pStyle w:val="BodyText"/>
        <w:spacing w:before="8"/>
        <w:rPr>
          <w:b/>
          <w:sz w:val="8"/>
        </w:rPr>
      </w:pPr>
      <w:r>
        <w:rPr/>
        <w:drawing>
          <wp:anchor distT="0" distB="0" distL="0" distR="0" allowOverlap="1" layoutInCell="1" locked="0" behindDoc="0" simplePos="0" relativeHeight="7552">
            <wp:simplePos x="0" y="0"/>
            <wp:positionH relativeFrom="page">
              <wp:posOffset>3086226</wp:posOffset>
            </wp:positionH>
            <wp:positionV relativeFrom="paragraph">
              <wp:posOffset>88700</wp:posOffset>
            </wp:positionV>
            <wp:extent cx="1610667" cy="1783079"/>
            <wp:effectExtent l="0" t="0" r="0" b="0"/>
            <wp:wrapTopAndBottom/>
            <wp:docPr id="63" name="image80.jpeg" descr=""/>
            <wp:cNvGraphicFramePr>
              <a:graphicFrameLocks noChangeAspect="1"/>
            </wp:cNvGraphicFramePr>
            <a:graphic>
              <a:graphicData uri="http://schemas.openxmlformats.org/drawingml/2006/picture">
                <pic:pic>
                  <pic:nvPicPr>
                    <pic:cNvPr id="64" name="image80.jpeg"/>
                    <pic:cNvPicPr/>
                  </pic:nvPicPr>
                  <pic:blipFill>
                    <a:blip r:embed="rId121" cstate="print"/>
                    <a:stretch>
                      <a:fillRect/>
                    </a:stretch>
                  </pic:blipFill>
                  <pic:spPr>
                    <a:xfrm>
                      <a:off x="0" y="0"/>
                      <a:ext cx="1610667" cy="1783079"/>
                    </a:xfrm>
                    <a:prstGeom prst="rect">
                      <a:avLst/>
                    </a:prstGeom>
                  </pic:spPr>
                </pic:pic>
              </a:graphicData>
            </a:graphic>
          </wp:anchor>
        </w:drawing>
      </w:r>
    </w:p>
    <w:p>
      <w:pPr>
        <w:spacing w:before="114"/>
        <w:ind w:left="0" w:right="18" w:firstLine="0"/>
        <w:jc w:val="center"/>
        <w:rPr>
          <w:sz w:val="20"/>
        </w:rPr>
      </w:pPr>
      <w:r>
        <w:rPr>
          <w:sz w:val="20"/>
        </w:rPr>
        <w:t>Fuente: Freeman, 1979.</w:t>
      </w:r>
    </w:p>
    <w:p>
      <w:pPr>
        <w:pStyle w:val="BodyText"/>
        <w:rPr>
          <w:sz w:val="20"/>
        </w:rPr>
      </w:pPr>
    </w:p>
    <w:p>
      <w:pPr>
        <w:pStyle w:val="BodyText"/>
        <w:spacing w:before="2"/>
        <w:rPr>
          <w:sz w:val="26"/>
        </w:rPr>
      </w:pPr>
    </w:p>
    <w:p>
      <w:pPr>
        <w:pStyle w:val="BodyText"/>
        <w:spacing w:line="360" w:lineRule="auto" w:before="1"/>
        <w:ind w:left="102" w:right="123"/>
        <w:jc w:val="both"/>
      </w:pPr>
      <w:r>
        <w:rPr/>
        <w:t>Dado un par de puntos no ordenado, (pi , pj.), cada uno es alcanzable desde el otro, si y</w:t>
      </w:r>
      <w:r>
        <w:rPr>
          <w:spacing w:val="-13"/>
        </w:rPr>
        <w:t> </w:t>
      </w:r>
      <w:r>
        <w:rPr/>
        <w:t>sólo sí</w:t>
      </w:r>
      <w:r>
        <w:rPr>
          <w:spacing w:val="33"/>
        </w:rPr>
        <w:t> </w:t>
      </w:r>
      <w:r>
        <w:rPr/>
        <w:t>existe</w:t>
      </w:r>
      <w:r>
        <w:rPr>
          <w:spacing w:val="31"/>
        </w:rPr>
        <w:t> </w:t>
      </w:r>
      <w:r>
        <w:rPr/>
        <w:t>un</w:t>
      </w:r>
      <w:r>
        <w:rPr>
          <w:spacing w:val="32"/>
        </w:rPr>
        <w:t> </w:t>
      </w:r>
      <w:r>
        <w:rPr/>
        <w:t>camino,</w:t>
      </w:r>
      <w:r>
        <w:rPr>
          <w:spacing w:val="32"/>
        </w:rPr>
        <w:t> </w:t>
      </w:r>
      <w:r>
        <w:rPr/>
        <w:t>es</w:t>
      </w:r>
      <w:r>
        <w:rPr>
          <w:spacing w:val="30"/>
        </w:rPr>
        <w:t> </w:t>
      </w:r>
      <w:r>
        <w:rPr/>
        <w:t>decir,</w:t>
      </w:r>
      <w:r>
        <w:rPr>
          <w:spacing w:val="32"/>
        </w:rPr>
        <w:t> </w:t>
      </w:r>
      <w:r>
        <w:rPr/>
        <w:t>una</w:t>
      </w:r>
      <w:r>
        <w:rPr>
          <w:spacing w:val="31"/>
        </w:rPr>
        <w:t> </w:t>
      </w:r>
      <w:r>
        <w:rPr/>
        <w:t>secuencia</w:t>
      </w:r>
      <w:r>
        <w:rPr>
          <w:spacing w:val="31"/>
        </w:rPr>
        <w:t> </w:t>
      </w:r>
      <w:r>
        <w:rPr/>
        <w:t>de</w:t>
      </w:r>
      <w:r>
        <w:rPr>
          <w:spacing w:val="31"/>
        </w:rPr>
        <w:t> </w:t>
      </w:r>
      <w:r>
        <w:rPr/>
        <w:t>una</w:t>
      </w:r>
      <w:r>
        <w:rPr>
          <w:spacing w:val="31"/>
        </w:rPr>
        <w:t> </w:t>
      </w:r>
      <w:r>
        <w:rPr/>
        <w:t>o</w:t>
      </w:r>
      <w:r>
        <w:rPr>
          <w:spacing w:val="32"/>
        </w:rPr>
        <w:t> </w:t>
      </w:r>
      <w:r>
        <w:rPr/>
        <w:t>más</w:t>
      </w:r>
      <w:r>
        <w:rPr>
          <w:spacing w:val="32"/>
        </w:rPr>
        <w:t> </w:t>
      </w:r>
      <w:r>
        <w:rPr/>
        <w:t>aristas,</w:t>
      </w:r>
      <w:r>
        <w:rPr>
          <w:spacing w:val="32"/>
        </w:rPr>
        <w:t> </w:t>
      </w:r>
      <w:r>
        <w:rPr/>
        <w:t>(pi</w:t>
      </w:r>
      <w:r>
        <w:rPr>
          <w:spacing w:val="32"/>
        </w:rPr>
        <w:t> </w:t>
      </w:r>
      <w:r>
        <w:rPr/>
        <w:t>,pa),</w:t>
      </w:r>
      <w:r>
        <w:rPr>
          <w:spacing w:val="31"/>
        </w:rPr>
        <w:t> </w:t>
      </w:r>
      <w:r>
        <w:rPr/>
        <w:t>(pa</w:t>
      </w:r>
      <w:r>
        <w:rPr>
          <w:spacing w:val="30"/>
        </w:rPr>
        <w:t> </w:t>
      </w:r>
      <w:r>
        <w:rPr/>
        <w:t>,pb),</w:t>
      </w:r>
      <w:r>
        <w:rPr>
          <w:spacing w:val="31"/>
        </w:rPr>
        <w:t> </w:t>
      </w:r>
      <w:r>
        <w:rPr/>
        <w:t>(pb</w:t>
      </w:r>
    </w:p>
    <w:p>
      <w:pPr>
        <w:pStyle w:val="BodyText"/>
        <w:spacing w:before="6"/>
        <w:ind w:left="102"/>
        <w:jc w:val="both"/>
      </w:pPr>
      <w:r>
        <w:rPr/>
        <w:t>,pc),...,(pz ,pj), que comienza en pi y, quizá, pasando a través de puntos intermedios, pa , pb</w:t>
      </w:r>
    </w:p>
    <w:p>
      <w:pPr>
        <w:pStyle w:val="BodyText"/>
        <w:spacing w:line="360" w:lineRule="auto" w:before="137"/>
        <w:ind w:left="102" w:right="115"/>
        <w:jc w:val="both"/>
      </w:pPr>
      <w:r>
        <w:rPr/>
        <w:t>, pc ,…, pj. Un camino que comienza y termina en el mismo punto es un </w:t>
      </w:r>
      <w:r>
        <w:rPr>
          <w:b/>
        </w:rPr>
        <w:t>ciclo</w:t>
      </w:r>
      <w:r>
        <w:rPr/>
        <w:t>. Cuando  cada uno de los puntos es alcanzable desde cualquier otro punto, el grafo se llama </w:t>
      </w:r>
      <w:r>
        <w:rPr>
          <w:b/>
        </w:rPr>
        <w:t>conexo</w:t>
      </w:r>
      <w:r>
        <w:rPr/>
        <w:t>. A cada camino se asocia una distancia, que es igual al número de aristas de ese camino. El camino más corto entre un par de puntos se llama </w:t>
      </w:r>
      <w:r>
        <w:rPr>
          <w:b/>
        </w:rPr>
        <w:t>geodésico </w:t>
      </w:r>
      <w:r>
        <w:rPr/>
        <w:t>(Freeman,</w:t>
      </w:r>
      <w:r>
        <w:rPr>
          <w:spacing w:val="-9"/>
        </w:rPr>
        <w:t> </w:t>
      </w:r>
      <w:r>
        <w:rPr/>
        <w:t>1979).</w:t>
      </w:r>
    </w:p>
    <w:p>
      <w:pPr>
        <w:pStyle w:val="BodyText"/>
      </w:pPr>
    </w:p>
    <w:p>
      <w:pPr>
        <w:pStyle w:val="Heading3"/>
        <w:numPr>
          <w:ilvl w:val="1"/>
          <w:numId w:val="76"/>
        </w:numPr>
        <w:tabs>
          <w:tab w:pos="810" w:val="left" w:leader="none"/>
        </w:tabs>
        <w:spacing w:line="240" w:lineRule="auto" w:before="213" w:after="0"/>
        <w:ind w:left="810" w:right="0" w:hanging="708"/>
        <w:jc w:val="both"/>
      </w:pPr>
      <w:bookmarkStart w:name="_bookmark83" w:id="152"/>
      <w:bookmarkEnd w:id="152"/>
      <w:r>
        <w:rPr>
          <w:b w:val="0"/>
        </w:rPr>
      </w:r>
      <w:bookmarkStart w:name="_bookmark83" w:id="153"/>
      <w:bookmarkEnd w:id="153"/>
      <w:r>
        <w:rPr/>
        <w:t>Anális</w:t>
      </w:r>
      <w:r>
        <w:rPr/>
        <w:t>is de resultados redes</w:t>
      </w:r>
      <w:r>
        <w:rPr>
          <w:spacing w:val="-9"/>
        </w:rPr>
        <w:t> </w:t>
      </w:r>
      <w:r>
        <w:rPr/>
        <w:t>sociales</w:t>
      </w:r>
    </w:p>
    <w:p>
      <w:pPr>
        <w:pStyle w:val="BodyText"/>
        <w:rPr>
          <w:b/>
        </w:rPr>
      </w:pPr>
    </w:p>
    <w:p>
      <w:pPr>
        <w:pStyle w:val="BodyText"/>
        <w:spacing w:line="360" w:lineRule="auto" w:before="163"/>
        <w:ind w:left="102"/>
      </w:pPr>
      <w:r>
        <w:rPr/>
        <w:t>En esta sección se emplean únicamente las preguntas que corresponden al apartado de las redes sociales en el cuestionario.</w:t>
      </w:r>
    </w:p>
    <w:p>
      <w:pPr>
        <w:pStyle w:val="BodyText"/>
      </w:pPr>
    </w:p>
    <w:p>
      <w:pPr>
        <w:pStyle w:val="BodyText"/>
        <w:spacing w:line="360" w:lineRule="auto" w:before="143"/>
        <w:ind w:left="102" w:right="118"/>
        <w:jc w:val="both"/>
      </w:pPr>
      <w:r>
        <w:rPr/>
        <w:t>Como se expuso en el apartado anterior, una red social se entiende como el sistema de relaciones y/o contactos que vinculan organizaciones o actores entre sí. Dicho vínculo puede referirse a bienes materiales, información o tecnología. Por tanto, para el caso de estudio de este trabajo la información de cómo se insertan al mercado de trabajo es el vínculo de estudio, y los actores son los egresados de la licenciatura de economía de la UAEMéx de las generaciones 2000 a</w:t>
      </w:r>
      <w:r>
        <w:rPr>
          <w:spacing w:val="-6"/>
        </w:rPr>
        <w:t> </w:t>
      </w:r>
      <w:r>
        <w:rPr/>
        <w:t>2010.</w:t>
      </w:r>
    </w:p>
    <w:p>
      <w:pPr>
        <w:spacing w:after="0" w:line="360" w:lineRule="auto"/>
        <w:jc w:val="both"/>
        <w:sectPr>
          <w:footerReference w:type="default" r:id="rId120"/>
          <w:pgSz w:w="12240" w:h="15840"/>
          <w:pgMar w:footer="1003" w:header="0" w:top="1360" w:bottom="1200" w:left="1600" w:right="1580"/>
          <w:pgNumType w:start="170"/>
        </w:sectPr>
      </w:pPr>
    </w:p>
    <w:p>
      <w:pPr>
        <w:pStyle w:val="BodyText"/>
        <w:spacing w:line="360" w:lineRule="auto" w:before="50"/>
        <w:ind w:left="102" w:right="136"/>
        <w:jc w:val="both"/>
      </w:pPr>
      <w:r>
        <w:rPr/>
        <w:t>Teóricamente, se espera que a mayor número de vínculos el sujeto en análisis tendrá más facilidad de incorporarse al mercado laboral, y por el contrario un individuo aislado se considera que su inserción al empleo no está en función del número de familiares o amigos que tenga.</w:t>
      </w:r>
    </w:p>
    <w:p>
      <w:pPr>
        <w:pStyle w:val="BodyText"/>
      </w:pPr>
    </w:p>
    <w:p>
      <w:pPr>
        <w:pStyle w:val="Heading3"/>
        <w:spacing w:before="148"/>
        <w:ind w:left="71" w:right="115"/>
        <w:jc w:val="center"/>
      </w:pPr>
      <w:r>
        <w:rPr/>
        <w:t>Gráfica 7.1. Red social – segmentación por generación</w:t>
      </w:r>
    </w:p>
    <w:p>
      <w:pPr>
        <w:pStyle w:val="BodyText"/>
        <w:rPr>
          <w:b/>
          <w:sz w:val="26"/>
        </w:rPr>
      </w:pPr>
      <w:r>
        <w:rPr/>
        <w:drawing>
          <wp:anchor distT="0" distB="0" distL="0" distR="0" allowOverlap="1" layoutInCell="1" locked="0" behindDoc="0" simplePos="0" relativeHeight="7576">
            <wp:simplePos x="0" y="0"/>
            <wp:positionH relativeFrom="page">
              <wp:posOffset>1099185</wp:posOffset>
            </wp:positionH>
            <wp:positionV relativeFrom="paragraph">
              <wp:posOffset>215192</wp:posOffset>
            </wp:positionV>
            <wp:extent cx="5644654" cy="2479833"/>
            <wp:effectExtent l="0" t="0" r="0" b="0"/>
            <wp:wrapTopAndBottom/>
            <wp:docPr id="65" name="image81.jpeg" descr=""/>
            <wp:cNvGraphicFramePr>
              <a:graphicFrameLocks noChangeAspect="1"/>
            </wp:cNvGraphicFramePr>
            <a:graphic>
              <a:graphicData uri="http://schemas.openxmlformats.org/drawingml/2006/picture">
                <pic:pic>
                  <pic:nvPicPr>
                    <pic:cNvPr id="66" name="image81.jpeg"/>
                    <pic:cNvPicPr/>
                  </pic:nvPicPr>
                  <pic:blipFill>
                    <a:blip r:embed="rId122" cstate="print"/>
                    <a:stretch>
                      <a:fillRect/>
                    </a:stretch>
                  </pic:blipFill>
                  <pic:spPr>
                    <a:xfrm>
                      <a:off x="0" y="0"/>
                      <a:ext cx="5644654" cy="2479833"/>
                    </a:xfrm>
                    <a:prstGeom prst="rect">
                      <a:avLst/>
                    </a:prstGeom>
                  </pic:spPr>
                </pic:pic>
              </a:graphicData>
            </a:graphic>
          </wp:anchor>
        </w:drawing>
      </w:r>
    </w:p>
    <w:p>
      <w:pPr>
        <w:pStyle w:val="BodyText"/>
        <w:spacing w:before="3"/>
        <w:rPr>
          <w:b/>
        </w:rPr>
      </w:pPr>
    </w:p>
    <w:p>
      <w:pPr>
        <w:spacing w:before="0"/>
        <w:ind w:left="314" w:right="354" w:firstLine="0"/>
        <w:jc w:val="center"/>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spacing w:before="2"/>
        <w:rPr>
          <w:sz w:val="16"/>
        </w:rPr>
      </w:pPr>
    </w:p>
    <w:p>
      <w:pPr>
        <w:pStyle w:val="BodyText"/>
        <w:spacing w:line="360" w:lineRule="auto"/>
        <w:ind w:left="102" w:right="138"/>
        <w:jc w:val="both"/>
      </w:pPr>
      <w:r>
        <w:rPr/>
        <w:t>La siguiente pregunta se formuló con la intención de conocer más acerca de su primer empleo, por ello se pidió que marcaran de quien obtuvieron ayuda para encontrarlo(ver tabla 2), los resultados muestran que el rubro “</w:t>
      </w:r>
      <w:r>
        <w:rPr>
          <w:i/>
        </w:rPr>
        <w:t>amigo” </w:t>
      </w:r>
      <w:r>
        <w:rPr/>
        <w:t>obtuvo el mayor porcentaje de respuestas, 22%; seguido de </w:t>
      </w:r>
      <w:r>
        <w:rPr>
          <w:i/>
        </w:rPr>
        <w:t>“familiar” </w:t>
      </w:r>
      <w:r>
        <w:rPr/>
        <w:t>con 18%; con lo que nuevamente se puede aseverar que el 40% de la población encuestada obtuvo ayuda de las redes sociales, por tanto si influyen para que los egresados universitarios de la licenciatura en economía se incorporen al mercado de trabajo de una forma más rápida y</w:t>
      </w:r>
      <w:r>
        <w:rPr>
          <w:spacing w:val="-10"/>
        </w:rPr>
        <w:t> </w:t>
      </w:r>
      <w:r>
        <w:rPr/>
        <w:t>sencilla.</w:t>
      </w:r>
    </w:p>
    <w:p>
      <w:pPr>
        <w:spacing w:after="0" w:line="360" w:lineRule="auto"/>
        <w:jc w:val="both"/>
        <w:sectPr>
          <w:pgSz w:w="12240" w:h="15840"/>
          <w:pgMar w:header="0" w:footer="1003" w:top="1360" w:bottom="1200" w:left="1600" w:right="1560"/>
        </w:sectPr>
      </w:pPr>
    </w:p>
    <w:p>
      <w:pPr>
        <w:pStyle w:val="Heading3"/>
        <w:ind w:left="1239"/>
        <w:jc w:val="left"/>
      </w:pPr>
      <w:r>
        <w:rPr/>
        <w:t>Tabla 7.1. Ayuda que obtuvieron para encontrar primer empleo</w:t>
      </w:r>
    </w:p>
    <w:p>
      <w:pPr>
        <w:pStyle w:val="BodyText"/>
        <w:rPr>
          <w:b/>
          <w:sz w:val="13"/>
        </w:rPr>
      </w:pPr>
    </w:p>
    <w:tbl>
      <w:tblPr>
        <w:tblW w:w="0" w:type="auto"/>
        <w:jc w:val="left"/>
        <w:tblInd w:w="1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5"/>
        <w:gridCol w:w="4504"/>
        <w:gridCol w:w="1834"/>
        <w:gridCol w:w="139"/>
      </w:tblGrid>
      <w:tr>
        <w:trPr>
          <w:trHeight w:val="776" w:hRule="exact"/>
        </w:trPr>
        <w:tc>
          <w:tcPr>
            <w:tcW w:w="235" w:type="dxa"/>
            <w:vMerge w:val="restart"/>
          </w:tcPr>
          <w:p>
            <w:pPr/>
          </w:p>
        </w:tc>
        <w:tc>
          <w:tcPr>
            <w:tcW w:w="4504" w:type="dxa"/>
            <w:tcBorders>
              <w:top w:val="single" w:sz="8" w:space="0" w:color="000000"/>
            </w:tcBorders>
          </w:tcPr>
          <w:p>
            <w:pPr>
              <w:pStyle w:val="TableParagraph"/>
              <w:spacing w:line="360" w:lineRule="auto"/>
              <w:ind w:left="108" w:right="1264"/>
              <w:rPr>
                <w:sz w:val="24"/>
              </w:rPr>
            </w:pPr>
            <w:r>
              <w:rPr>
                <w:sz w:val="24"/>
              </w:rPr>
              <w:t>Departamento de vinculación de la Facultad de Economía de la</w:t>
            </w:r>
          </w:p>
        </w:tc>
        <w:tc>
          <w:tcPr>
            <w:tcW w:w="1834" w:type="dxa"/>
            <w:tcBorders>
              <w:top w:val="single" w:sz="8" w:space="0" w:color="000000"/>
            </w:tcBorders>
          </w:tcPr>
          <w:p>
            <w:pPr>
              <w:pStyle w:val="TableParagraph"/>
              <w:spacing w:line="270" w:lineRule="exact"/>
              <w:ind w:right="105"/>
              <w:jc w:val="right"/>
              <w:rPr>
                <w:sz w:val="24"/>
              </w:rPr>
            </w:pPr>
            <w:r>
              <w:rPr>
                <w:sz w:val="24"/>
              </w:rPr>
              <w:t>3%</w:t>
            </w:r>
          </w:p>
        </w:tc>
        <w:tc>
          <w:tcPr>
            <w:tcW w:w="139" w:type="dxa"/>
          </w:tcPr>
          <w:p>
            <w:pPr/>
          </w:p>
        </w:tc>
      </w:tr>
      <w:tr>
        <w:trPr>
          <w:trHeight w:val="486" w:hRule="exact"/>
        </w:trPr>
        <w:tc>
          <w:tcPr>
            <w:tcW w:w="235" w:type="dxa"/>
            <w:vMerge/>
          </w:tcPr>
          <w:p>
            <w:pPr/>
          </w:p>
        </w:tc>
        <w:tc>
          <w:tcPr>
            <w:tcW w:w="4504" w:type="dxa"/>
            <w:tcBorders>
              <w:bottom w:val="single" w:sz="8" w:space="0" w:color="000000"/>
            </w:tcBorders>
          </w:tcPr>
          <w:p>
            <w:pPr>
              <w:pStyle w:val="TableParagraph"/>
              <w:spacing w:before="55"/>
              <w:ind w:left="108" w:right="1264"/>
              <w:rPr>
                <w:sz w:val="24"/>
              </w:rPr>
            </w:pPr>
            <w:r>
              <w:rPr>
                <w:sz w:val="24"/>
              </w:rPr>
              <w:t>UAEMéx</w:t>
            </w:r>
          </w:p>
        </w:tc>
        <w:tc>
          <w:tcPr>
            <w:tcW w:w="1834" w:type="dxa"/>
            <w:tcBorders>
              <w:bottom w:val="single" w:sz="8" w:space="0" w:color="000000"/>
            </w:tcBorders>
          </w:tcPr>
          <w:p>
            <w:pPr/>
          </w:p>
        </w:tc>
        <w:tc>
          <w:tcPr>
            <w:tcW w:w="139" w:type="dxa"/>
          </w:tcPr>
          <w:p>
            <w:pPr/>
          </w:p>
        </w:tc>
      </w:tr>
      <w:tr>
        <w:trPr>
          <w:trHeight w:val="425" w:hRule="exact"/>
        </w:trPr>
        <w:tc>
          <w:tcPr>
            <w:tcW w:w="235" w:type="dxa"/>
            <w:vMerge/>
          </w:tcPr>
          <w:p>
            <w:pPr/>
          </w:p>
        </w:tc>
        <w:tc>
          <w:tcPr>
            <w:tcW w:w="4504" w:type="dxa"/>
            <w:tcBorders>
              <w:top w:val="single" w:sz="8" w:space="0" w:color="000000"/>
              <w:bottom w:val="single" w:sz="36" w:space="0" w:color="000000"/>
            </w:tcBorders>
            <w:shd w:val="clear" w:color="auto" w:fill="C0C0C0"/>
          </w:tcPr>
          <w:p>
            <w:pPr>
              <w:pStyle w:val="TableParagraph"/>
              <w:spacing w:line="270" w:lineRule="exact"/>
              <w:ind w:left="108" w:right="1264"/>
              <w:rPr>
                <w:sz w:val="24"/>
              </w:rPr>
            </w:pPr>
            <w:r>
              <w:rPr>
                <w:sz w:val="24"/>
              </w:rPr>
              <w:t>Familiar</w:t>
            </w:r>
          </w:p>
        </w:tc>
        <w:tc>
          <w:tcPr>
            <w:tcW w:w="1834" w:type="dxa"/>
            <w:tcBorders>
              <w:top w:val="single" w:sz="8" w:space="0" w:color="000000"/>
              <w:bottom w:val="single" w:sz="36" w:space="0" w:color="000000"/>
            </w:tcBorders>
            <w:shd w:val="clear" w:color="auto" w:fill="C0C0C0"/>
          </w:tcPr>
          <w:p>
            <w:pPr>
              <w:pStyle w:val="TableParagraph"/>
              <w:spacing w:line="270" w:lineRule="exact"/>
              <w:ind w:right="105"/>
              <w:jc w:val="right"/>
              <w:rPr>
                <w:sz w:val="24"/>
              </w:rPr>
            </w:pPr>
            <w:r>
              <w:rPr>
                <w:sz w:val="24"/>
              </w:rPr>
              <w:t>18%</w:t>
            </w:r>
          </w:p>
        </w:tc>
        <w:tc>
          <w:tcPr>
            <w:tcW w:w="139" w:type="dxa"/>
            <w:tcBorders>
              <w:bottom w:val="single" w:sz="36" w:space="0" w:color="000000"/>
            </w:tcBorders>
          </w:tcPr>
          <w:p>
            <w:pPr/>
          </w:p>
        </w:tc>
      </w:tr>
      <w:tr>
        <w:trPr>
          <w:trHeight w:val="263" w:hRule="exact"/>
        </w:trPr>
        <w:tc>
          <w:tcPr>
            <w:tcW w:w="235" w:type="dxa"/>
            <w:vMerge/>
          </w:tcPr>
          <w:p>
            <w:pPr/>
          </w:p>
        </w:tc>
        <w:tc>
          <w:tcPr>
            <w:tcW w:w="4504" w:type="dxa"/>
            <w:tcBorders>
              <w:top w:val="single" w:sz="36" w:space="0" w:color="000000"/>
              <w:bottom w:val="single" w:sz="36" w:space="0" w:color="000000"/>
            </w:tcBorders>
          </w:tcPr>
          <w:p>
            <w:pPr>
              <w:pStyle w:val="TableParagraph"/>
              <w:spacing w:line="213" w:lineRule="exact"/>
              <w:ind w:left="108" w:right="1264"/>
              <w:rPr>
                <w:sz w:val="24"/>
              </w:rPr>
            </w:pPr>
            <w:r>
              <w:rPr>
                <w:sz w:val="24"/>
              </w:rPr>
              <w:t>Un amigo</w:t>
            </w:r>
          </w:p>
        </w:tc>
        <w:tc>
          <w:tcPr>
            <w:tcW w:w="1834" w:type="dxa"/>
            <w:tcBorders>
              <w:top w:val="single" w:sz="36" w:space="0" w:color="000000"/>
              <w:bottom w:val="single" w:sz="36" w:space="0" w:color="000000"/>
              <w:right w:val="single" w:sz="36" w:space="0" w:color="000000"/>
            </w:tcBorders>
          </w:tcPr>
          <w:p>
            <w:pPr>
              <w:pStyle w:val="TableParagraph"/>
              <w:spacing w:line="213" w:lineRule="exact"/>
              <w:ind w:right="60"/>
              <w:jc w:val="right"/>
              <w:rPr>
                <w:sz w:val="24"/>
              </w:rPr>
            </w:pPr>
            <w:r>
              <w:rPr>
                <w:sz w:val="24"/>
              </w:rPr>
              <w:t>22%</w:t>
            </w:r>
          </w:p>
        </w:tc>
        <w:tc>
          <w:tcPr>
            <w:tcW w:w="139" w:type="dxa"/>
            <w:tcBorders>
              <w:top w:val="single" w:sz="36" w:space="0" w:color="000000"/>
              <w:left w:val="single" w:sz="36" w:space="0" w:color="000000"/>
              <w:bottom w:val="single" w:sz="36" w:space="0" w:color="000000"/>
            </w:tcBorders>
          </w:tcPr>
          <w:p>
            <w:pPr/>
          </w:p>
        </w:tc>
      </w:tr>
      <w:tr>
        <w:trPr>
          <w:trHeight w:val="149" w:hRule="exact"/>
        </w:trPr>
        <w:tc>
          <w:tcPr>
            <w:tcW w:w="235" w:type="dxa"/>
            <w:vMerge/>
          </w:tcPr>
          <w:p>
            <w:pPr/>
          </w:p>
        </w:tc>
        <w:tc>
          <w:tcPr>
            <w:tcW w:w="4504" w:type="dxa"/>
            <w:tcBorders>
              <w:top w:val="single" w:sz="36" w:space="0" w:color="000000"/>
            </w:tcBorders>
          </w:tcPr>
          <w:p>
            <w:pPr/>
          </w:p>
        </w:tc>
        <w:tc>
          <w:tcPr>
            <w:tcW w:w="1834" w:type="dxa"/>
            <w:tcBorders>
              <w:top w:val="single" w:sz="36" w:space="0" w:color="000000"/>
            </w:tcBorders>
          </w:tcPr>
          <w:p>
            <w:pPr/>
          </w:p>
        </w:tc>
        <w:tc>
          <w:tcPr>
            <w:tcW w:w="139" w:type="dxa"/>
            <w:tcBorders>
              <w:top w:val="single" w:sz="36" w:space="0" w:color="000000"/>
            </w:tcBorders>
          </w:tcPr>
          <w:p>
            <w:pPr/>
          </w:p>
        </w:tc>
      </w:tr>
      <w:tr>
        <w:trPr>
          <w:trHeight w:val="413" w:hRule="exact"/>
        </w:trPr>
        <w:tc>
          <w:tcPr>
            <w:tcW w:w="235" w:type="dxa"/>
            <w:vMerge/>
          </w:tcPr>
          <w:p>
            <w:pPr/>
          </w:p>
        </w:tc>
        <w:tc>
          <w:tcPr>
            <w:tcW w:w="4504" w:type="dxa"/>
            <w:shd w:val="clear" w:color="auto" w:fill="C0C0C0"/>
          </w:tcPr>
          <w:p>
            <w:pPr>
              <w:pStyle w:val="TableParagraph"/>
              <w:spacing w:line="270" w:lineRule="exact"/>
              <w:ind w:left="108" w:right="1264"/>
              <w:rPr>
                <w:sz w:val="24"/>
              </w:rPr>
            </w:pPr>
            <w:r>
              <w:rPr>
                <w:sz w:val="24"/>
              </w:rPr>
              <w:t>Profesores</w:t>
            </w:r>
          </w:p>
        </w:tc>
        <w:tc>
          <w:tcPr>
            <w:tcW w:w="1834" w:type="dxa"/>
            <w:shd w:val="clear" w:color="auto" w:fill="C0C0C0"/>
          </w:tcPr>
          <w:p>
            <w:pPr>
              <w:pStyle w:val="TableParagraph"/>
              <w:spacing w:line="270" w:lineRule="exact"/>
              <w:ind w:right="105"/>
              <w:jc w:val="right"/>
              <w:rPr>
                <w:sz w:val="24"/>
              </w:rPr>
            </w:pPr>
            <w:r>
              <w:rPr>
                <w:sz w:val="24"/>
              </w:rPr>
              <w:t>6%</w:t>
            </w:r>
          </w:p>
        </w:tc>
        <w:tc>
          <w:tcPr>
            <w:tcW w:w="139" w:type="dxa"/>
            <w:tcBorders>
              <w:left w:val="single" w:sz="43" w:space="0" w:color="C0C0C0"/>
            </w:tcBorders>
          </w:tcPr>
          <w:p>
            <w:pPr/>
          </w:p>
        </w:tc>
      </w:tr>
      <w:tr>
        <w:trPr>
          <w:trHeight w:val="415" w:hRule="exact"/>
        </w:trPr>
        <w:tc>
          <w:tcPr>
            <w:tcW w:w="235" w:type="dxa"/>
            <w:vMerge/>
          </w:tcPr>
          <w:p>
            <w:pPr/>
          </w:p>
        </w:tc>
        <w:tc>
          <w:tcPr>
            <w:tcW w:w="4504" w:type="dxa"/>
          </w:tcPr>
          <w:p>
            <w:pPr>
              <w:pStyle w:val="TableParagraph"/>
              <w:spacing w:line="270" w:lineRule="exact"/>
              <w:ind w:left="108" w:right="1264"/>
              <w:rPr>
                <w:sz w:val="24"/>
              </w:rPr>
            </w:pPr>
            <w:r>
              <w:rPr>
                <w:sz w:val="24"/>
              </w:rPr>
              <w:t>Bolsa de trabajo</w:t>
            </w:r>
          </w:p>
        </w:tc>
        <w:tc>
          <w:tcPr>
            <w:tcW w:w="1834" w:type="dxa"/>
          </w:tcPr>
          <w:p>
            <w:pPr>
              <w:pStyle w:val="TableParagraph"/>
              <w:spacing w:line="270" w:lineRule="exact"/>
              <w:ind w:right="105"/>
              <w:jc w:val="right"/>
              <w:rPr>
                <w:sz w:val="24"/>
              </w:rPr>
            </w:pPr>
            <w:r>
              <w:rPr>
                <w:sz w:val="24"/>
              </w:rPr>
              <w:t>18%</w:t>
            </w:r>
          </w:p>
        </w:tc>
        <w:tc>
          <w:tcPr>
            <w:tcW w:w="139" w:type="dxa"/>
          </w:tcPr>
          <w:p>
            <w:pPr/>
          </w:p>
        </w:tc>
      </w:tr>
      <w:tr>
        <w:trPr>
          <w:trHeight w:val="413" w:hRule="exact"/>
        </w:trPr>
        <w:tc>
          <w:tcPr>
            <w:tcW w:w="235" w:type="dxa"/>
            <w:vMerge/>
          </w:tcPr>
          <w:p>
            <w:pPr/>
          </w:p>
        </w:tc>
        <w:tc>
          <w:tcPr>
            <w:tcW w:w="4504" w:type="dxa"/>
            <w:shd w:val="clear" w:color="auto" w:fill="C0C0C0"/>
          </w:tcPr>
          <w:p>
            <w:pPr>
              <w:pStyle w:val="TableParagraph"/>
              <w:spacing w:line="271" w:lineRule="exact"/>
              <w:ind w:left="108" w:right="1264"/>
              <w:rPr>
                <w:sz w:val="24"/>
              </w:rPr>
            </w:pPr>
            <w:r>
              <w:rPr>
                <w:sz w:val="24"/>
              </w:rPr>
              <w:t>Compañero de la carrera</w:t>
            </w:r>
          </w:p>
        </w:tc>
        <w:tc>
          <w:tcPr>
            <w:tcW w:w="1834" w:type="dxa"/>
            <w:shd w:val="clear" w:color="auto" w:fill="C0C0C0"/>
          </w:tcPr>
          <w:p>
            <w:pPr>
              <w:pStyle w:val="TableParagraph"/>
              <w:spacing w:line="271" w:lineRule="exact"/>
              <w:ind w:right="105"/>
              <w:jc w:val="right"/>
              <w:rPr>
                <w:sz w:val="24"/>
              </w:rPr>
            </w:pPr>
            <w:r>
              <w:rPr>
                <w:sz w:val="24"/>
              </w:rPr>
              <w:t>0%</w:t>
            </w:r>
          </w:p>
        </w:tc>
        <w:tc>
          <w:tcPr>
            <w:tcW w:w="139" w:type="dxa"/>
            <w:tcBorders>
              <w:left w:val="single" w:sz="43" w:space="0" w:color="C0C0C0"/>
            </w:tcBorders>
          </w:tcPr>
          <w:p>
            <w:pPr/>
          </w:p>
        </w:tc>
      </w:tr>
      <w:tr>
        <w:trPr>
          <w:trHeight w:val="415" w:hRule="exact"/>
        </w:trPr>
        <w:tc>
          <w:tcPr>
            <w:tcW w:w="235" w:type="dxa"/>
            <w:vMerge/>
          </w:tcPr>
          <w:p>
            <w:pPr/>
          </w:p>
        </w:tc>
        <w:tc>
          <w:tcPr>
            <w:tcW w:w="4504" w:type="dxa"/>
          </w:tcPr>
          <w:p>
            <w:pPr>
              <w:pStyle w:val="TableParagraph"/>
              <w:spacing w:line="270" w:lineRule="exact"/>
              <w:ind w:left="108" w:right="1264"/>
              <w:rPr>
                <w:sz w:val="24"/>
              </w:rPr>
            </w:pPr>
            <w:r>
              <w:rPr>
                <w:sz w:val="24"/>
              </w:rPr>
              <w:t>Avisos periódicos</w:t>
            </w:r>
          </w:p>
        </w:tc>
        <w:tc>
          <w:tcPr>
            <w:tcW w:w="1834" w:type="dxa"/>
          </w:tcPr>
          <w:p>
            <w:pPr>
              <w:pStyle w:val="TableParagraph"/>
              <w:spacing w:line="270" w:lineRule="exact"/>
              <w:ind w:right="105"/>
              <w:jc w:val="right"/>
              <w:rPr>
                <w:sz w:val="24"/>
              </w:rPr>
            </w:pPr>
            <w:r>
              <w:rPr>
                <w:sz w:val="24"/>
              </w:rPr>
              <w:t>4%</w:t>
            </w:r>
          </w:p>
        </w:tc>
        <w:tc>
          <w:tcPr>
            <w:tcW w:w="139" w:type="dxa"/>
          </w:tcPr>
          <w:p>
            <w:pPr/>
          </w:p>
        </w:tc>
      </w:tr>
      <w:tr>
        <w:trPr>
          <w:trHeight w:val="413" w:hRule="exact"/>
        </w:trPr>
        <w:tc>
          <w:tcPr>
            <w:tcW w:w="235" w:type="dxa"/>
            <w:vMerge/>
          </w:tcPr>
          <w:p>
            <w:pPr/>
          </w:p>
        </w:tc>
        <w:tc>
          <w:tcPr>
            <w:tcW w:w="4504" w:type="dxa"/>
            <w:shd w:val="clear" w:color="auto" w:fill="C0C0C0"/>
          </w:tcPr>
          <w:p>
            <w:pPr>
              <w:pStyle w:val="TableParagraph"/>
              <w:spacing w:line="270" w:lineRule="exact"/>
              <w:ind w:left="108" w:right="1264"/>
              <w:rPr>
                <w:sz w:val="24"/>
              </w:rPr>
            </w:pPr>
            <w:r>
              <w:rPr>
                <w:sz w:val="24"/>
              </w:rPr>
              <w:t>Relaciones laborales previas</w:t>
            </w:r>
          </w:p>
        </w:tc>
        <w:tc>
          <w:tcPr>
            <w:tcW w:w="1834" w:type="dxa"/>
            <w:shd w:val="clear" w:color="auto" w:fill="C0C0C0"/>
          </w:tcPr>
          <w:p>
            <w:pPr>
              <w:pStyle w:val="TableParagraph"/>
              <w:spacing w:line="270" w:lineRule="exact"/>
              <w:ind w:right="105"/>
              <w:jc w:val="right"/>
              <w:rPr>
                <w:sz w:val="24"/>
              </w:rPr>
            </w:pPr>
            <w:r>
              <w:rPr>
                <w:sz w:val="24"/>
              </w:rPr>
              <w:t>2%</w:t>
            </w:r>
          </w:p>
        </w:tc>
        <w:tc>
          <w:tcPr>
            <w:tcW w:w="139" w:type="dxa"/>
            <w:tcBorders>
              <w:left w:val="single" w:sz="43" w:space="0" w:color="C0C0C0"/>
            </w:tcBorders>
          </w:tcPr>
          <w:p>
            <w:pPr/>
          </w:p>
        </w:tc>
      </w:tr>
      <w:tr>
        <w:trPr>
          <w:trHeight w:val="415" w:hRule="exact"/>
        </w:trPr>
        <w:tc>
          <w:tcPr>
            <w:tcW w:w="235" w:type="dxa"/>
            <w:vMerge/>
          </w:tcPr>
          <w:p>
            <w:pPr/>
          </w:p>
        </w:tc>
        <w:tc>
          <w:tcPr>
            <w:tcW w:w="4504" w:type="dxa"/>
          </w:tcPr>
          <w:p>
            <w:pPr>
              <w:pStyle w:val="TableParagraph"/>
              <w:spacing w:line="270" w:lineRule="exact"/>
              <w:ind w:left="108" w:right="1264"/>
              <w:rPr>
                <w:sz w:val="24"/>
              </w:rPr>
            </w:pPr>
            <w:r>
              <w:rPr>
                <w:sz w:val="24"/>
              </w:rPr>
              <w:t>Relaciones servicio social</w:t>
            </w:r>
          </w:p>
        </w:tc>
        <w:tc>
          <w:tcPr>
            <w:tcW w:w="1834" w:type="dxa"/>
          </w:tcPr>
          <w:p>
            <w:pPr>
              <w:pStyle w:val="TableParagraph"/>
              <w:spacing w:line="270" w:lineRule="exact"/>
              <w:ind w:right="105"/>
              <w:jc w:val="right"/>
              <w:rPr>
                <w:sz w:val="24"/>
              </w:rPr>
            </w:pPr>
            <w:r>
              <w:rPr>
                <w:sz w:val="24"/>
              </w:rPr>
              <w:t>1%</w:t>
            </w:r>
          </w:p>
        </w:tc>
        <w:tc>
          <w:tcPr>
            <w:tcW w:w="139" w:type="dxa"/>
          </w:tcPr>
          <w:p>
            <w:pPr/>
          </w:p>
        </w:tc>
      </w:tr>
      <w:tr>
        <w:trPr>
          <w:trHeight w:val="413" w:hRule="exact"/>
        </w:trPr>
        <w:tc>
          <w:tcPr>
            <w:tcW w:w="235" w:type="dxa"/>
            <w:vMerge/>
          </w:tcPr>
          <w:p>
            <w:pPr/>
          </w:p>
        </w:tc>
        <w:tc>
          <w:tcPr>
            <w:tcW w:w="4504" w:type="dxa"/>
            <w:shd w:val="clear" w:color="auto" w:fill="C0C0C0"/>
          </w:tcPr>
          <w:p>
            <w:pPr>
              <w:pStyle w:val="TableParagraph"/>
              <w:spacing w:line="270" w:lineRule="exact"/>
              <w:ind w:left="108" w:right="1264"/>
              <w:rPr>
                <w:sz w:val="24"/>
              </w:rPr>
            </w:pPr>
            <w:r>
              <w:rPr>
                <w:sz w:val="24"/>
              </w:rPr>
              <w:t>Autoempleo</w:t>
            </w:r>
          </w:p>
        </w:tc>
        <w:tc>
          <w:tcPr>
            <w:tcW w:w="1834" w:type="dxa"/>
            <w:shd w:val="clear" w:color="auto" w:fill="C0C0C0"/>
          </w:tcPr>
          <w:p>
            <w:pPr>
              <w:pStyle w:val="TableParagraph"/>
              <w:spacing w:line="270" w:lineRule="exact"/>
              <w:ind w:right="105"/>
              <w:jc w:val="right"/>
              <w:rPr>
                <w:sz w:val="24"/>
              </w:rPr>
            </w:pPr>
            <w:r>
              <w:rPr>
                <w:sz w:val="24"/>
              </w:rPr>
              <w:t>0%</w:t>
            </w:r>
          </w:p>
        </w:tc>
        <w:tc>
          <w:tcPr>
            <w:tcW w:w="139" w:type="dxa"/>
            <w:tcBorders>
              <w:left w:val="single" w:sz="43" w:space="0" w:color="C0C0C0"/>
            </w:tcBorders>
          </w:tcPr>
          <w:p>
            <w:pPr/>
          </w:p>
        </w:tc>
      </w:tr>
      <w:tr>
        <w:trPr>
          <w:trHeight w:val="415" w:hRule="exact"/>
        </w:trPr>
        <w:tc>
          <w:tcPr>
            <w:tcW w:w="235" w:type="dxa"/>
            <w:vMerge/>
          </w:tcPr>
          <w:p>
            <w:pPr/>
          </w:p>
        </w:tc>
        <w:tc>
          <w:tcPr>
            <w:tcW w:w="4504" w:type="dxa"/>
          </w:tcPr>
          <w:p>
            <w:pPr>
              <w:pStyle w:val="TableParagraph"/>
              <w:spacing w:line="270" w:lineRule="exact"/>
              <w:ind w:left="108" w:right="1264"/>
              <w:rPr>
                <w:sz w:val="24"/>
              </w:rPr>
            </w:pPr>
            <w:r>
              <w:rPr>
                <w:sz w:val="24"/>
              </w:rPr>
              <w:t>Integración negocio familiar</w:t>
            </w:r>
          </w:p>
        </w:tc>
        <w:tc>
          <w:tcPr>
            <w:tcW w:w="1834" w:type="dxa"/>
          </w:tcPr>
          <w:p>
            <w:pPr>
              <w:pStyle w:val="TableParagraph"/>
              <w:spacing w:line="270" w:lineRule="exact"/>
              <w:ind w:right="105"/>
              <w:jc w:val="right"/>
              <w:rPr>
                <w:sz w:val="24"/>
              </w:rPr>
            </w:pPr>
            <w:r>
              <w:rPr>
                <w:sz w:val="24"/>
              </w:rPr>
              <w:t>1%</w:t>
            </w:r>
          </w:p>
        </w:tc>
        <w:tc>
          <w:tcPr>
            <w:tcW w:w="139" w:type="dxa"/>
          </w:tcPr>
          <w:p>
            <w:pPr/>
          </w:p>
        </w:tc>
      </w:tr>
      <w:tr>
        <w:trPr>
          <w:trHeight w:val="413" w:hRule="exact"/>
        </w:trPr>
        <w:tc>
          <w:tcPr>
            <w:tcW w:w="235" w:type="dxa"/>
            <w:vMerge/>
          </w:tcPr>
          <w:p>
            <w:pPr/>
          </w:p>
        </w:tc>
        <w:tc>
          <w:tcPr>
            <w:tcW w:w="4504" w:type="dxa"/>
            <w:shd w:val="clear" w:color="auto" w:fill="C0C0C0"/>
          </w:tcPr>
          <w:p>
            <w:pPr>
              <w:pStyle w:val="TableParagraph"/>
              <w:spacing w:line="270" w:lineRule="exact"/>
              <w:ind w:left="108" w:right="1264"/>
              <w:rPr>
                <w:sz w:val="24"/>
              </w:rPr>
            </w:pPr>
            <w:r>
              <w:rPr>
                <w:sz w:val="24"/>
              </w:rPr>
              <w:t>Iniciativa propia</w:t>
            </w:r>
          </w:p>
        </w:tc>
        <w:tc>
          <w:tcPr>
            <w:tcW w:w="1834" w:type="dxa"/>
            <w:shd w:val="clear" w:color="auto" w:fill="C0C0C0"/>
          </w:tcPr>
          <w:p>
            <w:pPr>
              <w:pStyle w:val="TableParagraph"/>
              <w:spacing w:line="270" w:lineRule="exact"/>
              <w:ind w:right="105"/>
              <w:jc w:val="right"/>
              <w:rPr>
                <w:sz w:val="24"/>
              </w:rPr>
            </w:pPr>
            <w:r>
              <w:rPr>
                <w:sz w:val="24"/>
              </w:rPr>
              <w:t>16%</w:t>
            </w:r>
          </w:p>
        </w:tc>
        <w:tc>
          <w:tcPr>
            <w:tcW w:w="139" w:type="dxa"/>
            <w:tcBorders>
              <w:left w:val="single" w:sz="43" w:space="0" w:color="C0C0C0"/>
            </w:tcBorders>
          </w:tcPr>
          <w:p>
            <w:pPr/>
          </w:p>
        </w:tc>
      </w:tr>
      <w:tr>
        <w:trPr>
          <w:trHeight w:val="415" w:hRule="exact"/>
        </w:trPr>
        <w:tc>
          <w:tcPr>
            <w:tcW w:w="235" w:type="dxa"/>
            <w:vMerge/>
          </w:tcPr>
          <w:p>
            <w:pPr/>
          </w:p>
        </w:tc>
        <w:tc>
          <w:tcPr>
            <w:tcW w:w="4504" w:type="dxa"/>
          </w:tcPr>
          <w:p>
            <w:pPr>
              <w:pStyle w:val="TableParagraph"/>
              <w:spacing w:line="270" w:lineRule="exact"/>
              <w:ind w:left="108" w:right="1264"/>
              <w:rPr>
                <w:sz w:val="24"/>
              </w:rPr>
            </w:pPr>
            <w:r>
              <w:rPr>
                <w:sz w:val="24"/>
              </w:rPr>
              <w:t>Internet</w:t>
            </w:r>
          </w:p>
        </w:tc>
        <w:tc>
          <w:tcPr>
            <w:tcW w:w="1834" w:type="dxa"/>
          </w:tcPr>
          <w:p>
            <w:pPr>
              <w:pStyle w:val="TableParagraph"/>
              <w:spacing w:line="270" w:lineRule="exact"/>
              <w:ind w:right="105"/>
              <w:jc w:val="right"/>
              <w:rPr>
                <w:sz w:val="24"/>
              </w:rPr>
            </w:pPr>
            <w:r>
              <w:rPr>
                <w:sz w:val="24"/>
              </w:rPr>
              <w:t>5%</w:t>
            </w:r>
          </w:p>
        </w:tc>
        <w:tc>
          <w:tcPr>
            <w:tcW w:w="139" w:type="dxa"/>
          </w:tcPr>
          <w:p>
            <w:pPr/>
          </w:p>
        </w:tc>
      </w:tr>
      <w:tr>
        <w:trPr>
          <w:trHeight w:val="424" w:hRule="exact"/>
        </w:trPr>
        <w:tc>
          <w:tcPr>
            <w:tcW w:w="235" w:type="dxa"/>
            <w:tcBorders>
              <w:right w:val="single" w:sz="43" w:space="0" w:color="C0C0C0"/>
            </w:tcBorders>
          </w:tcPr>
          <w:p>
            <w:pPr/>
          </w:p>
        </w:tc>
        <w:tc>
          <w:tcPr>
            <w:tcW w:w="4504" w:type="dxa"/>
            <w:tcBorders>
              <w:bottom w:val="single" w:sz="8" w:space="0" w:color="000000"/>
            </w:tcBorders>
            <w:shd w:val="clear" w:color="auto" w:fill="C0C0C0"/>
          </w:tcPr>
          <w:p>
            <w:pPr>
              <w:pStyle w:val="TableParagraph"/>
              <w:spacing w:line="271" w:lineRule="exact"/>
              <w:ind w:left="108" w:right="1264"/>
              <w:rPr>
                <w:sz w:val="24"/>
              </w:rPr>
            </w:pPr>
            <w:r>
              <w:rPr>
                <w:sz w:val="24"/>
              </w:rPr>
              <w:t>Otro (Por favor especifique)</w:t>
            </w:r>
          </w:p>
        </w:tc>
        <w:tc>
          <w:tcPr>
            <w:tcW w:w="1834" w:type="dxa"/>
            <w:tcBorders>
              <w:bottom w:val="single" w:sz="8" w:space="0" w:color="000000"/>
            </w:tcBorders>
            <w:shd w:val="clear" w:color="auto" w:fill="C0C0C0"/>
          </w:tcPr>
          <w:p>
            <w:pPr>
              <w:pStyle w:val="TableParagraph"/>
              <w:spacing w:line="271" w:lineRule="exact"/>
              <w:ind w:right="105"/>
              <w:jc w:val="right"/>
              <w:rPr>
                <w:sz w:val="24"/>
              </w:rPr>
            </w:pPr>
            <w:r>
              <w:rPr>
                <w:sz w:val="24"/>
              </w:rPr>
              <w:t>4%</w:t>
            </w:r>
          </w:p>
        </w:tc>
        <w:tc>
          <w:tcPr>
            <w:tcW w:w="139" w:type="dxa"/>
            <w:tcBorders>
              <w:left w:val="single" w:sz="43" w:space="0" w:color="C0C0C0"/>
            </w:tcBorders>
          </w:tcPr>
          <w:p>
            <w:pPr/>
          </w:p>
        </w:tc>
      </w:tr>
    </w:tbl>
    <w:p>
      <w:pPr>
        <w:pStyle w:val="BodyText"/>
        <w:spacing w:before="3"/>
        <w:rPr>
          <w:b/>
          <w:sz w:val="28"/>
        </w:rPr>
      </w:pPr>
    </w:p>
    <w:p>
      <w:pPr>
        <w:spacing w:before="73"/>
        <w:ind w:left="2134" w:right="473" w:hanging="1668"/>
        <w:jc w:val="left"/>
        <w:rPr>
          <w:sz w:val="22"/>
        </w:rPr>
      </w:pPr>
      <w:r>
        <w:rPr>
          <w:sz w:val="22"/>
        </w:rPr>
        <w:t>Fuente: elaboración propia con base en el “Cuestionario transición egresados universitarios- mercado de trabajo, facultad de economía UAEMEX”</w:t>
      </w:r>
    </w:p>
    <w:p>
      <w:pPr>
        <w:pStyle w:val="BodyText"/>
        <w:rPr>
          <w:sz w:val="22"/>
        </w:rPr>
      </w:pPr>
    </w:p>
    <w:p>
      <w:pPr>
        <w:pStyle w:val="BodyText"/>
        <w:spacing w:line="360" w:lineRule="auto" w:before="159"/>
        <w:ind w:left="102" w:right="117"/>
        <w:jc w:val="both"/>
      </w:pPr>
      <w:r>
        <w:rPr/>
        <w:t>En la tabla anterior, hay dos valores que son importantes en cuanto al número de respuestas colectadas, que no pertenecen a los tipificados en la teoría de redes sociales. El primero es </w:t>
      </w:r>
      <w:r>
        <w:rPr>
          <w:i/>
        </w:rPr>
        <w:t>“bolsa de trabajo”, </w:t>
      </w:r>
      <w:r>
        <w:rPr/>
        <w:t>18%; y el siguiente “</w:t>
      </w:r>
      <w:r>
        <w:rPr>
          <w:i/>
        </w:rPr>
        <w:t>iniciativa propia”, </w:t>
      </w:r>
      <w:r>
        <w:rPr/>
        <w:t>16%, ambos resultados muestran el interés y preocupación del joven egresado por insertarse al mercado laboral, sustentando así la preocupación y la ilusión de incorporación a la vida activa lo más pronto posible.</w:t>
      </w:r>
    </w:p>
    <w:p>
      <w:pPr>
        <w:pStyle w:val="BodyText"/>
      </w:pPr>
    </w:p>
    <w:p>
      <w:pPr>
        <w:pStyle w:val="BodyText"/>
        <w:spacing w:line="360" w:lineRule="auto" w:before="143"/>
        <w:ind w:left="102" w:right="121"/>
        <w:jc w:val="both"/>
      </w:pPr>
      <w:r>
        <w:rPr/>
        <w:t>Otro elemento fundamental para el estudio de las redes sociales es la vinculación de los egresados con su entorno profesional, para lo cual se les cuestionó si han mantenido contacto con sus compañeros de generación, a lo que el 59% contestó que sí. Lo que  indica</w:t>
      </w:r>
    </w:p>
    <w:p>
      <w:pPr>
        <w:spacing w:after="0" w:line="360" w:lineRule="auto"/>
        <w:jc w:val="both"/>
        <w:sectPr>
          <w:pgSz w:w="12240" w:h="15840"/>
          <w:pgMar w:header="0" w:footer="1003" w:top="1360" w:bottom="1200" w:left="1600" w:right="1580"/>
        </w:sectPr>
      </w:pPr>
    </w:p>
    <w:p>
      <w:pPr>
        <w:pStyle w:val="BodyText"/>
        <w:spacing w:line="360" w:lineRule="auto" w:before="50"/>
        <w:ind w:left="102"/>
      </w:pPr>
      <w:r>
        <w:rPr/>
        <w:t>que las relaciones de amistad perduran algunos años después de terminar la formación universitaria en este grupo de encuestados. Ver gráfica 7.2.</w:t>
      </w:r>
    </w:p>
    <w:p>
      <w:pPr>
        <w:pStyle w:val="BodyText"/>
      </w:pPr>
    </w:p>
    <w:p>
      <w:pPr>
        <w:pStyle w:val="Heading3"/>
        <w:spacing w:before="148"/>
        <w:ind w:left="1733"/>
        <w:jc w:val="left"/>
      </w:pPr>
      <w:r>
        <w:rPr/>
        <w:t>Gráfica 7.2. Contacto entre compañeros de generación</w:t>
      </w:r>
    </w:p>
    <w:p>
      <w:pPr>
        <w:pStyle w:val="BodyText"/>
        <w:spacing w:before="5"/>
        <w:rPr>
          <w:b/>
          <w:sz w:val="9"/>
        </w:rPr>
      </w:pPr>
    </w:p>
    <w:p>
      <w:pPr>
        <w:spacing w:after="0"/>
        <w:rPr>
          <w:sz w:val="9"/>
        </w:rPr>
        <w:sectPr>
          <w:pgSz w:w="12240" w:h="15840"/>
          <w:pgMar w:header="0" w:footer="1003" w:top="1360" w:bottom="1200" w:left="1600" w:right="1580"/>
        </w:sectPr>
      </w:pPr>
    </w:p>
    <w:p>
      <w:pPr>
        <w:spacing w:before="59"/>
        <w:ind w:left="2292" w:right="-18" w:firstLine="67"/>
        <w:jc w:val="left"/>
        <w:rPr>
          <w:rFonts w:ascii="Calibri"/>
          <w:sz w:val="20"/>
        </w:rPr>
      </w:pPr>
      <w:r>
        <w:rPr/>
        <w:drawing>
          <wp:anchor distT="0" distB="0" distL="0" distR="0" allowOverlap="1" layoutInCell="1" locked="0" behindDoc="1" simplePos="0" relativeHeight="268040399">
            <wp:simplePos x="0" y="0"/>
            <wp:positionH relativeFrom="page">
              <wp:posOffset>2275332</wp:posOffset>
            </wp:positionH>
            <wp:positionV relativeFrom="paragraph">
              <wp:posOffset>254399</wp:posOffset>
            </wp:positionV>
            <wp:extent cx="3240023" cy="1086611"/>
            <wp:effectExtent l="0" t="0" r="0" b="0"/>
            <wp:wrapNone/>
            <wp:docPr id="67" name="image82.png" descr=""/>
            <wp:cNvGraphicFramePr>
              <a:graphicFrameLocks noChangeAspect="1"/>
            </wp:cNvGraphicFramePr>
            <a:graphic>
              <a:graphicData uri="http://schemas.openxmlformats.org/drawingml/2006/picture">
                <pic:pic>
                  <pic:nvPicPr>
                    <pic:cNvPr id="68" name="image82.png"/>
                    <pic:cNvPicPr/>
                  </pic:nvPicPr>
                  <pic:blipFill>
                    <a:blip r:embed="rId123" cstate="print"/>
                    <a:stretch>
                      <a:fillRect/>
                    </a:stretch>
                  </pic:blipFill>
                  <pic:spPr>
                    <a:xfrm>
                      <a:off x="0" y="0"/>
                      <a:ext cx="3240023" cy="1086611"/>
                    </a:xfrm>
                    <a:prstGeom prst="rect">
                      <a:avLst/>
                    </a:prstGeom>
                  </pic:spPr>
                </pic:pic>
              </a:graphicData>
            </a:graphic>
          </wp:anchor>
        </w:drawing>
      </w:r>
      <w:r>
        <w:rPr>
          <w:rFonts w:ascii="Calibri"/>
          <w:sz w:val="20"/>
        </w:rPr>
        <w:t>no </w:t>
      </w:r>
      <w:r>
        <w:rPr>
          <w:rFonts w:ascii="Calibri"/>
          <w:spacing w:val="-1"/>
          <w:sz w:val="20"/>
        </w:rPr>
        <w:t>41%</w:t>
      </w:r>
    </w:p>
    <w:p>
      <w:pPr>
        <w:spacing w:before="95"/>
        <w:ind w:left="2292" w:right="2107" w:hanging="2"/>
        <w:jc w:val="center"/>
        <w:rPr>
          <w:rFonts w:ascii="Calibri"/>
          <w:sz w:val="20"/>
        </w:rPr>
      </w:pPr>
      <w:r>
        <w:rPr/>
        <w:br w:type="column"/>
      </w:r>
      <w:r>
        <w:rPr>
          <w:rFonts w:ascii="Calibri"/>
          <w:sz w:val="20"/>
        </w:rPr>
        <w:t>si 59%</w:t>
      </w:r>
    </w:p>
    <w:p>
      <w:pPr>
        <w:spacing w:after="0"/>
        <w:jc w:val="center"/>
        <w:rPr>
          <w:rFonts w:ascii="Calibri"/>
          <w:sz w:val="20"/>
        </w:rPr>
        <w:sectPr>
          <w:type w:val="continuous"/>
          <w:pgSz w:w="12240" w:h="15840"/>
          <w:pgMar w:top="1340" w:bottom="280" w:left="1600" w:right="1580"/>
          <w:cols w:num="2" w:equalWidth="0">
            <w:col w:w="2637" w:space="1677"/>
            <w:col w:w="4746"/>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4"/>
        <w:rPr>
          <w:rFonts w:ascii="Calibri"/>
          <w:sz w:val="20"/>
        </w:rPr>
      </w:pPr>
    </w:p>
    <w:p>
      <w:pPr>
        <w:spacing w:before="74"/>
        <w:ind w:left="2841" w:right="378" w:hanging="2471"/>
        <w:jc w:val="left"/>
        <w:rPr>
          <w:sz w:val="20"/>
        </w:rPr>
      </w:pPr>
      <w:r>
        <w:rPr>
          <w:sz w:val="20"/>
        </w:rPr>
        <w:t>Fuente: elaboración propia con base en el “Cuestionario transición egresados universitarios-mercado de trabajo, facultad de economía UAEMEX”</w:t>
      </w:r>
    </w:p>
    <w:p>
      <w:pPr>
        <w:pStyle w:val="BodyText"/>
        <w:rPr>
          <w:sz w:val="20"/>
        </w:rPr>
      </w:pPr>
    </w:p>
    <w:p>
      <w:pPr>
        <w:pStyle w:val="BodyText"/>
        <w:rPr>
          <w:sz w:val="16"/>
        </w:rPr>
      </w:pPr>
    </w:p>
    <w:p>
      <w:pPr>
        <w:pStyle w:val="BodyText"/>
        <w:spacing w:line="360" w:lineRule="auto"/>
        <w:ind w:left="102" w:right="116"/>
        <w:jc w:val="both"/>
      </w:pPr>
      <w:r>
        <w:rPr/>
        <w:t>Hasta el momento ha quedado de manifiesto que los egresados de la licenciatura de economía en su mayoría sí mantienen lazos de amistad al interior de su generación y que para la frecuencia más alta de respuestas las redes sociales fueron el mecanismo principal que ayudó a conocer las oportunidades de empleo o inclusive fue el medio por el cual se insertaron a la vida productiva. Para entender que tan grande y fuerte es la red en la que interactúan los egresados universitarios de la licenciatura en economía, se les preguntó que si para conocer las ofertas laborales tuvieron ayuda de: familiares, amigos o conocidos. Con base en las respuestas colectadas la red quedó construida de la siguiente manera, ver gráfica 7.3.</w:t>
      </w:r>
    </w:p>
    <w:p>
      <w:pPr>
        <w:spacing w:after="0" w:line="360" w:lineRule="auto"/>
        <w:jc w:val="both"/>
        <w:sectPr>
          <w:type w:val="continuous"/>
          <w:pgSz w:w="12240" w:h="15840"/>
          <w:pgMar w:top="1340" w:bottom="280" w:left="1600" w:right="1580"/>
        </w:sectPr>
      </w:pPr>
    </w:p>
    <w:p>
      <w:pPr>
        <w:pStyle w:val="Heading3"/>
        <w:ind w:right="20"/>
        <w:jc w:val="center"/>
      </w:pPr>
      <w:r>
        <w:rPr/>
        <w:t>Gráfica 7.3. Red de ayuda para primer empleo</w:t>
      </w:r>
    </w:p>
    <w:p>
      <w:pPr>
        <w:pStyle w:val="BodyText"/>
        <w:spacing w:before="8"/>
        <w:rPr>
          <w:b/>
          <w:sz w:val="8"/>
        </w:rPr>
      </w:pPr>
      <w:r>
        <w:rPr/>
        <w:pict>
          <v:group style="position:absolute;margin-left:86.550003pt;margin-top:6.984316pt;width:400.4pt;height:273.6pt;mso-position-horizontal-relative:page;mso-position-vertical-relative:paragraph;z-index:7624;mso-wrap-distance-left:0;mso-wrap-distance-right:0" coordorigin="1731,140" coordsize="8008,5472">
            <v:shape style="position:absolute;left:1731;top:140;width:8008;height:5471" type="#_x0000_t75" stroked="false">
              <v:imagedata r:id="rId124" o:title=""/>
            </v:shape>
            <v:shape style="position:absolute;left:5710;top:2604;width:889;height:613" coordorigin="5710,2604" coordsize="889,613" path="m5710,2911l5719,2849,5745,2792,5786,2740,5840,2694,5906,2657,5982,2629,6065,2611,6155,2604,6244,2611,6328,2629,6403,2657,6469,2694,6523,2740,6564,2792,6590,2849,6599,2911,6590,2973,6564,3030,6523,3082,6469,3128,6403,3165,6328,3193,6244,3211,6155,3217,6065,3211,5982,3193,5906,3165,5840,3128,5786,3082,5745,3030,5719,2973,5710,2911xe" filled="false" stroked="true" strokeweight="2.25pt" strokecolor="#000000">
              <v:path arrowok="t"/>
            </v:shape>
            <v:shape style="position:absolute;left:4372;top:4935;width:889;height:613" coordorigin="4372,4935" coordsize="889,613" path="m4372,5242l4381,5180,4407,5123,4448,5071,4502,5025,4568,4988,4644,4960,4727,4942,4817,4935,4906,4942,4990,4960,5065,4988,5131,5025,5185,5071,5226,5123,5252,5180,5261,5242,5252,5304,5226,5361,5185,5413,5131,5459,5065,5496,4990,5524,4906,5542,4817,5548,4727,5542,4644,5524,4568,5496,4502,5459,4448,5413,4407,5361,4381,5304,4372,5242xe" filled="false" stroked="true" strokeweight=".75pt" strokecolor="#000000">
              <v:path arrowok="t"/>
            </v:shape>
            <v:shape style="position:absolute;left:3727;top:4407;width:889;height:613" coordorigin="3727,4407" coordsize="889,613" path="m3727,4714l3736,4652,3762,4595,3803,4543,3857,4497,3923,4460,3999,4432,4082,4414,4172,4407,4261,4414,4345,4432,4420,4460,4486,4497,4540,4543,4581,4595,4607,4652,4616,4714,4607,4776,4581,4833,4540,4885,4486,4931,4420,4968,4345,4996,4261,5014,4172,5020,4082,5014,3999,4996,3923,4968,3857,4931,3803,4885,3762,4833,3736,4776,3727,4714xe" filled="false" stroked="true" strokeweight=".75pt" strokecolor="#000000">
              <v:path arrowok="t"/>
            </v:shape>
            <w10:wrap type="topAndBottom"/>
          </v:group>
        </w:pict>
      </w:r>
    </w:p>
    <w:p>
      <w:pPr>
        <w:spacing w:before="103"/>
        <w:ind w:left="109" w:right="129" w:firstLine="0"/>
        <w:jc w:val="center"/>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rPr>
          <w:sz w:val="20"/>
        </w:rPr>
      </w:pPr>
    </w:p>
    <w:p>
      <w:pPr>
        <w:pStyle w:val="BodyText"/>
        <w:rPr>
          <w:sz w:val="20"/>
        </w:rPr>
      </w:pPr>
    </w:p>
    <w:p>
      <w:pPr>
        <w:pStyle w:val="BodyText"/>
        <w:spacing w:line="360" w:lineRule="auto" w:before="140"/>
        <w:ind w:left="102" w:right="121"/>
        <w:jc w:val="both"/>
      </w:pPr>
      <w:r>
        <w:rPr/>
        <w:t>Se observa que la relación más fuerte es la familiar. Amigos y conocidos están en igual de circunstancias con el mismo puntaje, en número de vínculos que existen entre los encuestados. Lo cual es relevante debido a que, en un mercado laboral en donde la oferta de egresados con estudios de educación superior es cada vez mayor y la demanda parece ir en retroceso y ser la única alternativa viable, que a su vez actúa como regulación social para la oferta laboral.</w:t>
      </w:r>
    </w:p>
    <w:p>
      <w:pPr>
        <w:pStyle w:val="BodyText"/>
      </w:pPr>
    </w:p>
    <w:p>
      <w:pPr>
        <w:pStyle w:val="BodyText"/>
        <w:spacing w:line="360" w:lineRule="auto" w:before="143"/>
        <w:ind w:left="102" w:right="116"/>
        <w:jc w:val="both"/>
      </w:pPr>
      <w:r>
        <w:rPr/>
        <w:t>De ahí que los sistemas educativos mexicanos así como también los sistemas familiares juegan un rol importante como mecanismos de ajuste de la oferta de trabajo de acuerdo con las fluctuaciones en los niveles de empleo, pues permite la institucionalización de una fuerza laboral contingente (Offe y Hinrichs, 1985) que participa en la distribución de los trabajos.</w:t>
      </w:r>
    </w:p>
    <w:p>
      <w:pPr>
        <w:spacing w:after="0" w:line="360" w:lineRule="auto"/>
        <w:jc w:val="both"/>
        <w:sectPr>
          <w:pgSz w:w="12240" w:h="15840"/>
          <w:pgMar w:header="0" w:footer="1003" w:top="1360" w:bottom="1200" w:left="1600" w:right="1580"/>
        </w:sectPr>
      </w:pPr>
    </w:p>
    <w:p>
      <w:pPr>
        <w:pStyle w:val="BodyText"/>
        <w:spacing w:line="360" w:lineRule="auto" w:before="50"/>
        <w:ind w:left="102" w:right="118"/>
        <w:jc w:val="both"/>
      </w:pPr>
      <w:r>
        <w:rPr/>
        <w:t>El siguiente aspecto a conocer de las propiedades de la red social en la que se mueven los encuestados fue conocer si fueron influenciados por algún familiar para estudiar la carrera de economía y en particular en la facultad de economía de la UAEMéx. En su mayoría se encontró que no fue influencia familiar la que motivo al joven a estudiar la carrera de economía, y en la mayoría de los casos los egresados no respondieron a la pregunta, por lo tanto no se puede determinar el motivo real que hizo que tomaran la decisión de convertirse en licenciados en economía.</w:t>
      </w:r>
    </w:p>
    <w:p>
      <w:pPr>
        <w:pStyle w:val="BodyText"/>
        <w:spacing w:line="360" w:lineRule="auto" w:before="6"/>
        <w:ind w:left="102" w:right="113"/>
        <w:jc w:val="both"/>
      </w:pPr>
      <w:r>
        <w:rPr/>
        <w:t>El 89% reportó que ninguno de sus familiares es licenciado en economía (ver tabla 7.2.), y únicamente el 11% tiene hermanos que han estudiado en la facultad de economía (gráfica 7.4.).</w:t>
      </w:r>
    </w:p>
    <w:p>
      <w:pPr>
        <w:pStyle w:val="BodyText"/>
      </w:pPr>
    </w:p>
    <w:p>
      <w:pPr>
        <w:pStyle w:val="Heading3"/>
        <w:spacing w:before="148"/>
        <w:ind w:left="740"/>
        <w:jc w:val="left"/>
      </w:pPr>
      <w:r>
        <w:rPr/>
        <w:t>Tabla 7.2. ¿Quién de los siguientes familiares es Licenciado en Economía?</w:t>
      </w:r>
    </w:p>
    <w:p>
      <w:pPr>
        <w:pStyle w:val="BodyText"/>
        <w:spacing w:before="11"/>
        <w:rPr>
          <w:b/>
          <w:sz w:val="11"/>
        </w:rPr>
      </w:pPr>
    </w:p>
    <w:tbl>
      <w:tblPr>
        <w:tblW w:w="0" w:type="auto"/>
        <w:jc w:val="left"/>
        <w:tblInd w:w="195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4"/>
        <w:gridCol w:w="3444"/>
        <w:gridCol w:w="977"/>
      </w:tblGrid>
      <w:tr>
        <w:trPr>
          <w:trHeight w:val="391" w:hRule="exact"/>
        </w:trPr>
        <w:tc>
          <w:tcPr>
            <w:tcW w:w="324" w:type="dxa"/>
            <w:vMerge w:val="restart"/>
            <w:tcBorders>
              <w:right w:val="single" w:sz="4" w:space="0" w:color="000000"/>
            </w:tcBorders>
          </w:tcPr>
          <w:p>
            <w:pPr/>
          </w:p>
        </w:tc>
        <w:tc>
          <w:tcPr>
            <w:tcW w:w="3444"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103"/>
              <w:rPr>
                <w:sz w:val="22"/>
              </w:rPr>
            </w:pPr>
            <w:r>
              <w:rPr>
                <w:sz w:val="22"/>
              </w:rPr>
              <w:t>Padre</w:t>
            </w:r>
          </w:p>
        </w:tc>
        <w:tc>
          <w:tcPr>
            <w:tcW w:w="977"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right="99"/>
              <w:jc w:val="right"/>
              <w:rPr>
                <w:sz w:val="22"/>
              </w:rPr>
            </w:pPr>
            <w:r>
              <w:rPr>
                <w:sz w:val="22"/>
              </w:rPr>
              <w:t>3%</w:t>
            </w:r>
          </w:p>
        </w:tc>
      </w:tr>
      <w:tr>
        <w:trPr>
          <w:trHeight w:val="389" w:hRule="exact"/>
        </w:trPr>
        <w:tc>
          <w:tcPr>
            <w:tcW w:w="324" w:type="dxa"/>
            <w:vMerge/>
            <w:tcBorders>
              <w:right w:val="single" w:sz="4" w:space="0" w:color="000000"/>
            </w:tcBorders>
          </w:tcPr>
          <w:p>
            <w:pPr/>
          </w:p>
        </w:tc>
        <w:tc>
          <w:tcPr>
            <w:tcW w:w="3444"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103"/>
              <w:rPr>
                <w:sz w:val="22"/>
              </w:rPr>
            </w:pPr>
            <w:r>
              <w:rPr>
                <w:sz w:val="22"/>
              </w:rPr>
              <w:t>Madre</w:t>
            </w:r>
          </w:p>
        </w:tc>
        <w:tc>
          <w:tcPr>
            <w:tcW w:w="977"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right="99"/>
              <w:jc w:val="right"/>
              <w:rPr>
                <w:sz w:val="22"/>
              </w:rPr>
            </w:pPr>
            <w:r>
              <w:rPr>
                <w:sz w:val="22"/>
              </w:rPr>
              <w:t>0%</w:t>
            </w:r>
          </w:p>
        </w:tc>
      </w:tr>
      <w:tr>
        <w:trPr>
          <w:trHeight w:val="389" w:hRule="exact"/>
        </w:trPr>
        <w:tc>
          <w:tcPr>
            <w:tcW w:w="324" w:type="dxa"/>
            <w:vMerge/>
            <w:tcBorders>
              <w:right w:val="single" w:sz="4" w:space="0" w:color="000000"/>
            </w:tcBorders>
          </w:tcPr>
          <w:p>
            <w:pPr/>
          </w:p>
        </w:tc>
        <w:tc>
          <w:tcPr>
            <w:tcW w:w="3444"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103"/>
              <w:rPr>
                <w:sz w:val="22"/>
              </w:rPr>
            </w:pPr>
            <w:r>
              <w:rPr>
                <w:sz w:val="22"/>
              </w:rPr>
              <w:t>Hermana</w:t>
            </w:r>
          </w:p>
        </w:tc>
        <w:tc>
          <w:tcPr>
            <w:tcW w:w="977"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right="99"/>
              <w:jc w:val="right"/>
              <w:rPr>
                <w:sz w:val="22"/>
              </w:rPr>
            </w:pPr>
            <w:r>
              <w:rPr>
                <w:sz w:val="22"/>
              </w:rPr>
              <w:t>1%</w:t>
            </w:r>
          </w:p>
        </w:tc>
      </w:tr>
      <w:tr>
        <w:trPr>
          <w:trHeight w:val="389" w:hRule="exact"/>
        </w:trPr>
        <w:tc>
          <w:tcPr>
            <w:tcW w:w="324" w:type="dxa"/>
            <w:vMerge/>
            <w:tcBorders>
              <w:right w:val="single" w:sz="4" w:space="0" w:color="000000"/>
            </w:tcBorders>
          </w:tcPr>
          <w:p>
            <w:pPr/>
          </w:p>
        </w:tc>
        <w:tc>
          <w:tcPr>
            <w:tcW w:w="3444"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103"/>
              <w:rPr>
                <w:sz w:val="22"/>
              </w:rPr>
            </w:pPr>
            <w:r>
              <w:rPr>
                <w:sz w:val="22"/>
              </w:rPr>
              <w:t>Hermano</w:t>
            </w:r>
          </w:p>
        </w:tc>
        <w:tc>
          <w:tcPr>
            <w:tcW w:w="977"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right="99"/>
              <w:jc w:val="right"/>
              <w:rPr>
                <w:sz w:val="22"/>
              </w:rPr>
            </w:pPr>
            <w:r>
              <w:rPr>
                <w:sz w:val="22"/>
              </w:rPr>
              <w:t>4%</w:t>
            </w:r>
          </w:p>
        </w:tc>
      </w:tr>
      <w:tr>
        <w:trPr>
          <w:trHeight w:val="392" w:hRule="exact"/>
        </w:trPr>
        <w:tc>
          <w:tcPr>
            <w:tcW w:w="324" w:type="dxa"/>
            <w:vMerge/>
            <w:tcBorders>
              <w:right w:val="single" w:sz="4" w:space="0" w:color="000000"/>
            </w:tcBorders>
          </w:tcPr>
          <w:p>
            <w:pPr/>
          </w:p>
        </w:tc>
        <w:tc>
          <w:tcPr>
            <w:tcW w:w="3444"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103"/>
              <w:rPr>
                <w:sz w:val="22"/>
              </w:rPr>
            </w:pPr>
            <w:r>
              <w:rPr>
                <w:sz w:val="22"/>
              </w:rPr>
              <w:t>Abuelo paterno</w:t>
            </w:r>
          </w:p>
        </w:tc>
        <w:tc>
          <w:tcPr>
            <w:tcW w:w="977"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right="99"/>
              <w:jc w:val="right"/>
              <w:rPr>
                <w:sz w:val="22"/>
              </w:rPr>
            </w:pPr>
            <w:r>
              <w:rPr>
                <w:sz w:val="22"/>
              </w:rPr>
              <w:t>0%</w:t>
            </w:r>
          </w:p>
        </w:tc>
      </w:tr>
      <w:tr>
        <w:trPr>
          <w:trHeight w:val="389" w:hRule="exact"/>
        </w:trPr>
        <w:tc>
          <w:tcPr>
            <w:tcW w:w="324" w:type="dxa"/>
            <w:vMerge/>
            <w:tcBorders>
              <w:right w:val="single" w:sz="4" w:space="0" w:color="000000"/>
            </w:tcBorders>
          </w:tcPr>
          <w:p>
            <w:pPr/>
          </w:p>
        </w:tc>
        <w:tc>
          <w:tcPr>
            <w:tcW w:w="3444"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103"/>
              <w:rPr>
                <w:sz w:val="22"/>
              </w:rPr>
            </w:pPr>
            <w:r>
              <w:rPr>
                <w:sz w:val="22"/>
              </w:rPr>
              <w:t>Abuela paterna</w:t>
            </w:r>
          </w:p>
        </w:tc>
        <w:tc>
          <w:tcPr>
            <w:tcW w:w="977"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right="99"/>
              <w:jc w:val="right"/>
              <w:rPr>
                <w:sz w:val="22"/>
              </w:rPr>
            </w:pPr>
            <w:r>
              <w:rPr>
                <w:sz w:val="22"/>
              </w:rPr>
              <w:t>0%</w:t>
            </w:r>
          </w:p>
        </w:tc>
      </w:tr>
      <w:tr>
        <w:trPr>
          <w:trHeight w:val="389" w:hRule="exact"/>
        </w:trPr>
        <w:tc>
          <w:tcPr>
            <w:tcW w:w="324" w:type="dxa"/>
            <w:vMerge/>
            <w:tcBorders>
              <w:right w:val="single" w:sz="4" w:space="0" w:color="000000"/>
            </w:tcBorders>
          </w:tcPr>
          <w:p>
            <w:pPr/>
          </w:p>
        </w:tc>
        <w:tc>
          <w:tcPr>
            <w:tcW w:w="3444"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103"/>
              <w:rPr>
                <w:sz w:val="22"/>
              </w:rPr>
            </w:pPr>
            <w:r>
              <w:rPr>
                <w:sz w:val="22"/>
              </w:rPr>
              <w:t>Abuelo materno</w:t>
            </w:r>
          </w:p>
        </w:tc>
        <w:tc>
          <w:tcPr>
            <w:tcW w:w="977"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right="99"/>
              <w:jc w:val="right"/>
              <w:rPr>
                <w:sz w:val="22"/>
              </w:rPr>
            </w:pPr>
            <w:r>
              <w:rPr>
                <w:sz w:val="22"/>
              </w:rPr>
              <w:t>0%</w:t>
            </w:r>
          </w:p>
        </w:tc>
      </w:tr>
      <w:tr>
        <w:trPr>
          <w:trHeight w:val="389" w:hRule="exact"/>
        </w:trPr>
        <w:tc>
          <w:tcPr>
            <w:tcW w:w="324" w:type="dxa"/>
            <w:vMerge/>
            <w:tcBorders>
              <w:right w:val="single" w:sz="4" w:space="0" w:color="000000"/>
            </w:tcBorders>
          </w:tcPr>
          <w:p>
            <w:pPr/>
          </w:p>
        </w:tc>
        <w:tc>
          <w:tcPr>
            <w:tcW w:w="3444"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103"/>
              <w:rPr>
                <w:sz w:val="22"/>
              </w:rPr>
            </w:pPr>
            <w:r>
              <w:rPr>
                <w:sz w:val="22"/>
              </w:rPr>
              <w:t>Abuela materna</w:t>
            </w:r>
          </w:p>
        </w:tc>
        <w:tc>
          <w:tcPr>
            <w:tcW w:w="977"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right="99"/>
              <w:jc w:val="right"/>
              <w:rPr>
                <w:sz w:val="22"/>
              </w:rPr>
            </w:pPr>
            <w:r>
              <w:rPr>
                <w:sz w:val="22"/>
              </w:rPr>
              <w:t>0%</w:t>
            </w:r>
          </w:p>
        </w:tc>
      </w:tr>
      <w:tr>
        <w:trPr>
          <w:trHeight w:val="391" w:hRule="exact"/>
        </w:trPr>
        <w:tc>
          <w:tcPr>
            <w:tcW w:w="324" w:type="dxa"/>
            <w:vMerge/>
            <w:tcBorders>
              <w:right w:val="single" w:sz="4" w:space="0" w:color="000000"/>
            </w:tcBorders>
          </w:tcPr>
          <w:p>
            <w:pPr/>
          </w:p>
        </w:tc>
        <w:tc>
          <w:tcPr>
            <w:tcW w:w="3444"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left="103"/>
              <w:rPr>
                <w:sz w:val="22"/>
              </w:rPr>
            </w:pPr>
            <w:r>
              <w:rPr>
                <w:sz w:val="22"/>
              </w:rPr>
              <w:t>Tío, hermano de padre</w:t>
            </w:r>
          </w:p>
        </w:tc>
        <w:tc>
          <w:tcPr>
            <w:tcW w:w="977" w:type="dxa"/>
            <w:tcBorders>
              <w:top w:val="single" w:sz="4" w:space="0" w:color="000000"/>
              <w:left w:val="single" w:sz="4" w:space="0" w:color="000000"/>
              <w:bottom w:val="single" w:sz="4" w:space="0" w:color="000000"/>
              <w:right w:val="single" w:sz="4" w:space="0" w:color="000000"/>
            </w:tcBorders>
          </w:tcPr>
          <w:p>
            <w:pPr>
              <w:pStyle w:val="TableParagraph"/>
              <w:spacing w:line="249" w:lineRule="exact"/>
              <w:ind w:right="99"/>
              <w:jc w:val="right"/>
              <w:rPr>
                <w:sz w:val="22"/>
              </w:rPr>
            </w:pPr>
            <w:r>
              <w:rPr>
                <w:sz w:val="22"/>
              </w:rPr>
              <w:t>2%</w:t>
            </w:r>
          </w:p>
        </w:tc>
      </w:tr>
      <w:tr>
        <w:trPr>
          <w:trHeight w:val="389" w:hRule="exact"/>
        </w:trPr>
        <w:tc>
          <w:tcPr>
            <w:tcW w:w="324" w:type="dxa"/>
            <w:vMerge/>
            <w:tcBorders>
              <w:right w:val="single" w:sz="4" w:space="0" w:color="000000"/>
            </w:tcBorders>
          </w:tcPr>
          <w:p>
            <w:pPr/>
          </w:p>
        </w:tc>
        <w:tc>
          <w:tcPr>
            <w:tcW w:w="3444"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103"/>
              <w:rPr>
                <w:sz w:val="22"/>
              </w:rPr>
            </w:pPr>
            <w:r>
              <w:rPr>
                <w:sz w:val="22"/>
              </w:rPr>
              <w:t>Tía, hermano de padre</w:t>
            </w:r>
          </w:p>
        </w:tc>
        <w:tc>
          <w:tcPr>
            <w:tcW w:w="977"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right="99"/>
              <w:jc w:val="right"/>
              <w:rPr>
                <w:sz w:val="22"/>
              </w:rPr>
            </w:pPr>
            <w:r>
              <w:rPr>
                <w:sz w:val="22"/>
              </w:rPr>
              <w:t>1%</w:t>
            </w:r>
          </w:p>
        </w:tc>
      </w:tr>
      <w:tr>
        <w:trPr>
          <w:trHeight w:val="389" w:hRule="exact"/>
        </w:trPr>
        <w:tc>
          <w:tcPr>
            <w:tcW w:w="324" w:type="dxa"/>
            <w:vMerge/>
            <w:tcBorders>
              <w:right w:val="single" w:sz="4" w:space="0" w:color="000000"/>
            </w:tcBorders>
          </w:tcPr>
          <w:p>
            <w:pPr/>
          </w:p>
        </w:tc>
        <w:tc>
          <w:tcPr>
            <w:tcW w:w="3444"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left="103"/>
              <w:rPr>
                <w:sz w:val="22"/>
              </w:rPr>
            </w:pPr>
            <w:r>
              <w:rPr>
                <w:sz w:val="22"/>
              </w:rPr>
              <w:t>Tío, hermano de madre</w:t>
            </w:r>
          </w:p>
        </w:tc>
        <w:tc>
          <w:tcPr>
            <w:tcW w:w="977"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right="99"/>
              <w:jc w:val="right"/>
              <w:rPr>
                <w:sz w:val="22"/>
              </w:rPr>
            </w:pPr>
            <w:r>
              <w:rPr>
                <w:sz w:val="22"/>
              </w:rPr>
              <w:t>2%</w:t>
            </w:r>
          </w:p>
        </w:tc>
      </w:tr>
      <w:tr>
        <w:trPr>
          <w:trHeight w:val="385" w:hRule="exact"/>
        </w:trPr>
        <w:tc>
          <w:tcPr>
            <w:tcW w:w="324" w:type="dxa"/>
            <w:vMerge/>
            <w:tcBorders>
              <w:bottom w:val="single" w:sz="24" w:space="0" w:color="000000"/>
              <w:right w:val="single" w:sz="4" w:space="0" w:color="000000"/>
            </w:tcBorders>
          </w:tcPr>
          <w:p>
            <w:pPr/>
          </w:p>
        </w:tc>
        <w:tc>
          <w:tcPr>
            <w:tcW w:w="3444" w:type="dxa"/>
            <w:tcBorders>
              <w:top w:val="single" w:sz="4" w:space="0" w:color="000000"/>
              <w:left w:val="single" w:sz="4" w:space="0" w:color="000000"/>
              <w:bottom w:val="single" w:sz="24" w:space="0" w:color="000000"/>
              <w:right w:val="single" w:sz="4" w:space="0" w:color="000000"/>
            </w:tcBorders>
          </w:tcPr>
          <w:p>
            <w:pPr>
              <w:pStyle w:val="TableParagraph"/>
              <w:spacing w:line="247" w:lineRule="exact"/>
              <w:ind w:left="103"/>
              <w:rPr>
                <w:sz w:val="22"/>
              </w:rPr>
            </w:pPr>
            <w:r>
              <w:rPr>
                <w:sz w:val="22"/>
              </w:rPr>
              <w:t>Tía, hermana de madre</w:t>
            </w:r>
          </w:p>
        </w:tc>
        <w:tc>
          <w:tcPr>
            <w:tcW w:w="977" w:type="dxa"/>
            <w:tcBorders>
              <w:top w:val="single" w:sz="4" w:space="0" w:color="000000"/>
              <w:left w:val="single" w:sz="4" w:space="0" w:color="000000"/>
              <w:bottom w:val="single" w:sz="4" w:space="0" w:color="000000"/>
              <w:right w:val="single" w:sz="4" w:space="0" w:color="000000"/>
            </w:tcBorders>
          </w:tcPr>
          <w:p>
            <w:pPr>
              <w:pStyle w:val="TableParagraph"/>
              <w:spacing w:line="247" w:lineRule="exact"/>
              <w:ind w:right="99"/>
              <w:jc w:val="right"/>
              <w:rPr>
                <w:sz w:val="22"/>
              </w:rPr>
            </w:pPr>
            <w:r>
              <w:rPr>
                <w:sz w:val="22"/>
              </w:rPr>
              <w:t>2%</w:t>
            </w:r>
          </w:p>
        </w:tc>
      </w:tr>
      <w:tr>
        <w:trPr>
          <w:trHeight w:val="251" w:hRule="exact"/>
        </w:trPr>
        <w:tc>
          <w:tcPr>
            <w:tcW w:w="324" w:type="dxa"/>
            <w:tcBorders>
              <w:top w:val="single" w:sz="24" w:space="0" w:color="000000"/>
              <w:left w:val="single" w:sz="24" w:space="0" w:color="000000"/>
              <w:bottom w:val="single" w:sz="24" w:space="0" w:color="000000"/>
              <w:right w:val="single" w:sz="4" w:space="0" w:color="000000"/>
            </w:tcBorders>
          </w:tcPr>
          <w:p>
            <w:pPr/>
          </w:p>
        </w:tc>
        <w:tc>
          <w:tcPr>
            <w:tcW w:w="3444" w:type="dxa"/>
            <w:tcBorders>
              <w:top w:val="single" w:sz="24" w:space="0" w:color="000000"/>
              <w:left w:val="single" w:sz="4" w:space="0" w:color="000000"/>
              <w:bottom w:val="single" w:sz="24" w:space="0" w:color="000000"/>
              <w:right w:val="single" w:sz="24" w:space="0" w:color="000000"/>
            </w:tcBorders>
          </w:tcPr>
          <w:p>
            <w:pPr>
              <w:pStyle w:val="TableParagraph"/>
              <w:spacing w:line="228" w:lineRule="exact"/>
              <w:ind w:left="103"/>
              <w:rPr>
                <w:sz w:val="22"/>
              </w:rPr>
            </w:pPr>
            <w:r>
              <w:rPr>
                <w:sz w:val="22"/>
              </w:rPr>
              <w:t>Ninguno</w:t>
            </w:r>
          </w:p>
        </w:tc>
        <w:tc>
          <w:tcPr>
            <w:tcW w:w="977" w:type="dxa"/>
            <w:vMerge w:val="restart"/>
            <w:tcBorders>
              <w:top w:val="single" w:sz="4" w:space="0" w:color="000000"/>
              <w:left w:val="single" w:sz="24" w:space="0" w:color="000000"/>
              <w:right w:val="single" w:sz="4" w:space="0" w:color="000000"/>
            </w:tcBorders>
          </w:tcPr>
          <w:p>
            <w:pPr>
              <w:pStyle w:val="TableParagraph"/>
              <w:ind w:left="435"/>
              <w:rPr>
                <w:sz w:val="22"/>
              </w:rPr>
            </w:pPr>
            <w:r>
              <w:rPr>
                <w:sz w:val="22"/>
              </w:rPr>
              <w:t>89%</w:t>
            </w:r>
          </w:p>
        </w:tc>
      </w:tr>
      <w:tr>
        <w:trPr>
          <w:trHeight w:val="144" w:hRule="exact"/>
        </w:trPr>
        <w:tc>
          <w:tcPr>
            <w:tcW w:w="324" w:type="dxa"/>
            <w:tcBorders>
              <w:top w:val="single" w:sz="24" w:space="0" w:color="000000"/>
              <w:right w:val="single" w:sz="4" w:space="0" w:color="000000"/>
            </w:tcBorders>
          </w:tcPr>
          <w:p>
            <w:pPr/>
          </w:p>
        </w:tc>
        <w:tc>
          <w:tcPr>
            <w:tcW w:w="3444" w:type="dxa"/>
            <w:tcBorders>
              <w:top w:val="single" w:sz="24" w:space="0" w:color="000000"/>
              <w:left w:val="single" w:sz="4" w:space="0" w:color="000000"/>
              <w:bottom w:val="single" w:sz="4" w:space="0" w:color="000000"/>
              <w:right w:val="single" w:sz="4" w:space="0" w:color="000000"/>
            </w:tcBorders>
          </w:tcPr>
          <w:p>
            <w:pPr/>
          </w:p>
        </w:tc>
        <w:tc>
          <w:tcPr>
            <w:tcW w:w="977" w:type="dxa"/>
            <w:vMerge/>
            <w:tcBorders>
              <w:left w:val="single" w:sz="24" w:space="0" w:color="000000"/>
              <w:bottom w:val="single" w:sz="4" w:space="0" w:color="000000"/>
              <w:right w:val="single" w:sz="4" w:space="0" w:color="000000"/>
            </w:tcBorders>
          </w:tcPr>
          <w:p>
            <w:pPr/>
          </w:p>
        </w:tc>
      </w:tr>
    </w:tbl>
    <w:p>
      <w:pPr>
        <w:spacing w:line="240" w:lineRule="auto" w:before="0"/>
        <w:ind w:left="2175" w:right="473" w:hanging="1709"/>
        <w:jc w:val="left"/>
        <w:rPr>
          <w:sz w:val="22"/>
        </w:rPr>
      </w:pPr>
      <w:r>
        <w:rPr>
          <w:sz w:val="22"/>
        </w:rPr>
        <w:t>Fuente: elaboración propia con base en el “Cuestionario transición egresados universitarios- mercado de trabajo, facultad de economía UAEMéx”</w:t>
      </w:r>
    </w:p>
    <w:p>
      <w:pPr>
        <w:spacing w:after="0" w:line="240" w:lineRule="auto"/>
        <w:jc w:val="left"/>
        <w:rPr>
          <w:sz w:val="22"/>
        </w:rPr>
        <w:sectPr>
          <w:pgSz w:w="12240" w:h="15840"/>
          <w:pgMar w:header="0" w:footer="1003" w:top="1360" w:bottom="1200" w:left="1600" w:right="1580"/>
        </w:sectPr>
      </w:pPr>
    </w:p>
    <w:p>
      <w:pPr>
        <w:pStyle w:val="Heading3"/>
        <w:ind w:left="993" w:right="262"/>
        <w:jc w:val="left"/>
      </w:pPr>
      <w:r>
        <w:rPr/>
        <w:t>Gráfica 7.4. Tiene hermanos que estudien en la facultad de Economía</w:t>
      </w:r>
    </w:p>
    <w:p>
      <w:pPr>
        <w:pStyle w:val="BodyText"/>
        <w:spacing w:before="5"/>
        <w:rPr>
          <w:b/>
        </w:rPr>
      </w:pPr>
    </w:p>
    <w:p>
      <w:pPr>
        <w:spacing w:before="57"/>
        <w:ind w:left="5100" w:right="3593" w:firstLine="1"/>
        <w:jc w:val="center"/>
        <w:rPr>
          <w:rFonts w:ascii="Calibri"/>
          <w:sz w:val="22"/>
        </w:rPr>
      </w:pPr>
      <w:r>
        <w:rPr/>
        <w:drawing>
          <wp:anchor distT="0" distB="0" distL="0" distR="0" allowOverlap="1" layoutInCell="1" locked="0" behindDoc="1" simplePos="0" relativeHeight="268040471">
            <wp:simplePos x="0" y="0"/>
            <wp:positionH relativeFrom="page">
              <wp:posOffset>2383535</wp:posOffset>
            </wp:positionH>
            <wp:positionV relativeFrom="paragraph">
              <wp:posOffset>106980</wp:posOffset>
            </wp:positionV>
            <wp:extent cx="2947416" cy="1246631"/>
            <wp:effectExtent l="0" t="0" r="0" b="0"/>
            <wp:wrapNone/>
            <wp:docPr id="69" name="image84.png" descr=""/>
            <wp:cNvGraphicFramePr>
              <a:graphicFrameLocks noChangeAspect="1"/>
            </wp:cNvGraphicFramePr>
            <a:graphic>
              <a:graphicData uri="http://schemas.openxmlformats.org/drawingml/2006/picture">
                <pic:pic>
                  <pic:nvPicPr>
                    <pic:cNvPr id="70" name="image84.png"/>
                    <pic:cNvPicPr/>
                  </pic:nvPicPr>
                  <pic:blipFill>
                    <a:blip r:embed="rId125" cstate="print"/>
                    <a:stretch>
                      <a:fillRect/>
                    </a:stretch>
                  </pic:blipFill>
                  <pic:spPr>
                    <a:xfrm>
                      <a:off x="0" y="0"/>
                      <a:ext cx="2947416" cy="1246631"/>
                    </a:xfrm>
                    <a:prstGeom prst="rect">
                      <a:avLst/>
                    </a:prstGeom>
                  </pic:spPr>
                </pic:pic>
              </a:graphicData>
            </a:graphic>
          </wp:anchor>
        </w:drawing>
      </w:r>
      <w:r>
        <w:rPr>
          <w:rFonts w:ascii="Calibri"/>
          <w:sz w:val="22"/>
        </w:rPr>
        <w:t>Si 11%</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19"/>
        </w:rPr>
      </w:pPr>
    </w:p>
    <w:p>
      <w:pPr>
        <w:spacing w:before="56"/>
        <w:ind w:left="2257" w:right="6422" w:firstLine="62"/>
        <w:jc w:val="left"/>
        <w:rPr>
          <w:rFonts w:ascii="Calibri"/>
          <w:sz w:val="22"/>
        </w:rPr>
      </w:pPr>
      <w:r>
        <w:rPr>
          <w:rFonts w:ascii="Calibri"/>
          <w:sz w:val="22"/>
        </w:rPr>
        <w:t>No 89%</w:t>
      </w:r>
    </w:p>
    <w:p>
      <w:pPr>
        <w:pStyle w:val="BodyText"/>
        <w:rPr>
          <w:rFonts w:ascii="Calibri"/>
          <w:sz w:val="20"/>
        </w:rPr>
      </w:pPr>
    </w:p>
    <w:p>
      <w:pPr>
        <w:pStyle w:val="BodyText"/>
        <w:spacing w:before="5"/>
        <w:rPr>
          <w:rFonts w:ascii="Calibri"/>
          <w:sz w:val="17"/>
        </w:rPr>
      </w:pPr>
    </w:p>
    <w:p>
      <w:pPr>
        <w:spacing w:before="73"/>
        <w:ind w:left="2899" w:right="378" w:hanging="2509"/>
        <w:jc w:val="left"/>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rPr>
          <w:sz w:val="20"/>
        </w:rPr>
      </w:pPr>
    </w:p>
    <w:p>
      <w:pPr>
        <w:pStyle w:val="BodyText"/>
        <w:rPr>
          <w:sz w:val="20"/>
        </w:rPr>
      </w:pPr>
    </w:p>
    <w:p>
      <w:pPr>
        <w:pStyle w:val="BodyText"/>
        <w:spacing w:line="350" w:lineRule="auto" w:before="139"/>
        <w:ind w:left="122" w:right="119"/>
        <w:jc w:val="both"/>
      </w:pPr>
      <w:r>
        <w:rPr/>
        <w:t>Cabe aclarar que del 11% que dijo tener hermanos que han estudiado en la facultad de economía de la UAEMéx</w:t>
      </w:r>
      <w:r>
        <w:rPr>
          <w:position w:val="11"/>
          <w:sz w:val="16"/>
        </w:rPr>
        <w:t>35</w:t>
      </w:r>
      <w:r>
        <w:rPr/>
        <w:t>, el 45% de los encuestados refirió que su familiar estudia la licenciatura de economía, 18% la licenciatura de relaciones internacionales y 36% la licenciatura de actuaría financiera.   Con base en los datos anteriores se construyó el    grafo</w:t>
      </w:r>
    </w:p>
    <w:p>
      <w:pPr>
        <w:pStyle w:val="BodyText"/>
        <w:spacing w:line="360" w:lineRule="auto" w:before="17"/>
        <w:ind w:left="122" w:right="116"/>
        <w:jc w:val="both"/>
      </w:pPr>
      <w:r>
        <w:rPr/>
        <w:t>de la relación familiar (gráfica 7.5.), en donde se puede identificar que “</w:t>
      </w:r>
      <w:r>
        <w:rPr>
          <w:i/>
        </w:rPr>
        <w:t>hermano” </w:t>
      </w:r>
      <w:r>
        <w:rPr/>
        <w:t>es la conexión más fuerte o la relación que guarda mayor intensidad de personas que estudian en la facultad de economía, seguido de “</w:t>
      </w:r>
      <w:r>
        <w:rPr>
          <w:i/>
        </w:rPr>
        <w:t>padre”. </w:t>
      </w:r>
      <w:r>
        <w:rPr/>
        <w:t>Por último se encuentran los “</w:t>
      </w:r>
      <w:r>
        <w:rPr>
          <w:i/>
        </w:rPr>
        <w:t>tíos” </w:t>
      </w:r>
      <w:r>
        <w:rPr/>
        <w:t>con la misma intensidad de relación, sin importar si son paternos o maternos.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2"/>
        </w:rPr>
      </w:pPr>
      <w:r>
        <w:rPr/>
        <w:pict>
          <v:line style="position:absolute;mso-position-horizontal-relative:page;mso-position-vertical-relative:paragraph;z-index:7648;mso-wrap-distance-left:0;mso-wrap-distance-right:0" from="85.103996pt,9.485637pt" to="229.123996pt,9.485637pt" stroked="true" strokeweight=".71997pt" strokecolor="#000000">
            <w10:wrap type="topAndBottom"/>
          </v:line>
        </w:pict>
      </w:r>
    </w:p>
    <w:p>
      <w:pPr>
        <w:spacing w:before="59"/>
        <w:ind w:left="122" w:right="121" w:firstLine="0"/>
        <w:jc w:val="both"/>
        <w:rPr>
          <w:sz w:val="20"/>
        </w:rPr>
      </w:pPr>
      <w:r>
        <w:rPr>
          <w:position w:val="8"/>
          <w:sz w:val="12"/>
        </w:rPr>
        <w:t>35 </w:t>
      </w:r>
      <w:r>
        <w:rPr>
          <w:sz w:val="20"/>
        </w:rPr>
        <w:t>El estudio de la Economía en la UAEMéx se inicia como una especialidad en la Facultad de Contaduría y Administración de la UAEMéx (UAEMéx-FE, 2013). Tal especialidad funcionó de 1971 a 1976, tiempo durante el cual se dividía la licenciatura en cuatro ciclos básicos que comprendía los primeros  cuatro semestres en los que se cursaban las materias comunes para los alumnos y un ciclo de especialización que comprendía los últimos cincos semestres en los cuales se cursaban materias de especialidad.</w:t>
      </w:r>
    </w:p>
    <w:p>
      <w:pPr>
        <w:spacing w:before="0"/>
        <w:ind w:left="122" w:right="126" w:firstLine="0"/>
        <w:jc w:val="both"/>
        <w:rPr>
          <w:sz w:val="20"/>
        </w:rPr>
      </w:pPr>
      <w:r>
        <w:rPr>
          <w:sz w:val="20"/>
        </w:rPr>
        <w:t>El 26 de enero de 1977 el Rector de la UAEMéx Quím. Jesús Barrera Legorreta expresó ante el H. Consejo Universitario la importancia que podría representar la separación física y académica de la carrera de economía de la Facultad de Contaduría, Administración. Por este motivo se aplicaron todos los medios físicos e intelectuales para instrumentar la separación (UAEMéx-FE, 2013).</w:t>
      </w:r>
    </w:p>
    <w:p>
      <w:pPr>
        <w:spacing w:before="0"/>
        <w:ind w:left="122" w:right="119" w:firstLine="0"/>
        <w:jc w:val="both"/>
        <w:rPr>
          <w:sz w:val="20"/>
        </w:rPr>
      </w:pPr>
      <w:r>
        <w:rPr>
          <w:sz w:val="20"/>
        </w:rPr>
        <w:t>Para el año 1994 se crea la licenciatura de Relaciones Económicas Internacionales, en 1996 la licenciatura de Actuaría Financiera. En 2004, una maestría en Economía Aplicada y en 2005 un Doctorado en Ciencias Económico Administrativas (UAEMéx-FE, 2013). Que son los estudios de educación superior y posgrado  que actualmente se imparten en la Facultad de Economía de la</w:t>
      </w:r>
      <w:r>
        <w:rPr>
          <w:spacing w:val="-23"/>
          <w:sz w:val="20"/>
        </w:rPr>
        <w:t> </w:t>
      </w:r>
      <w:r>
        <w:rPr>
          <w:sz w:val="20"/>
        </w:rPr>
        <w:t>UAEMéx.</w:t>
      </w:r>
    </w:p>
    <w:p>
      <w:pPr>
        <w:spacing w:after="0"/>
        <w:jc w:val="both"/>
        <w:rPr>
          <w:sz w:val="20"/>
        </w:rPr>
        <w:sectPr>
          <w:pgSz w:w="12240" w:h="15840"/>
          <w:pgMar w:header="0" w:footer="1003" w:top="1360" w:bottom="1200" w:left="1580" w:right="1580"/>
        </w:sectPr>
      </w:pPr>
    </w:p>
    <w:p>
      <w:pPr>
        <w:pStyle w:val="Heading3"/>
        <w:ind w:left="800" w:right="262"/>
        <w:jc w:val="left"/>
      </w:pPr>
      <w:r>
        <w:rPr/>
        <w:t>Gráfica 7.5. Red relación familiar estudiaron en la facultad de Economía</w:t>
      </w:r>
    </w:p>
    <w:p>
      <w:pPr>
        <w:pStyle w:val="BodyText"/>
        <w:spacing w:before="8"/>
        <w:rPr>
          <w:b/>
          <w:sz w:val="8"/>
        </w:rPr>
      </w:pPr>
      <w:r>
        <w:rPr/>
        <w:drawing>
          <wp:anchor distT="0" distB="0" distL="0" distR="0" allowOverlap="1" layoutInCell="1" locked="0" behindDoc="0" simplePos="0" relativeHeight="7696">
            <wp:simplePos x="0" y="0"/>
            <wp:positionH relativeFrom="page">
              <wp:posOffset>1099185</wp:posOffset>
            </wp:positionH>
            <wp:positionV relativeFrom="paragraph">
              <wp:posOffset>88700</wp:posOffset>
            </wp:positionV>
            <wp:extent cx="5530309" cy="2776918"/>
            <wp:effectExtent l="0" t="0" r="0" b="0"/>
            <wp:wrapTopAndBottom/>
            <wp:docPr id="71" name="image85.jpeg" descr=""/>
            <wp:cNvGraphicFramePr>
              <a:graphicFrameLocks noChangeAspect="1"/>
            </wp:cNvGraphicFramePr>
            <a:graphic>
              <a:graphicData uri="http://schemas.openxmlformats.org/drawingml/2006/picture">
                <pic:pic>
                  <pic:nvPicPr>
                    <pic:cNvPr id="72" name="image85.jpeg"/>
                    <pic:cNvPicPr/>
                  </pic:nvPicPr>
                  <pic:blipFill>
                    <a:blip r:embed="rId126" cstate="print"/>
                    <a:stretch>
                      <a:fillRect/>
                    </a:stretch>
                  </pic:blipFill>
                  <pic:spPr>
                    <a:xfrm>
                      <a:off x="0" y="0"/>
                      <a:ext cx="5530309" cy="2776918"/>
                    </a:xfrm>
                    <a:prstGeom prst="rect">
                      <a:avLst/>
                    </a:prstGeom>
                  </pic:spPr>
                </pic:pic>
              </a:graphicData>
            </a:graphic>
          </wp:anchor>
        </w:drawing>
      </w:r>
    </w:p>
    <w:p>
      <w:pPr>
        <w:pStyle w:val="BodyText"/>
        <w:spacing w:line="360" w:lineRule="auto" w:before="31"/>
        <w:ind w:left="1964" w:right="121" w:hanging="1863"/>
      </w:pPr>
      <w:r>
        <w:rPr/>
        <w:t>Fuente: elaboración propia con base en el “Cuestionario transición egresados universitarios- mercado de trabajo, facultad de economía UAEMéx”</w:t>
      </w:r>
    </w:p>
    <w:p>
      <w:pPr>
        <w:pStyle w:val="BodyText"/>
      </w:pPr>
    </w:p>
    <w:p>
      <w:pPr>
        <w:pStyle w:val="BodyText"/>
        <w:spacing w:before="8"/>
        <w:rPr>
          <w:sz w:val="29"/>
        </w:rPr>
      </w:pPr>
    </w:p>
    <w:p>
      <w:pPr>
        <w:pStyle w:val="BodyText"/>
        <w:spacing w:line="360" w:lineRule="auto" w:before="1"/>
        <w:ind w:left="102" w:right="136"/>
        <w:jc w:val="both"/>
      </w:pPr>
      <w:r>
        <w:rPr/>
        <w:t>Adicionalmente a la relación familiar, la relación de amistad de acuerdo con los resultados obtenidos es de suma relevancia para su incorporación al mercado laboral. 59% ha mantenido relación con sus compañeros de generación, contra un 41% que “no”, del que </w:t>
      </w:r>
      <w:r>
        <w:rPr>
          <w:spacing w:val="-3"/>
        </w:rPr>
        <w:t>ya </w:t>
      </w:r>
      <w:r>
        <w:rPr/>
        <w:t>se habló páginas anteriores. Se establecieron dos particiones de redes, la primera muestra los que son compañeros de trabajo (gráfica 7.6.), y la segunda los que únicamente se han mantenido como amigos a través de los años (gráfica</w:t>
      </w:r>
      <w:r>
        <w:rPr>
          <w:spacing w:val="-11"/>
        </w:rPr>
        <w:t> </w:t>
      </w:r>
      <w:r>
        <w:rPr/>
        <w:t>7.7).</w:t>
      </w:r>
    </w:p>
    <w:p>
      <w:pPr>
        <w:spacing w:after="0" w:line="360" w:lineRule="auto"/>
        <w:jc w:val="both"/>
        <w:sectPr>
          <w:pgSz w:w="12240" w:h="15840"/>
          <w:pgMar w:header="0" w:footer="1003" w:top="1360" w:bottom="1200" w:left="1600" w:right="1560"/>
        </w:sectPr>
      </w:pPr>
    </w:p>
    <w:p>
      <w:pPr>
        <w:pStyle w:val="Heading3"/>
        <w:ind w:left="75" w:right="115"/>
        <w:jc w:val="center"/>
      </w:pPr>
      <w:r>
        <w:rPr/>
        <w:t>Gráfica 7.6. Red social – compañeros de trabajo</w:t>
      </w:r>
    </w:p>
    <w:p>
      <w:pPr>
        <w:pStyle w:val="BodyText"/>
        <w:spacing w:before="8"/>
        <w:rPr>
          <w:b/>
          <w:sz w:val="8"/>
        </w:rPr>
      </w:pPr>
      <w:r>
        <w:rPr/>
        <w:drawing>
          <wp:anchor distT="0" distB="0" distL="0" distR="0" allowOverlap="1" layoutInCell="1" locked="0" behindDoc="0" simplePos="0" relativeHeight="7720">
            <wp:simplePos x="0" y="0"/>
            <wp:positionH relativeFrom="page">
              <wp:posOffset>1099185</wp:posOffset>
            </wp:positionH>
            <wp:positionV relativeFrom="paragraph">
              <wp:posOffset>88573</wp:posOffset>
            </wp:positionV>
            <wp:extent cx="5622562" cy="3458051"/>
            <wp:effectExtent l="0" t="0" r="0" b="0"/>
            <wp:wrapTopAndBottom/>
            <wp:docPr id="73" name="image86.jpeg" descr=""/>
            <wp:cNvGraphicFramePr>
              <a:graphicFrameLocks noChangeAspect="1"/>
            </wp:cNvGraphicFramePr>
            <a:graphic>
              <a:graphicData uri="http://schemas.openxmlformats.org/drawingml/2006/picture">
                <pic:pic>
                  <pic:nvPicPr>
                    <pic:cNvPr id="74" name="image86.jpeg"/>
                    <pic:cNvPicPr/>
                  </pic:nvPicPr>
                  <pic:blipFill>
                    <a:blip r:embed="rId127" cstate="print"/>
                    <a:stretch>
                      <a:fillRect/>
                    </a:stretch>
                  </pic:blipFill>
                  <pic:spPr>
                    <a:xfrm>
                      <a:off x="0" y="0"/>
                      <a:ext cx="5622562" cy="3458051"/>
                    </a:xfrm>
                    <a:prstGeom prst="rect">
                      <a:avLst/>
                    </a:prstGeom>
                  </pic:spPr>
                </pic:pic>
              </a:graphicData>
            </a:graphic>
          </wp:anchor>
        </w:drawing>
      </w:r>
    </w:p>
    <w:p>
      <w:pPr>
        <w:pStyle w:val="BodyText"/>
        <w:spacing w:before="4"/>
        <w:rPr>
          <w:b/>
          <w:sz w:val="25"/>
        </w:rPr>
      </w:pPr>
    </w:p>
    <w:p>
      <w:pPr>
        <w:spacing w:before="0"/>
        <w:ind w:left="314" w:right="354" w:firstLine="0"/>
        <w:jc w:val="center"/>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rPr>
          <w:sz w:val="16"/>
        </w:rPr>
      </w:pPr>
    </w:p>
    <w:p>
      <w:pPr>
        <w:pStyle w:val="BodyText"/>
        <w:spacing w:line="360" w:lineRule="auto"/>
        <w:ind w:left="102" w:right="139"/>
        <w:jc w:val="both"/>
      </w:pPr>
      <w:r>
        <w:rPr/>
        <w:t>En el conjunto de redes anteriores se agrupó por número de frecuencias en las respuestas, por ello se observa que algunos individuos son el centro de la red. En donde la cohesión de dicha red parece que gira en torno a ellos, como es el caso de los dos primeros y el cuarto grafos (gráfica 7.6a.):</w:t>
      </w:r>
    </w:p>
    <w:p>
      <w:pPr>
        <w:pStyle w:val="Heading3"/>
        <w:spacing w:before="210"/>
        <w:ind w:left="75" w:right="115"/>
        <w:jc w:val="center"/>
      </w:pPr>
      <w:r>
        <w:rPr/>
        <w:t>Gráfica 7.6a.Red social - compañeros de trabajo (primera parte)</w:t>
      </w:r>
    </w:p>
    <w:p>
      <w:pPr>
        <w:pStyle w:val="BodyText"/>
        <w:rPr>
          <w:b/>
          <w:sz w:val="26"/>
        </w:rPr>
      </w:pPr>
      <w:r>
        <w:rPr/>
        <w:pict>
          <v:group style="position:absolute;margin-left:160.919998pt;margin-top:16.91431pt;width:291.45pt;height:112.05pt;mso-position-horizontal-relative:page;mso-position-vertical-relative:paragraph;z-index:7744;mso-wrap-distance-left:0;mso-wrap-distance-right:0" coordorigin="3218,338" coordsize="5829,2241">
            <v:shape style="position:absolute;left:3218;top:338;width:3914;height:2241" type="#_x0000_t75" stroked="false">
              <v:imagedata r:id="rId128" o:title=""/>
            </v:shape>
            <v:shape style="position:absolute;left:7162;top:419;width:1885;height:2160" type="#_x0000_t75" stroked="false">
              <v:imagedata r:id="rId129" o:title=""/>
            </v:shape>
            <w10:wrap type="topAndBottom"/>
          </v:group>
        </w:pict>
      </w:r>
    </w:p>
    <w:p>
      <w:pPr>
        <w:pStyle w:val="BodyText"/>
        <w:spacing w:before="5"/>
        <w:rPr>
          <w:b/>
          <w:sz w:val="26"/>
        </w:rPr>
      </w:pPr>
    </w:p>
    <w:p>
      <w:pPr>
        <w:spacing w:before="1"/>
        <w:ind w:left="314" w:right="354" w:firstLine="0"/>
        <w:jc w:val="center"/>
        <w:rPr>
          <w:sz w:val="20"/>
        </w:rPr>
      </w:pPr>
      <w:r>
        <w:rPr>
          <w:sz w:val="20"/>
        </w:rPr>
        <w:t>Fuente: elaboración propia con base en el “Cuestionario transición egresados universitarios-mercado de trabajo, facultad de economía UAEMéx”</w:t>
      </w:r>
    </w:p>
    <w:p>
      <w:pPr>
        <w:spacing w:after="0"/>
        <w:jc w:val="center"/>
        <w:rPr>
          <w:sz w:val="20"/>
        </w:rPr>
        <w:sectPr>
          <w:pgSz w:w="12240" w:h="15840"/>
          <w:pgMar w:header="0" w:footer="1003" w:top="1360" w:bottom="1200" w:left="1600" w:right="1560"/>
        </w:sectPr>
      </w:pPr>
    </w:p>
    <w:p>
      <w:pPr>
        <w:pStyle w:val="BodyText"/>
        <w:spacing w:line="360" w:lineRule="auto" w:before="50"/>
        <w:ind w:left="102" w:right="137"/>
        <w:jc w:val="both"/>
      </w:pPr>
      <w:r>
        <w:rPr/>
        <w:t>Otra característica que se encontró en el análisis de los datos de esta pregunta fue que muchos de ellos no tienen vínculo o relación con egresados de otras generaciones, únicamente estas relaciones perduran con sus ex-compañeros, o al menos así lo expresaron. Siete de los casos encontrados es una relación bilateral en donde ambos egresados expresaron conocerse y trabajar juntos. Y en tres casos se encontró que el centro de la red mantiene relación con todos los individuos en primer grado, pero entre el resto de los integrantes de la red no están vinculados (gráfica 7.6b.).</w:t>
      </w:r>
    </w:p>
    <w:p>
      <w:pPr>
        <w:pStyle w:val="Heading3"/>
        <w:spacing w:before="210"/>
        <w:ind w:left="77" w:right="115"/>
        <w:jc w:val="center"/>
      </w:pPr>
      <w:r>
        <w:rPr/>
        <w:t>Gráfica 7.6b. Red social - compañeros de trabajo (segunda parte)</w:t>
      </w:r>
    </w:p>
    <w:p>
      <w:pPr>
        <w:pStyle w:val="BodyText"/>
        <w:rPr>
          <w:b/>
          <w:sz w:val="26"/>
        </w:rPr>
      </w:pPr>
      <w:r>
        <w:rPr/>
        <w:drawing>
          <wp:anchor distT="0" distB="0" distL="0" distR="0" allowOverlap="1" layoutInCell="1" locked="0" behindDoc="0" simplePos="0" relativeHeight="7768">
            <wp:simplePos x="0" y="0"/>
            <wp:positionH relativeFrom="page">
              <wp:posOffset>1099185</wp:posOffset>
            </wp:positionH>
            <wp:positionV relativeFrom="paragraph">
              <wp:posOffset>215192</wp:posOffset>
            </wp:positionV>
            <wp:extent cx="5621731" cy="1171194"/>
            <wp:effectExtent l="0" t="0" r="0" b="0"/>
            <wp:wrapTopAndBottom/>
            <wp:docPr id="75" name="image89.jpeg" descr=""/>
            <wp:cNvGraphicFramePr>
              <a:graphicFrameLocks noChangeAspect="1"/>
            </wp:cNvGraphicFramePr>
            <a:graphic>
              <a:graphicData uri="http://schemas.openxmlformats.org/drawingml/2006/picture">
                <pic:pic>
                  <pic:nvPicPr>
                    <pic:cNvPr id="76" name="image89.jpeg"/>
                    <pic:cNvPicPr/>
                  </pic:nvPicPr>
                  <pic:blipFill>
                    <a:blip r:embed="rId130" cstate="print"/>
                    <a:stretch>
                      <a:fillRect/>
                    </a:stretch>
                  </pic:blipFill>
                  <pic:spPr>
                    <a:xfrm>
                      <a:off x="0" y="0"/>
                      <a:ext cx="5621731" cy="1171194"/>
                    </a:xfrm>
                    <a:prstGeom prst="rect">
                      <a:avLst/>
                    </a:prstGeom>
                  </pic:spPr>
                </pic:pic>
              </a:graphicData>
            </a:graphic>
          </wp:anchor>
        </w:drawing>
      </w:r>
    </w:p>
    <w:p>
      <w:pPr>
        <w:pStyle w:val="BodyText"/>
        <w:spacing w:before="10"/>
        <w:rPr>
          <w:b/>
          <w:sz w:val="25"/>
        </w:rPr>
      </w:pPr>
    </w:p>
    <w:p>
      <w:pPr>
        <w:spacing w:before="0"/>
        <w:ind w:left="314" w:right="354" w:firstLine="0"/>
        <w:jc w:val="center"/>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spacing w:before="3"/>
        <w:rPr>
          <w:sz w:val="16"/>
        </w:rPr>
      </w:pPr>
    </w:p>
    <w:p>
      <w:pPr>
        <w:pStyle w:val="BodyText"/>
        <w:spacing w:line="360" w:lineRule="auto"/>
        <w:ind w:left="102" w:right="138"/>
        <w:jc w:val="both"/>
      </w:pPr>
      <w:r>
        <w:rPr/>
        <w:t>La red extensa que se pudo construir con base en los resultados muestra que el individuo “A” es el que mantiene la conexión entre los dos extremos del grafo, tiene también la peculiaridad esta red de ser la única que tiene una relación en segundo grado entre “A” y “B”. Y cualquiera de los nodos 2 ó 28 se sale de la red, ésta se  vería  modificada totalmente. Que son características que también se observan en el resto de los grafos de este análisis, en donde un solo individuo es el que relaciona a los demás.</w:t>
      </w:r>
    </w:p>
    <w:p>
      <w:pPr>
        <w:pStyle w:val="Heading3"/>
        <w:spacing w:before="11"/>
        <w:ind w:left="72" w:right="115"/>
        <w:jc w:val="center"/>
      </w:pPr>
      <w:r>
        <w:rPr/>
        <w:t>Gráfica 7.6c. Red social - compañeros de trabajo (tercera parte)</w:t>
      </w:r>
    </w:p>
    <w:p>
      <w:pPr>
        <w:pStyle w:val="BodyText"/>
        <w:spacing w:before="9"/>
        <w:rPr>
          <w:b/>
          <w:sz w:val="25"/>
        </w:rPr>
      </w:pPr>
      <w:r>
        <w:rPr/>
        <w:drawing>
          <wp:anchor distT="0" distB="0" distL="0" distR="0" allowOverlap="1" layoutInCell="1" locked="0" behindDoc="0" simplePos="0" relativeHeight="7792">
            <wp:simplePos x="0" y="0"/>
            <wp:positionH relativeFrom="page">
              <wp:posOffset>3200400</wp:posOffset>
            </wp:positionH>
            <wp:positionV relativeFrom="paragraph">
              <wp:posOffset>213541</wp:posOffset>
            </wp:positionV>
            <wp:extent cx="1389858" cy="1082230"/>
            <wp:effectExtent l="0" t="0" r="0" b="0"/>
            <wp:wrapTopAndBottom/>
            <wp:docPr id="77" name="image90.jpeg" descr=""/>
            <wp:cNvGraphicFramePr>
              <a:graphicFrameLocks noChangeAspect="1"/>
            </wp:cNvGraphicFramePr>
            <a:graphic>
              <a:graphicData uri="http://schemas.openxmlformats.org/drawingml/2006/picture">
                <pic:pic>
                  <pic:nvPicPr>
                    <pic:cNvPr id="78" name="image90.jpeg"/>
                    <pic:cNvPicPr/>
                  </pic:nvPicPr>
                  <pic:blipFill>
                    <a:blip r:embed="rId131" cstate="print"/>
                    <a:stretch>
                      <a:fillRect/>
                    </a:stretch>
                  </pic:blipFill>
                  <pic:spPr>
                    <a:xfrm>
                      <a:off x="0" y="0"/>
                      <a:ext cx="1389858" cy="1082230"/>
                    </a:xfrm>
                    <a:prstGeom prst="rect">
                      <a:avLst/>
                    </a:prstGeom>
                  </pic:spPr>
                </pic:pic>
              </a:graphicData>
            </a:graphic>
          </wp:anchor>
        </w:drawing>
      </w:r>
    </w:p>
    <w:p>
      <w:pPr>
        <w:pStyle w:val="BodyText"/>
        <w:spacing w:before="2"/>
        <w:rPr>
          <w:b/>
          <w:sz w:val="26"/>
        </w:rPr>
      </w:pPr>
    </w:p>
    <w:p>
      <w:pPr>
        <w:spacing w:before="0"/>
        <w:ind w:left="314" w:right="354" w:firstLine="0"/>
        <w:jc w:val="center"/>
        <w:rPr>
          <w:sz w:val="20"/>
        </w:rPr>
      </w:pPr>
      <w:r>
        <w:rPr>
          <w:sz w:val="20"/>
        </w:rPr>
        <w:t>Fuente: elaboración propia con base en el “Cuestionario transición egresados universitarios-mercado de trabajo, facultad de economía UAEMéx”</w:t>
      </w:r>
    </w:p>
    <w:p>
      <w:pPr>
        <w:spacing w:after="0"/>
        <w:jc w:val="center"/>
        <w:rPr>
          <w:sz w:val="20"/>
        </w:rPr>
        <w:sectPr>
          <w:pgSz w:w="12240" w:h="15840"/>
          <w:pgMar w:header="0" w:footer="1003" w:top="1360" w:bottom="1200" w:left="1600" w:right="1560"/>
        </w:sectPr>
      </w:pPr>
    </w:p>
    <w:p>
      <w:pPr>
        <w:pStyle w:val="BodyText"/>
        <w:spacing w:line="360" w:lineRule="auto" w:before="50"/>
        <w:ind w:left="102" w:right="138"/>
        <w:jc w:val="both"/>
      </w:pPr>
      <w:r>
        <w:rPr/>
        <w:t>La construcción de las redes de amigos, presentó características similares, es decir es un individuo el que mantiene a la red unida, y la extensión en su mayoría es de sólo un nivel. Ver gráfica 7.8. Es visible que siguen siendo relaciones por generación (relaciones endógenas) en donde las generaciones que cronológicamente estudiaban en la facultad de economía simultáneamente no reportaron ni ser compañeros de trabajo ni amigos. Lo que sí es notable es que la relación de amistad no es del total de las personas por generación que contestó la encuesta, sino que hay segmentación al interior de cada una (comparar gráfica 7.1. vs 7.7.).</w:t>
      </w:r>
    </w:p>
    <w:p>
      <w:pPr>
        <w:pStyle w:val="Heading3"/>
        <w:spacing w:before="9"/>
        <w:ind w:left="74" w:right="115"/>
        <w:jc w:val="center"/>
      </w:pPr>
      <w:r>
        <w:rPr/>
        <w:drawing>
          <wp:anchor distT="0" distB="0" distL="0" distR="0" allowOverlap="1" layoutInCell="1" locked="0" behindDoc="0" simplePos="0" relativeHeight="7816">
            <wp:simplePos x="0" y="0"/>
            <wp:positionH relativeFrom="page">
              <wp:posOffset>1099185</wp:posOffset>
            </wp:positionH>
            <wp:positionV relativeFrom="paragraph">
              <wp:posOffset>268898</wp:posOffset>
            </wp:positionV>
            <wp:extent cx="5537008" cy="2385917"/>
            <wp:effectExtent l="0" t="0" r="0" b="0"/>
            <wp:wrapTopAndBottom/>
            <wp:docPr id="79" name="image91.jpeg" descr=""/>
            <wp:cNvGraphicFramePr>
              <a:graphicFrameLocks noChangeAspect="1"/>
            </wp:cNvGraphicFramePr>
            <a:graphic>
              <a:graphicData uri="http://schemas.openxmlformats.org/drawingml/2006/picture">
                <pic:pic>
                  <pic:nvPicPr>
                    <pic:cNvPr id="80" name="image91.jpeg"/>
                    <pic:cNvPicPr/>
                  </pic:nvPicPr>
                  <pic:blipFill>
                    <a:blip r:embed="rId133" cstate="print"/>
                    <a:stretch>
                      <a:fillRect/>
                    </a:stretch>
                  </pic:blipFill>
                  <pic:spPr>
                    <a:xfrm>
                      <a:off x="0" y="0"/>
                      <a:ext cx="5537008" cy="2385917"/>
                    </a:xfrm>
                    <a:prstGeom prst="rect">
                      <a:avLst/>
                    </a:prstGeom>
                  </pic:spPr>
                </pic:pic>
              </a:graphicData>
            </a:graphic>
          </wp:anchor>
        </w:drawing>
      </w:r>
      <w:r>
        <w:rPr/>
        <w:t>Gráfica 7.7. Red social –amigos</w:t>
      </w:r>
    </w:p>
    <w:p>
      <w:pPr>
        <w:pStyle w:val="BodyText"/>
        <w:spacing w:before="6"/>
        <w:rPr>
          <w:b/>
          <w:sz w:val="30"/>
        </w:rPr>
      </w:pPr>
    </w:p>
    <w:p>
      <w:pPr>
        <w:spacing w:before="0"/>
        <w:ind w:left="314" w:right="354" w:firstLine="0"/>
        <w:jc w:val="center"/>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spacing w:before="2"/>
        <w:rPr>
          <w:sz w:val="16"/>
        </w:rPr>
      </w:pPr>
    </w:p>
    <w:p>
      <w:pPr>
        <w:pStyle w:val="BodyText"/>
        <w:spacing w:line="360" w:lineRule="auto"/>
        <w:ind w:left="102" w:right="137"/>
        <w:jc w:val="both"/>
      </w:pPr>
      <w:r>
        <w:rPr/>
        <w:t>Las relaciones en las tres redes anteriores (gráficas 7.5, 7.6. y 7.7.) se encuentran muy balanceadas y con un comportamiento similar, lo que indica que si han mantenido contacto con sus compañeros de generación y en algunos casos conservan su amistad y/o relación laboral. El 3% refirió que se casó con un compañero de generación. El 38% mantuvo contacto con algún profesor (ver gráfica 7.8.). Y el 9% reportó haber sido contratado por uno de sus profesores.</w:t>
      </w:r>
    </w:p>
    <w:p>
      <w:pPr>
        <w:spacing w:after="0" w:line="360" w:lineRule="auto"/>
        <w:jc w:val="both"/>
        <w:sectPr>
          <w:footerReference w:type="default" r:id="rId132"/>
          <w:pgSz w:w="12240" w:h="15840"/>
          <w:pgMar w:footer="1003" w:header="0" w:top="1360" w:bottom="1200" w:left="1600" w:right="1560"/>
          <w:pgNumType w:start="180"/>
        </w:sectPr>
      </w:pPr>
    </w:p>
    <w:p>
      <w:pPr>
        <w:pStyle w:val="Heading3"/>
        <w:ind w:left="79" w:right="115"/>
        <w:jc w:val="center"/>
      </w:pPr>
      <w:r>
        <w:rPr/>
        <w:t>Gráfica 7.8. Red social – profesores</w:t>
      </w:r>
    </w:p>
    <w:p>
      <w:pPr>
        <w:pStyle w:val="BodyText"/>
        <w:spacing w:before="8"/>
        <w:rPr>
          <w:b/>
          <w:sz w:val="8"/>
        </w:rPr>
      </w:pPr>
      <w:r>
        <w:rPr/>
        <w:drawing>
          <wp:anchor distT="0" distB="0" distL="0" distR="0" allowOverlap="1" layoutInCell="1" locked="0" behindDoc="0" simplePos="0" relativeHeight="7840">
            <wp:simplePos x="0" y="0"/>
            <wp:positionH relativeFrom="page">
              <wp:posOffset>1099185</wp:posOffset>
            </wp:positionH>
            <wp:positionV relativeFrom="paragraph">
              <wp:posOffset>88700</wp:posOffset>
            </wp:positionV>
            <wp:extent cx="5658224" cy="2837306"/>
            <wp:effectExtent l="0" t="0" r="0" b="0"/>
            <wp:wrapTopAndBottom/>
            <wp:docPr id="81" name="image92.jpeg" descr=""/>
            <wp:cNvGraphicFramePr>
              <a:graphicFrameLocks noChangeAspect="1"/>
            </wp:cNvGraphicFramePr>
            <a:graphic>
              <a:graphicData uri="http://schemas.openxmlformats.org/drawingml/2006/picture">
                <pic:pic>
                  <pic:nvPicPr>
                    <pic:cNvPr id="82" name="image92.jpeg"/>
                    <pic:cNvPicPr/>
                  </pic:nvPicPr>
                  <pic:blipFill>
                    <a:blip r:embed="rId134" cstate="print"/>
                    <a:stretch>
                      <a:fillRect/>
                    </a:stretch>
                  </pic:blipFill>
                  <pic:spPr>
                    <a:xfrm>
                      <a:off x="0" y="0"/>
                      <a:ext cx="5658224" cy="2837306"/>
                    </a:xfrm>
                    <a:prstGeom prst="rect">
                      <a:avLst/>
                    </a:prstGeom>
                  </pic:spPr>
                </pic:pic>
              </a:graphicData>
            </a:graphic>
          </wp:anchor>
        </w:drawing>
      </w:r>
    </w:p>
    <w:p>
      <w:pPr>
        <w:pStyle w:val="BodyText"/>
        <w:spacing w:before="1"/>
        <w:rPr>
          <w:b/>
          <w:sz w:val="23"/>
        </w:rPr>
      </w:pPr>
    </w:p>
    <w:p>
      <w:pPr>
        <w:spacing w:before="0"/>
        <w:ind w:left="314" w:right="354" w:firstLine="0"/>
        <w:jc w:val="center"/>
        <w:rPr>
          <w:sz w:val="20"/>
        </w:rPr>
      </w:pPr>
      <w:r>
        <w:rPr>
          <w:sz w:val="20"/>
        </w:rPr>
        <w:t>Fuente: elaboración propia con base en el “Cuestionario transición egresados universitarios-mercado de trabajo, facultad de economía UAEMéx”</w:t>
      </w:r>
    </w:p>
    <w:p>
      <w:pPr>
        <w:pStyle w:val="BodyText"/>
        <w:rPr>
          <w:sz w:val="20"/>
        </w:rPr>
      </w:pPr>
    </w:p>
    <w:p>
      <w:pPr>
        <w:pStyle w:val="BodyText"/>
        <w:rPr>
          <w:sz w:val="20"/>
        </w:rPr>
      </w:pPr>
    </w:p>
    <w:p>
      <w:pPr>
        <w:pStyle w:val="BodyText"/>
        <w:spacing w:line="360" w:lineRule="auto" w:before="156"/>
        <w:ind w:left="102" w:right="140"/>
        <w:jc w:val="both"/>
      </w:pPr>
      <w:r>
        <w:rPr/>
        <w:t>En conclusión la teoría de redes sociales explica como los egresados que están más relacionados y cuentan con mejores contactos tiene una inserción al mercado laboral más rápido y fluido en comparación con aquellos que tienen menos relaciones; el proceso de transición para ellos puede ser más corto en comparación con aquellos que no tienen ninguna relación personal o familiar que les ayude a insertarse en su primer empleo.</w:t>
      </w:r>
    </w:p>
    <w:p>
      <w:pPr>
        <w:pStyle w:val="BodyText"/>
        <w:spacing w:line="360" w:lineRule="auto" w:before="205"/>
        <w:ind w:left="102" w:right="136"/>
        <w:jc w:val="both"/>
      </w:pPr>
      <w:r>
        <w:rPr/>
        <w:t>En su mayoría (de la muestra encuestada) la transición al mercado de trabajo fue principalmente por medio de sus relaciones familiares o de amistad, se encontró evidencia empírica que muestra que el 48% de los egresados recurrió a sus redes sociales como principal fuente de información respecto a las vacantes del mercado, con un alto porcentaje que refirió si haberlo encontrado por algún contacto familiar o de amistad. Un alto porcentaje mantiene un vínculo o de amistad o trabajo con alguno de sus compañeros de generación (59%). Sólo el 3% se casó con algún compañero. Y la característica principal de estas redes sociales es que presentan una vinculación endógena y no se encontró evidencia de que estén relacionándose con individuos de otras generaciones.</w:t>
      </w:r>
    </w:p>
    <w:p>
      <w:pPr>
        <w:spacing w:after="0" w:line="360" w:lineRule="auto"/>
        <w:jc w:val="both"/>
        <w:sectPr>
          <w:pgSz w:w="12240" w:h="15840"/>
          <w:pgMar w:header="0" w:footer="1003" w:top="1360" w:bottom="1200" w:left="1600" w:right="1560"/>
        </w:sectPr>
      </w:pPr>
    </w:p>
    <w:p>
      <w:pPr>
        <w:pStyle w:val="BodyText"/>
        <w:spacing w:line="360" w:lineRule="auto" w:before="50"/>
        <w:ind w:left="102" w:right="117"/>
        <w:jc w:val="both"/>
      </w:pPr>
      <w:r>
        <w:rPr/>
        <w:t>Por lo tanto y para el grupo de egresados que contestó la encuesta se puede inferir que sí existe un impacto positivo de la red social en la inserción al primer empleo. En donde es claro que no es el único factor que determina su incorporación sin embargo en este caso de estudio sí se encontró evidencia suficiente para corroborar el objetivo, y con ello dejar de manifiesto que las redes sociales de este grupo de egresado si agilizó la incorporación al primer empleo.</w:t>
      </w:r>
    </w:p>
    <w:p>
      <w:pPr>
        <w:pStyle w:val="BodyText"/>
      </w:pPr>
    </w:p>
    <w:p>
      <w:pPr>
        <w:pStyle w:val="BodyText"/>
        <w:spacing w:before="8"/>
        <w:rPr>
          <w:sz w:val="29"/>
        </w:rPr>
      </w:pPr>
    </w:p>
    <w:p>
      <w:pPr>
        <w:pStyle w:val="BodyText"/>
        <w:spacing w:line="360" w:lineRule="auto" w:before="1"/>
        <w:ind w:left="102" w:right="118"/>
        <w:jc w:val="both"/>
      </w:pPr>
      <w:r>
        <w:rPr/>
        <w:t>En el siguiente capítulo se propone un índice de calidad del empleo (ICEA) que explica el comportamiento del proceso de transición de los egresados de la Licenciatura de Economía de la UAEMéx al mercado de trabajo del Estado de México.</w:t>
      </w:r>
    </w:p>
    <w:p>
      <w:pPr>
        <w:spacing w:after="0" w:line="360" w:lineRule="auto"/>
        <w:jc w:val="both"/>
        <w:sectPr>
          <w:pgSz w:w="12240" w:h="15840"/>
          <w:pgMar w:header="0" w:footer="1003" w:top="1360" w:bottom="1200" w:left="1600" w:right="1580"/>
        </w:sectPr>
      </w:pPr>
    </w:p>
    <w:p>
      <w:pPr>
        <w:pStyle w:val="Heading3"/>
        <w:ind w:right="19"/>
        <w:jc w:val="center"/>
      </w:pPr>
      <w:bookmarkStart w:name="_bookmark84" w:id="154"/>
      <w:bookmarkEnd w:id="154"/>
      <w:r>
        <w:rPr>
          <w:b w:val="0"/>
        </w:rPr>
      </w:r>
      <w:r>
        <w:rPr/>
        <w:t>CAPÍTULO 8</w:t>
      </w:r>
    </w:p>
    <w:p>
      <w:pPr>
        <w:spacing w:before="139"/>
        <w:ind w:left="0" w:right="20" w:firstLine="0"/>
        <w:jc w:val="center"/>
        <w:rPr>
          <w:b/>
          <w:sz w:val="24"/>
        </w:rPr>
      </w:pPr>
      <w:r>
        <w:rPr>
          <w:b/>
          <w:sz w:val="24"/>
        </w:rPr>
        <w:t>ÍNDICE DE CALIDAD DE EMPLEO</w:t>
      </w:r>
    </w:p>
    <w:p>
      <w:pPr>
        <w:pStyle w:val="BodyText"/>
        <w:rPr>
          <w:b/>
        </w:rPr>
      </w:pPr>
    </w:p>
    <w:p>
      <w:pPr>
        <w:pStyle w:val="BodyText"/>
        <w:rPr>
          <w:b/>
        </w:rPr>
      </w:pPr>
    </w:p>
    <w:p>
      <w:pPr>
        <w:spacing w:before="0"/>
        <w:ind w:left="102" w:right="0" w:firstLine="0"/>
        <w:jc w:val="both"/>
        <w:rPr>
          <w:b/>
          <w:sz w:val="24"/>
        </w:rPr>
      </w:pPr>
      <w:r>
        <w:rPr>
          <w:b/>
          <w:sz w:val="24"/>
        </w:rPr>
        <w:t>Introducción</w:t>
      </w:r>
    </w:p>
    <w:p>
      <w:pPr>
        <w:pStyle w:val="BodyText"/>
        <w:spacing w:line="360" w:lineRule="auto" w:before="132"/>
        <w:ind w:left="102" w:right="114"/>
        <w:jc w:val="both"/>
      </w:pPr>
      <w:r>
        <w:rPr/>
        <w:t>En el presente capítulo se evalúa la calidad del proceso del transición al mercado de trabajo mediante la elaboración del Índice de Calidad del Empleo (ICE), con el interés de estimar las características a las que se enfrentan en el mercado de trabajo los egresados de la licenciatura de Economía de la UAEMéx.</w:t>
      </w:r>
    </w:p>
    <w:p>
      <w:pPr>
        <w:pStyle w:val="BodyText"/>
      </w:pPr>
    </w:p>
    <w:p>
      <w:pPr>
        <w:pStyle w:val="BodyText"/>
        <w:spacing w:line="360" w:lineRule="auto" w:before="143"/>
        <w:ind w:left="102" w:right="122"/>
        <w:jc w:val="both"/>
      </w:pPr>
      <w:r>
        <w:rPr/>
        <w:t>El interés de elaborar este índice nace de la ausencia de un indicador que muestre el comportamiento del proceso de transición al mercado de trabajo de los egresados universitarios. Hasta hoy, no se ha encontrado evidencia de que existe una  medición similar, la utilidad de este trabajo será para las IES y los egresados puedan valorar las características del mercado de trabajo, es decir no sólo será para la comunidad académica sino para los alumnos y egresados de la licenciatura de Economía de la UAEMéx.</w:t>
      </w:r>
    </w:p>
    <w:p>
      <w:pPr>
        <w:pStyle w:val="BodyText"/>
      </w:pPr>
    </w:p>
    <w:p>
      <w:pPr>
        <w:pStyle w:val="BodyText"/>
        <w:spacing w:line="360" w:lineRule="auto" w:before="143"/>
        <w:ind w:left="102" w:right="117"/>
        <w:jc w:val="both"/>
      </w:pPr>
      <w:r>
        <w:rPr/>
        <w:t>El objetivo de este capítulo es formular el ICE que ayude a determinar el nivel de calidad que tienen los egresados de la Licenciatura en Economía de la UAEMéx durante su proceso de transición al mercado de trabajo. El cual se alinea con el objetivo general de esta tesis: “Analizar el proceso de transición al mercado de trabajo de los egresados universitarios de la Licenciatura de Economía de la UAEMéx durante el periodo 2000 – 2010, con la finalidad de presentar un Índice de Calidad del Empleo”.</w:t>
      </w:r>
    </w:p>
    <w:p>
      <w:pPr>
        <w:pStyle w:val="BodyText"/>
      </w:pPr>
    </w:p>
    <w:p>
      <w:pPr>
        <w:pStyle w:val="BodyText"/>
        <w:spacing w:line="360" w:lineRule="auto" w:before="143"/>
        <w:ind w:left="102" w:right="122"/>
        <w:jc w:val="both"/>
      </w:pPr>
      <w:r>
        <w:rPr/>
        <w:t>Este capítulo se compone de tres subcapítulos en donde en el primero se revisan los índices precedentes a esta tesis y que ayudaron a configurar el ICE para los egresados de la UAEMéx. El segundo muestra como se configuró el índice, en donde se muestran también los cálculos del mismo y en el tercero se utiliza el mismo índice y se define una ponderación para cada uno de sus componentes, en donde se tomó en consideración las teorías que contextualizan el proceso de transición al mercado de trabajo como base para poder asignar los valores a</w:t>
      </w:r>
      <w:r>
        <w:rPr>
          <w:spacing w:val="-7"/>
        </w:rPr>
        <w:t> </w:t>
      </w:r>
      <w:r>
        <w:rPr/>
        <w:t>ponderar.</w:t>
      </w:r>
    </w:p>
    <w:p>
      <w:pPr>
        <w:spacing w:after="0" w:line="360" w:lineRule="auto"/>
        <w:jc w:val="both"/>
        <w:sectPr>
          <w:pgSz w:w="12240" w:h="15840"/>
          <w:pgMar w:header="0" w:footer="1003" w:top="1360" w:bottom="1200" w:left="1600" w:right="1580"/>
        </w:sectPr>
      </w:pPr>
    </w:p>
    <w:p>
      <w:pPr>
        <w:pStyle w:val="Heading3"/>
        <w:numPr>
          <w:ilvl w:val="1"/>
          <w:numId w:val="77"/>
        </w:numPr>
        <w:tabs>
          <w:tab w:pos="522" w:val="left" w:leader="none"/>
        </w:tabs>
        <w:spacing w:line="240" w:lineRule="auto" w:before="55" w:after="0"/>
        <w:ind w:left="522" w:right="0" w:hanging="420"/>
        <w:jc w:val="both"/>
      </w:pPr>
      <w:bookmarkStart w:name="_bookmark85" w:id="155"/>
      <w:bookmarkEnd w:id="155"/>
      <w:r>
        <w:rPr>
          <w:b w:val="0"/>
        </w:rPr>
      </w:r>
      <w:bookmarkStart w:name="_bookmark85" w:id="156"/>
      <w:bookmarkEnd w:id="156"/>
      <w:r>
        <w:rPr/>
        <w:t>R</w:t>
      </w:r>
      <w:r>
        <w:rPr/>
        <w:t>evisión de índices sobre empleo</w:t>
      </w:r>
      <w:r>
        <w:rPr>
          <w:spacing w:val="-15"/>
        </w:rPr>
        <w:t> </w:t>
      </w:r>
      <w:r>
        <w:rPr/>
        <w:t>existentes</w:t>
      </w:r>
    </w:p>
    <w:p>
      <w:pPr>
        <w:pStyle w:val="BodyText"/>
        <w:rPr>
          <w:b/>
        </w:rPr>
      </w:pPr>
    </w:p>
    <w:p>
      <w:pPr>
        <w:pStyle w:val="BodyText"/>
        <w:spacing w:before="6"/>
        <w:rPr>
          <w:b/>
          <w:sz w:val="32"/>
        </w:rPr>
      </w:pPr>
    </w:p>
    <w:p>
      <w:pPr>
        <w:pStyle w:val="BodyText"/>
        <w:spacing w:line="360" w:lineRule="auto"/>
        <w:ind w:left="102" w:right="116"/>
        <w:jc w:val="both"/>
      </w:pPr>
      <w:r>
        <w:rPr/>
        <w:t>Para poder construir el ICE fue necesario revisar los indicadores construidos en este rubro por distintos autores. Farné (2003) dice que la calidad de empleo se define como un conjunto de factores vinculados al trabajo que son expresión de características objetivas y normas de aceptación universal que influyen en el bienestar económico, social, psíquico y de salud de los trabajadores. Que concuerda con lo expresado en Granados y Vences (2011) los cuales afirman que para considerar si los trabajos son de “buena calidad” deben presentar las siguientes características: son de tiempo completo, cuentan con contratos indeterminados y los trabajadores están protegidos por la legislación laboral.</w:t>
      </w:r>
    </w:p>
    <w:p>
      <w:pPr>
        <w:pStyle w:val="BodyText"/>
      </w:pPr>
    </w:p>
    <w:p>
      <w:pPr>
        <w:pStyle w:val="BodyText"/>
        <w:spacing w:line="360" w:lineRule="auto" w:before="143"/>
        <w:ind w:left="102" w:right="119"/>
        <w:jc w:val="both"/>
      </w:pPr>
      <w:r>
        <w:rPr/>
        <w:t>Como se puede observar no se puede ajustar la medición de la calidad de empleo sólo a los beneficios financieros sino que tienen que considerarse dimensiones relacionadas con el bienestar de los trabajadores. A continuación se presentan trabajos empíricos que se han realizado para medir la calidad de empleo en México y el mundo, en donde se amplía la aseveración anterior.</w:t>
      </w:r>
    </w:p>
    <w:p>
      <w:pPr>
        <w:pStyle w:val="BodyText"/>
      </w:pPr>
    </w:p>
    <w:p>
      <w:pPr>
        <w:pStyle w:val="ListParagraph"/>
        <w:numPr>
          <w:ilvl w:val="2"/>
          <w:numId w:val="77"/>
        </w:numPr>
        <w:tabs>
          <w:tab w:pos="822" w:val="left" w:leader="none"/>
        </w:tabs>
        <w:spacing w:line="355" w:lineRule="auto" w:before="143" w:after="0"/>
        <w:ind w:left="822" w:right="116" w:hanging="360"/>
        <w:jc w:val="both"/>
        <w:rPr>
          <w:sz w:val="24"/>
        </w:rPr>
      </w:pPr>
      <w:r>
        <w:rPr>
          <w:sz w:val="24"/>
        </w:rPr>
        <w:t>Osberg y Sharpe (1999) construyen un indicador económico de bienestar para Estados Unidos y Canadá, en el que incluyen tres dimensiones: trabajo sin pago, desempleo y</w:t>
      </w:r>
      <w:r>
        <w:rPr>
          <w:spacing w:val="-6"/>
          <w:sz w:val="24"/>
        </w:rPr>
        <w:t> </w:t>
      </w:r>
      <w:r>
        <w:rPr>
          <w:sz w:val="24"/>
        </w:rPr>
        <w:t>desigualdad.</w:t>
      </w:r>
    </w:p>
    <w:p>
      <w:pPr>
        <w:pStyle w:val="ListParagraph"/>
        <w:numPr>
          <w:ilvl w:val="2"/>
          <w:numId w:val="77"/>
        </w:numPr>
        <w:tabs>
          <w:tab w:pos="822" w:val="left" w:leader="none"/>
        </w:tabs>
        <w:spacing w:line="357" w:lineRule="auto" w:before="9" w:after="0"/>
        <w:ind w:left="822" w:right="118" w:hanging="360"/>
        <w:jc w:val="both"/>
        <w:rPr>
          <w:sz w:val="24"/>
        </w:rPr>
      </w:pPr>
      <w:r>
        <w:rPr>
          <w:sz w:val="24"/>
        </w:rPr>
        <w:t>El Ministerio del Trabajo en Chile (2002) estimó para Chile un ICE considerando tres factores: niveles de ingreso o remuneración, contrato y cotización en previsión (si cotizan en la Administradora de Fondos de Pensiones -AFP-  y</w:t>
      </w:r>
      <w:r>
        <w:rPr>
          <w:spacing w:val="-8"/>
          <w:sz w:val="24"/>
        </w:rPr>
        <w:t> </w:t>
      </w:r>
      <w:r>
        <w:rPr>
          <w:sz w:val="24"/>
        </w:rPr>
        <w:t>Salud).</w:t>
      </w:r>
    </w:p>
    <w:p>
      <w:pPr>
        <w:pStyle w:val="ListParagraph"/>
        <w:numPr>
          <w:ilvl w:val="2"/>
          <w:numId w:val="77"/>
        </w:numPr>
        <w:tabs>
          <w:tab w:pos="822" w:val="left" w:leader="none"/>
        </w:tabs>
        <w:spacing w:line="357" w:lineRule="auto" w:before="6" w:after="0"/>
        <w:ind w:left="822" w:right="119" w:hanging="360"/>
        <w:jc w:val="both"/>
        <w:rPr>
          <w:sz w:val="24"/>
        </w:rPr>
      </w:pPr>
      <w:r>
        <w:rPr>
          <w:sz w:val="24"/>
        </w:rPr>
        <w:t>Farné (2003), en Colombia incorpora algunas modificaciones al ICE Chileno. En la dimensión contrato incluyen si éste es permanente o no. Adiciona una nueva dimensión correspondiente al horario de trabajo de una semana ordinaria. También asigna una ponderación a cada dimensión: 40% al ingreso, 25% contrato, 25% seguridad social y 10% a las horas</w:t>
      </w:r>
      <w:r>
        <w:rPr>
          <w:spacing w:val="-9"/>
          <w:sz w:val="24"/>
        </w:rPr>
        <w:t> </w:t>
      </w:r>
      <w:r>
        <w:rPr>
          <w:sz w:val="24"/>
        </w:rPr>
        <w:t>trabajadas.</w:t>
      </w:r>
    </w:p>
    <w:p>
      <w:pPr>
        <w:pStyle w:val="ListParagraph"/>
        <w:numPr>
          <w:ilvl w:val="2"/>
          <w:numId w:val="77"/>
        </w:numPr>
        <w:tabs>
          <w:tab w:pos="822" w:val="left" w:leader="none"/>
        </w:tabs>
        <w:spacing w:line="350" w:lineRule="auto" w:before="8" w:after="0"/>
        <w:ind w:left="822" w:right="119" w:hanging="360"/>
        <w:jc w:val="both"/>
        <w:rPr>
          <w:sz w:val="24"/>
        </w:rPr>
      </w:pPr>
      <w:r>
        <w:rPr>
          <w:sz w:val="24"/>
        </w:rPr>
        <w:t>Osberg y Sharpe (2003) proponen el índice de bienestar laboral para varios países  de  la  OCDE.     Incluyen  cuatro  componentes:  salarios  (pago  por  hora  y     </w:t>
      </w:r>
      <w:r>
        <w:rPr>
          <w:spacing w:val="12"/>
          <w:sz w:val="24"/>
        </w:rPr>
        <w:t> </w:t>
      </w:r>
      <w:r>
        <w:rPr>
          <w:sz w:val="24"/>
        </w:rPr>
        <w:t>por</w:t>
      </w:r>
    </w:p>
    <w:p>
      <w:pPr>
        <w:spacing w:after="0" w:line="350" w:lineRule="auto"/>
        <w:jc w:val="both"/>
        <w:rPr>
          <w:sz w:val="24"/>
        </w:rPr>
        <w:sectPr>
          <w:pgSz w:w="12240" w:h="15840"/>
          <w:pgMar w:header="0" w:footer="1003" w:top="1360" w:bottom="1200" w:left="1600" w:right="1580"/>
        </w:sectPr>
      </w:pPr>
    </w:p>
    <w:p>
      <w:pPr>
        <w:pStyle w:val="BodyText"/>
        <w:spacing w:line="360" w:lineRule="auto" w:before="50"/>
        <w:ind w:left="701"/>
      </w:pPr>
      <w:r>
        <w:rPr/>
        <w:t>empleado), tres medidas de seguridad en el trabajo, desigualdad salarial y promedio del nivel educativo.</w:t>
      </w:r>
    </w:p>
    <w:p>
      <w:pPr>
        <w:pStyle w:val="ListParagraph"/>
        <w:numPr>
          <w:ilvl w:val="0"/>
          <w:numId w:val="78"/>
        </w:numPr>
        <w:tabs>
          <w:tab w:pos="702" w:val="left" w:leader="none"/>
        </w:tabs>
        <w:spacing w:line="357" w:lineRule="auto" w:before="3" w:after="0"/>
        <w:ind w:left="702" w:right="117" w:hanging="360"/>
        <w:jc w:val="both"/>
        <w:rPr>
          <w:sz w:val="24"/>
        </w:rPr>
      </w:pPr>
      <w:r>
        <w:rPr>
          <w:sz w:val="24"/>
        </w:rPr>
        <w:t>Aggarwal (2004) elabora un índice de calidad laboral con datos de encuestas laborales, utilizando una metodología de funciones translogarítmicas, para la industria manufacturera en</w:t>
      </w:r>
      <w:r>
        <w:rPr>
          <w:spacing w:val="-8"/>
          <w:sz w:val="24"/>
        </w:rPr>
        <w:t> </w:t>
      </w:r>
      <w:r>
        <w:rPr>
          <w:sz w:val="24"/>
        </w:rPr>
        <w:t>India.</w:t>
      </w:r>
    </w:p>
    <w:p>
      <w:pPr>
        <w:pStyle w:val="ListParagraph"/>
        <w:numPr>
          <w:ilvl w:val="0"/>
          <w:numId w:val="78"/>
        </w:numPr>
        <w:tabs>
          <w:tab w:pos="702" w:val="left" w:leader="none"/>
        </w:tabs>
        <w:spacing w:line="357" w:lineRule="auto" w:before="6" w:after="0"/>
        <w:ind w:left="702" w:right="121" w:hanging="360"/>
        <w:jc w:val="both"/>
        <w:rPr>
          <w:sz w:val="24"/>
        </w:rPr>
      </w:pPr>
      <w:r>
        <w:rPr>
          <w:sz w:val="24"/>
        </w:rPr>
        <w:t>Gee, Tung-Chun y Li-Hsuan (2006) en Taiwan, construyen el índice de calidad laboral por sector de actividad, donde agregan ponderadores basados en la importancia del sector e incluyen variables como productividad por trabajador, seguridad y salud en el trabajo, estructura etárea, empleados con capacitación, disputas laborales, niveles educativos y el modelo de</w:t>
      </w:r>
      <w:r>
        <w:rPr>
          <w:spacing w:val="-13"/>
          <w:sz w:val="24"/>
        </w:rPr>
        <w:t> </w:t>
      </w:r>
      <w:r>
        <w:rPr>
          <w:sz w:val="24"/>
        </w:rPr>
        <w:t>trabajo.</w:t>
      </w:r>
    </w:p>
    <w:p>
      <w:pPr>
        <w:pStyle w:val="ListParagraph"/>
        <w:numPr>
          <w:ilvl w:val="0"/>
          <w:numId w:val="78"/>
        </w:numPr>
        <w:tabs>
          <w:tab w:pos="702" w:val="left" w:leader="none"/>
        </w:tabs>
        <w:spacing w:line="357" w:lineRule="auto" w:before="8" w:after="0"/>
        <w:ind w:left="702" w:right="118" w:hanging="360"/>
        <w:jc w:val="both"/>
        <w:rPr>
          <w:sz w:val="24"/>
        </w:rPr>
      </w:pPr>
      <w:r>
        <w:rPr>
          <w:sz w:val="24"/>
        </w:rPr>
        <w:t>Schwerdt y Turunen (2006) formulan un indicador de calidad laboral, mediante encuestas de empleo miden la calidad a través de ecuaciones salariales para  hombres y mujeres de las que obtienen los salarios estimados, las horas trabajadas y lo utilizan en la descomposición de la productividad</w:t>
      </w:r>
      <w:r>
        <w:rPr>
          <w:spacing w:val="-8"/>
          <w:sz w:val="24"/>
        </w:rPr>
        <w:t> </w:t>
      </w:r>
      <w:r>
        <w:rPr>
          <w:sz w:val="24"/>
        </w:rPr>
        <w:t>total.</w:t>
      </w:r>
    </w:p>
    <w:p>
      <w:pPr>
        <w:pStyle w:val="ListParagraph"/>
        <w:numPr>
          <w:ilvl w:val="0"/>
          <w:numId w:val="78"/>
        </w:numPr>
        <w:tabs>
          <w:tab w:pos="702" w:val="left" w:leader="none"/>
        </w:tabs>
        <w:spacing w:line="357" w:lineRule="auto" w:before="8" w:after="0"/>
        <w:ind w:left="702" w:right="117" w:hanging="360"/>
        <w:jc w:val="both"/>
        <w:rPr>
          <w:sz w:val="24"/>
        </w:rPr>
      </w:pPr>
      <w:r>
        <w:rPr>
          <w:sz w:val="24"/>
        </w:rPr>
        <w:t>López-Calva, González y Ortiz (2007) en México, presentan para diversas zonas urbanas un índice competitividad social basado en las encuestas laborales y se hace una agregación de acuerdo con el Índice de Desempeño Humano (IDH) del Programa de las Naciones Unidas para el Desarrollo (PNUD). Se basa en un indicador social estadístico compuesto por tres parámetros: vida larga y saludable, educación y nivel de vida</w:t>
      </w:r>
      <w:r>
        <w:rPr>
          <w:spacing w:val="-5"/>
          <w:sz w:val="24"/>
        </w:rPr>
        <w:t> </w:t>
      </w:r>
      <w:r>
        <w:rPr>
          <w:sz w:val="24"/>
        </w:rPr>
        <w:t>digno.</w:t>
      </w:r>
    </w:p>
    <w:p>
      <w:pPr>
        <w:pStyle w:val="ListParagraph"/>
        <w:numPr>
          <w:ilvl w:val="0"/>
          <w:numId w:val="78"/>
        </w:numPr>
        <w:tabs>
          <w:tab w:pos="702" w:val="left" w:leader="none"/>
        </w:tabs>
        <w:spacing w:line="355" w:lineRule="auto" w:before="8" w:after="0"/>
        <w:ind w:left="702" w:right="117" w:hanging="360"/>
        <w:jc w:val="both"/>
        <w:rPr>
          <w:sz w:val="24"/>
        </w:rPr>
      </w:pPr>
      <w:r>
        <w:rPr>
          <w:sz w:val="24"/>
        </w:rPr>
        <w:t>Alarcón y Santos (2008) aplican el ICE de Farné (2003) en Chile, pero normalizan los ingresos de los trabajadores a una escala de 0-100. Construyen dos índices: para trabajadores asalariados y para no</w:t>
      </w:r>
      <w:r>
        <w:rPr>
          <w:spacing w:val="-11"/>
          <w:sz w:val="24"/>
        </w:rPr>
        <w:t> </w:t>
      </w:r>
      <w:r>
        <w:rPr>
          <w:sz w:val="24"/>
        </w:rPr>
        <w:t>asalariados.</w:t>
      </w:r>
    </w:p>
    <w:p>
      <w:pPr>
        <w:pStyle w:val="ListParagraph"/>
        <w:numPr>
          <w:ilvl w:val="0"/>
          <w:numId w:val="78"/>
        </w:numPr>
        <w:tabs>
          <w:tab w:pos="702" w:val="left" w:leader="none"/>
        </w:tabs>
        <w:spacing w:line="357" w:lineRule="auto" w:before="9" w:after="0"/>
        <w:ind w:left="702" w:right="116" w:hanging="360"/>
        <w:jc w:val="both"/>
        <w:rPr>
          <w:sz w:val="24"/>
        </w:rPr>
      </w:pPr>
      <w:r>
        <w:rPr>
          <w:sz w:val="24"/>
        </w:rPr>
        <w:t>Rodríguez-Oreggia y Silva (2009) edifican un índice de condiciones laborales por estados para México, utilizando datos de la ENOE (2004) definen tres dimensiones: condiciones de igualdad (por género y de ingreso), seguridad social y premios salariales por</w:t>
      </w:r>
      <w:r>
        <w:rPr>
          <w:spacing w:val="-6"/>
          <w:sz w:val="24"/>
        </w:rPr>
        <w:t> </w:t>
      </w:r>
      <w:r>
        <w:rPr>
          <w:sz w:val="24"/>
        </w:rPr>
        <w:t>educación.</w:t>
      </w:r>
    </w:p>
    <w:p>
      <w:pPr>
        <w:pStyle w:val="ListParagraph"/>
        <w:numPr>
          <w:ilvl w:val="0"/>
          <w:numId w:val="78"/>
        </w:numPr>
        <w:tabs>
          <w:tab w:pos="702" w:val="left" w:leader="none"/>
        </w:tabs>
        <w:spacing w:line="357" w:lineRule="auto" w:before="8" w:after="0"/>
        <w:ind w:left="702" w:right="119" w:hanging="360"/>
        <w:jc w:val="both"/>
        <w:rPr>
          <w:sz w:val="24"/>
        </w:rPr>
      </w:pPr>
      <w:r>
        <w:rPr>
          <w:sz w:val="24"/>
        </w:rPr>
        <w:t>Granados y Vences (2011) diseñan un índice para medir la calidad del empleo en el tiempo en las 32 ciudades capitales de las entidades federativas de México. Basado en los resultados de la ENOE incorporan las dimensiones: ingresos, tiempo laboral, prestaciones y vulnerabilidad en el</w:t>
      </w:r>
      <w:r>
        <w:rPr>
          <w:spacing w:val="-9"/>
          <w:sz w:val="24"/>
        </w:rPr>
        <w:t> </w:t>
      </w:r>
      <w:r>
        <w:rPr>
          <w:sz w:val="24"/>
        </w:rPr>
        <w:t>trabajo.</w:t>
      </w:r>
    </w:p>
    <w:p>
      <w:pPr>
        <w:spacing w:after="0" w:line="357" w:lineRule="auto"/>
        <w:jc w:val="both"/>
        <w:rPr>
          <w:sz w:val="24"/>
        </w:rPr>
        <w:sectPr>
          <w:pgSz w:w="12240" w:h="15840"/>
          <w:pgMar w:header="0" w:footer="1003" w:top="1360" w:bottom="1200" w:left="1720" w:right="1580"/>
        </w:sectPr>
      </w:pPr>
    </w:p>
    <w:p>
      <w:pPr>
        <w:pStyle w:val="ListParagraph"/>
        <w:numPr>
          <w:ilvl w:val="1"/>
          <w:numId w:val="78"/>
        </w:numPr>
        <w:tabs>
          <w:tab w:pos="822" w:val="left" w:leader="none"/>
        </w:tabs>
        <w:spacing w:line="357" w:lineRule="auto" w:before="30" w:after="0"/>
        <w:ind w:left="822" w:right="122" w:hanging="360"/>
        <w:jc w:val="both"/>
        <w:rPr>
          <w:sz w:val="24"/>
        </w:rPr>
      </w:pPr>
      <w:r>
        <w:rPr>
          <w:sz w:val="24"/>
        </w:rPr>
        <w:t>Cáceres y Zuñiga (2013) realizan un ICE para todas las regiones de Chile en los años 1998, 2000, 2003 y 2006. Con los componentes: ingreso de los trabajadores, condiciones laborales, acceso a la seguridad social y tipo de jornada</w:t>
      </w:r>
      <w:r>
        <w:rPr>
          <w:spacing w:val="-13"/>
          <w:sz w:val="24"/>
        </w:rPr>
        <w:t> </w:t>
      </w:r>
      <w:r>
        <w:rPr>
          <w:sz w:val="24"/>
        </w:rPr>
        <w:t>laboral.</w:t>
      </w:r>
    </w:p>
    <w:p>
      <w:pPr>
        <w:pStyle w:val="BodyText"/>
      </w:pPr>
    </w:p>
    <w:p>
      <w:pPr>
        <w:pStyle w:val="BodyText"/>
        <w:spacing w:line="360" w:lineRule="auto" w:before="146"/>
        <w:ind w:left="102" w:right="116"/>
        <w:jc w:val="both"/>
      </w:pPr>
      <w:r>
        <w:rPr/>
        <w:t>A través del análisis de los diferentes indicadores anteriores se puede observar que sí bien, la mayoría tiene como objetivo medir las condiciones del mercado de trabajo, ninguno de ellos logra evaluar los procesos de transición. Las dimensiones y factores a evaluar difieren de un autor a otro, ninguno de ellos mide el proceso de transición de los egresados universitarios al mercado de trabajo. De ahí la importancia de este apartado en donde se evalúan las condiciones de calidad de empleo para el caso de los licenciados en Economía es nuevo e inexistente.</w:t>
      </w:r>
    </w:p>
    <w:p>
      <w:pPr>
        <w:pStyle w:val="BodyText"/>
      </w:pPr>
    </w:p>
    <w:p>
      <w:pPr>
        <w:pStyle w:val="Heading3"/>
        <w:numPr>
          <w:ilvl w:val="1"/>
          <w:numId w:val="77"/>
        </w:numPr>
        <w:tabs>
          <w:tab w:pos="523" w:val="left" w:leader="none"/>
        </w:tabs>
        <w:spacing w:line="240" w:lineRule="auto" w:before="215" w:after="0"/>
        <w:ind w:left="522" w:right="0" w:hanging="420"/>
        <w:jc w:val="both"/>
      </w:pPr>
      <w:bookmarkStart w:name="_bookmark86" w:id="157"/>
      <w:bookmarkEnd w:id="157"/>
      <w:r>
        <w:rPr>
          <w:b w:val="0"/>
        </w:rPr>
      </w:r>
      <w:bookmarkStart w:name="_bookmark86" w:id="158"/>
      <w:bookmarkEnd w:id="158"/>
      <w:r>
        <w:rPr/>
        <w:t>Cons</w:t>
      </w:r>
      <w:r>
        <w:rPr/>
        <w:t>trucción del Índice de Calidad del Empleo</w:t>
      </w:r>
      <w:r>
        <w:rPr>
          <w:spacing w:val="-13"/>
        </w:rPr>
        <w:t> </w:t>
      </w:r>
      <w:r>
        <w:rPr/>
        <w:t>(ICE)</w:t>
      </w:r>
    </w:p>
    <w:p>
      <w:pPr>
        <w:pStyle w:val="BodyText"/>
        <w:rPr>
          <w:b/>
        </w:rPr>
      </w:pPr>
    </w:p>
    <w:p>
      <w:pPr>
        <w:pStyle w:val="BodyText"/>
        <w:spacing w:line="360" w:lineRule="auto" w:before="175"/>
        <w:ind w:left="102" w:right="116"/>
        <w:jc w:val="both"/>
      </w:pPr>
      <w:r>
        <w:rPr/>
        <w:t>El índice que se construyó para este trabajo tomó como base dos indicadores precedentes,  el primero fue el propuesto por Granados y Vences (2013) en donde matemáticamente se define que debe ser construido de la siguiente</w:t>
      </w:r>
      <w:r>
        <w:rPr>
          <w:spacing w:val="-9"/>
        </w:rPr>
        <w:t> </w:t>
      </w:r>
      <w:r>
        <w:rPr/>
        <w:t>forma:</w:t>
      </w:r>
    </w:p>
    <w:p>
      <w:pPr>
        <w:pStyle w:val="BodyText"/>
      </w:pPr>
    </w:p>
    <w:p>
      <w:pPr>
        <w:pStyle w:val="BodyText"/>
        <w:spacing w:before="9"/>
        <w:rPr>
          <w:sz w:val="29"/>
        </w:rPr>
      </w:pPr>
    </w:p>
    <w:p>
      <w:pPr>
        <w:pStyle w:val="BodyText"/>
        <w:spacing w:line="523" w:lineRule="auto"/>
        <w:ind w:left="461" w:right="1743"/>
      </w:pPr>
      <w:r>
        <w:rPr/>
        <w:t>ICE = índice de calidad del empleo = C</w:t>
      </w:r>
      <w:r>
        <w:rPr>
          <w:position w:val="-2"/>
          <w:sz w:val="16"/>
        </w:rPr>
        <w:t>1</w:t>
      </w:r>
      <w:r>
        <w:rPr/>
        <w:t>X</w:t>
      </w:r>
      <w:r>
        <w:rPr>
          <w:position w:val="-2"/>
          <w:sz w:val="16"/>
        </w:rPr>
        <w:t>1 </w:t>
      </w:r>
      <w:r>
        <w:rPr/>
        <w:t>+ C</w:t>
      </w:r>
      <w:r>
        <w:rPr>
          <w:position w:val="-2"/>
          <w:sz w:val="16"/>
        </w:rPr>
        <w:t>2</w:t>
      </w:r>
      <w:r>
        <w:rPr/>
        <w:t>X</w:t>
      </w:r>
      <w:r>
        <w:rPr>
          <w:position w:val="-2"/>
          <w:sz w:val="16"/>
        </w:rPr>
        <w:t>2 </w:t>
      </w:r>
      <w:r>
        <w:rPr/>
        <w:t>+ … + C</w:t>
      </w:r>
      <w:r>
        <w:rPr>
          <w:position w:val="-2"/>
          <w:sz w:val="16"/>
        </w:rPr>
        <w:t>n</w:t>
      </w:r>
      <w:r>
        <w:rPr/>
        <w:t>Xn</w:t>
      </w:r>
      <w:r>
        <w:rPr>
          <w:position w:val="-2"/>
          <w:sz w:val="16"/>
        </w:rPr>
        <w:t>, </w:t>
      </w:r>
      <w:r>
        <w:rPr/>
        <w:t>Donde:</w:t>
      </w:r>
    </w:p>
    <w:p>
      <w:pPr>
        <w:spacing w:before="25"/>
        <w:ind w:left="461" w:right="0" w:firstLine="0"/>
        <w:jc w:val="left"/>
        <w:rPr>
          <w:sz w:val="24"/>
        </w:rPr>
      </w:pPr>
      <w:r>
        <w:rPr>
          <w:sz w:val="24"/>
        </w:rPr>
        <w:t>C</w:t>
      </w:r>
      <w:r>
        <w:rPr>
          <w:position w:val="-2"/>
          <w:sz w:val="16"/>
        </w:rPr>
        <w:t>i </w:t>
      </w:r>
      <w:r>
        <w:rPr>
          <w:sz w:val="24"/>
        </w:rPr>
        <w:t>= r</w:t>
      </w:r>
      <w:r>
        <w:rPr>
          <w:position w:val="-2"/>
          <w:sz w:val="16"/>
        </w:rPr>
        <w:t>i </w:t>
      </w:r>
      <w:r>
        <w:rPr>
          <w:sz w:val="24"/>
        </w:rPr>
        <w:t>/ S</w:t>
      </w:r>
      <w:r>
        <w:rPr>
          <w:position w:val="-2"/>
          <w:sz w:val="16"/>
        </w:rPr>
        <w:t>i</w:t>
      </w:r>
      <w:r>
        <w:rPr>
          <w:sz w:val="24"/>
        </w:rPr>
        <w:t>S</w:t>
      </w:r>
    </w:p>
    <w:p>
      <w:pPr>
        <w:pStyle w:val="BodyText"/>
        <w:spacing w:before="1"/>
        <w:rPr>
          <w:sz w:val="28"/>
        </w:rPr>
      </w:pPr>
    </w:p>
    <w:p>
      <w:pPr>
        <w:pStyle w:val="BodyText"/>
        <w:spacing w:line="350" w:lineRule="auto"/>
        <w:ind w:left="461" w:right="123"/>
      </w:pPr>
      <w:r>
        <w:rPr/>
        <w:t>r</w:t>
      </w:r>
      <w:r>
        <w:rPr>
          <w:position w:val="-2"/>
          <w:sz w:val="16"/>
        </w:rPr>
        <w:t>i </w:t>
      </w:r>
      <w:r>
        <w:rPr/>
        <w:t>= media cuadrática de las correlaciones entre la variable i y el resto de las variables dada por:</w:t>
      </w:r>
    </w:p>
    <w:p>
      <w:pPr>
        <w:pStyle w:val="BodyText"/>
        <w:spacing w:before="9"/>
        <w:rPr>
          <w:sz w:val="11"/>
        </w:rPr>
      </w:pPr>
    </w:p>
    <w:p>
      <w:pPr>
        <w:spacing w:after="0"/>
        <w:rPr>
          <w:sz w:val="11"/>
        </w:rPr>
        <w:sectPr>
          <w:pgSz w:w="12240" w:h="15840"/>
          <w:pgMar w:header="0" w:footer="1003" w:top="1380" w:bottom="1200" w:left="1600" w:right="1580"/>
        </w:sectPr>
      </w:pPr>
    </w:p>
    <w:p>
      <w:pPr>
        <w:spacing w:before="223"/>
        <w:ind w:left="0" w:right="0" w:firstLine="0"/>
        <w:jc w:val="right"/>
        <w:rPr>
          <w:rFonts w:ascii="Cambria Math"/>
          <w:sz w:val="24"/>
        </w:rPr>
      </w:pPr>
      <w:r>
        <w:rPr>
          <w:w w:val="105"/>
          <w:sz w:val="24"/>
        </w:rPr>
        <w:t>r</w:t>
      </w:r>
      <w:r>
        <w:rPr>
          <w:w w:val="105"/>
          <w:position w:val="-2"/>
          <w:sz w:val="16"/>
        </w:rPr>
        <w:t>i = </w:t>
      </w:r>
      <w:r>
        <w:rPr>
          <w:rFonts w:ascii="Cambria Math"/>
          <w:w w:val="105"/>
          <w:sz w:val="24"/>
        </w:rPr>
        <w:t>(</w:t>
      </w:r>
    </w:p>
    <w:p>
      <w:pPr>
        <w:spacing w:line="168" w:lineRule="exact" w:before="76"/>
        <w:ind w:left="1364" w:right="0" w:firstLine="0"/>
        <w:jc w:val="left"/>
        <w:rPr>
          <w:rFonts w:ascii="Cambria Math"/>
          <w:sz w:val="17"/>
        </w:rPr>
      </w:pPr>
      <w:r>
        <w:rPr/>
        <w:br w:type="column"/>
      </w:r>
      <w:r>
        <w:rPr>
          <w:rFonts w:ascii="Cambria Math"/>
          <w:spacing w:val="-1"/>
          <w:w w:val="263"/>
          <w:sz w:val="17"/>
        </w:rPr>
        <w:t> </w:t>
      </w:r>
      <w:r>
        <w:rPr>
          <w:rFonts w:ascii="Cambria Math"/>
          <w:w w:val="223"/>
          <w:sz w:val="17"/>
        </w:rPr>
        <w:t> </w:t>
      </w:r>
      <w:r>
        <w:rPr>
          <w:rFonts w:ascii="Cambria Math"/>
          <w:w w:val="263"/>
          <w:sz w:val="17"/>
        </w:rPr>
        <w:t> </w:t>
      </w:r>
    </w:p>
    <w:p>
      <w:pPr>
        <w:tabs>
          <w:tab w:pos="901" w:val="left" w:leader="none"/>
        </w:tabs>
        <w:spacing w:line="260" w:lineRule="exact" w:before="0"/>
        <w:ind w:left="382" w:right="0" w:firstLine="0"/>
        <w:jc w:val="left"/>
        <w:rPr>
          <w:rFonts w:ascii="Cambria Math" w:hAnsi="Cambria Math"/>
          <w:sz w:val="24"/>
        </w:rPr>
      </w:pPr>
      <w:r>
        <w:rPr/>
        <w:pict>
          <v:line style="position:absolute;mso-position-horizontal-relative:page;mso-position-vertical-relative:paragraph;z-index:-394792" from="282.890015pt,6.926944pt" to="299.450015pt,6.926944pt" stroked="true" strokeweight=".84003pt" strokecolor="#000000">
            <w10:wrap type="none"/>
          </v:line>
        </w:pict>
      </w:r>
      <w:r>
        <w:rPr>
          <w:rFonts w:ascii="Cambria Math" w:hAnsi="Cambria Math"/>
          <w:w w:val="110"/>
          <w:position w:val="1"/>
          <w:sz w:val="24"/>
        </w:rPr>
        <w:t>∑</w:t>
      </w:r>
      <w:r>
        <w:rPr>
          <w:rFonts w:ascii="Cambria Math" w:hAnsi="Cambria Math"/>
          <w:w w:val="110"/>
          <w:position w:val="12"/>
          <w:sz w:val="17"/>
        </w:rPr>
        <w:tab/>
      </w:r>
      <w:r>
        <w:rPr>
          <w:rFonts w:ascii="Cambria Math" w:hAnsi="Cambria Math"/>
          <w:w w:val="110"/>
          <w:sz w:val="24"/>
        </w:rPr>
        <w:t>)</w:t>
      </w:r>
    </w:p>
    <w:p>
      <w:pPr>
        <w:spacing w:after="0" w:line="260" w:lineRule="exact"/>
        <w:jc w:val="left"/>
        <w:rPr>
          <w:rFonts w:ascii="Cambria Math" w:hAnsi="Cambria Math"/>
          <w:sz w:val="24"/>
        </w:rPr>
        <w:sectPr>
          <w:type w:val="continuous"/>
          <w:pgSz w:w="12240" w:h="15840"/>
          <w:pgMar w:top="1340" w:bottom="280" w:left="1600" w:right="1580"/>
          <w:cols w:num="2" w:equalWidth="0">
            <w:col w:w="4058" w:space="40"/>
            <w:col w:w="4962"/>
          </w:cols>
        </w:sectPr>
      </w:pPr>
    </w:p>
    <w:p>
      <w:pPr>
        <w:pStyle w:val="BodyText"/>
        <w:rPr>
          <w:rFonts w:ascii="Cambria Math"/>
          <w:sz w:val="20"/>
        </w:rPr>
      </w:pPr>
    </w:p>
    <w:p>
      <w:pPr>
        <w:pStyle w:val="BodyText"/>
        <w:spacing w:line="571" w:lineRule="auto" w:before="189"/>
        <w:ind w:left="810" w:right="4451"/>
        <w:rPr>
          <w:rFonts w:ascii="Cambria Math" w:hAnsi="Cambria Math"/>
          <w:sz w:val="14"/>
        </w:rPr>
      </w:pPr>
      <w:r>
        <w:rPr/>
        <w:t>S</w:t>
      </w:r>
      <w:r>
        <w:rPr>
          <w:position w:val="-2"/>
          <w:sz w:val="16"/>
        </w:rPr>
        <w:t>i </w:t>
      </w:r>
      <w:r>
        <w:rPr/>
        <w:t>= desviación estándar de la variable i S =     +     + …+ </w:t>
      </w:r>
      <w:r>
        <w:rPr>
          <w:w w:val="100"/>
          <w:position w:val="16"/>
          <w:sz w:val="17"/>
          <w:u w:val="single"/>
        </w:rPr>
        <w:t> </w:t>
      </w:r>
      <w:r>
        <w:rPr>
          <w:rFonts w:ascii="Cambria Math" w:hAnsi="Cambria Math"/>
          <w:w w:val="240"/>
          <w:position w:val="16"/>
          <w:sz w:val="17"/>
          <w:u w:val="single"/>
        </w:rPr>
        <w:t> </w:t>
      </w:r>
      <w:r>
        <w:rPr>
          <w:rFonts w:ascii="Cambria Math" w:hAnsi="Cambria Math"/>
          <w:w w:val="308"/>
          <w:position w:val="12"/>
          <w:sz w:val="14"/>
          <w:u w:val="single"/>
        </w:rPr>
        <w:t> </w:t>
      </w:r>
      <w:r>
        <w:rPr>
          <w:rFonts w:ascii="Cambria Math" w:hAnsi="Cambria Math"/>
          <w:position w:val="12"/>
          <w:sz w:val="14"/>
          <w:u w:val="single"/>
        </w:rPr>
        <w:t> </w:t>
      </w:r>
    </w:p>
    <w:p>
      <w:pPr>
        <w:spacing w:after="0" w:line="571" w:lineRule="auto"/>
        <w:rPr>
          <w:rFonts w:ascii="Cambria Math" w:hAnsi="Cambria Math"/>
          <w:sz w:val="14"/>
        </w:rPr>
        <w:sectPr>
          <w:type w:val="continuous"/>
          <w:pgSz w:w="12240" w:h="15840"/>
          <w:pgMar w:top="1340" w:bottom="280" w:left="1600" w:right="1580"/>
        </w:sectPr>
      </w:pPr>
    </w:p>
    <w:p>
      <w:pPr>
        <w:pStyle w:val="BodyText"/>
        <w:spacing w:before="50"/>
        <w:ind w:left="810"/>
      </w:pPr>
      <w:r>
        <w:rPr/>
        <w:t>i = 1,2, …,p; con i ≠ j</w:t>
      </w:r>
    </w:p>
    <w:p>
      <w:pPr>
        <w:pStyle w:val="BodyText"/>
        <w:spacing w:before="4"/>
        <w:rPr>
          <w:sz w:val="23"/>
        </w:rPr>
      </w:pPr>
    </w:p>
    <w:p>
      <w:pPr>
        <w:pStyle w:val="BodyText"/>
        <w:spacing w:before="70"/>
        <w:ind w:left="1121" w:right="782"/>
        <w:jc w:val="center"/>
      </w:pPr>
      <w:r>
        <w:rPr/>
        <w:t>0 &lt; ICE &lt; 100</w:t>
      </w:r>
    </w:p>
    <w:p>
      <w:pPr>
        <w:pStyle w:val="BodyText"/>
        <w:spacing w:before="4"/>
        <w:rPr>
          <w:sz w:val="29"/>
        </w:rPr>
      </w:pPr>
    </w:p>
    <w:p>
      <w:pPr>
        <w:pStyle w:val="BodyText"/>
        <w:spacing w:line="535" w:lineRule="auto" w:before="1"/>
        <w:ind w:left="461" w:right="653"/>
      </w:pPr>
      <w:r>
        <w:rPr/>
        <w:t>100 = significa que toda la población ocupada tiene una mala calidad de empleo y 0 = significa que toda la población ocupada tiene buena calidad de empleo.</w:t>
      </w:r>
    </w:p>
    <w:p>
      <w:pPr>
        <w:pStyle w:val="BodyText"/>
      </w:pPr>
    </w:p>
    <w:p>
      <w:pPr>
        <w:pStyle w:val="BodyText"/>
        <w:spacing w:line="360" w:lineRule="auto" w:before="148"/>
        <w:ind w:left="102" w:right="116"/>
        <w:jc w:val="both"/>
      </w:pPr>
      <w:r>
        <w:rPr/>
        <w:t>El segundo fue el Índice de Condiciones Laborales (ICL) propuesto por  Rodríguez- Oreggia y Silva (2009), ellos determinaron tres dimensiones a evaluar: condiciones de igualdad (género e ingresos), trabajo cubierto por la seguridad social y premios salariales por educación. La ecuación planteada fue:</w:t>
      </w:r>
    </w:p>
    <w:p>
      <w:pPr>
        <w:pStyle w:val="BodyText"/>
      </w:pPr>
    </w:p>
    <w:p>
      <w:pPr>
        <w:pStyle w:val="BodyText"/>
        <w:spacing w:before="6"/>
        <w:rPr>
          <w:sz w:val="23"/>
        </w:rPr>
      </w:pPr>
    </w:p>
    <w:p>
      <w:pPr>
        <w:spacing w:before="0"/>
        <w:ind w:left="102" w:right="0" w:firstLine="489"/>
        <w:jc w:val="left"/>
        <w:rPr>
          <w:rFonts w:ascii="Cambria Math"/>
          <w:sz w:val="20"/>
        </w:rPr>
      </w:pPr>
      <w:r>
        <w:rPr/>
        <w:pict>
          <v:line style="position:absolute;mso-position-horizontal-relative:page;mso-position-vertical-relative:paragraph;z-index:7888" from="140.059998pt,6.681949pt" to="145.579998pt,6.681949pt" stroked="true" strokeweight=".600010pt" strokecolor="#000000">
            <w10:wrap type="none"/>
          </v:line>
        </w:pict>
      </w:r>
      <w:r>
        <w:rPr>
          <w:rFonts w:ascii="Cambria Math"/>
          <w:spacing w:val="-2"/>
          <w:w w:val="171"/>
          <w:sz w:val="20"/>
        </w:rPr>
        <w:t> </w:t>
      </w:r>
      <w:r>
        <w:rPr>
          <w:rFonts w:ascii="Cambria Math"/>
          <w:w w:val="270"/>
          <w:sz w:val="20"/>
        </w:rPr>
        <w:t> </w:t>
      </w:r>
      <w:r>
        <w:rPr>
          <w:rFonts w:ascii="Cambria Math"/>
          <w:w w:val="240"/>
          <w:sz w:val="20"/>
        </w:rPr>
        <w:t> </w:t>
      </w:r>
      <w:r>
        <w:rPr>
          <w:rFonts w:ascii="Cambria Math"/>
          <w:spacing w:val="15"/>
          <w:sz w:val="20"/>
        </w:rPr>
        <w:t> </w:t>
      </w:r>
      <w:r>
        <w:rPr>
          <w:rFonts w:ascii="Cambria Math"/>
          <w:w w:val="337"/>
          <w:sz w:val="20"/>
        </w:rPr>
        <w:t> </w:t>
      </w:r>
    </w:p>
    <w:p>
      <w:pPr>
        <w:pStyle w:val="BodyText"/>
        <w:rPr>
          <w:rFonts w:ascii="Cambria Math"/>
          <w:sz w:val="20"/>
        </w:rPr>
      </w:pPr>
    </w:p>
    <w:p>
      <w:pPr>
        <w:pStyle w:val="BodyText"/>
        <w:spacing w:before="6"/>
        <w:rPr>
          <w:rFonts w:ascii="Cambria Math"/>
          <w:sz w:val="27"/>
        </w:rPr>
      </w:pPr>
    </w:p>
    <w:p>
      <w:pPr>
        <w:pStyle w:val="BodyText"/>
        <w:ind w:left="102"/>
        <w:jc w:val="both"/>
      </w:pPr>
      <w:r>
        <w:rPr/>
        <w:t>En donde:</w:t>
      </w:r>
    </w:p>
    <w:p>
      <w:pPr>
        <w:pStyle w:val="BodyText"/>
        <w:spacing w:line="360" w:lineRule="auto" w:before="137"/>
        <w:ind w:left="807" w:right="123" w:hanging="706"/>
        <w:jc w:val="both"/>
      </w:pPr>
      <w:r>
        <w:rPr>
          <w:i/>
        </w:rPr>
        <w:t>Índice de trabajo formal</w:t>
      </w:r>
      <w:r>
        <w:rPr/>
        <w:t>: variable para medir las condiciones laborales. Indicador usado para medir trabajo formal determinado por el acceso a seguridad social por su trabajo.</w:t>
      </w:r>
    </w:p>
    <w:p>
      <w:pPr>
        <w:pStyle w:val="BodyText"/>
        <w:spacing w:line="360" w:lineRule="auto" w:before="6"/>
        <w:ind w:left="807" w:right="119" w:hanging="706"/>
        <w:jc w:val="both"/>
      </w:pPr>
      <w:r>
        <w:rPr>
          <w:i/>
        </w:rPr>
        <w:t>Índice premios salariales por educación</w:t>
      </w:r>
      <w:r>
        <w:rPr/>
        <w:t>: el nivel de remuneración de los trabajadores debe estar en relación con las habilidades individuales. A partir de la ecuación minceriana determinaron una estructura funcional:</w:t>
      </w:r>
    </w:p>
    <w:p>
      <w:pPr>
        <w:pStyle w:val="BodyText"/>
        <w:spacing w:before="4"/>
        <w:rPr>
          <w:sz w:val="33"/>
        </w:rPr>
      </w:pPr>
    </w:p>
    <w:p>
      <w:pPr>
        <w:spacing w:before="0"/>
        <w:ind w:left="2365" w:right="0" w:firstLine="0"/>
        <w:jc w:val="left"/>
        <w:rPr>
          <w:sz w:val="16"/>
        </w:rPr>
      </w:pPr>
      <w:r>
        <w:rPr>
          <w:sz w:val="24"/>
        </w:rPr>
        <w:t>W</w:t>
      </w:r>
      <w:r>
        <w:rPr>
          <w:position w:val="-2"/>
          <w:sz w:val="16"/>
        </w:rPr>
        <w:t>i    </w:t>
      </w:r>
      <w:r>
        <w:rPr>
          <w:sz w:val="24"/>
        </w:rPr>
        <w:t>= α + β1Educ</w:t>
      </w:r>
      <w:r>
        <w:rPr>
          <w:position w:val="-2"/>
          <w:sz w:val="16"/>
        </w:rPr>
        <w:t>i + </w:t>
      </w:r>
      <w:r>
        <w:rPr>
          <w:sz w:val="24"/>
        </w:rPr>
        <w:t>β2Expe</w:t>
      </w:r>
      <w:r>
        <w:rPr>
          <w:position w:val="-2"/>
          <w:sz w:val="16"/>
        </w:rPr>
        <w:t>i  +  </w:t>
      </w:r>
      <w:r>
        <w:rPr>
          <w:sz w:val="24"/>
        </w:rPr>
        <w:t>β3Expe</w:t>
      </w:r>
      <w:r>
        <w:rPr>
          <w:position w:val="-2"/>
          <w:sz w:val="16"/>
        </w:rPr>
        <w:t>i</w:t>
      </w:r>
      <w:r>
        <w:rPr>
          <w:position w:val="11"/>
          <w:sz w:val="16"/>
        </w:rPr>
        <w:t>2  </w:t>
      </w:r>
      <w:r>
        <w:rPr>
          <w:sz w:val="24"/>
        </w:rPr>
        <w:t>+ Ɛ</w:t>
      </w:r>
      <w:r>
        <w:rPr>
          <w:position w:val="-2"/>
          <w:sz w:val="16"/>
        </w:rPr>
        <w:t>i</w:t>
      </w:r>
    </w:p>
    <w:p>
      <w:pPr>
        <w:pStyle w:val="BodyText"/>
        <w:rPr>
          <w:sz w:val="30"/>
        </w:rPr>
      </w:pPr>
    </w:p>
    <w:p>
      <w:pPr>
        <w:pStyle w:val="BodyText"/>
        <w:spacing w:line="360" w:lineRule="auto" w:before="194"/>
        <w:ind w:left="102"/>
      </w:pPr>
      <w:r>
        <w:rPr/>
        <w:t>Esta ecuación se apega a la teoría estándar de los retornos a la educación planteada por Mincer (1974).</w:t>
      </w:r>
    </w:p>
    <w:p>
      <w:pPr>
        <w:pStyle w:val="BodyText"/>
      </w:pPr>
    </w:p>
    <w:p>
      <w:pPr>
        <w:pStyle w:val="BodyText"/>
        <w:spacing w:line="360" w:lineRule="auto" w:before="143"/>
        <w:ind w:left="807" w:right="119" w:hanging="706"/>
        <w:jc w:val="both"/>
      </w:pPr>
      <w:r>
        <w:rPr>
          <w:i/>
        </w:rPr>
        <w:t>Índice de equidad</w:t>
      </w:r>
      <w:r>
        <w:rPr/>
        <w:t>: para medir la equidad de género se utiliza la descomposición de Oaxaca- Blinder (Oaxaca, 1973; Blinder, 1973), que explica la diferencia en características observables y no observables del salario entre hombres y mujeres.</w:t>
      </w:r>
    </w:p>
    <w:p>
      <w:pPr>
        <w:spacing w:after="0" w:line="360" w:lineRule="auto"/>
        <w:jc w:val="both"/>
        <w:sectPr>
          <w:pgSz w:w="12240" w:h="15840"/>
          <w:pgMar w:header="0" w:footer="1003" w:top="1360" w:bottom="1200" w:left="1600" w:right="1580"/>
        </w:sectPr>
      </w:pPr>
    </w:p>
    <w:p>
      <w:pPr>
        <w:pStyle w:val="Heading3"/>
        <w:numPr>
          <w:ilvl w:val="2"/>
          <w:numId w:val="79"/>
        </w:numPr>
        <w:tabs>
          <w:tab w:pos="703" w:val="left" w:leader="none"/>
        </w:tabs>
        <w:spacing w:line="240" w:lineRule="auto" w:before="55" w:after="0"/>
        <w:ind w:left="702" w:right="0" w:hanging="600"/>
        <w:jc w:val="left"/>
      </w:pPr>
      <w:bookmarkStart w:name="_bookmark87" w:id="159"/>
      <w:bookmarkEnd w:id="159"/>
      <w:r>
        <w:rPr>
          <w:b w:val="0"/>
        </w:rPr>
      </w:r>
      <w:bookmarkStart w:name="_bookmark87" w:id="160"/>
      <w:bookmarkEnd w:id="160"/>
      <w:r>
        <w:rPr/>
        <w:t>C</w:t>
      </w:r>
      <w:r>
        <w:rPr/>
        <w:t>omponentes del</w:t>
      </w:r>
      <w:r>
        <w:rPr>
          <w:spacing w:val="53"/>
        </w:rPr>
        <w:t> </w:t>
      </w:r>
      <w:r>
        <w:rPr/>
        <w:t>ICE</w:t>
      </w:r>
    </w:p>
    <w:p>
      <w:pPr>
        <w:pStyle w:val="BodyText"/>
        <w:rPr>
          <w:b/>
        </w:rPr>
      </w:pPr>
    </w:p>
    <w:p>
      <w:pPr>
        <w:pStyle w:val="BodyText"/>
        <w:spacing w:line="360" w:lineRule="auto" w:before="175"/>
        <w:ind w:left="102" w:right="339"/>
      </w:pPr>
      <w:r>
        <w:rPr/>
        <w:t>Una vez realizada la revisión teórica se determinó que para el caso de esta investigación  que los componentes del ICE para esta tesis debían</w:t>
      </w:r>
      <w:r>
        <w:rPr>
          <w:spacing w:val="-9"/>
        </w:rPr>
        <w:t> </w:t>
      </w:r>
      <w:r>
        <w:rPr/>
        <w:t>ser:</w:t>
      </w:r>
    </w:p>
    <w:p>
      <w:pPr>
        <w:pStyle w:val="BodyText"/>
      </w:pPr>
    </w:p>
    <w:p>
      <w:pPr>
        <w:pStyle w:val="ListParagraph"/>
        <w:numPr>
          <w:ilvl w:val="3"/>
          <w:numId w:val="79"/>
        </w:numPr>
        <w:tabs>
          <w:tab w:pos="822" w:val="left" w:leader="none"/>
        </w:tabs>
        <w:spacing w:line="360" w:lineRule="auto" w:before="142" w:after="0"/>
        <w:ind w:left="822" w:right="119" w:hanging="360"/>
        <w:jc w:val="both"/>
        <w:rPr>
          <w:sz w:val="24"/>
        </w:rPr>
      </w:pPr>
      <w:r>
        <w:rPr>
          <w:b/>
          <w:sz w:val="24"/>
        </w:rPr>
        <w:t>Tipo de contrato.</w:t>
      </w:r>
      <w:r>
        <w:rPr>
          <w:sz w:val="24"/>
        </w:rPr>
        <w:t>- Con base en la teoría de la segmentación, específicamente en la primera y segunda generación el contar con un contrato se considera que se tienen mejores características de contratación. De ahí que la ponderación de 100 fue para “sin contrato”, esto con base en la teoría de la segmentación en donde se espera que las condiciones mejores incluyan un contrato y las peores que no se obtengan un contrato, recordando que de acuerdo al ICE de Granados y Vences el valor 100 corresponde a las condiciones “malas”. El rubro “contrato temporal” se le asignó un valor de 50, y al de “contrato indefinido” el valor de “0”, por ser las mejores condiciones que se pueden obtener en este</w:t>
      </w:r>
      <w:r>
        <w:rPr>
          <w:spacing w:val="-7"/>
          <w:sz w:val="24"/>
        </w:rPr>
        <w:t> </w:t>
      </w:r>
      <w:r>
        <w:rPr>
          <w:sz w:val="24"/>
        </w:rPr>
        <w:t>rubro.</w:t>
      </w:r>
    </w:p>
    <w:p>
      <w:pPr>
        <w:pStyle w:val="BodyText"/>
      </w:pPr>
    </w:p>
    <w:p>
      <w:pPr>
        <w:pStyle w:val="ListParagraph"/>
        <w:numPr>
          <w:ilvl w:val="3"/>
          <w:numId w:val="79"/>
        </w:numPr>
        <w:tabs>
          <w:tab w:pos="822" w:val="left" w:leader="none"/>
        </w:tabs>
        <w:spacing w:line="357" w:lineRule="auto" w:before="142" w:after="0"/>
        <w:ind w:left="822" w:right="115" w:hanging="360"/>
        <w:jc w:val="both"/>
        <w:rPr>
          <w:sz w:val="24"/>
        </w:rPr>
      </w:pPr>
      <w:r>
        <w:rPr>
          <w:b/>
          <w:sz w:val="24"/>
        </w:rPr>
        <w:t>Nivel de ingresos</w:t>
      </w:r>
      <w:r>
        <w:rPr>
          <w:sz w:val="24"/>
        </w:rPr>
        <w:t>.- El salario es considerado unos de los ponderadores más importantes para evaluar si las condiciones de contratación de los trabajadores son consideradas como buenas o malas, se revisó en el capítulo del marco teórico en donde tanto para la teoría de la segmentación como para la flexibilidad del mercado de trabajo y los empleos es un valor crítico de evaluación. Se definieron cinco rangos salariales a los cuales se les asignaron las siguientes ponderaciones: 100 puntos para $1.00 - $3000.00; 75 puntos a todas las respuestas en el intervalo</w:t>
      </w:r>
      <w:r>
        <w:rPr>
          <w:spacing w:val="31"/>
          <w:sz w:val="24"/>
        </w:rPr>
        <w:t> </w:t>
      </w:r>
      <w:r>
        <w:rPr>
          <w:sz w:val="24"/>
        </w:rPr>
        <w:t>$3001</w:t>
      </w:r>
    </w:p>
    <w:p>
      <w:pPr>
        <w:pStyle w:val="BodyText"/>
        <w:spacing w:before="6"/>
        <w:ind w:left="821"/>
      </w:pPr>
      <w:r>
        <w:rPr/>
        <w:t>- $ 6000.00; 50 para los que respondieron de $6001 - $9000;  25 puntos para $9001-</w:t>
      </w:r>
    </w:p>
    <w:p>
      <w:pPr>
        <w:pStyle w:val="BodyText"/>
        <w:spacing w:before="139"/>
        <w:ind w:left="821"/>
      </w:pPr>
      <w:r>
        <w:rPr/>
        <w:t>$12000 y o para los que obtuvieron un salario de más de $12000.00.</w:t>
      </w:r>
    </w:p>
    <w:p>
      <w:pPr>
        <w:pStyle w:val="BodyText"/>
      </w:pPr>
    </w:p>
    <w:p>
      <w:pPr>
        <w:pStyle w:val="BodyText"/>
      </w:pPr>
    </w:p>
    <w:p>
      <w:pPr>
        <w:pStyle w:val="ListParagraph"/>
        <w:numPr>
          <w:ilvl w:val="3"/>
          <w:numId w:val="79"/>
        </w:numPr>
        <w:tabs>
          <w:tab w:pos="822" w:val="left" w:leader="none"/>
        </w:tabs>
        <w:spacing w:line="357" w:lineRule="auto" w:before="0" w:after="0"/>
        <w:ind w:left="822" w:right="116" w:hanging="360"/>
        <w:jc w:val="both"/>
        <w:rPr>
          <w:sz w:val="24"/>
        </w:rPr>
      </w:pPr>
      <w:r>
        <w:rPr>
          <w:b/>
          <w:sz w:val="24"/>
        </w:rPr>
        <w:t>Necesidad de capacitación</w:t>
      </w:r>
      <w:r>
        <w:rPr>
          <w:sz w:val="24"/>
        </w:rPr>
        <w:t>.- De acuerdo con Rodríguez-Oreggia y Silva (2009) el nivel de remuneración debe estar en función de la habilidades individuales, los autores propusieron un índice con base en la ecuación minceriana (1974), tomando en consideración esta evaluación en este rubro se evalúo la necesidad de capacitación en donde los puntajes fueron: 100 puntos para sí necesitó capacitación y 0 para</w:t>
      </w:r>
      <w:r>
        <w:rPr>
          <w:spacing w:val="-4"/>
          <w:sz w:val="24"/>
        </w:rPr>
        <w:t> </w:t>
      </w:r>
      <w:r>
        <w:rPr>
          <w:sz w:val="24"/>
        </w:rPr>
        <w:t>no.</w:t>
      </w:r>
    </w:p>
    <w:p>
      <w:pPr>
        <w:spacing w:after="0" w:line="357" w:lineRule="auto"/>
        <w:jc w:val="both"/>
        <w:rPr>
          <w:sz w:val="24"/>
        </w:rPr>
        <w:sectPr>
          <w:pgSz w:w="12240" w:h="15840"/>
          <w:pgMar w:header="0" w:footer="1003" w:top="1360" w:bottom="1200" w:left="1600" w:right="1580"/>
        </w:sectPr>
      </w:pPr>
    </w:p>
    <w:p>
      <w:pPr>
        <w:pStyle w:val="Heading3"/>
        <w:numPr>
          <w:ilvl w:val="2"/>
          <w:numId w:val="79"/>
        </w:numPr>
        <w:tabs>
          <w:tab w:pos="702" w:val="left" w:leader="none"/>
        </w:tabs>
        <w:spacing w:line="240" w:lineRule="auto" w:before="55" w:after="0"/>
        <w:ind w:left="702" w:right="0" w:hanging="600"/>
        <w:jc w:val="both"/>
      </w:pPr>
      <w:bookmarkStart w:name="_bookmark88" w:id="161"/>
      <w:bookmarkEnd w:id="161"/>
      <w:r>
        <w:rPr>
          <w:b w:val="0"/>
        </w:rPr>
      </w:r>
      <w:bookmarkStart w:name="_bookmark88" w:id="162"/>
      <w:bookmarkEnd w:id="162"/>
      <w:r>
        <w:rPr/>
        <w:t>Ag</w:t>
      </w:r>
      <w:r>
        <w:rPr/>
        <w:t>regación del</w:t>
      </w:r>
      <w:r>
        <w:rPr>
          <w:spacing w:val="57"/>
        </w:rPr>
        <w:t> </w:t>
      </w:r>
      <w:r>
        <w:rPr/>
        <w:t>ICE</w:t>
      </w:r>
    </w:p>
    <w:p>
      <w:pPr>
        <w:pStyle w:val="BodyText"/>
        <w:rPr>
          <w:b/>
        </w:rPr>
      </w:pPr>
    </w:p>
    <w:p>
      <w:pPr>
        <w:pStyle w:val="BodyText"/>
        <w:spacing w:line="360" w:lineRule="auto" w:before="175"/>
        <w:ind w:left="102" w:right="121"/>
        <w:jc w:val="both"/>
      </w:pPr>
      <w:r>
        <w:rPr/>
        <w:t>Para poder agregar el ICE fue necesario convertir los componentes en índices que se pudieran integrar siguiendo la metodología fusionada de los índices de Granados y Vences (2013) y de Rodríguez-Orieggia y Silva (2009), posteriormente se incorporaron en la ecuación propuesta siguiente:</w:t>
      </w:r>
    </w:p>
    <w:p>
      <w:pPr>
        <w:pStyle w:val="BodyText"/>
        <w:rPr>
          <w:sz w:val="20"/>
        </w:rPr>
      </w:pPr>
    </w:p>
    <w:p>
      <w:pPr>
        <w:pStyle w:val="BodyText"/>
        <w:rPr>
          <w:sz w:val="20"/>
        </w:rPr>
      </w:pPr>
    </w:p>
    <w:p>
      <w:pPr>
        <w:pStyle w:val="BodyText"/>
        <w:spacing w:before="2"/>
        <w:rPr>
          <w:sz w:val="15"/>
        </w:rPr>
      </w:pPr>
      <w:r>
        <w:rPr/>
        <w:pict>
          <v:line style="position:absolute;mso-position-horizontal-relative:page;mso-position-vertical-relative:paragraph;z-index:7912;mso-wrap-distance-left:0;mso-wrap-distance-right:0" from="180.740005pt,11.021724pt" to="186.740005pt,11.021724pt" stroked="true" strokeweight=".59999pt" strokecolor="#000000">
            <w10:wrap type="topAndBottom"/>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p>
    <w:p>
      <w:pPr>
        <w:pStyle w:val="BodyText"/>
        <w:spacing w:line="360" w:lineRule="auto" w:before="69"/>
        <w:ind w:left="102"/>
      </w:pPr>
      <w:r>
        <w:rPr/>
        <w:t>La tabla siguiente presenta los componentes para el ICE por generación. En donde se analizaron los tres componentes determinados previamente para este estudio.</w:t>
      </w:r>
    </w:p>
    <w:p>
      <w:pPr>
        <w:pStyle w:val="BodyText"/>
      </w:pPr>
    </w:p>
    <w:p>
      <w:pPr>
        <w:pStyle w:val="Heading3"/>
        <w:spacing w:before="148"/>
        <w:ind w:left="2853"/>
        <w:jc w:val="left"/>
      </w:pPr>
      <w:r>
        <w:rPr/>
        <w:t>Tabla 8.1. Componentes del ICE</w:t>
      </w:r>
    </w:p>
    <w:p>
      <w:pPr>
        <w:pStyle w:val="BodyText"/>
        <w:spacing w:before="2"/>
        <w:rPr>
          <w:b/>
          <w:sz w:val="12"/>
        </w:rPr>
      </w:pPr>
    </w:p>
    <w:tbl>
      <w:tblPr>
        <w:tblW w:w="0" w:type="auto"/>
        <w:jc w:val="left"/>
        <w:tblInd w:w="1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1"/>
        <w:gridCol w:w="1200"/>
        <w:gridCol w:w="1200"/>
        <w:gridCol w:w="1416"/>
        <w:gridCol w:w="1201"/>
      </w:tblGrid>
      <w:tr>
        <w:trPr>
          <w:trHeight w:val="838" w:hRule="exact"/>
        </w:trPr>
        <w:tc>
          <w:tcPr>
            <w:tcW w:w="1201" w:type="dxa"/>
          </w:tcPr>
          <w:p>
            <w:pPr/>
          </w:p>
        </w:tc>
        <w:tc>
          <w:tcPr>
            <w:tcW w:w="1200" w:type="dxa"/>
          </w:tcPr>
          <w:p>
            <w:pPr>
              <w:pStyle w:val="TableParagraph"/>
              <w:ind w:left="103" w:right="281"/>
              <w:rPr>
                <w:sz w:val="24"/>
              </w:rPr>
            </w:pPr>
            <w:r>
              <w:rPr>
                <w:sz w:val="24"/>
              </w:rPr>
              <w:t>Índice tipo contrato</w:t>
            </w:r>
          </w:p>
        </w:tc>
        <w:tc>
          <w:tcPr>
            <w:tcW w:w="1200" w:type="dxa"/>
          </w:tcPr>
          <w:p>
            <w:pPr>
              <w:pStyle w:val="TableParagraph"/>
              <w:ind w:left="103"/>
              <w:rPr>
                <w:sz w:val="24"/>
              </w:rPr>
            </w:pPr>
            <w:r>
              <w:rPr>
                <w:sz w:val="24"/>
              </w:rPr>
              <w:t>Índice ingreso</w:t>
            </w:r>
          </w:p>
        </w:tc>
        <w:tc>
          <w:tcPr>
            <w:tcW w:w="1416" w:type="dxa"/>
          </w:tcPr>
          <w:p>
            <w:pPr>
              <w:pStyle w:val="TableParagraph"/>
              <w:ind w:left="103" w:right="84"/>
              <w:rPr>
                <w:sz w:val="24"/>
              </w:rPr>
            </w:pPr>
            <w:r>
              <w:rPr>
                <w:sz w:val="24"/>
              </w:rPr>
              <w:t>Índice necesitó capacitación</w:t>
            </w:r>
          </w:p>
        </w:tc>
        <w:tc>
          <w:tcPr>
            <w:tcW w:w="1201" w:type="dxa"/>
          </w:tcPr>
          <w:p>
            <w:pPr>
              <w:pStyle w:val="TableParagraph"/>
              <w:spacing w:line="268" w:lineRule="exact"/>
              <w:ind w:left="380" w:right="383"/>
              <w:jc w:val="center"/>
              <w:rPr>
                <w:sz w:val="24"/>
              </w:rPr>
            </w:pPr>
            <w:r>
              <w:rPr>
                <w:sz w:val="24"/>
              </w:rPr>
              <w:t>ICE</w:t>
            </w:r>
          </w:p>
        </w:tc>
      </w:tr>
      <w:tr>
        <w:trPr>
          <w:trHeight w:val="324" w:hRule="exact"/>
        </w:trPr>
        <w:tc>
          <w:tcPr>
            <w:tcW w:w="1201" w:type="dxa"/>
          </w:tcPr>
          <w:p>
            <w:pPr>
              <w:pStyle w:val="TableParagraph"/>
              <w:spacing w:line="268" w:lineRule="exact"/>
              <w:ind w:right="101"/>
              <w:jc w:val="right"/>
              <w:rPr>
                <w:sz w:val="24"/>
              </w:rPr>
            </w:pPr>
            <w:r>
              <w:rPr>
                <w:sz w:val="24"/>
              </w:rPr>
              <w:t>2000</w:t>
            </w:r>
          </w:p>
        </w:tc>
        <w:tc>
          <w:tcPr>
            <w:tcW w:w="1200" w:type="dxa"/>
          </w:tcPr>
          <w:p>
            <w:pPr>
              <w:pStyle w:val="TableParagraph"/>
              <w:spacing w:line="268" w:lineRule="exact"/>
              <w:ind w:right="101"/>
              <w:jc w:val="right"/>
              <w:rPr>
                <w:sz w:val="24"/>
              </w:rPr>
            </w:pPr>
            <w:r>
              <w:rPr>
                <w:sz w:val="24"/>
              </w:rPr>
              <w:t>50.00</w:t>
            </w:r>
          </w:p>
        </w:tc>
        <w:tc>
          <w:tcPr>
            <w:tcW w:w="1200" w:type="dxa"/>
          </w:tcPr>
          <w:p>
            <w:pPr>
              <w:pStyle w:val="TableParagraph"/>
              <w:spacing w:line="268" w:lineRule="exact"/>
              <w:ind w:right="101"/>
              <w:jc w:val="right"/>
              <w:rPr>
                <w:sz w:val="24"/>
              </w:rPr>
            </w:pPr>
            <w:r>
              <w:rPr>
                <w:sz w:val="24"/>
              </w:rPr>
              <w:t>77.50</w:t>
            </w:r>
          </w:p>
        </w:tc>
        <w:tc>
          <w:tcPr>
            <w:tcW w:w="1416" w:type="dxa"/>
          </w:tcPr>
          <w:p>
            <w:pPr>
              <w:pStyle w:val="TableParagraph"/>
              <w:spacing w:line="268" w:lineRule="exact"/>
              <w:ind w:right="101"/>
              <w:jc w:val="right"/>
              <w:rPr>
                <w:sz w:val="24"/>
              </w:rPr>
            </w:pPr>
            <w:r>
              <w:rPr>
                <w:sz w:val="24"/>
              </w:rPr>
              <w:t>100.00</w:t>
            </w:r>
          </w:p>
        </w:tc>
        <w:tc>
          <w:tcPr>
            <w:tcW w:w="1201" w:type="dxa"/>
          </w:tcPr>
          <w:p>
            <w:pPr>
              <w:pStyle w:val="TableParagraph"/>
              <w:spacing w:line="273" w:lineRule="exact"/>
              <w:ind w:right="101"/>
              <w:jc w:val="right"/>
              <w:rPr>
                <w:b/>
                <w:sz w:val="24"/>
              </w:rPr>
            </w:pPr>
            <w:r>
              <w:rPr>
                <w:b/>
                <w:color w:val="FF0000"/>
                <w:sz w:val="24"/>
              </w:rPr>
              <w:t>75.83</w:t>
            </w:r>
          </w:p>
        </w:tc>
      </w:tr>
      <w:tr>
        <w:trPr>
          <w:trHeight w:val="326" w:hRule="exact"/>
        </w:trPr>
        <w:tc>
          <w:tcPr>
            <w:tcW w:w="1201" w:type="dxa"/>
          </w:tcPr>
          <w:p>
            <w:pPr>
              <w:pStyle w:val="TableParagraph"/>
              <w:spacing w:line="270" w:lineRule="exact"/>
              <w:ind w:right="101"/>
              <w:jc w:val="right"/>
              <w:rPr>
                <w:sz w:val="24"/>
              </w:rPr>
            </w:pPr>
            <w:r>
              <w:rPr>
                <w:sz w:val="24"/>
              </w:rPr>
              <w:t>2001</w:t>
            </w:r>
          </w:p>
        </w:tc>
        <w:tc>
          <w:tcPr>
            <w:tcW w:w="1200" w:type="dxa"/>
          </w:tcPr>
          <w:p>
            <w:pPr>
              <w:pStyle w:val="TableParagraph"/>
              <w:spacing w:line="270" w:lineRule="exact"/>
              <w:ind w:right="101"/>
              <w:jc w:val="right"/>
              <w:rPr>
                <w:sz w:val="24"/>
              </w:rPr>
            </w:pPr>
            <w:r>
              <w:rPr>
                <w:sz w:val="24"/>
              </w:rPr>
              <w:t>10.00</w:t>
            </w:r>
          </w:p>
        </w:tc>
        <w:tc>
          <w:tcPr>
            <w:tcW w:w="1200" w:type="dxa"/>
          </w:tcPr>
          <w:p>
            <w:pPr>
              <w:pStyle w:val="TableParagraph"/>
              <w:spacing w:line="270" w:lineRule="exact"/>
              <w:ind w:right="101"/>
              <w:jc w:val="right"/>
              <w:rPr>
                <w:sz w:val="24"/>
              </w:rPr>
            </w:pPr>
            <w:r>
              <w:rPr>
                <w:sz w:val="24"/>
              </w:rPr>
              <w:t>60.00</w:t>
            </w:r>
          </w:p>
        </w:tc>
        <w:tc>
          <w:tcPr>
            <w:tcW w:w="1416" w:type="dxa"/>
          </w:tcPr>
          <w:p>
            <w:pPr>
              <w:pStyle w:val="TableParagraph"/>
              <w:spacing w:line="270" w:lineRule="exact"/>
              <w:ind w:right="101"/>
              <w:jc w:val="right"/>
              <w:rPr>
                <w:sz w:val="24"/>
              </w:rPr>
            </w:pPr>
            <w:r>
              <w:rPr>
                <w:sz w:val="24"/>
              </w:rPr>
              <w:t>60.00</w:t>
            </w:r>
          </w:p>
        </w:tc>
        <w:tc>
          <w:tcPr>
            <w:tcW w:w="1201" w:type="dxa"/>
          </w:tcPr>
          <w:p>
            <w:pPr>
              <w:pStyle w:val="TableParagraph"/>
              <w:spacing w:line="270" w:lineRule="exact"/>
              <w:ind w:right="101"/>
              <w:jc w:val="right"/>
              <w:rPr>
                <w:sz w:val="24"/>
              </w:rPr>
            </w:pPr>
            <w:r>
              <w:rPr>
                <w:sz w:val="24"/>
              </w:rPr>
              <w:t>43.33</w:t>
            </w:r>
          </w:p>
        </w:tc>
      </w:tr>
      <w:tr>
        <w:trPr>
          <w:trHeight w:val="324" w:hRule="exact"/>
        </w:trPr>
        <w:tc>
          <w:tcPr>
            <w:tcW w:w="1201" w:type="dxa"/>
          </w:tcPr>
          <w:p>
            <w:pPr>
              <w:pStyle w:val="TableParagraph"/>
              <w:spacing w:line="268" w:lineRule="exact"/>
              <w:ind w:right="101"/>
              <w:jc w:val="right"/>
              <w:rPr>
                <w:sz w:val="24"/>
              </w:rPr>
            </w:pPr>
            <w:r>
              <w:rPr>
                <w:sz w:val="24"/>
              </w:rPr>
              <w:t>2002</w:t>
            </w:r>
          </w:p>
        </w:tc>
        <w:tc>
          <w:tcPr>
            <w:tcW w:w="1200" w:type="dxa"/>
          </w:tcPr>
          <w:p>
            <w:pPr>
              <w:pStyle w:val="TableParagraph"/>
              <w:spacing w:line="268" w:lineRule="exact"/>
              <w:ind w:right="101"/>
              <w:jc w:val="right"/>
              <w:rPr>
                <w:sz w:val="24"/>
              </w:rPr>
            </w:pPr>
            <w:r>
              <w:rPr>
                <w:sz w:val="24"/>
              </w:rPr>
              <w:t>50.00</w:t>
            </w:r>
          </w:p>
        </w:tc>
        <w:tc>
          <w:tcPr>
            <w:tcW w:w="1200" w:type="dxa"/>
          </w:tcPr>
          <w:p>
            <w:pPr>
              <w:pStyle w:val="TableParagraph"/>
              <w:spacing w:line="268" w:lineRule="exact"/>
              <w:ind w:right="101"/>
              <w:jc w:val="right"/>
              <w:rPr>
                <w:sz w:val="24"/>
              </w:rPr>
            </w:pPr>
            <w:r>
              <w:rPr>
                <w:sz w:val="24"/>
              </w:rPr>
              <w:t>33.33</w:t>
            </w:r>
          </w:p>
        </w:tc>
        <w:tc>
          <w:tcPr>
            <w:tcW w:w="1416" w:type="dxa"/>
          </w:tcPr>
          <w:p>
            <w:pPr>
              <w:pStyle w:val="TableParagraph"/>
              <w:spacing w:line="268" w:lineRule="exact"/>
              <w:ind w:right="101"/>
              <w:jc w:val="right"/>
              <w:rPr>
                <w:sz w:val="24"/>
              </w:rPr>
            </w:pPr>
            <w:r>
              <w:rPr>
                <w:sz w:val="24"/>
              </w:rPr>
              <w:t>33.33</w:t>
            </w:r>
          </w:p>
        </w:tc>
        <w:tc>
          <w:tcPr>
            <w:tcW w:w="1201" w:type="dxa"/>
          </w:tcPr>
          <w:p>
            <w:pPr>
              <w:pStyle w:val="TableParagraph"/>
              <w:spacing w:line="273" w:lineRule="exact"/>
              <w:ind w:right="101"/>
              <w:jc w:val="right"/>
              <w:rPr>
                <w:b/>
                <w:sz w:val="24"/>
              </w:rPr>
            </w:pPr>
            <w:r>
              <w:rPr>
                <w:b/>
                <w:color w:val="006FC0"/>
                <w:sz w:val="24"/>
              </w:rPr>
              <w:t>38.89</w:t>
            </w:r>
          </w:p>
        </w:tc>
      </w:tr>
      <w:tr>
        <w:trPr>
          <w:trHeight w:val="326" w:hRule="exact"/>
        </w:trPr>
        <w:tc>
          <w:tcPr>
            <w:tcW w:w="1201" w:type="dxa"/>
          </w:tcPr>
          <w:p>
            <w:pPr>
              <w:pStyle w:val="TableParagraph"/>
              <w:spacing w:line="268" w:lineRule="exact"/>
              <w:ind w:right="101"/>
              <w:jc w:val="right"/>
              <w:rPr>
                <w:sz w:val="24"/>
              </w:rPr>
            </w:pPr>
            <w:r>
              <w:rPr>
                <w:sz w:val="24"/>
              </w:rPr>
              <w:t>2003</w:t>
            </w:r>
          </w:p>
        </w:tc>
        <w:tc>
          <w:tcPr>
            <w:tcW w:w="1200" w:type="dxa"/>
          </w:tcPr>
          <w:p>
            <w:pPr>
              <w:pStyle w:val="TableParagraph"/>
              <w:spacing w:line="268" w:lineRule="exact"/>
              <w:ind w:right="101"/>
              <w:jc w:val="right"/>
              <w:rPr>
                <w:sz w:val="24"/>
              </w:rPr>
            </w:pPr>
            <w:r>
              <w:rPr>
                <w:sz w:val="24"/>
              </w:rPr>
              <w:t>50.00</w:t>
            </w:r>
          </w:p>
        </w:tc>
        <w:tc>
          <w:tcPr>
            <w:tcW w:w="1200" w:type="dxa"/>
          </w:tcPr>
          <w:p>
            <w:pPr>
              <w:pStyle w:val="TableParagraph"/>
              <w:spacing w:line="268" w:lineRule="exact"/>
              <w:ind w:right="101"/>
              <w:jc w:val="right"/>
              <w:rPr>
                <w:sz w:val="24"/>
              </w:rPr>
            </w:pPr>
            <w:r>
              <w:rPr>
                <w:sz w:val="24"/>
              </w:rPr>
              <w:t>40.00</w:t>
            </w:r>
          </w:p>
        </w:tc>
        <w:tc>
          <w:tcPr>
            <w:tcW w:w="1416" w:type="dxa"/>
          </w:tcPr>
          <w:p>
            <w:pPr>
              <w:pStyle w:val="TableParagraph"/>
              <w:spacing w:line="268" w:lineRule="exact"/>
              <w:ind w:right="101"/>
              <w:jc w:val="right"/>
              <w:rPr>
                <w:sz w:val="24"/>
              </w:rPr>
            </w:pPr>
            <w:r>
              <w:rPr>
                <w:sz w:val="24"/>
              </w:rPr>
              <w:t>80.00</w:t>
            </w:r>
          </w:p>
        </w:tc>
        <w:tc>
          <w:tcPr>
            <w:tcW w:w="1201" w:type="dxa"/>
          </w:tcPr>
          <w:p>
            <w:pPr>
              <w:pStyle w:val="TableParagraph"/>
              <w:spacing w:line="268" w:lineRule="exact"/>
              <w:ind w:right="101"/>
              <w:jc w:val="right"/>
              <w:rPr>
                <w:sz w:val="24"/>
              </w:rPr>
            </w:pPr>
            <w:r>
              <w:rPr>
                <w:sz w:val="24"/>
              </w:rPr>
              <w:t>56.67</w:t>
            </w:r>
          </w:p>
        </w:tc>
      </w:tr>
      <w:tr>
        <w:trPr>
          <w:trHeight w:val="324" w:hRule="exact"/>
        </w:trPr>
        <w:tc>
          <w:tcPr>
            <w:tcW w:w="1201" w:type="dxa"/>
          </w:tcPr>
          <w:p>
            <w:pPr>
              <w:pStyle w:val="TableParagraph"/>
              <w:spacing w:line="268" w:lineRule="exact"/>
              <w:ind w:right="101"/>
              <w:jc w:val="right"/>
              <w:rPr>
                <w:sz w:val="24"/>
              </w:rPr>
            </w:pPr>
            <w:r>
              <w:rPr>
                <w:sz w:val="24"/>
              </w:rPr>
              <w:t>2004</w:t>
            </w:r>
          </w:p>
        </w:tc>
        <w:tc>
          <w:tcPr>
            <w:tcW w:w="1200" w:type="dxa"/>
          </w:tcPr>
          <w:p>
            <w:pPr>
              <w:pStyle w:val="TableParagraph"/>
              <w:spacing w:line="268" w:lineRule="exact"/>
              <w:ind w:right="101"/>
              <w:jc w:val="right"/>
              <w:rPr>
                <w:sz w:val="24"/>
              </w:rPr>
            </w:pPr>
            <w:r>
              <w:rPr>
                <w:sz w:val="24"/>
              </w:rPr>
              <w:t>75.00</w:t>
            </w:r>
          </w:p>
        </w:tc>
        <w:tc>
          <w:tcPr>
            <w:tcW w:w="1200" w:type="dxa"/>
          </w:tcPr>
          <w:p>
            <w:pPr>
              <w:pStyle w:val="TableParagraph"/>
              <w:spacing w:line="268" w:lineRule="exact"/>
              <w:ind w:right="101"/>
              <w:jc w:val="right"/>
              <w:rPr>
                <w:sz w:val="24"/>
              </w:rPr>
            </w:pPr>
            <w:r>
              <w:rPr>
                <w:sz w:val="24"/>
              </w:rPr>
              <w:t>35.00</w:t>
            </w:r>
          </w:p>
        </w:tc>
        <w:tc>
          <w:tcPr>
            <w:tcW w:w="1416" w:type="dxa"/>
          </w:tcPr>
          <w:p>
            <w:pPr>
              <w:pStyle w:val="TableParagraph"/>
              <w:spacing w:line="268" w:lineRule="exact"/>
              <w:ind w:right="101"/>
              <w:jc w:val="right"/>
              <w:rPr>
                <w:sz w:val="24"/>
              </w:rPr>
            </w:pPr>
            <w:r>
              <w:rPr>
                <w:sz w:val="24"/>
              </w:rPr>
              <w:t>75.00</w:t>
            </w:r>
          </w:p>
        </w:tc>
        <w:tc>
          <w:tcPr>
            <w:tcW w:w="1201" w:type="dxa"/>
          </w:tcPr>
          <w:p>
            <w:pPr>
              <w:pStyle w:val="TableParagraph"/>
              <w:spacing w:line="268" w:lineRule="exact"/>
              <w:ind w:right="101"/>
              <w:jc w:val="right"/>
              <w:rPr>
                <w:sz w:val="24"/>
              </w:rPr>
            </w:pPr>
            <w:r>
              <w:rPr>
                <w:sz w:val="24"/>
              </w:rPr>
              <w:t>61.67</w:t>
            </w:r>
          </w:p>
        </w:tc>
      </w:tr>
      <w:tr>
        <w:trPr>
          <w:trHeight w:val="326" w:hRule="exact"/>
        </w:trPr>
        <w:tc>
          <w:tcPr>
            <w:tcW w:w="1201" w:type="dxa"/>
          </w:tcPr>
          <w:p>
            <w:pPr>
              <w:pStyle w:val="TableParagraph"/>
              <w:spacing w:line="268" w:lineRule="exact"/>
              <w:ind w:right="101"/>
              <w:jc w:val="right"/>
              <w:rPr>
                <w:sz w:val="24"/>
              </w:rPr>
            </w:pPr>
            <w:r>
              <w:rPr>
                <w:sz w:val="24"/>
              </w:rPr>
              <w:t>2005</w:t>
            </w:r>
          </w:p>
        </w:tc>
        <w:tc>
          <w:tcPr>
            <w:tcW w:w="1200" w:type="dxa"/>
          </w:tcPr>
          <w:p>
            <w:pPr>
              <w:pStyle w:val="TableParagraph"/>
              <w:spacing w:line="268" w:lineRule="exact"/>
              <w:ind w:right="101"/>
              <w:jc w:val="right"/>
              <w:rPr>
                <w:sz w:val="24"/>
              </w:rPr>
            </w:pPr>
            <w:r>
              <w:rPr>
                <w:sz w:val="24"/>
              </w:rPr>
              <w:t>22.22</w:t>
            </w:r>
          </w:p>
        </w:tc>
        <w:tc>
          <w:tcPr>
            <w:tcW w:w="1200" w:type="dxa"/>
          </w:tcPr>
          <w:p>
            <w:pPr>
              <w:pStyle w:val="TableParagraph"/>
              <w:spacing w:line="268" w:lineRule="exact"/>
              <w:ind w:right="101"/>
              <w:jc w:val="right"/>
              <w:rPr>
                <w:sz w:val="24"/>
              </w:rPr>
            </w:pPr>
            <w:r>
              <w:rPr>
                <w:sz w:val="24"/>
              </w:rPr>
              <w:t>73.33</w:t>
            </w:r>
          </w:p>
        </w:tc>
        <w:tc>
          <w:tcPr>
            <w:tcW w:w="1416" w:type="dxa"/>
          </w:tcPr>
          <w:p>
            <w:pPr>
              <w:pStyle w:val="TableParagraph"/>
              <w:spacing w:line="268" w:lineRule="exact"/>
              <w:ind w:right="101"/>
              <w:jc w:val="right"/>
              <w:rPr>
                <w:sz w:val="24"/>
              </w:rPr>
            </w:pPr>
            <w:r>
              <w:rPr>
                <w:sz w:val="24"/>
              </w:rPr>
              <w:t>66.67</w:t>
            </w:r>
          </w:p>
        </w:tc>
        <w:tc>
          <w:tcPr>
            <w:tcW w:w="1201" w:type="dxa"/>
          </w:tcPr>
          <w:p>
            <w:pPr>
              <w:pStyle w:val="TableParagraph"/>
              <w:spacing w:line="268" w:lineRule="exact"/>
              <w:ind w:right="101"/>
              <w:jc w:val="right"/>
              <w:rPr>
                <w:sz w:val="24"/>
              </w:rPr>
            </w:pPr>
            <w:r>
              <w:rPr>
                <w:sz w:val="24"/>
              </w:rPr>
              <w:t>54.07</w:t>
            </w:r>
          </w:p>
        </w:tc>
      </w:tr>
      <w:tr>
        <w:trPr>
          <w:trHeight w:val="324" w:hRule="exact"/>
        </w:trPr>
        <w:tc>
          <w:tcPr>
            <w:tcW w:w="1201" w:type="dxa"/>
          </w:tcPr>
          <w:p>
            <w:pPr>
              <w:pStyle w:val="TableParagraph"/>
              <w:spacing w:line="268" w:lineRule="exact"/>
              <w:ind w:right="101"/>
              <w:jc w:val="right"/>
              <w:rPr>
                <w:sz w:val="24"/>
              </w:rPr>
            </w:pPr>
            <w:r>
              <w:rPr>
                <w:sz w:val="24"/>
              </w:rPr>
              <w:t>2006</w:t>
            </w:r>
          </w:p>
        </w:tc>
        <w:tc>
          <w:tcPr>
            <w:tcW w:w="1200" w:type="dxa"/>
          </w:tcPr>
          <w:p>
            <w:pPr>
              <w:pStyle w:val="TableParagraph"/>
              <w:spacing w:line="268" w:lineRule="exact"/>
              <w:ind w:right="101"/>
              <w:jc w:val="right"/>
              <w:rPr>
                <w:sz w:val="24"/>
              </w:rPr>
            </w:pPr>
            <w:r>
              <w:rPr>
                <w:sz w:val="24"/>
              </w:rPr>
              <w:t>20.00</w:t>
            </w:r>
          </w:p>
        </w:tc>
        <w:tc>
          <w:tcPr>
            <w:tcW w:w="1200" w:type="dxa"/>
          </w:tcPr>
          <w:p>
            <w:pPr>
              <w:pStyle w:val="TableParagraph"/>
              <w:spacing w:line="268" w:lineRule="exact"/>
              <w:ind w:right="101"/>
              <w:jc w:val="right"/>
              <w:rPr>
                <w:sz w:val="24"/>
              </w:rPr>
            </w:pPr>
            <w:r>
              <w:rPr>
                <w:sz w:val="24"/>
              </w:rPr>
              <w:t>36.00</w:t>
            </w:r>
          </w:p>
        </w:tc>
        <w:tc>
          <w:tcPr>
            <w:tcW w:w="1416" w:type="dxa"/>
          </w:tcPr>
          <w:p>
            <w:pPr>
              <w:pStyle w:val="TableParagraph"/>
              <w:spacing w:line="268" w:lineRule="exact"/>
              <w:ind w:right="101"/>
              <w:jc w:val="right"/>
              <w:rPr>
                <w:sz w:val="24"/>
              </w:rPr>
            </w:pPr>
            <w:r>
              <w:rPr>
                <w:sz w:val="24"/>
              </w:rPr>
              <w:t>73.33</w:t>
            </w:r>
          </w:p>
        </w:tc>
        <w:tc>
          <w:tcPr>
            <w:tcW w:w="1201" w:type="dxa"/>
          </w:tcPr>
          <w:p>
            <w:pPr>
              <w:pStyle w:val="TableParagraph"/>
              <w:spacing w:line="268" w:lineRule="exact"/>
              <w:ind w:right="101"/>
              <w:jc w:val="right"/>
              <w:rPr>
                <w:sz w:val="24"/>
              </w:rPr>
            </w:pPr>
            <w:r>
              <w:rPr>
                <w:sz w:val="24"/>
              </w:rPr>
              <w:t>43.11</w:t>
            </w:r>
          </w:p>
        </w:tc>
      </w:tr>
      <w:tr>
        <w:trPr>
          <w:trHeight w:val="324" w:hRule="exact"/>
        </w:trPr>
        <w:tc>
          <w:tcPr>
            <w:tcW w:w="1201" w:type="dxa"/>
          </w:tcPr>
          <w:p>
            <w:pPr>
              <w:pStyle w:val="TableParagraph"/>
              <w:spacing w:line="268" w:lineRule="exact"/>
              <w:ind w:right="101"/>
              <w:jc w:val="right"/>
              <w:rPr>
                <w:sz w:val="24"/>
              </w:rPr>
            </w:pPr>
            <w:r>
              <w:rPr>
                <w:sz w:val="24"/>
              </w:rPr>
              <w:t>2007</w:t>
            </w:r>
          </w:p>
        </w:tc>
        <w:tc>
          <w:tcPr>
            <w:tcW w:w="1200" w:type="dxa"/>
          </w:tcPr>
          <w:p>
            <w:pPr>
              <w:pStyle w:val="TableParagraph"/>
              <w:spacing w:line="268" w:lineRule="exact"/>
              <w:ind w:right="101"/>
              <w:jc w:val="right"/>
              <w:rPr>
                <w:sz w:val="24"/>
              </w:rPr>
            </w:pPr>
            <w:r>
              <w:rPr>
                <w:sz w:val="24"/>
              </w:rPr>
              <w:t>30.00</w:t>
            </w:r>
          </w:p>
        </w:tc>
        <w:tc>
          <w:tcPr>
            <w:tcW w:w="1200" w:type="dxa"/>
          </w:tcPr>
          <w:p>
            <w:pPr>
              <w:pStyle w:val="TableParagraph"/>
              <w:spacing w:line="268" w:lineRule="exact"/>
              <w:ind w:right="101"/>
              <w:jc w:val="right"/>
              <w:rPr>
                <w:sz w:val="24"/>
              </w:rPr>
            </w:pPr>
            <w:r>
              <w:rPr>
                <w:sz w:val="24"/>
              </w:rPr>
              <w:t>65.00</w:t>
            </w:r>
          </w:p>
        </w:tc>
        <w:tc>
          <w:tcPr>
            <w:tcW w:w="1416" w:type="dxa"/>
          </w:tcPr>
          <w:p>
            <w:pPr>
              <w:pStyle w:val="TableParagraph"/>
              <w:spacing w:line="268" w:lineRule="exact"/>
              <w:ind w:right="101"/>
              <w:jc w:val="right"/>
              <w:rPr>
                <w:sz w:val="24"/>
              </w:rPr>
            </w:pPr>
            <w:r>
              <w:rPr>
                <w:sz w:val="24"/>
              </w:rPr>
              <w:t>70.00</w:t>
            </w:r>
          </w:p>
        </w:tc>
        <w:tc>
          <w:tcPr>
            <w:tcW w:w="1201" w:type="dxa"/>
          </w:tcPr>
          <w:p>
            <w:pPr>
              <w:pStyle w:val="TableParagraph"/>
              <w:spacing w:line="268" w:lineRule="exact"/>
              <w:ind w:right="101"/>
              <w:jc w:val="right"/>
              <w:rPr>
                <w:sz w:val="24"/>
              </w:rPr>
            </w:pPr>
            <w:r>
              <w:rPr>
                <w:sz w:val="24"/>
              </w:rPr>
              <w:t>55.00</w:t>
            </w:r>
          </w:p>
        </w:tc>
      </w:tr>
      <w:tr>
        <w:trPr>
          <w:trHeight w:val="326" w:hRule="exact"/>
        </w:trPr>
        <w:tc>
          <w:tcPr>
            <w:tcW w:w="1201" w:type="dxa"/>
          </w:tcPr>
          <w:p>
            <w:pPr>
              <w:pStyle w:val="TableParagraph"/>
              <w:spacing w:line="270" w:lineRule="exact"/>
              <w:ind w:right="101"/>
              <w:jc w:val="right"/>
              <w:rPr>
                <w:sz w:val="24"/>
              </w:rPr>
            </w:pPr>
            <w:r>
              <w:rPr>
                <w:sz w:val="24"/>
              </w:rPr>
              <w:t>2008</w:t>
            </w:r>
          </w:p>
        </w:tc>
        <w:tc>
          <w:tcPr>
            <w:tcW w:w="1200" w:type="dxa"/>
          </w:tcPr>
          <w:p>
            <w:pPr>
              <w:pStyle w:val="TableParagraph"/>
              <w:spacing w:line="270" w:lineRule="exact"/>
              <w:ind w:right="101"/>
              <w:jc w:val="right"/>
              <w:rPr>
                <w:sz w:val="24"/>
              </w:rPr>
            </w:pPr>
            <w:r>
              <w:rPr>
                <w:sz w:val="24"/>
              </w:rPr>
              <w:t>56.25</w:t>
            </w:r>
          </w:p>
        </w:tc>
        <w:tc>
          <w:tcPr>
            <w:tcW w:w="1200" w:type="dxa"/>
          </w:tcPr>
          <w:p>
            <w:pPr>
              <w:pStyle w:val="TableParagraph"/>
              <w:spacing w:line="270" w:lineRule="exact"/>
              <w:ind w:right="101"/>
              <w:jc w:val="right"/>
              <w:rPr>
                <w:sz w:val="24"/>
              </w:rPr>
            </w:pPr>
            <w:r>
              <w:rPr>
                <w:sz w:val="24"/>
              </w:rPr>
              <w:t>51.25</w:t>
            </w:r>
          </w:p>
        </w:tc>
        <w:tc>
          <w:tcPr>
            <w:tcW w:w="1416" w:type="dxa"/>
          </w:tcPr>
          <w:p>
            <w:pPr>
              <w:pStyle w:val="TableParagraph"/>
              <w:spacing w:line="270" w:lineRule="exact"/>
              <w:ind w:right="101"/>
              <w:jc w:val="right"/>
              <w:rPr>
                <w:sz w:val="24"/>
              </w:rPr>
            </w:pPr>
            <w:r>
              <w:rPr>
                <w:sz w:val="24"/>
              </w:rPr>
              <w:t>62.50</w:t>
            </w:r>
          </w:p>
        </w:tc>
        <w:tc>
          <w:tcPr>
            <w:tcW w:w="1201" w:type="dxa"/>
          </w:tcPr>
          <w:p>
            <w:pPr>
              <w:pStyle w:val="TableParagraph"/>
              <w:spacing w:line="270" w:lineRule="exact"/>
              <w:ind w:right="101"/>
              <w:jc w:val="right"/>
              <w:rPr>
                <w:sz w:val="24"/>
              </w:rPr>
            </w:pPr>
            <w:r>
              <w:rPr>
                <w:sz w:val="24"/>
              </w:rPr>
              <w:t>56.67</w:t>
            </w:r>
          </w:p>
        </w:tc>
      </w:tr>
      <w:tr>
        <w:trPr>
          <w:trHeight w:val="324" w:hRule="exact"/>
        </w:trPr>
        <w:tc>
          <w:tcPr>
            <w:tcW w:w="1201" w:type="dxa"/>
          </w:tcPr>
          <w:p>
            <w:pPr>
              <w:pStyle w:val="TableParagraph"/>
              <w:spacing w:line="268" w:lineRule="exact"/>
              <w:ind w:right="101"/>
              <w:jc w:val="right"/>
              <w:rPr>
                <w:sz w:val="24"/>
              </w:rPr>
            </w:pPr>
            <w:r>
              <w:rPr>
                <w:sz w:val="24"/>
              </w:rPr>
              <w:t>2009</w:t>
            </w:r>
          </w:p>
        </w:tc>
        <w:tc>
          <w:tcPr>
            <w:tcW w:w="1200" w:type="dxa"/>
          </w:tcPr>
          <w:p>
            <w:pPr>
              <w:pStyle w:val="TableParagraph"/>
              <w:spacing w:line="268" w:lineRule="exact"/>
              <w:ind w:right="101"/>
              <w:jc w:val="right"/>
              <w:rPr>
                <w:sz w:val="24"/>
              </w:rPr>
            </w:pPr>
            <w:r>
              <w:rPr>
                <w:sz w:val="24"/>
              </w:rPr>
              <w:t>33.33</w:t>
            </w:r>
          </w:p>
        </w:tc>
        <w:tc>
          <w:tcPr>
            <w:tcW w:w="1200" w:type="dxa"/>
          </w:tcPr>
          <w:p>
            <w:pPr>
              <w:pStyle w:val="TableParagraph"/>
              <w:spacing w:line="268" w:lineRule="exact"/>
              <w:ind w:right="101"/>
              <w:jc w:val="right"/>
              <w:rPr>
                <w:sz w:val="24"/>
              </w:rPr>
            </w:pPr>
            <w:r>
              <w:rPr>
                <w:sz w:val="24"/>
              </w:rPr>
              <w:t>40.00</w:t>
            </w:r>
          </w:p>
        </w:tc>
        <w:tc>
          <w:tcPr>
            <w:tcW w:w="1416" w:type="dxa"/>
          </w:tcPr>
          <w:p>
            <w:pPr>
              <w:pStyle w:val="TableParagraph"/>
              <w:spacing w:line="268" w:lineRule="exact"/>
              <w:ind w:right="101"/>
              <w:jc w:val="right"/>
              <w:rPr>
                <w:sz w:val="24"/>
              </w:rPr>
            </w:pPr>
            <w:r>
              <w:rPr>
                <w:sz w:val="24"/>
              </w:rPr>
              <w:t>86.67</w:t>
            </w:r>
          </w:p>
        </w:tc>
        <w:tc>
          <w:tcPr>
            <w:tcW w:w="1201" w:type="dxa"/>
          </w:tcPr>
          <w:p>
            <w:pPr>
              <w:pStyle w:val="TableParagraph"/>
              <w:spacing w:line="268" w:lineRule="exact"/>
              <w:ind w:right="101"/>
              <w:jc w:val="right"/>
              <w:rPr>
                <w:sz w:val="24"/>
              </w:rPr>
            </w:pPr>
            <w:r>
              <w:rPr>
                <w:sz w:val="24"/>
              </w:rPr>
              <w:t>53.33</w:t>
            </w:r>
          </w:p>
        </w:tc>
      </w:tr>
      <w:tr>
        <w:trPr>
          <w:trHeight w:val="327" w:hRule="exact"/>
        </w:trPr>
        <w:tc>
          <w:tcPr>
            <w:tcW w:w="1201" w:type="dxa"/>
          </w:tcPr>
          <w:p>
            <w:pPr>
              <w:pStyle w:val="TableParagraph"/>
              <w:spacing w:line="268" w:lineRule="exact"/>
              <w:ind w:right="101"/>
              <w:jc w:val="right"/>
              <w:rPr>
                <w:sz w:val="24"/>
              </w:rPr>
            </w:pPr>
            <w:r>
              <w:rPr>
                <w:sz w:val="24"/>
              </w:rPr>
              <w:t>2010</w:t>
            </w:r>
          </w:p>
        </w:tc>
        <w:tc>
          <w:tcPr>
            <w:tcW w:w="1200" w:type="dxa"/>
          </w:tcPr>
          <w:p>
            <w:pPr>
              <w:pStyle w:val="TableParagraph"/>
              <w:spacing w:line="268" w:lineRule="exact"/>
              <w:ind w:right="101"/>
              <w:jc w:val="right"/>
              <w:rPr>
                <w:sz w:val="24"/>
              </w:rPr>
            </w:pPr>
            <w:r>
              <w:rPr>
                <w:sz w:val="24"/>
              </w:rPr>
              <w:t>38.24</w:t>
            </w:r>
          </w:p>
        </w:tc>
        <w:tc>
          <w:tcPr>
            <w:tcW w:w="1200" w:type="dxa"/>
          </w:tcPr>
          <w:p>
            <w:pPr>
              <w:pStyle w:val="TableParagraph"/>
              <w:spacing w:line="268" w:lineRule="exact"/>
              <w:ind w:right="101"/>
              <w:jc w:val="right"/>
              <w:rPr>
                <w:sz w:val="24"/>
              </w:rPr>
            </w:pPr>
            <w:r>
              <w:rPr>
                <w:sz w:val="24"/>
              </w:rPr>
              <w:t>59.41</w:t>
            </w:r>
          </w:p>
        </w:tc>
        <w:tc>
          <w:tcPr>
            <w:tcW w:w="1416" w:type="dxa"/>
          </w:tcPr>
          <w:p>
            <w:pPr>
              <w:pStyle w:val="TableParagraph"/>
              <w:spacing w:line="268" w:lineRule="exact"/>
              <w:ind w:right="101"/>
              <w:jc w:val="right"/>
              <w:rPr>
                <w:sz w:val="24"/>
              </w:rPr>
            </w:pPr>
            <w:r>
              <w:rPr>
                <w:sz w:val="24"/>
              </w:rPr>
              <w:t>82.35</w:t>
            </w:r>
          </w:p>
        </w:tc>
        <w:tc>
          <w:tcPr>
            <w:tcW w:w="1201" w:type="dxa"/>
          </w:tcPr>
          <w:p>
            <w:pPr>
              <w:pStyle w:val="TableParagraph"/>
              <w:spacing w:line="268" w:lineRule="exact"/>
              <w:ind w:right="101"/>
              <w:jc w:val="right"/>
              <w:rPr>
                <w:sz w:val="24"/>
              </w:rPr>
            </w:pPr>
            <w:r>
              <w:rPr>
                <w:sz w:val="24"/>
              </w:rPr>
              <w:t>60.00</w:t>
            </w:r>
          </w:p>
        </w:tc>
      </w:tr>
    </w:tbl>
    <w:p>
      <w:pPr>
        <w:spacing w:line="223" w:lineRule="exact" w:before="0"/>
        <w:ind w:left="0" w:right="16" w:firstLine="0"/>
        <w:jc w:val="center"/>
        <w:rPr>
          <w:sz w:val="20"/>
        </w:rPr>
      </w:pPr>
      <w:r>
        <w:rPr>
          <w:sz w:val="20"/>
        </w:rPr>
        <w:t>Fuente: elaboración propia.</w:t>
      </w:r>
    </w:p>
    <w:p>
      <w:pPr>
        <w:pStyle w:val="BodyText"/>
        <w:rPr>
          <w:sz w:val="20"/>
        </w:rPr>
      </w:pPr>
    </w:p>
    <w:p>
      <w:pPr>
        <w:pStyle w:val="BodyText"/>
        <w:rPr>
          <w:sz w:val="26"/>
        </w:rPr>
      </w:pPr>
    </w:p>
    <w:p>
      <w:pPr>
        <w:pStyle w:val="BodyText"/>
        <w:spacing w:line="360" w:lineRule="auto"/>
        <w:ind w:left="102" w:right="115"/>
        <w:jc w:val="both"/>
      </w:pPr>
      <w:r>
        <w:rPr/>
        <w:t>Con un ICE general para la muestra evaluada de </w:t>
      </w:r>
      <w:r>
        <w:rPr>
          <w:b/>
        </w:rPr>
        <w:t>54.42. </w:t>
      </w:r>
      <w:r>
        <w:rPr/>
        <w:t>Si la media es 50, el ICE de los egresados en Economía de la UAEMéx se encuentra en este punto. Lo que indica que si bien, los egresados encuestados en este estudio viven un proceso de transición rápido y fluido, su calidad de contratación no es la mejor, se encuentran exactamente en la media, en</w:t>
      </w:r>
    </w:p>
    <w:p>
      <w:pPr>
        <w:spacing w:after="0" w:line="360" w:lineRule="auto"/>
        <w:jc w:val="both"/>
        <w:sectPr>
          <w:pgSz w:w="12240" w:h="15840"/>
          <w:pgMar w:header="0" w:footer="1003" w:top="1360" w:bottom="1200" w:left="1600" w:right="1580"/>
        </w:sectPr>
      </w:pPr>
    </w:p>
    <w:p>
      <w:pPr>
        <w:pStyle w:val="BodyText"/>
        <w:spacing w:line="360" w:lineRule="auto" w:before="50"/>
        <w:ind w:left="182" w:right="668"/>
      </w:pPr>
      <w:r>
        <w:rPr/>
        <w:t>donde se pude considerar que la tendencia es a empeorar su calidad de empleo (recordar que entre más cercano a 100 es peor calidad), ver gráfica</w:t>
      </w:r>
      <w:r>
        <w:rPr>
          <w:spacing w:val="52"/>
        </w:rPr>
        <w:t> </w:t>
      </w:r>
      <w:r>
        <w:rPr/>
        <w:t>7.1.</w:t>
      </w:r>
    </w:p>
    <w:p>
      <w:pPr>
        <w:pStyle w:val="BodyText"/>
      </w:pPr>
    </w:p>
    <w:p>
      <w:pPr>
        <w:pStyle w:val="Heading3"/>
        <w:spacing w:before="148"/>
        <w:ind w:left="1559" w:right="668"/>
        <w:jc w:val="left"/>
      </w:pPr>
      <w:r>
        <w:rPr/>
        <w:t>Gráfica 8.1. ICE egresados Economía UAEMéx, 2000-2010.</w:t>
      </w:r>
    </w:p>
    <w:p>
      <w:pPr>
        <w:pStyle w:val="BodyText"/>
        <w:spacing w:before="8"/>
        <w:rPr>
          <w:b/>
          <w:sz w:val="22"/>
        </w:rPr>
      </w:pPr>
    </w:p>
    <w:p>
      <w:pPr>
        <w:spacing w:before="28"/>
        <w:ind w:left="4352" w:right="4805" w:firstLine="0"/>
        <w:jc w:val="center"/>
        <w:rPr>
          <w:rFonts w:ascii="Calibri"/>
          <w:b/>
          <w:sz w:val="36"/>
        </w:rPr>
      </w:pPr>
      <w:r>
        <w:rPr>
          <w:rFonts w:ascii="Calibri"/>
          <w:b/>
          <w:sz w:val="36"/>
        </w:rPr>
        <w:t>ICE</w:t>
      </w:r>
    </w:p>
    <w:p>
      <w:pPr>
        <w:spacing w:before="118"/>
        <w:ind w:left="311" w:right="668" w:firstLine="0"/>
        <w:jc w:val="left"/>
        <w:rPr>
          <w:rFonts w:ascii="Calibri"/>
          <w:sz w:val="20"/>
        </w:rPr>
      </w:pPr>
      <w:r>
        <w:rPr/>
        <w:pict>
          <v:group style="position:absolute;margin-left:81.25pt;margin-top:12.186467pt;width:472.25pt;height:227.7pt;mso-position-horizontal-relative:page;mso-position-vertical-relative:paragraph;z-index:-394696" coordorigin="1625,244" coordsize="9445,4554">
            <v:shape style="position:absolute;left:2510;top:251;width:7810;height:4539" coordorigin="2510,251" coordsize="7810,4539" path="m2575,4278l10320,4278m2575,3830l10320,3830m2575,3383l10320,3383m2575,2937l10320,2937m2575,2488l10320,2488m2575,2042l10320,2042m2575,1593l10320,1593m2575,1146l10320,1146m2575,698l10320,698m2575,251l10320,251m2575,4725l2575,251m2510,4725l2575,4725m2510,4278l2575,4278m2510,3830l2575,3830m2510,3383l2575,3383m2510,2937l2575,2937m2510,2488l2575,2488m2510,2042l2575,2042m2510,1593l2575,1593m2510,1146l2575,1146m2510,698l2575,698m2510,251l2575,251m2575,4725l10320,4725m2575,4725l2575,4790m3278,4725l3278,4790m3982,4725l3982,4790m4687,4725l4687,4790m5390,4725l5390,4790m6096,4725l6096,4790m6799,4725l6799,4790m7502,4725l7502,4790m8208,4725l8208,4790m8911,4725l8911,4790m9614,4725l9614,4790m10320,4725l10320,4790e" filled="false" stroked="true" strokeweight=".72pt" strokecolor="#858585">
              <v:path arrowok="t"/>
            </v:shape>
            <v:shape style="position:absolute;left:2926;top:1331;width:7042;height:1654" coordorigin="2926,1331" coordsize="7042,1654" path="m2926,1331l3631,2786,4334,2985,5040,2190,5743,1965,6446,2306,7152,2795,7855,2265,8558,2190,9264,2339,9967,2042e" filled="false" stroked="true" strokeweight="2.16pt" strokecolor="#497dba">
              <v:path arrowok="t"/>
            </v:shape>
            <v:shape style="position:absolute;left:2848;top:1255;width:154;height:154" type="#_x0000_t75" stroked="false">
              <v:imagedata r:id="rId54" o:title=""/>
            </v:shape>
            <v:shape style="position:absolute;left:3551;top:2709;width:154;height:154" type="#_x0000_t75" stroked="false">
              <v:imagedata r:id="rId55" o:title=""/>
            </v:shape>
            <v:shape style="position:absolute;left:4256;top:2908;width:154;height:154" type="#_x0000_t75" stroked="false">
              <v:imagedata r:id="rId53" o:title=""/>
            </v:shape>
            <v:shape style="position:absolute;left:4960;top:2111;width:154;height:154" type="#_x0000_t75" stroked="false">
              <v:imagedata r:id="rId55" o:title=""/>
            </v:shape>
            <v:shape style="position:absolute;left:5663;top:1888;width:154;height:154" type="#_x0000_t75" stroked="false">
              <v:imagedata r:id="rId52" o:title=""/>
            </v:shape>
            <v:shape style="position:absolute;left:6368;top:2229;width:154;height:154" type="#_x0000_t75" stroked="false">
              <v:imagedata r:id="rId55" o:title=""/>
            </v:shape>
            <v:shape style="position:absolute;left:7072;top:2719;width:154;height:154" type="#_x0000_t75" stroked="false">
              <v:imagedata r:id="rId54" o:title=""/>
            </v:shape>
            <v:shape style="position:absolute;left:7777;top:2186;width:154;height:154" type="#_x0000_t75" stroked="false">
              <v:imagedata r:id="rId55" o:title=""/>
            </v:shape>
            <v:shape style="position:absolute;left:8480;top:2111;width:154;height:154" type="#_x0000_t75" stroked="false">
              <v:imagedata r:id="rId54" o:title=""/>
            </v:shape>
            <v:shape style="position:absolute;left:9183;top:2260;width:154;height:154" type="#_x0000_t75" stroked="false">
              <v:imagedata r:id="rId55" o:title=""/>
            </v:shape>
            <v:shape style="position:absolute;left:9889;top:1963;width:154;height:154" type="#_x0000_t75" stroked="false">
              <v:imagedata r:id="rId53" o:title=""/>
            </v:shape>
            <v:line style="position:absolute" from="2569,2487" to="10299,2487" stroked="true" strokeweight="2.25pt" strokecolor="#ff0000"/>
            <v:rect style="position:absolute;left:1670;top:1864;width:9355;height:1268" filled="false" stroked="true" strokeweight="4.5pt" strokecolor="#000000"/>
            <v:shape style="position:absolute;left:1670;top:1864;width:906;height:1268" type="#_x0000_t202" filled="false" stroked="false">
              <v:textbox inset="0,0,0,0">
                <w:txbxContent>
                  <w:p>
                    <w:pPr>
                      <w:spacing w:before="44"/>
                      <w:ind w:left="262" w:right="0" w:firstLine="0"/>
                      <w:jc w:val="left"/>
                      <w:rPr>
                        <w:rFonts w:ascii="Calibri"/>
                        <w:sz w:val="20"/>
                      </w:rPr>
                    </w:pPr>
                    <w:r>
                      <w:rPr>
                        <w:rFonts w:ascii="Calibri"/>
                        <w:sz w:val="20"/>
                      </w:rPr>
                      <w:t>60.00</w:t>
                    </w:r>
                  </w:p>
                  <w:p>
                    <w:pPr>
                      <w:spacing w:line="240" w:lineRule="auto" w:before="8"/>
                      <w:rPr>
                        <w:sz w:val="17"/>
                      </w:rPr>
                    </w:pPr>
                  </w:p>
                  <w:p>
                    <w:pPr>
                      <w:spacing w:before="0"/>
                      <w:ind w:left="262" w:right="0" w:firstLine="0"/>
                      <w:jc w:val="left"/>
                      <w:rPr>
                        <w:rFonts w:ascii="Calibri"/>
                        <w:sz w:val="20"/>
                      </w:rPr>
                    </w:pPr>
                    <w:r>
                      <w:rPr>
                        <w:rFonts w:ascii="Calibri"/>
                        <w:sz w:val="20"/>
                      </w:rPr>
                      <w:t>50.00</w:t>
                    </w:r>
                  </w:p>
                  <w:p>
                    <w:pPr>
                      <w:spacing w:line="240" w:lineRule="auto" w:before="7"/>
                      <w:rPr>
                        <w:sz w:val="17"/>
                      </w:rPr>
                    </w:pPr>
                  </w:p>
                  <w:p>
                    <w:pPr>
                      <w:spacing w:before="0"/>
                      <w:ind w:left="262" w:right="0" w:firstLine="0"/>
                      <w:jc w:val="left"/>
                      <w:rPr>
                        <w:rFonts w:ascii="Calibri"/>
                        <w:sz w:val="20"/>
                      </w:rPr>
                    </w:pPr>
                    <w:r>
                      <w:rPr>
                        <w:rFonts w:ascii="Calibri"/>
                        <w:sz w:val="20"/>
                      </w:rPr>
                      <w:t>40.00</w:t>
                    </w:r>
                  </w:p>
                </w:txbxContent>
              </v:textbox>
              <w10:wrap type="none"/>
            </v:shape>
            <w10:wrap type="none"/>
          </v:group>
        </w:pict>
      </w:r>
      <w:r>
        <w:rPr>
          <w:rFonts w:ascii="Calibri"/>
          <w:sz w:val="20"/>
        </w:rPr>
        <w:t>100.00</w:t>
      </w:r>
    </w:p>
    <w:p>
      <w:pPr>
        <w:pStyle w:val="BodyText"/>
        <w:spacing w:before="10"/>
        <w:rPr>
          <w:rFonts w:ascii="Calibri"/>
          <w:sz w:val="11"/>
        </w:rPr>
      </w:pPr>
    </w:p>
    <w:p>
      <w:pPr>
        <w:spacing w:before="59"/>
        <w:ind w:left="412" w:right="668" w:firstLine="0"/>
        <w:jc w:val="left"/>
        <w:rPr>
          <w:rFonts w:ascii="Calibri"/>
          <w:sz w:val="20"/>
        </w:rPr>
      </w:pPr>
      <w:r>
        <w:rPr>
          <w:rFonts w:ascii="Calibri"/>
          <w:sz w:val="20"/>
        </w:rPr>
        <w:t>90.00</w:t>
      </w:r>
    </w:p>
    <w:p>
      <w:pPr>
        <w:pStyle w:val="BodyText"/>
        <w:spacing w:before="10"/>
        <w:rPr>
          <w:rFonts w:ascii="Calibri"/>
          <w:sz w:val="11"/>
        </w:rPr>
      </w:pPr>
    </w:p>
    <w:p>
      <w:pPr>
        <w:spacing w:before="59"/>
        <w:ind w:left="412" w:right="668" w:firstLine="0"/>
        <w:jc w:val="left"/>
        <w:rPr>
          <w:rFonts w:ascii="Calibri"/>
          <w:sz w:val="20"/>
        </w:rPr>
      </w:pPr>
      <w:r>
        <w:rPr>
          <w:rFonts w:ascii="Calibri"/>
          <w:sz w:val="20"/>
        </w:rPr>
        <w:t>80.00</w:t>
      </w:r>
    </w:p>
    <w:p>
      <w:pPr>
        <w:pStyle w:val="BodyText"/>
        <w:spacing w:before="10"/>
        <w:rPr>
          <w:rFonts w:ascii="Calibri"/>
          <w:sz w:val="11"/>
        </w:rPr>
      </w:pPr>
    </w:p>
    <w:p>
      <w:pPr>
        <w:spacing w:before="59"/>
        <w:ind w:left="412" w:right="668" w:firstLine="0"/>
        <w:jc w:val="left"/>
        <w:rPr>
          <w:rFonts w:ascii="Calibri"/>
          <w:sz w:val="20"/>
        </w:rPr>
      </w:pPr>
      <w:r>
        <w:rPr>
          <w:rFonts w:ascii="Calibri"/>
          <w:sz w:val="20"/>
        </w:rPr>
        <w:t>70.00</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21"/>
        </w:rPr>
      </w:pPr>
    </w:p>
    <w:p>
      <w:pPr>
        <w:spacing w:before="59"/>
        <w:ind w:left="412" w:right="668" w:firstLine="0"/>
        <w:jc w:val="left"/>
        <w:rPr>
          <w:rFonts w:ascii="Calibri"/>
          <w:sz w:val="20"/>
        </w:rPr>
      </w:pPr>
      <w:r>
        <w:rPr>
          <w:rFonts w:ascii="Calibri"/>
          <w:sz w:val="20"/>
        </w:rPr>
        <w:t>30.00</w:t>
      </w:r>
    </w:p>
    <w:p>
      <w:pPr>
        <w:pStyle w:val="BodyText"/>
        <w:spacing w:before="10"/>
        <w:rPr>
          <w:rFonts w:ascii="Calibri"/>
          <w:sz w:val="11"/>
        </w:rPr>
      </w:pPr>
    </w:p>
    <w:p>
      <w:pPr>
        <w:spacing w:before="59"/>
        <w:ind w:left="412" w:right="668" w:firstLine="0"/>
        <w:jc w:val="left"/>
        <w:rPr>
          <w:rFonts w:ascii="Calibri"/>
          <w:sz w:val="20"/>
        </w:rPr>
      </w:pPr>
      <w:r>
        <w:rPr>
          <w:rFonts w:ascii="Calibri"/>
          <w:sz w:val="20"/>
        </w:rPr>
        <w:t>20.00</w:t>
      </w:r>
    </w:p>
    <w:p>
      <w:pPr>
        <w:pStyle w:val="BodyText"/>
        <w:spacing w:before="10"/>
        <w:rPr>
          <w:rFonts w:ascii="Calibri"/>
          <w:sz w:val="11"/>
        </w:rPr>
      </w:pPr>
    </w:p>
    <w:p>
      <w:pPr>
        <w:spacing w:before="59"/>
        <w:ind w:left="412" w:right="668" w:firstLine="0"/>
        <w:jc w:val="left"/>
        <w:rPr>
          <w:rFonts w:ascii="Calibri"/>
          <w:sz w:val="20"/>
        </w:rPr>
      </w:pPr>
      <w:r>
        <w:rPr>
          <w:rFonts w:ascii="Calibri"/>
          <w:sz w:val="20"/>
        </w:rPr>
        <w:t>10.00</w:t>
      </w:r>
    </w:p>
    <w:p>
      <w:pPr>
        <w:pStyle w:val="BodyText"/>
        <w:spacing w:before="10"/>
        <w:rPr>
          <w:rFonts w:ascii="Calibri"/>
          <w:sz w:val="11"/>
        </w:rPr>
      </w:pPr>
    </w:p>
    <w:p>
      <w:pPr>
        <w:spacing w:before="59"/>
        <w:ind w:left="514" w:right="668" w:firstLine="0"/>
        <w:jc w:val="left"/>
        <w:rPr>
          <w:rFonts w:ascii="Calibri"/>
          <w:sz w:val="20"/>
        </w:rPr>
      </w:pPr>
      <w:r>
        <w:rPr>
          <w:rFonts w:ascii="Calibri"/>
          <w:sz w:val="20"/>
        </w:rPr>
        <w:t>0.00</w:t>
      </w:r>
    </w:p>
    <w:p>
      <w:pPr>
        <w:tabs>
          <w:tab w:pos="1908" w:val="left" w:leader="none"/>
          <w:tab w:pos="2612" w:val="left" w:leader="none"/>
          <w:tab w:pos="3316" w:val="left" w:leader="none"/>
          <w:tab w:pos="4020" w:val="left" w:leader="none"/>
          <w:tab w:pos="4724" w:val="left" w:leader="none"/>
          <w:tab w:pos="5428" w:val="left" w:leader="none"/>
          <w:tab w:pos="6133" w:val="left" w:leader="none"/>
          <w:tab w:pos="6837" w:val="left" w:leader="none"/>
          <w:tab w:pos="7541" w:val="left" w:leader="none"/>
          <w:tab w:pos="8245" w:val="left" w:leader="none"/>
        </w:tabs>
        <w:spacing w:before="16"/>
        <w:ind w:left="1203" w:right="668" w:firstLine="0"/>
        <w:jc w:val="left"/>
        <w:rPr>
          <w:rFonts w:ascii="Calibri"/>
          <w:sz w:val="20"/>
        </w:rPr>
      </w:pPr>
      <w:r>
        <w:rPr>
          <w:rFonts w:ascii="Calibri"/>
          <w:sz w:val="20"/>
        </w:rPr>
        <w:t>2000</w:t>
        <w:tab/>
        <w:t>2001</w:t>
        <w:tab/>
        <w:t>2002</w:t>
        <w:tab/>
        <w:t>2003</w:t>
        <w:tab/>
        <w:t>2004</w:t>
        <w:tab/>
        <w:t>2005</w:t>
        <w:tab/>
        <w:t>2006</w:t>
        <w:tab/>
        <w:t>2007</w:t>
        <w:tab/>
        <w:t>2008</w:t>
        <w:tab/>
        <w:t>2009</w:t>
        <w:tab/>
        <w:t>2010</w:t>
      </w:r>
    </w:p>
    <w:p>
      <w:pPr>
        <w:pStyle w:val="BodyText"/>
        <w:rPr>
          <w:rFonts w:ascii="Calibri"/>
          <w:sz w:val="20"/>
        </w:rPr>
      </w:pPr>
    </w:p>
    <w:p>
      <w:pPr>
        <w:pStyle w:val="BodyText"/>
        <w:spacing w:before="11"/>
        <w:rPr>
          <w:rFonts w:ascii="Calibri"/>
          <w:sz w:val="29"/>
        </w:rPr>
      </w:pPr>
    </w:p>
    <w:p>
      <w:pPr>
        <w:pStyle w:val="BodyText"/>
        <w:spacing w:line="360" w:lineRule="auto" w:before="69"/>
        <w:ind w:left="182" w:right="636"/>
        <w:jc w:val="both"/>
      </w:pPr>
      <w:r>
        <w:rPr/>
        <w:t>Se observa que la generación que egresó en el año 2000 es la que obtuvo el ICE más alto, lo que significa que de acuerdo a las respuestas colectadas de la muestra evaluada son los egresados que han tenido peor calidad de empleo, conforme a la hipótesis planteada en esta tesis son el grupo que presenta las peores características de transición al mercado de  trabajo. En donde el rubro de capacitación fue el más</w:t>
      </w:r>
      <w:r>
        <w:rPr>
          <w:spacing w:val="-10"/>
        </w:rPr>
        <w:t> </w:t>
      </w:r>
      <w:r>
        <w:rPr/>
        <w:t>crítico.</w:t>
      </w:r>
    </w:p>
    <w:p>
      <w:pPr>
        <w:pStyle w:val="BodyText"/>
      </w:pPr>
    </w:p>
    <w:p>
      <w:pPr>
        <w:pStyle w:val="BodyText"/>
        <w:spacing w:line="360" w:lineRule="auto" w:before="143"/>
        <w:ind w:left="182" w:right="644"/>
        <w:jc w:val="both"/>
      </w:pPr>
      <w:r>
        <w:rPr/>
        <w:t>Para el año 2001, se presenta una mejoría en el indicador localizándose en 43.33, que se le puede atribuir a:</w:t>
      </w:r>
    </w:p>
    <w:p>
      <w:pPr>
        <w:spacing w:line="360" w:lineRule="auto" w:before="3"/>
        <w:ind w:left="890" w:right="639" w:firstLine="0"/>
        <w:jc w:val="both"/>
        <w:rPr>
          <w:sz w:val="22"/>
        </w:rPr>
      </w:pPr>
      <w:r>
        <w:rPr>
          <w:sz w:val="22"/>
        </w:rPr>
        <w:t>Se tienen máximos niveles históricos de reservas (al 15 de junio se reportaron 39 159 mdd), lo que ha generado cierta confianza en los inversionistas extranjeros (al primer trimestre ingresaron 3 597 mdd por IED), pero también ha provocado altos costos para el Banco de</w:t>
      </w:r>
    </w:p>
    <w:p>
      <w:pPr>
        <w:spacing w:after="0" w:line="360" w:lineRule="auto"/>
        <w:jc w:val="both"/>
        <w:rPr>
          <w:sz w:val="22"/>
        </w:rPr>
        <w:sectPr>
          <w:footerReference w:type="default" r:id="rId135"/>
          <w:pgSz w:w="12240" w:h="15840"/>
          <w:pgMar w:footer="1003" w:header="0" w:top="1360" w:bottom="1200" w:left="1520" w:right="1060"/>
          <w:pgNumType w:start="190"/>
        </w:sectPr>
      </w:pPr>
    </w:p>
    <w:p>
      <w:pPr>
        <w:spacing w:line="362" w:lineRule="auto" w:before="50"/>
        <w:ind w:left="810" w:right="0" w:firstLine="0"/>
        <w:jc w:val="left"/>
        <w:rPr>
          <w:sz w:val="22"/>
        </w:rPr>
      </w:pPr>
      <w:r>
        <w:rPr>
          <w:sz w:val="22"/>
        </w:rPr>
        <w:t>México al enfrentar pérdidas cambiarias y en el diferencial de tasas de colocación de los excedentes en el extranjero y las que paga a la inversión foránea (Loría, 2001).</w:t>
      </w:r>
    </w:p>
    <w:p>
      <w:pPr>
        <w:pStyle w:val="BodyText"/>
        <w:spacing w:line="360" w:lineRule="auto" w:before="2"/>
        <w:ind w:left="102" w:right="114"/>
        <w:jc w:val="both"/>
      </w:pPr>
      <w:r>
        <w:rPr/>
        <w:t>Lo que pudo estimular el empleo al interior y con ello tanto en año 2001 como 2002 se presenta una mejoría en el ICE. En este sentido la generación 2002 se presenta como la que presenta el ICE más bajo, lo que se infiere como que han sido los egresados del grupo encuestado en este trabajo que presentan mejores condiciones de transición al mercado de trabajo. Dicha tendencia no se mantiene para el año 2003 en donde el ICE tiene una alza que no es drástica, pero que se ha mantenido por arriba de 50 puntos para los tres años siguientes en donde los analistas y expertos en la materia determinaban en este año</w:t>
      </w:r>
      <w:r>
        <w:rPr>
          <w:spacing w:val="-16"/>
        </w:rPr>
        <w:t> </w:t>
      </w:r>
      <w:r>
        <w:rPr/>
        <w:t>que:</w:t>
      </w:r>
    </w:p>
    <w:p>
      <w:pPr>
        <w:pStyle w:val="BodyText"/>
        <w:spacing w:before="3"/>
        <w:rPr>
          <w:sz w:val="33"/>
        </w:rPr>
      </w:pPr>
    </w:p>
    <w:p>
      <w:pPr>
        <w:spacing w:line="360" w:lineRule="auto" w:before="0"/>
        <w:ind w:left="810" w:right="123" w:firstLine="0"/>
        <w:jc w:val="left"/>
        <w:rPr>
          <w:sz w:val="22"/>
        </w:rPr>
      </w:pPr>
      <w:r>
        <w:rPr>
          <w:sz w:val="22"/>
        </w:rPr>
        <w:t>Durante el primer semestre de 2003 la economía mexicana se vio afectada por un entorno internacional particularmente complejo. En ese periodo el ambiente económico global estuvo marcado por la incertidumbre política derivada de la guerra en Irak. La falta de claridad en cuanto a la duración del conflicto, sus costos y consecuencias, provocó una pérdida de confianza de los consumidores e inversionistas en todo el mundo. Lo anterior se reflejó en los mercados financieros y propició caídas en los principales índices bursátiles. Así, en los países industriales prevaleció un ambiente poco propicio para la reactivación de la demanda (Banco de México, 2004).</w:t>
      </w:r>
    </w:p>
    <w:p>
      <w:pPr>
        <w:pStyle w:val="BodyText"/>
        <w:rPr>
          <w:sz w:val="22"/>
        </w:rPr>
      </w:pPr>
    </w:p>
    <w:p>
      <w:pPr>
        <w:pStyle w:val="BodyText"/>
        <w:spacing w:line="360" w:lineRule="auto" w:before="167"/>
        <w:ind w:left="102" w:right="117"/>
        <w:jc w:val="both"/>
      </w:pPr>
      <w:r>
        <w:rPr/>
        <w:t>Con lo que se puede explicar el por qué de la incertidumbre de los empleos y el aumento en el ICE en donde las condiciones laborales empeoraron con respecto a los dos años anteriores. En el año 2006 se tiene una pequeña mejoría en donde el ICE alcanza los 43.11 puntos no se logra el buen nivel de calidad de empleo que se obtuvo en el 2002, y este bienestar dura solamente este periodo </w:t>
      </w:r>
      <w:r>
        <w:rPr>
          <w:spacing w:val="-3"/>
        </w:rPr>
        <w:t>ya </w:t>
      </w:r>
      <w:r>
        <w:rPr/>
        <w:t>que para el año 2007 con el inicio de la crisis en Estados Unidos nuevamente la incertidumbre y la baja de la tasa de empleo en nuestro país se hacen presentes, al grado que en los años siguientes no se logra regresar a valores inferiores a 50 puntos. Es importante señalar que en México en los años 2002 a 2006 se presenta la flexibilidad del empleo en donde no es de manera legalizada pero si es una práctica común por muchos empleadores, lo que trae como consecuencia que los empleos se vean precarizados y las características de contratación son menores para los recién egresados.</w:t>
      </w:r>
    </w:p>
    <w:p>
      <w:pPr>
        <w:spacing w:after="0" w:line="360" w:lineRule="auto"/>
        <w:jc w:val="both"/>
        <w:sectPr>
          <w:pgSz w:w="12240" w:h="15840"/>
          <w:pgMar w:header="0" w:footer="1003" w:top="1360" w:bottom="1200" w:left="1600" w:right="1580"/>
        </w:sectPr>
      </w:pPr>
    </w:p>
    <w:p>
      <w:pPr>
        <w:pStyle w:val="BodyText"/>
        <w:spacing w:line="360" w:lineRule="auto" w:before="50"/>
        <w:ind w:left="102" w:right="119"/>
        <w:jc w:val="both"/>
      </w:pPr>
      <w:r>
        <w:rPr/>
        <w:t>Si comparamos el comportamiento del ICE con el PIB nacional en el mismo periodo (2000 a 2010) y trasponemos los resultados se observa que no hay un comportamiento simétrico entre ambos. Lo que se esperaría es que a una disminución del PIB el ICE aumentara su valor, pero el resultado no fue así (ver gráfica 7.2.), por lo que se puede inferir que el ICE presenta un comportamiento independiente del PIB.</w:t>
      </w:r>
    </w:p>
    <w:p>
      <w:pPr>
        <w:pStyle w:val="BodyText"/>
        <w:rPr>
          <w:sz w:val="20"/>
        </w:rPr>
      </w:pPr>
    </w:p>
    <w:p>
      <w:pPr>
        <w:pStyle w:val="BodyText"/>
        <w:spacing w:before="2"/>
        <w:rPr>
          <w:sz w:val="19"/>
        </w:rPr>
      </w:pPr>
    </w:p>
    <w:p>
      <w:pPr>
        <w:spacing w:after="0"/>
        <w:rPr>
          <w:sz w:val="19"/>
        </w:rPr>
        <w:sectPr>
          <w:pgSz w:w="12240" w:h="15840"/>
          <w:pgMar w:header="0" w:footer="1003" w:top="1360" w:bottom="1200" w:left="1600" w:right="1580"/>
        </w:sectPr>
      </w:pPr>
    </w:p>
    <w:p>
      <w:pPr>
        <w:pStyle w:val="BodyText"/>
        <w:rPr>
          <w:sz w:val="20"/>
        </w:rPr>
      </w:pPr>
    </w:p>
    <w:p>
      <w:pPr>
        <w:pStyle w:val="BodyText"/>
        <w:spacing w:before="10"/>
        <w:rPr>
          <w:sz w:val="21"/>
        </w:rPr>
      </w:pPr>
    </w:p>
    <w:p>
      <w:pPr>
        <w:spacing w:before="0"/>
        <w:ind w:left="358" w:right="0" w:firstLine="0"/>
        <w:jc w:val="center"/>
        <w:rPr>
          <w:sz w:val="20"/>
        </w:rPr>
      </w:pPr>
      <w:r>
        <w:rPr>
          <w:w w:val="95"/>
          <w:sz w:val="20"/>
        </w:rPr>
        <w:t>100.00</w:t>
      </w:r>
    </w:p>
    <w:p>
      <w:pPr>
        <w:spacing w:before="103"/>
        <w:ind w:left="458" w:right="0" w:firstLine="0"/>
        <w:jc w:val="center"/>
        <w:rPr>
          <w:sz w:val="20"/>
        </w:rPr>
      </w:pPr>
      <w:r>
        <w:rPr>
          <w:w w:val="95"/>
          <w:sz w:val="20"/>
        </w:rPr>
        <w:t>90.00</w:t>
      </w:r>
    </w:p>
    <w:p>
      <w:pPr>
        <w:spacing w:before="103"/>
        <w:ind w:left="458" w:right="0" w:firstLine="0"/>
        <w:jc w:val="center"/>
        <w:rPr>
          <w:sz w:val="20"/>
        </w:rPr>
      </w:pPr>
      <w:r>
        <w:rPr>
          <w:w w:val="95"/>
          <w:sz w:val="20"/>
        </w:rPr>
        <w:t>80.00</w:t>
      </w:r>
    </w:p>
    <w:p>
      <w:pPr>
        <w:spacing w:before="103"/>
        <w:ind w:left="458" w:right="0" w:firstLine="0"/>
        <w:jc w:val="center"/>
        <w:rPr>
          <w:sz w:val="20"/>
        </w:rPr>
      </w:pPr>
      <w:r>
        <w:rPr>
          <w:w w:val="95"/>
          <w:sz w:val="20"/>
        </w:rPr>
        <w:t>70.00</w:t>
      </w:r>
    </w:p>
    <w:p>
      <w:pPr>
        <w:spacing w:before="103"/>
        <w:ind w:left="458" w:right="0" w:firstLine="0"/>
        <w:jc w:val="center"/>
        <w:rPr>
          <w:sz w:val="20"/>
        </w:rPr>
      </w:pPr>
      <w:r>
        <w:rPr>
          <w:w w:val="95"/>
          <w:sz w:val="20"/>
        </w:rPr>
        <w:t>60.00</w:t>
      </w:r>
    </w:p>
    <w:p>
      <w:pPr>
        <w:spacing w:before="103"/>
        <w:ind w:left="458" w:right="0" w:firstLine="0"/>
        <w:jc w:val="center"/>
        <w:rPr>
          <w:sz w:val="20"/>
        </w:rPr>
      </w:pPr>
      <w:r>
        <w:rPr>
          <w:w w:val="95"/>
          <w:sz w:val="20"/>
        </w:rPr>
        <w:t>50.00</w:t>
      </w:r>
    </w:p>
    <w:p>
      <w:pPr>
        <w:spacing w:before="104"/>
        <w:ind w:left="458" w:right="0" w:firstLine="0"/>
        <w:jc w:val="center"/>
        <w:rPr>
          <w:sz w:val="20"/>
        </w:rPr>
      </w:pPr>
      <w:r>
        <w:rPr>
          <w:sz w:val="20"/>
        </w:rPr>
        <w:t>40.00</w:t>
      </w:r>
    </w:p>
    <w:p>
      <w:pPr>
        <w:spacing w:before="103"/>
        <w:ind w:left="458" w:right="0" w:firstLine="0"/>
        <w:jc w:val="center"/>
        <w:rPr>
          <w:sz w:val="20"/>
        </w:rPr>
      </w:pPr>
      <w:r>
        <w:rPr>
          <w:w w:val="95"/>
          <w:sz w:val="20"/>
        </w:rPr>
        <w:t>30.00</w:t>
      </w:r>
    </w:p>
    <w:p>
      <w:pPr>
        <w:spacing w:before="103"/>
        <w:ind w:left="458" w:right="0" w:firstLine="0"/>
        <w:jc w:val="center"/>
        <w:rPr>
          <w:sz w:val="20"/>
        </w:rPr>
      </w:pPr>
      <w:r>
        <w:rPr>
          <w:w w:val="95"/>
          <w:sz w:val="20"/>
        </w:rPr>
        <w:t>20.00</w:t>
      </w:r>
    </w:p>
    <w:p>
      <w:pPr>
        <w:spacing w:before="103"/>
        <w:ind w:left="458" w:right="0" w:firstLine="0"/>
        <w:jc w:val="center"/>
        <w:rPr>
          <w:sz w:val="20"/>
        </w:rPr>
      </w:pPr>
      <w:r>
        <w:rPr>
          <w:w w:val="95"/>
          <w:sz w:val="20"/>
        </w:rPr>
        <w:t>10.00</w:t>
      </w:r>
    </w:p>
    <w:p>
      <w:pPr>
        <w:spacing w:before="103"/>
        <w:ind w:left="557" w:right="0" w:firstLine="0"/>
        <w:jc w:val="center"/>
        <w:rPr>
          <w:sz w:val="20"/>
        </w:rPr>
      </w:pPr>
      <w:r>
        <w:rPr>
          <w:w w:val="95"/>
          <w:sz w:val="20"/>
        </w:rPr>
        <w:t>0.00</w:t>
      </w:r>
    </w:p>
    <w:p>
      <w:pPr>
        <w:pStyle w:val="Heading3"/>
        <w:spacing w:before="69"/>
        <w:ind w:left="1748"/>
        <w:jc w:val="left"/>
      </w:pPr>
      <w:r>
        <w:rPr>
          <w:b w:val="0"/>
        </w:rPr>
        <w:br w:type="column"/>
      </w:r>
      <w:r>
        <w:rPr/>
        <w:t>Gráfica 8.2. ICE vs PIB, 2000-2010.</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5"/>
        <w:rPr>
          <w:b/>
          <w:sz w:val="34"/>
        </w:rPr>
      </w:pPr>
    </w:p>
    <w:p>
      <w:pPr>
        <w:spacing w:before="0"/>
        <w:ind w:left="216" w:right="0" w:firstLine="0"/>
        <w:jc w:val="left"/>
        <w:rPr>
          <w:sz w:val="20"/>
        </w:rPr>
      </w:pPr>
      <w:r>
        <w:rPr/>
        <w:pict>
          <v:group style="position:absolute;margin-left:130.544998pt;margin-top:-172.669067pt;width:321.3pt;height:170.45pt;mso-position-horizontal-relative:page;mso-position-vertical-relative:paragraph;z-index:7984" coordorigin="2611,-3453" coordsize="6426,3409">
            <v:shape style="position:absolute;left:2618;top:-3446;width:6411;height:3394" coordorigin="2618,-3446" coordsize="6411,3394" path="m2678,-443l8969,-443m2678,-777l8969,-777m2678,-1111l8969,-1111m2678,-1444l8969,-1444m4176,-1778l8969,-1778m6465,-2111l8969,-2111m2678,-2445l8969,-2445m2678,-2779l8969,-2779m8753,-3112l8969,-3112m2678,-3446l8969,-3446m8969,-110l8969,-3446m8969,-110l9029,-110m8969,-667l9029,-667m8969,-1223l9029,-1223m8969,-1778l9029,-1778m8969,-2335l9029,-2335m8969,-2891l9029,-2891m8969,-3446l9029,-3446m2678,-1778l4037,-1778m2678,-2111l5753,-2111m2678,-3112l8040,-3112m2678,-110l2678,-3446m2618,-110l2678,-110m2618,-443l2678,-443m2618,-777l2678,-777m2618,-1111l2678,-1111m2618,-1444l2678,-1444m2618,-1778l2678,-1778m2618,-2111l2678,-2111m2618,-2445l2678,-2445m2618,-2779l2678,-2779m2618,-3112l2678,-3112m2618,-3446l2678,-3446m2678,-110l8969,-110m2678,-110l2678,-52m3252,-110l3252,-52m3823,-110l3823,-52m4394,-110l4394,-52m4966,-110l4966,-52m5539,-110l5539,-52m6110,-110l6110,-52m6682,-110l6682,-52m7253,-110l7253,-52m7826,-110l7826,-52m8398,-110l8398,-52m8969,-110l8969,-52m5892,-2111l6326,-2111e" filled="false" stroked="true" strokeweight=".72pt" strokecolor="#858585">
              <v:path arrowok="t"/>
            </v:shape>
            <v:shape style="position:absolute;left:2964;top:-2639;width:5720;height:1232" coordorigin="2964,-2639" coordsize="5720,1232" path="m2964,-2639l3538,-1557,4109,-1408,4680,-2001,5251,-2169,5825,-1915,6396,-1550,6967,-1946,7541,-2001,8112,-1891,8683,-2111e" filled="false" stroked="true" strokeweight="2.16pt" strokecolor="#497dba">
              <v:path arrowok="t"/>
            </v:shape>
            <v:shape style="position:absolute;left:2886;top:-2719;width:154;height:154" type="#_x0000_t75" stroked="false">
              <v:imagedata r:id="rId53" o:title=""/>
            </v:shape>
            <v:shape style="position:absolute;left:3458;top:-1634;width:154;height:154" type="#_x0000_t75" stroked="false">
              <v:imagedata r:id="rId52" o:title=""/>
            </v:shape>
            <v:shape style="position:absolute;left:4029;top:-1486;width:154;height:154" type="#_x0000_t75" stroked="false">
              <v:imagedata r:id="rId55" o:title=""/>
            </v:shape>
            <v:shape style="position:absolute;left:4602;top:-2081;width:154;height:154" type="#_x0000_t75" stroked="false">
              <v:imagedata r:id="rId53" o:title=""/>
            </v:shape>
            <v:shape style="position:absolute;left:5174;top:-2246;width:154;height:154" type="#_x0000_t75" stroked="false">
              <v:imagedata r:id="rId53" o:title=""/>
            </v:shape>
            <v:shape style="position:absolute;left:5745;top:-1994;width:154;height:154" type="#_x0000_t75" stroked="false">
              <v:imagedata r:id="rId52" o:title=""/>
            </v:shape>
            <v:shape style="position:absolute;left:6318;top:-1627;width:154;height:154" type="#_x0000_t75" stroked="false">
              <v:imagedata r:id="rId52" o:title=""/>
            </v:shape>
            <v:shape style="position:absolute;left:6889;top:-2023;width:154;height:154" type="#_x0000_t75" stroked="false">
              <v:imagedata r:id="rId53" o:title=""/>
            </v:shape>
            <v:shape style="position:absolute;left:7461;top:-2081;width:154;height:154" type="#_x0000_t75" stroked="false">
              <v:imagedata r:id="rId53" o:title=""/>
            </v:shape>
            <v:shape style="position:absolute;left:8032;top:-1968;width:154;height:154" type="#_x0000_t75" stroked="false">
              <v:imagedata r:id="rId54" o:title=""/>
            </v:shape>
            <v:shape style="position:absolute;left:8606;top:-2191;width:154;height:154" type="#_x0000_t75" stroked="false">
              <v:imagedata r:id="rId55" o:title=""/>
            </v:shape>
            <v:line style="position:absolute" from="8179,-3112" to="8613,-3112" stroked="true" strokeweight=".72pt" strokecolor="#858585"/>
            <v:shape style="position:absolute;left:2964;top:-3153;width:5720;height:1608" coordorigin="2964,-3153" coordsize="5720,1608" path="m2964,-1545l3538,-1646,4109,-1768,4680,-2006,5251,-2291,5825,-2111,6396,-2107,6967,-2179,7541,-2318,8112,-3153,8683,-3095e" filled="false" stroked="true" strokeweight="2.16pt" strokecolor="#bd4a47">
              <v:path arrowok="t"/>
            </v:shape>
            <v:rect style="position:absolute;left:2894;top:-1617;width:139;height:139" filled="true" fillcolor="#c0504d" stroked="false">
              <v:fill type="solid"/>
            </v:rect>
            <v:rect style="position:absolute;left:2894;top:-1617;width:139;height:139" filled="false" stroked="true" strokeweight=".75pt" strokecolor="#bd4a47"/>
            <v:rect style="position:absolute;left:3465;top:-1715;width:139;height:139" filled="true" fillcolor="#c0504d" stroked="false">
              <v:fill type="solid"/>
            </v:rect>
            <v:rect style="position:absolute;left:3465;top:-1715;width:139;height:139" filled="false" stroked="true" strokeweight=".75pt" strokecolor="#bd4a47"/>
            <v:rect style="position:absolute;left:4037;top:-1838;width:139;height:139" filled="true" fillcolor="#c0504d" stroked="false">
              <v:fill type="solid"/>
            </v:rect>
            <v:rect style="position:absolute;left:4037;top:-1838;width:139;height:139" filled="false" stroked="true" strokeweight=".75pt" strokecolor="#bd4a47"/>
            <v:rect style="position:absolute;left:4610;top:-2078;width:139;height:139" filled="true" fillcolor="#c0504d" stroked="false">
              <v:fill type="solid"/>
            </v:rect>
            <v:rect style="position:absolute;left:4610;top:-2078;width:139;height:139" filled="false" stroked="true" strokeweight=".75pt" strokecolor="#bd4a47"/>
            <v:rect style="position:absolute;left:5181;top:-2361;width:139;height:139" filled="true" fillcolor="#c0504d" stroked="false">
              <v:fill type="solid"/>
            </v:rect>
            <v:rect style="position:absolute;left:5181;top:-2361;width:139;height:139" filled="false" stroked="true" strokeweight=".75pt" strokecolor="#bd4a47"/>
            <v:rect style="position:absolute;left:5753;top:-2183;width:139;height:139" filled="true" fillcolor="#c0504d" stroked="false">
              <v:fill type="solid"/>
            </v:rect>
            <v:rect style="position:absolute;left:5753;top:-2183;width:139;height:139" filled="false" stroked="true" strokeweight=".75pt" strokecolor="#bd4a47"/>
            <v:rect style="position:absolute;left:6326;top:-2178;width:139;height:139" filled="true" fillcolor="#c0504d" stroked="false">
              <v:fill type="solid"/>
            </v:rect>
            <v:rect style="position:absolute;left:6326;top:-2178;width:139;height:139" filled="false" stroked="true" strokeweight=".75pt" strokecolor="#bd4a47"/>
            <v:rect style="position:absolute;left:6897;top:-2250;width:139;height:139" filled="true" fillcolor="#c0504d" stroked="false">
              <v:fill type="solid"/>
            </v:rect>
            <v:rect style="position:absolute;left:6897;top:-2250;width:139;height:139" filled="false" stroked="true" strokeweight=".75pt" strokecolor="#bd4a47"/>
            <v:rect style="position:absolute;left:7469;top:-2390;width:139;height:139" filled="true" fillcolor="#c0504d" stroked="false">
              <v:fill type="solid"/>
            </v:rect>
            <v:rect style="position:absolute;left:7469;top:-2390;width:139;height:139" filled="false" stroked="true" strokeweight=".75pt" strokecolor="#bd4a47"/>
            <v:rect style="position:absolute;left:8040;top:-3222;width:139;height:139" filled="true" fillcolor="#c0504d" stroked="false">
              <v:fill type="solid"/>
            </v:rect>
            <v:rect style="position:absolute;left:8040;top:-3222;width:139;height:139" filled="false" stroked="true" strokeweight=".75pt" strokecolor="#bd4a47"/>
            <v:rect style="position:absolute;left:8613;top:-3167;width:139;height:139" filled="true" fillcolor="#c0504d" stroked="false">
              <v:fill type="solid"/>
            </v:rect>
            <v:rect style="position:absolute;left:8613;top:-3167;width:139;height:139" filled="false" stroked="true" strokeweight=".75pt" strokecolor="#bd4a47"/>
            <w10:wrap type="none"/>
          </v:group>
        </w:pict>
      </w:r>
      <w:r>
        <w:rPr>
          <w:sz w:val="20"/>
        </w:rPr>
        <w:t>2000   2001   2002   2003   2004   2005   2006   2007   2008   2009       2010</w:t>
      </w:r>
    </w:p>
    <w:p>
      <w:pPr>
        <w:pStyle w:val="BodyText"/>
        <w:rPr>
          <w:sz w:val="20"/>
        </w:rPr>
      </w:pPr>
      <w:r>
        <w:rPr/>
        <w:br w:type="column"/>
      </w:r>
      <w:r>
        <w:rPr>
          <w:sz w:val="20"/>
        </w:rPr>
      </w:r>
    </w:p>
    <w:p>
      <w:pPr>
        <w:pStyle w:val="BodyText"/>
        <w:spacing w:before="10"/>
        <w:rPr>
          <w:sz w:val="21"/>
        </w:rPr>
      </w:pPr>
    </w:p>
    <w:p>
      <w:pPr>
        <w:spacing w:before="0"/>
        <w:ind w:left="217" w:right="0" w:firstLine="0"/>
        <w:jc w:val="left"/>
        <w:rPr>
          <w:sz w:val="20"/>
        </w:rPr>
      </w:pPr>
      <w:r>
        <w:rPr>
          <w:w w:val="99"/>
          <w:sz w:val="20"/>
        </w:rPr>
        <w:t>6</w:t>
      </w:r>
    </w:p>
    <w:p>
      <w:pPr>
        <w:pStyle w:val="BodyText"/>
        <w:spacing w:before="4"/>
        <w:rPr>
          <w:sz w:val="28"/>
        </w:rPr>
      </w:pPr>
    </w:p>
    <w:p>
      <w:pPr>
        <w:spacing w:before="0"/>
        <w:ind w:left="217" w:right="0" w:firstLine="0"/>
        <w:jc w:val="left"/>
        <w:rPr>
          <w:sz w:val="20"/>
        </w:rPr>
      </w:pPr>
      <w:r>
        <w:rPr>
          <w:w w:val="99"/>
          <w:sz w:val="20"/>
        </w:rPr>
        <w:t>5</w:t>
      </w:r>
    </w:p>
    <w:p>
      <w:pPr>
        <w:pStyle w:val="BodyText"/>
        <w:spacing w:before="3"/>
        <w:rPr>
          <w:sz w:val="28"/>
        </w:rPr>
      </w:pPr>
    </w:p>
    <w:p>
      <w:pPr>
        <w:spacing w:before="1"/>
        <w:ind w:left="217" w:right="0" w:firstLine="0"/>
        <w:jc w:val="left"/>
        <w:rPr>
          <w:sz w:val="20"/>
        </w:rPr>
      </w:pPr>
      <w:r>
        <w:rPr>
          <w:w w:val="99"/>
          <w:sz w:val="20"/>
        </w:rPr>
        <w:t>4</w:t>
      </w:r>
    </w:p>
    <w:p>
      <w:pPr>
        <w:pStyle w:val="BodyText"/>
        <w:spacing w:before="5"/>
      </w:pPr>
    </w:p>
    <w:p>
      <w:pPr>
        <w:tabs>
          <w:tab w:pos="964" w:val="left" w:leader="none"/>
        </w:tabs>
        <w:spacing w:before="0"/>
        <w:ind w:left="217" w:right="0" w:firstLine="0"/>
        <w:jc w:val="left"/>
        <w:rPr>
          <w:sz w:val="20"/>
        </w:rPr>
      </w:pPr>
      <w:r>
        <w:rPr/>
        <w:drawing>
          <wp:anchor distT="0" distB="0" distL="0" distR="0" allowOverlap="1" layoutInCell="1" locked="0" behindDoc="1" simplePos="0" relativeHeight="268040807">
            <wp:simplePos x="0" y="0"/>
            <wp:positionH relativeFrom="page">
              <wp:posOffset>5995415</wp:posOffset>
            </wp:positionH>
            <wp:positionV relativeFrom="paragraph">
              <wp:posOffset>36143</wp:posOffset>
            </wp:positionV>
            <wp:extent cx="271271" cy="85344"/>
            <wp:effectExtent l="0" t="0" r="0" b="0"/>
            <wp:wrapNone/>
            <wp:docPr id="83" name="image93.png" descr=""/>
            <wp:cNvGraphicFramePr>
              <a:graphicFrameLocks noChangeAspect="1"/>
            </wp:cNvGraphicFramePr>
            <a:graphic>
              <a:graphicData uri="http://schemas.openxmlformats.org/drawingml/2006/picture">
                <pic:pic>
                  <pic:nvPicPr>
                    <pic:cNvPr id="84" name="image93.png"/>
                    <pic:cNvPicPr/>
                  </pic:nvPicPr>
                  <pic:blipFill>
                    <a:blip r:embed="rId136" cstate="print"/>
                    <a:stretch>
                      <a:fillRect/>
                    </a:stretch>
                  </pic:blipFill>
                  <pic:spPr>
                    <a:xfrm>
                      <a:off x="0" y="0"/>
                      <a:ext cx="271271" cy="85344"/>
                    </a:xfrm>
                    <a:prstGeom prst="rect">
                      <a:avLst/>
                    </a:prstGeom>
                  </pic:spPr>
                </pic:pic>
              </a:graphicData>
            </a:graphic>
          </wp:anchor>
        </w:drawing>
      </w:r>
      <w:r>
        <w:rPr>
          <w:position w:val="-3"/>
          <w:sz w:val="20"/>
        </w:rPr>
        <w:t>3</w:t>
        <w:tab/>
      </w:r>
      <w:r>
        <w:rPr>
          <w:sz w:val="20"/>
        </w:rPr>
        <w:t>ICE</w:t>
      </w:r>
    </w:p>
    <w:p>
      <w:pPr>
        <w:spacing w:before="69"/>
        <w:ind w:left="964" w:right="0" w:firstLine="0"/>
        <w:jc w:val="left"/>
        <w:rPr>
          <w:sz w:val="20"/>
        </w:rPr>
      </w:pPr>
      <w:r>
        <w:rPr/>
        <w:pict>
          <v:group style="position:absolute;margin-left:472.059998pt;margin-top:6.220934pt;width:21.4pt;height:6.75pt;mso-position-horizontal-relative:page;mso-position-vertical-relative:paragraph;z-index:8032" coordorigin="9441,124" coordsize="428,135">
            <v:shape style="position:absolute;left:9463;top:192;width:384;height:2" coordorigin="9463,192" coordsize="384,0" path="m9715,192l9847,192m9463,192l9595,192e" filled="false" stroked="true" strokeweight="2.16pt" strokecolor="#bd4a47">
              <v:path arrowok="t"/>
            </v:shape>
            <v:rect style="position:absolute;left:9595;top:132;width:120;height:120" filled="true" fillcolor="#c0504d" stroked="false">
              <v:fill type="solid"/>
            </v:rect>
            <v:rect style="position:absolute;left:9595;top:132;width:120;height:120" filled="false" stroked="true" strokeweight=".72pt" strokecolor="#bd4a47"/>
            <w10:wrap type="none"/>
          </v:group>
        </w:pict>
      </w:r>
      <w:r>
        <w:rPr>
          <w:sz w:val="20"/>
        </w:rPr>
        <w:t>PIB</w:t>
      </w:r>
    </w:p>
    <w:p>
      <w:pPr>
        <w:spacing w:before="31"/>
        <w:ind w:left="217" w:right="0" w:firstLine="0"/>
        <w:jc w:val="left"/>
        <w:rPr>
          <w:sz w:val="20"/>
        </w:rPr>
      </w:pPr>
      <w:r>
        <w:rPr>
          <w:w w:val="99"/>
          <w:sz w:val="20"/>
        </w:rPr>
        <w:t>2</w:t>
      </w:r>
    </w:p>
    <w:p>
      <w:pPr>
        <w:pStyle w:val="BodyText"/>
        <w:spacing w:before="3"/>
        <w:rPr>
          <w:sz w:val="28"/>
        </w:rPr>
      </w:pPr>
    </w:p>
    <w:p>
      <w:pPr>
        <w:spacing w:before="1"/>
        <w:ind w:left="217" w:right="0" w:firstLine="0"/>
        <w:jc w:val="left"/>
        <w:rPr>
          <w:sz w:val="20"/>
        </w:rPr>
      </w:pPr>
      <w:r>
        <w:rPr>
          <w:w w:val="99"/>
          <w:sz w:val="20"/>
        </w:rPr>
        <w:t>1</w:t>
      </w:r>
    </w:p>
    <w:p>
      <w:pPr>
        <w:pStyle w:val="BodyText"/>
        <w:spacing w:before="4"/>
        <w:rPr>
          <w:sz w:val="28"/>
        </w:rPr>
      </w:pPr>
    </w:p>
    <w:p>
      <w:pPr>
        <w:spacing w:before="0"/>
        <w:ind w:left="217" w:right="0" w:firstLine="0"/>
        <w:jc w:val="left"/>
        <w:rPr>
          <w:sz w:val="20"/>
        </w:rPr>
      </w:pPr>
      <w:r>
        <w:rPr>
          <w:w w:val="99"/>
          <w:sz w:val="20"/>
        </w:rPr>
        <w:t>0</w:t>
      </w:r>
    </w:p>
    <w:p>
      <w:pPr>
        <w:spacing w:after="0"/>
        <w:jc w:val="left"/>
        <w:rPr>
          <w:sz w:val="20"/>
        </w:rPr>
        <w:sectPr>
          <w:type w:val="continuous"/>
          <w:pgSz w:w="12240" w:h="15840"/>
          <w:pgMar w:top="1340" w:bottom="280" w:left="1600" w:right="1580"/>
          <w:cols w:num="3" w:equalWidth="0">
            <w:col w:w="909" w:space="40"/>
            <w:col w:w="6336" w:space="40"/>
            <w:col w:w="1735"/>
          </w:cols>
        </w:sectPr>
      </w:pPr>
    </w:p>
    <w:p>
      <w:pPr>
        <w:pStyle w:val="BodyText"/>
        <w:spacing w:before="6"/>
        <w:rPr>
          <w:sz w:val="25"/>
        </w:rPr>
      </w:pPr>
    </w:p>
    <w:p>
      <w:pPr>
        <w:spacing w:line="276" w:lineRule="auto" w:before="74"/>
        <w:ind w:left="102" w:right="117" w:firstLine="0"/>
        <w:jc w:val="both"/>
        <w:rPr>
          <w:sz w:val="20"/>
        </w:rPr>
      </w:pPr>
      <w:r>
        <w:rPr>
          <w:sz w:val="20"/>
        </w:rPr>
        <w:t>Fuente: elaboración propia con base en el cálculo del ICE y datos de Instituto Nacional de Estadística y Geografía (2012); Centro de Economía Internacional (CEI, 2012); Index Mundi, (2012); Banco de México (2012).</w:t>
      </w:r>
    </w:p>
    <w:p>
      <w:pPr>
        <w:pStyle w:val="BodyText"/>
        <w:rPr>
          <w:sz w:val="20"/>
        </w:rPr>
      </w:pPr>
    </w:p>
    <w:p>
      <w:pPr>
        <w:pStyle w:val="BodyText"/>
        <w:rPr>
          <w:sz w:val="20"/>
        </w:rPr>
      </w:pPr>
    </w:p>
    <w:p>
      <w:pPr>
        <w:pStyle w:val="BodyText"/>
        <w:spacing w:line="360" w:lineRule="auto" w:before="154"/>
        <w:ind w:left="102" w:right="117"/>
        <w:jc w:val="both"/>
      </w:pPr>
      <w:r>
        <w:rPr/>
        <w:t>El siguiente comparativo se realizó entre el ICE y la tasa de desempleo en México, en dónde se encontró que el comportamiento tiene cierta similitud entre ellos ver gráfica</w:t>
      </w:r>
      <w:r>
        <w:rPr>
          <w:spacing w:val="-17"/>
        </w:rPr>
        <w:t> </w:t>
      </w:r>
      <w:r>
        <w:rPr/>
        <w:t>7.3.</w:t>
      </w:r>
    </w:p>
    <w:p>
      <w:pPr>
        <w:spacing w:after="0" w:line="360" w:lineRule="auto"/>
        <w:jc w:val="both"/>
        <w:sectPr>
          <w:type w:val="continuous"/>
          <w:pgSz w:w="12240" w:h="15840"/>
          <w:pgMar w:top="1340" w:bottom="280" w:left="1600" w:right="1580"/>
        </w:sectPr>
      </w:pPr>
    </w:p>
    <w:p>
      <w:pPr>
        <w:pStyle w:val="Heading3"/>
        <w:ind w:left="1856" w:right="1552"/>
        <w:jc w:val="left"/>
      </w:pPr>
      <w:r>
        <w:rPr/>
        <w:t>Gráfica 8.3. ICE vs Tasa de desempleo, 2000 – 2010.</w:t>
      </w:r>
    </w:p>
    <w:p>
      <w:pPr>
        <w:pStyle w:val="BodyText"/>
        <w:spacing w:before="7"/>
        <w:rPr>
          <w:b/>
          <w:sz w:val="14"/>
        </w:rPr>
      </w:pPr>
    </w:p>
    <w:p>
      <w:pPr>
        <w:spacing w:after="0"/>
        <w:rPr>
          <w:sz w:val="14"/>
        </w:rPr>
        <w:sectPr>
          <w:pgSz w:w="12240" w:h="15840"/>
          <w:pgMar w:header="0" w:footer="1003" w:top="1360" w:bottom="1200" w:left="1600" w:right="1560"/>
        </w:sectPr>
      </w:pPr>
    </w:p>
    <w:p>
      <w:pPr>
        <w:spacing w:before="60"/>
        <w:ind w:left="230" w:right="0" w:firstLine="0"/>
        <w:jc w:val="center"/>
        <w:rPr>
          <w:rFonts w:ascii="Calibri"/>
          <w:sz w:val="20"/>
        </w:rPr>
      </w:pPr>
      <w:r>
        <w:rPr>
          <w:rFonts w:ascii="Calibri"/>
          <w:sz w:val="20"/>
        </w:rPr>
        <w:t>100.00</w:t>
      </w:r>
    </w:p>
    <w:p>
      <w:pPr>
        <w:spacing w:before="115"/>
        <w:ind w:left="332" w:right="0" w:firstLine="0"/>
        <w:jc w:val="center"/>
        <w:rPr>
          <w:rFonts w:ascii="Calibri"/>
          <w:sz w:val="20"/>
        </w:rPr>
      </w:pPr>
      <w:r>
        <w:rPr>
          <w:rFonts w:ascii="Calibri"/>
          <w:sz w:val="20"/>
        </w:rPr>
        <w:t>90.00</w:t>
      </w:r>
    </w:p>
    <w:p>
      <w:pPr>
        <w:spacing w:before="115"/>
        <w:ind w:left="332" w:right="0" w:firstLine="0"/>
        <w:jc w:val="center"/>
        <w:rPr>
          <w:rFonts w:ascii="Calibri"/>
          <w:sz w:val="20"/>
        </w:rPr>
      </w:pPr>
      <w:r>
        <w:rPr>
          <w:rFonts w:ascii="Calibri"/>
          <w:sz w:val="20"/>
        </w:rPr>
        <w:t>80.00</w:t>
      </w:r>
    </w:p>
    <w:p>
      <w:pPr>
        <w:spacing w:before="116"/>
        <w:ind w:left="332" w:right="0" w:firstLine="0"/>
        <w:jc w:val="center"/>
        <w:rPr>
          <w:rFonts w:ascii="Calibri"/>
          <w:sz w:val="20"/>
        </w:rPr>
      </w:pPr>
      <w:r>
        <w:rPr>
          <w:rFonts w:ascii="Calibri"/>
          <w:sz w:val="20"/>
        </w:rPr>
        <w:t>70.00</w:t>
      </w:r>
    </w:p>
    <w:p>
      <w:pPr>
        <w:spacing w:before="115"/>
        <w:ind w:left="332" w:right="0" w:firstLine="0"/>
        <w:jc w:val="center"/>
        <w:rPr>
          <w:rFonts w:ascii="Calibri"/>
          <w:sz w:val="20"/>
        </w:rPr>
      </w:pPr>
      <w:r>
        <w:rPr>
          <w:rFonts w:ascii="Calibri"/>
          <w:sz w:val="20"/>
        </w:rPr>
        <w:t>60.00</w:t>
      </w:r>
    </w:p>
    <w:p>
      <w:pPr>
        <w:spacing w:before="116"/>
        <w:ind w:left="332" w:right="0" w:firstLine="0"/>
        <w:jc w:val="center"/>
        <w:rPr>
          <w:rFonts w:ascii="Calibri"/>
          <w:sz w:val="20"/>
        </w:rPr>
      </w:pPr>
      <w:r>
        <w:rPr>
          <w:rFonts w:ascii="Calibri"/>
          <w:sz w:val="20"/>
        </w:rPr>
        <w:t>50.00</w:t>
      </w:r>
    </w:p>
    <w:p>
      <w:pPr>
        <w:spacing w:before="115"/>
        <w:ind w:left="332" w:right="0" w:firstLine="0"/>
        <w:jc w:val="center"/>
        <w:rPr>
          <w:rFonts w:ascii="Calibri"/>
          <w:sz w:val="20"/>
        </w:rPr>
      </w:pPr>
      <w:r>
        <w:rPr>
          <w:rFonts w:ascii="Calibri"/>
          <w:sz w:val="20"/>
        </w:rPr>
        <w:t>40.00</w:t>
      </w:r>
    </w:p>
    <w:p>
      <w:pPr>
        <w:spacing w:before="116"/>
        <w:ind w:left="332" w:right="0" w:firstLine="0"/>
        <w:jc w:val="center"/>
        <w:rPr>
          <w:rFonts w:ascii="Calibri"/>
          <w:sz w:val="20"/>
        </w:rPr>
      </w:pPr>
      <w:r>
        <w:rPr>
          <w:rFonts w:ascii="Calibri"/>
          <w:sz w:val="20"/>
        </w:rPr>
        <w:t>30.00</w:t>
      </w:r>
    </w:p>
    <w:p>
      <w:pPr>
        <w:spacing w:before="115"/>
        <w:ind w:left="332" w:right="0" w:firstLine="0"/>
        <w:jc w:val="center"/>
        <w:rPr>
          <w:rFonts w:ascii="Calibri"/>
          <w:sz w:val="20"/>
        </w:rPr>
      </w:pPr>
      <w:r>
        <w:rPr>
          <w:rFonts w:ascii="Calibri"/>
          <w:sz w:val="20"/>
        </w:rPr>
        <w:t>20.00</w:t>
      </w:r>
    </w:p>
    <w:p>
      <w:pPr>
        <w:spacing w:before="116"/>
        <w:ind w:left="332" w:right="0" w:firstLine="0"/>
        <w:jc w:val="center"/>
        <w:rPr>
          <w:rFonts w:ascii="Calibri"/>
          <w:sz w:val="20"/>
        </w:rPr>
      </w:pPr>
      <w:r>
        <w:rPr>
          <w:rFonts w:ascii="Calibri"/>
          <w:sz w:val="20"/>
        </w:rPr>
        <w:t>10.00</w:t>
      </w:r>
    </w:p>
    <w:p>
      <w:pPr>
        <w:spacing w:before="115"/>
        <w:ind w:left="434" w:right="0" w:firstLine="0"/>
        <w:jc w:val="center"/>
        <w:rPr>
          <w:rFonts w:ascii="Calibri"/>
          <w:sz w:val="20"/>
        </w:rPr>
      </w:pPr>
      <w:r>
        <w:rPr>
          <w:rFonts w:ascii="Calibri"/>
          <w:sz w:val="20"/>
        </w:rPr>
        <w:t>0.00</w:t>
      </w:r>
    </w:p>
    <w:p>
      <w:pPr>
        <w:pStyle w:val="BodyText"/>
        <w:rPr>
          <w:rFonts w:ascii="Calibri"/>
          <w:sz w:val="20"/>
        </w:rPr>
      </w:pPr>
      <w:r>
        <w:rPr/>
        <w:br w:type="column"/>
      </w:r>
      <w:r>
        <w:rPr>
          <w:rFonts w:ascii="Calibri"/>
          <w:sz w:val="20"/>
        </w:rPr>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20"/>
        </w:rPr>
      </w:pPr>
    </w:p>
    <w:p>
      <w:pPr>
        <w:spacing w:before="0"/>
        <w:ind w:left="203" w:right="0" w:firstLine="0"/>
        <w:jc w:val="left"/>
        <w:rPr>
          <w:rFonts w:ascii="Calibri"/>
          <w:sz w:val="20"/>
        </w:rPr>
      </w:pPr>
      <w:r>
        <w:rPr>
          <w:rFonts w:ascii="Calibri"/>
          <w:sz w:val="20"/>
        </w:rPr>
        <w:t>2000  2001  2002  2003  2004  2005  2006  2007  2008  2009       2010</w:t>
      </w:r>
    </w:p>
    <w:p>
      <w:pPr>
        <w:spacing w:before="60"/>
        <w:ind w:left="204" w:right="0" w:firstLine="0"/>
        <w:jc w:val="left"/>
        <w:rPr>
          <w:rFonts w:ascii="Calibri"/>
          <w:sz w:val="20"/>
        </w:rPr>
      </w:pPr>
      <w:r>
        <w:rPr/>
        <w:br w:type="column"/>
      </w:r>
      <w:r>
        <w:rPr>
          <w:rFonts w:ascii="Calibri"/>
          <w:sz w:val="20"/>
        </w:rPr>
        <w:t>6</w:t>
      </w:r>
    </w:p>
    <w:p>
      <w:pPr>
        <w:pStyle w:val="BodyText"/>
        <w:spacing w:before="1"/>
        <w:rPr>
          <w:rFonts w:ascii="Calibri"/>
          <w:sz w:val="29"/>
        </w:rPr>
      </w:pPr>
    </w:p>
    <w:p>
      <w:pPr>
        <w:spacing w:before="0"/>
        <w:ind w:left="204" w:right="0" w:firstLine="0"/>
        <w:jc w:val="left"/>
        <w:rPr>
          <w:rFonts w:ascii="Calibri"/>
          <w:sz w:val="20"/>
        </w:rPr>
      </w:pPr>
      <w:r>
        <w:rPr/>
        <w:pict>
          <v:group style="position:absolute;margin-left:125.144997pt;margin-top:-23.613497pt;width:294.75pt;height:183.75pt;mso-position-horizontal-relative:page;mso-position-vertical-relative:paragraph;z-index:8056" coordorigin="2503,-472" coordsize="5895,3675">
            <v:shape style="position:absolute;left:2510;top:-465;width:5880;height:3660" coordorigin="2510,-465" coordsize="5880,3660" path="m2575,2770l8328,2770m2575,2410l8328,2410m2575,2053l8328,2053m2575,1693l8328,1693m2575,1333l8328,1333m6043,973l8328,973m2575,613l8328,613m2575,253l8328,253m8135,-107l8328,-107m2575,-465l8328,-465m8328,3130l8328,-465m8328,3130l8390,3130m8328,2530l8390,2530m8328,1933l8390,1933m8328,1333l8390,1333m8328,733l8390,733m8328,133l8390,133m8328,-465l8390,-465m2575,973l5903,973m2575,-107l7996,-107m2575,3130l2575,-465m2510,3130l2575,3130m2510,2770l2575,2770m2510,2410l2575,2410m2510,2053l2575,2053m2510,1693l2575,1693m2510,1333l2575,1333m2510,973l2575,973m2510,613l2575,613m2510,253l2575,253m2510,-107l2575,-107m2510,-465l2575,-465m2575,3130l8328,3130m2575,3130l2575,3195m3098,3130l3098,3195m3622,3130l3622,3195m4145,3130l4145,3195m4666,3130l4666,3195m5189,3130l5189,3195m5712,3130l5712,3195m6235,3130l6235,3195m6758,3130l6758,3195m7282,3130l7282,3195m7805,3130l7805,3195m8328,3130l8328,3195e" filled="false" stroked="true" strokeweight=".72pt" strokecolor="#858585">
              <v:path arrowok="t"/>
            </v:shape>
            <v:shape style="position:absolute;left:2837;top:404;width:5230;height:1328" coordorigin="2837,404" coordsize="5230,1328" path="m2837,404l3360,1573,3883,1731,4406,1093,4927,913,5450,1186,5974,1580,6497,1153,7020,1093,7543,1213,8066,973e" filled="false" stroked="true" strokeweight="2.16pt" strokecolor="#497dba">
              <v:path arrowok="t"/>
            </v:shape>
            <v:shape style="position:absolute;left:2756;top:324;width:154;height:154" type="#_x0000_t75" stroked="false">
              <v:imagedata r:id="rId53" o:title=""/>
            </v:shape>
            <v:shape style="position:absolute;left:3279;top:1493;width:154;height:154" type="#_x0000_t75" stroked="false">
              <v:imagedata r:id="rId55" o:title=""/>
            </v:shape>
            <v:shape style="position:absolute;left:3803;top:1654;width:154;height:154" type="#_x0000_t75" stroked="false">
              <v:imagedata r:id="rId52" o:title=""/>
            </v:shape>
            <v:shape style="position:absolute;left:4326;top:1013;width:154;height:154" type="#_x0000_t75" stroked="false">
              <v:imagedata r:id="rId54" o:title=""/>
            </v:shape>
            <v:shape style="position:absolute;left:4849;top:835;width:154;height:154" type="#_x0000_t75" stroked="false">
              <v:imagedata r:id="rId53" o:title=""/>
            </v:shape>
            <v:shape style="position:absolute;left:5372;top:1106;width:154;height:154" type="#_x0000_t75" stroked="false">
              <v:imagedata r:id="rId52" o:title=""/>
            </v:shape>
            <v:shape style="position:absolute;left:5896;top:1502;width:154;height:154" type="#_x0000_t75" stroked="false">
              <v:imagedata r:id="rId52" o:title=""/>
            </v:shape>
            <v:shape style="position:absolute;left:6419;top:1073;width:154;height:154" type="#_x0000_t75" stroked="false">
              <v:imagedata r:id="rId54" o:title=""/>
            </v:shape>
            <v:shape style="position:absolute;left:6942;top:1013;width:154;height:154" type="#_x0000_t75" stroked="false">
              <v:imagedata r:id="rId54" o:title=""/>
            </v:shape>
            <v:shape style="position:absolute;left:7465;top:1133;width:154;height:154" type="#_x0000_t75" stroked="false">
              <v:imagedata r:id="rId55" o:title=""/>
            </v:shape>
            <v:shape style="position:absolute;left:7988;top:895;width:154;height:154" type="#_x0000_t75" stroked="false">
              <v:imagedata r:id="rId52" o:title=""/>
            </v:shape>
            <v:shape style="position:absolute;left:2837;top:-167;width:5230;height:1980" coordorigin="2837,-167" coordsize="5230,1980" path="m2837,1813l3360,1633,3883,1513,4406,1213,4927,913,5450,913,5974,973,6497,913,7020,733,7543,-167,8066,-107e" filled="false" stroked="true" strokeweight="2.16pt" strokecolor="#bd4a47">
              <v:path arrowok="t"/>
            </v:shape>
            <v:rect style="position:absolute;left:2764;top:1741;width:139;height:139" filled="true" fillcolor="#c0504d" stroked="false">
              <v:fill type="solid"/>
            </v:rect>
            <v:rect style="position:absolute;left:2764;top:1741;width:139;height:139" filled="false" stroked="true" strokeweight=".75pt" strokecolor="#bd4a47"/>
            <v:rect style="position:absolute;left:3287;top:1561;width:139;height:139" filled="true" fillcolor="#c0504d" stroked="false">
              <v:fill type="solid"/>
            </v:rect>
            <v:rect style="position:absolute;left:3287;top:1561;width:139;height:139" filled="false" stroked="true" strokeweight=".75pt" strokecolor="#bd4a47"/>
            <v:rect style="position:absolute;left:3811;top:1441;width:139;height:139" filled="true" fillcolor="#c0504d" stroked="false">
              <v:fill type="solid"/>
            </v:rect>
            <v:rect style="position:absolute;left:3811;top:1441;width:139;height:139" filled="false" stroked="true" strokeweight=".75pt" strokecolor="#bd4a47"/>
            <v:rect style="position:absolute;left:4334;top:1141;width:139;height:139" filled="true" fillcolor="#c0504d" stroked="false">
              <v:fill type="solid"/>
            </v:rect>
            <v:rect style="position:absolute;left:4334;top:1141;width:139;height:139" filled="false" stroked="true" strokeweight=".75pt" strokecolor="#bd4a47"/>
            <v:rect style="position:absolute;left:4857;top:843;width:139;height:139" filled="true" fillcolor="#c0504d" stroked="false">
              <v:fill type="solid"/>
            </v:rect>
            <v:rect style="position:absolute;left:4857;top:843;width:139;height:139" filled="false" stroked="true" strokeweight=".75pt" strokecolor="#bd4a47"/>
            <v:rect style="position:absolute;left:5380;top:843;width:139;height:139" filled="true" fillcolor="#c0504d" stroked="false">
              <v:fill type="solid"/>
            </v:rect>
            <v:rect style="position:absolute;left:5380;top:843;width:139;height:139" filled="false" stroked="true" strokeweight=".75pt" strokecolor="#bd4a47"/>
            <v:rect style="position:absolute;left:5903;top:903;width:139;height:139" filled="true" fillcolor="#c0504d" stroked="false">
              <v:fill type="solid"/>
            </v:rect>
            <v:rect style="position:absolute;left:5903;top:903;width:139;height:139" filled="false" stroked="true" strokeweight=".75pt" strokecolor="#bd4a47"/>
            <v:rect style="position:absolute;left:6427;top:843;width:139;height:139" filled="true" fillcolor="#c0504d" stroked="false">
              <v:fill type="solid"/>
            </v:rect>
            <v:rect style="position:absolute;left:6427;top:843;width:139;height:139" filled="false" stroked="true" strokeweight=".75pt" strokecolor="#bd4a47"/>
            <v:rect style="position:absolute;left:6950;top:663;width:139;height:139" filled="true" fillcolor="#c0504d" stroked="false">
              <v:fill type="solid"/>
            </v:rect>
            <v:rect style="position:absolute;left:6950;top:663;width:139;height:139" filled="false" stroked="true" strokeweight=".75pt" strokecolor="#bd4a47"/>
            <v:rect style="position:absolute;left:7473;top:-237;width:139;height:139" filled="true" fillcolor="#c0504d" stroked="false">
              <v:fill type="solid"/>
            </v:rect>
            <v:rect style="position:absolute;left:7473;top:-237;width:139;height:139" filled="false" stroked="true" strokeweight=".75pt" strokecolor="#bd4a47"/>
            <v:rect style="position:absolute;left:7996;top:-177;width:139;height:139" filled="true" fillcolor="#c0504d" stroked="false">
              <v:fill type="solid"/>
            </v:rect>
            <v:rect style="position:absolute;left:7996;top:-177;width:139;height:139" filled="false" stroked="true" strokeweight=".75pt" strokecolor="#bd4a47"/>
            <w10:wrap type="none"/>
          </v:group>
        </w:pict>
      </w:r>
      <w:r>
        <w:rPr>
          <w:rFonts w:ascii="Calibri"/>
          <w:w w:val="99"/>
          <w:sz w:val="20"/>
        </w:rPr>
        <w:t>5</w:t>
      </w:r>
    </w:p>
    <w:p>
      <w:pPr>
        <w:pStyle w:val="BodyText"/>
        <w:spacing w:before="1"/>
        <w:rPr>
          <w:rFonts w:ascii="Calibri"/>
          <w:sz w:val="29"/>
        </w:rPr>
      </w:pPr>
    </w:p>
    <w:p>
      <w:pPr>
        <w:spacing w:before="0"/>
        <w:ind w:left="204" w:right="0" w:firstLine="0"/>
        <w:jc w:val="left"/>
        <w:rPr>
          <w:rFonts w:ascii="Calibri"/>
          <w:sz w:val="20"/>
        </w:rPr>
      </w:pPr>
      <w:r>
        <w:rPr>
          <w:rFonts w:ascii="Calibri"/>
          <w:w w:val="99"/>
          <w:sz w:val="20"/>
        </w:rPr>
        <w:t>4</w:t>
      </w:r>
    </w:p>
    <w:p>
      <w:pPr>
        <w:pStyle w:val="BodyText"/>
        <w:spacing w:before="8"/>
        <w:rPr>
          <w:rFonts w:ascii="Calibri"/>
          <w:sz w:val="25"/>
        </w:rPr>
      </w:pPr>
    </w:p>
    <w:p>
      <w:pPr>
        <w:tabs>
          <w:tab w:pos="952" w:val="left" w:leader="none"/>
        </w:tabs>
        <w:spacing w:before="1"/>
        <w:ind w:left="204" w:right="0" w:firstLine="0"/>
        <w:jc w:val="left"/>
        <w:rPr>
          <w:rFonts w:ascii="Calibri"/>
          <w:sz w:val="20"/>
        </w:rPr>
      </w:pPr>
      <w:r>
        <w:rPr/>
        <w:drawing>
          <wp:anchor distT="0" distB="0" distL="0" distR="0" allowOverlap="1" layoutInCell="1" locked="0" behindDoc="1" simplePos="0" relativeHeight="268040879">
            <wp:simplePos x="0" y="0"/>
            <wp:positionH relativeFrom="page">
              <wp:posOffset>5597652</wp:posOffset>
            </wp:positionH>
            <wp:positionV relativeFrom="paragraph">
              <wp:posOffset>42690</wp:posOffset>
            </wp:positionV>
            <wp:extent cx="271272" cy="85344"/>
            <wp:effectExtent l="0" t="0" r="0" b="0"/>
            <wp:wrapNone/>
            <wp:docPr id="85" name="image94.png" descr=""/>
            <wp:cNvGraphicFramePr>
              <a:graphicFrameLocks noChangeAspect="1"/>
            </wp:cNvGraphicFramePr>
            <a:graphic>
              <a:graphicData uri="http://schemas.openxmlformats.org/drawingml/2006/picture">
                <pic:pic>
                  <pic:nvPicPr>
                    <pic:cNvPr id="86" name="image94.png"/>
                    <pic:cNvPicPr/>
                  </pic:nvPicPr>
                  <pic:blipFill>
                    <a:blip r:embed="rId137" cstate="print"/>
                    <a:stretch>
                      <a:fillRect/>
                    </a:stretch>
                  </pic:blipFill>
                  <pic:spPr>
                    <a:xfrm>
                      <a:off x="0" y="0"/>
                      <a:ext cx="271272" cy="85344"/>
                    </a:xfrm>
                    <a:prstGeom prst="rect">
                      <a:avLst/>
                    </a:prstGeom>
                  </pic:spPr>
                </pic:pic>
              </a:graphicData>
            </a:graphic>
          </wp:anchor>
        </w:drawing>
      </w:r>
      <w:r>
        <w:rPr>
          <w:rFonts w:ascii="Calibri"/>
          <w:position w:val="-3"/>
          <w:sz w:val="20"/>
        </w:rPr>
        <w:t>3</w:t>
        <w:tab/>
      </w:r>
      <w:r>
        <w:rPr>
          <w:rFonts w:ascii="Calibri"/>
          <w:sz w:val="20"/>
        </w:rPr>
        <w:t>ICE</w:t>
      </w:r>
    </w:p>
    <w:p>
      <w:pPr>
        <w:spacing w:before="77"/>
        <w:ind w:left="953" w:right="0" w:firstLine="0"/>
        <w:jc w:val="left"/>
        <w:rPr>
          <w:rFonts w:ascii="Calibri"/>
          <w:sz w:val="20"/>
        </w:rPr>
      </w:pPr>
      <w:r>
        <w:rPr/>
        <w:pict>
          <v:group style="position:absolute;margin-left:440.73999pt;margin-top:7.116482pt;width:21.4pt;height:6.75pt;mso-position-horizontal-relative:page;mso-position-vertical-relative:paragraph;z-index:8104" coordorigin="8815,142" coordsize="428,135">
            <v:shape style="position:absolute;left:8837;top:210;width:384;height:2" coordorigin="8837,210" coordsize="384,0" path="m9089,210l9221,210m8837,210l8969,210e" filled="false" stroked="true" strokeweight="2.16pt" strokecolor="#bd4a47">
              <v:path arrowok="t"/>
            </v:shape>
            <v:rect style="position:absolute;left:8969;top:150;width:120;height:120" filled="true" fillcolor="#c0504d" stroked="false">
              <v:fill type="solid"/>
            </v:rect>
            <v:rect style="position:absolute;left:8969;top:150;width:120;height:120" filled="false" stroked="true" strokeweight=".72pt" strokecolor="#bd4a47"/>
            <w10:wrap type="none"/>
          </v:group>
        </w:pict>
      </w:r>
      <w:r>
        <w:rPr>
          <w:rFonts w:ascii="Calibri"/>
          <w:sz w:val="20"/>
        </w:rPr>
        <w:t>Tasa desempleo</w:t>
      </w:r>
    </w:p>
    <w:p>
      <w:pPr>
        <w:spacing w:before="35"/>
        <w:ind w:left="204" w:right="0" w:firstLine="0"/>
        <w:jc w:val="left"/>
        <w:rPr>
          <w:rFonts w:ascii="Calibri"/>
          <w:sz w:val="20"/>
        </w:rPr>
      </w:pPr>
      <w:r>
        <w:rPr>
          <w:rFonts w:ascii="Calibri"/>
          <w:w w:val="99"/>
          <w:sz w:val="20"/>
        </w:rPr>
        <w:t>2</w:t>
      </w:r>
    </w:p>
    <w:p>
      <w:pPr>
        <w:pStyle w:val="BodyText"/>
        <w:spacing w:before="1"/>
        <w:rPr>
          <w:rFonts w:ascii="Calibri"/>
          <w:sz w:val="29"/>
        </w:rPr>
      </w:pPr>
    </w:p>
    <w:p>
      <w:pPr>
        <w:spacing w:before="0"/>
        <w:ind w:left="204" w:right="0" w:firstLine="0"/>
        <w:jc w:val="left"/>
        <w:rPr>
          <w:rFonts w:ascii="Calibri"/>
          <w:sz w:val="20"/>
        </w:rPr>
      </w:pPr>
      <w:r>
        <w:rPr>
          <w:rFonts w:ascii="Calibri"/>
          <w:w w:val="99"/>
          <w:sz w:val="20"/>
        </w:rPr>
        <w:t>1</w:t>
      </w:r>
    </w:p>
    <w:p>
      <w:pPr>
        <w:pStyle w:val="BodyText"/>
        <w:spacing w:before="1"/>
        <w:rPr>
          <w:rFonts w:ascii="Calibri"/>
          <w:sz w:val="29"/>
        </w:rPr>
      </w:pPr>
    </w:p>
    <w:p>
      <w:pPr>
        <w:spacing w:before="0"/>
        <w:ind w:left="204" w:right="0" w:firstLine="0"/>
        <w:jc w:val="left"/>
        <w:rPr>
          <w:rFonts w:ascii="Calibri"/>
          <w:sz w:val="20"/>
        </w:rPr>
      </w:pPr>
      <w:r>
        <w:rPr>
          <w:rFonts w:ascii="Calibri"/>
          <w:w w:val="99"/>
          <w:sz w:val="20"/>
        </w:rPr>
        <w:t>0</w:t>
      </w:r>
    </w:p>
    <w:p>
      <w:pPr>
        <w:spacing w:after="0"/>
        <w:jc w:val="left"/>
        <w:rPr>
          <w:rFonts w:ascii="Calibri"/>
          <w:sz w:val="20"/>
        </w:rPr>
        <w:sectPr>
          <w:type w:val="continuous"/>
          <w:pgSz w:w="12240" w:h="15840"/>
          <w:pgMar w:top="1340" w:bottom="280" w:left="1600" w:right="1560"/>
          <w:cols w:num="3" w:equalWidth="0">
            <w:col w:w="790" w:space="40"/>
            <w:col w:w="5842" w:space="40"/>
            <w:col w:w="2368"/>
          </w:cols>
        </w:sectPr>
      </w:pPr>
    </w:p>
    <w:p>
      <w:pPr>
        <w:pStyle w:val="BodyText"/>
        <w:spacing w:before="6"/>
        <w:rPr>
          <w:rFonts w:ascii="Calibri"/>
          <w:sz w:val="15"/>
        </w:rPr>
      </w:pPr>
    </w:p>
    <w:p>
      <w:pPr>
        <w:spacing w:line="276" w:lineRule="auto" w:before="74"/>
        <w:ind w:left="226" w:right="275" w:firstLine="10"/>
        <w:jc w:val="center"/>
        <w:rPr>
          <w:sz w:val="20"/>
        </w:rPr>
      </w:pPr>
      <w:r>
        <w:rPr>
          <w:sz w:val="20"/>
        </w:rPr>
        <w:t>Fuente: elaboración propia con base en el cálculo del ICE y datos de Instituto Nacional de Estadística y Geografía (2012); Centro de Economía Internacional (CEI, 2012); Index Mundi, (2012); Banco de México (2012).</w:t>
      </w:r>
    </w:p>
    <w:p>
      <w:pPr>
        <w:pStyle w:val="BodyText"/>
        <w:rPr>
          <w:sz w:val="20"/>
        </w:rPr>
      </w:pPr>
    </w:p>
    <w:p>
      <w:pPr>
        <w:pStyle w:val="BodyText"/>
        <w:rPr>
          <w:sz w:val="20"/>
        </w:rPr>
      </w:pPr>
    </w:p>
    <w:p>
      <w:pPr>
        <w:pStyle w:val="BodyText"/>
        <w:spacing w:line="360" w:lineRule="auto" w:before="154"/>
        <w:ind w:left="102" w:right="136"/>
        <w:jc w:val="both"/>
      </w:pPr>
      <w:r>
        <w:rPr/>
        <w:t>Es importante destacar que en los tres primeros años de estudio (2000, 2001, 2002) no se puede detectar una relación directa entre el comportamiento de la tasa de desempleo y el ICE, por ejemplo en el año 2000 se obtuvo que el índice fue de 75.83 (el más alto de la muestra) con una tasa de desempleo del 2.2% (la más baja del periodo de estudio). Sin embargo para el año 2003 el comportamiento de aumento y disminución del ICE y de la  tasa de desempleo parece tener una relación, en donde un aumento de la tasa de desempleo también se relaciona con un aumento en el ICE. Así mismo en el año 2006 una  disminución en desempleo lleva a tener un ICE más bajo (recordando que el ICE entre más lejano a un valor de 100 es</w:t>
      </w:r>
      <w:r>
        <w:rPr>
          <w:spacing w:val="-5"/>
        </w:rPr>
        <w:t> </w:t>
      </w:r>
      <w:r>
        <w:rPr/>
        <w:t>mejor).</w:t>
      </w:r>
    </w:p>
    <w:p>
      <w:pPr>
        <w:pStyle w:val="BodyText"/>
        <w:spacing w:before="5"/>
        <w:rPr>
          <w:sz w:val="35"/>
        </w:rPr>
      </w:pPr>
    </w:p>
    <w:p>
      <w:pPr>
        <w:pStyle w:val="BodyText"/>
        <w:spacing w:line="360" w:lineRule="auto"/>
        <w:ind w:left="102" w:right="259"/>
        <w:jc w:val="both"/>
      </w:pPr>
      <w:r>
        <w:rPr/>
        <w:t>Tomando en cuenta las condiciones económicas de los gobiernos de Vicente Fox y Felipe Calderón se observa que a pesar de haber sido dos sexenios presidenciales que impulsaron el empleo, la calidad de éste no fue la más favorable para los profesionistas y en</w:t>
      </w:r>
      <w:r>
        <w:rPr>
          <w:spacing w:val="-18"/>
        </w:rPr>
        <w:t> </w:t>
      </w:r>
      <w:r>
        <w:rPr/>
        <w:t>específico para los egresados en Economía de la</w:t>
      </w:r>
      <w:r>
        <w:rPr>
          <w:spacing w:val="-9"/>
        </w:rPr>
        <w:t> </w:t>
      </w:r>
      <w:r>
        <w:rPr/>
        <w:t>UAEMéx.</w:t>
      </w:r>
    </w:p>
    <w:p>
      <w:pPr>
        <w:pStyle w:val="BodyText"/>
        <w:spacing w:line="360" w:lineRule="auto" w:before="6"/>
        <w:ind w:left="102" w:right="137"/>
        <w:jc w:val="both"/>
      </w:pPr>
      <w:r>
        <w:rPr/>
        <w:t>En este capítulo se evalúo la calidad de empleo con la que los encuestados fueron contratados encontrándose que si bien su inserción al mercado de trabajo es buena y en su</w:t>
      </w:r>
    </w:p>
    <w:p>
      <w:pPr>
        <w:spacing w:after="0" w:line="360" w:lineRule="auto"/>
        <w:jc w:val="both"/>
        <w:sectPr>
          <w:type w:val="continuous"/>
          <w:pgSz w:w="12240" w:h="15840"/>
          <w:pgMar w:top="1340" w:bottom="280" w:left="1600" w:right="1560"/>
        </w:sectPr>
      </w:pPr>
    </w:p>
    <w:p>
      <w:pPr>
        <w:pStyle w:val="BodyText"/>
        <w:spacing w:line="360" w:lineRule="auto" w:before="50"/>
        <w:ind w:left="102" w:right="118"/>
        <w:jc w:val="both"/>
      </w:pPr>
      <w:r>
        <w:rPr/>
        <w:t>mayoría presentan un proceso de transición rápido, el ICE mostró que se encuentran en la media, lo que significa que si bien no se encuentran en el extremo de los peores empleos en México tampoco pertenecen al grupo privilegiado. Es importante remarcar que la tendencia es a empeorar.</w:t>
      </w:r>
    </w:p>
    <w:p>
      <w:pPr>
        <w:pStyle w:val="BodyText"/>
      </w:pPr>
    </w:p>
    <w:p>
      <w:pPr>
        <w:pStyle w:val="BodyText"/>
        <w:spacing w:line="360" w:lineRule="auto" w:before="143"/>
        <w:ind w:left="102" w:right="119"/>
        <w:jc w:val="both"/>
      </w:pPr>
      <w:r>
        <w:rPr/>
        <w:t>En el siguiente apartado se presentan las conclusiones y futuras líneas de investigación en este tema con base en los resultados obtenidos de la elaboración de esta tesis.</w:t>
      </w:r>
    </w:p>
    <w:p>
      <w:pPr>
        <w:spacing w:after="0" w:line="360" w:lineRule="auto"/>
        <w:jc w:val="both"/>
        <w:sectPr>
          <w:pgSz w:w="12240" w:h="15840"/>
          <w:pgMar w:header="0" w:footer="1003" w:top="1360" w:bottom="1200" w:left="1600" w:right="1580"/>
        </w:sectPr>
      </w:pPr>
    </w:p>
    <w:p>
      <w:pPr>
        <w:pStyle w:val="Heading3"/>
        <w:ind w:left="2790"/>
        <w:jc w:val="left"/>
      </w:pPr>
      <w:bookmarkStart w:name="_bookmark89" w:id="163"/>
      <w:bookmarkEnd w:id="163"/>
      <w:r>
        <w:rPr>
          <w:b w:val="0"/>
        </w:rPr>
      </w:r>
      <w:r>
        <w:rPr/>
        <w:t>CONCLUSIONES GENERALES</w:t>
      </w:r>
    </w:p>
    <w:p>
      <w:pPr>
        <w:pStyle w:val="BodyText"/>
        <w:rPr>
          <w:b/>
        </w:rPr>
      </w:pPr>
    </w:p>
    <w:p>
      <w:pPr>
        <w:pStyle w:val="BodyText"/>
        <w:spacing w:before="6"/>
        <w:rPr>
          <w:b/>
          <w:sz w:val="23"/>
        </w:rPr>
      </w:pPr>
    </w:p>
    <w:p>
      <w:pPr>
        <w:pStyle w:val="BodyText"/>
        <w:spacing w:line="360" w:lineRule="auto"/>
        <w:ind w:left="102" w:right="119"/>
        <w:jc w:val="both"/>
      </w:pPr>
      <w:r>
        <w:rPr/>
        <w:t>El estudio del proceso de transición al mercado de trabajo está inmerso en las ciencias económico-administrativas. No es sencillo lograr que un mismo fenómeno sea abordado teóricamente por distintas disciplinas, en este caso particular se tuvo que realizar una pesquisa por más de un año. Este proceso de búsqueda de información fue un periodo formativo que contribuyó a contextualizar mejor el problema de estudio.</w:t>
      </w:r>
    </w:p>
    <w:p>
      <w:pPr>
        <w:pStyle w:val="BodyText"/>
      </w:pPr>
    </w:p>
    <w:p>
      <w:pPr>
        <w:pStyle w:val="BodyText"/>
        <w:spacing w:line="360" w:lineRule="auto" w:before="143"/>
        <w:ind w:left="102" w:right="120"/>
        <w:jc w:val="both"/>
      </w:pPr>
      <w:r>
        <w:rPr/>
        <w:t>Existen diferentes puntos de convergencia entre la perspectiva neoclásica y la segmentista, la principal es la consideración de la eficiencia económica, en donde para los neoclásicos se puede explicar únicamente con factores económicos, y para los segmentistas se deben considerar también los factores burocráticas que intervienen. En respuesta a las discrepancias y diferencias entre ambas, la teoría de la segmentación propone la flexibilización del trabajo, siendo el elemento clave en el proceso de transición al mercado de trabajo.</w:t>
      </w:r>
    </w:p>
    <w:p>
      <w:pPr>
        <w:pStyle w:val="BodyText"/>
      </w:pPr>
    </w:p>
    <w:p>
      <w:pPr>
        <w:pStyle w:val="BodyText"/>
        <w:spacing w:line="360" w:lineRule="auto" w:before="143"/>
        <w:ind w:left="102" w:right="118"/>
        <w:jc w:val="both"/>
      </w:pPr>
      <w:r>
        <w:rPr/>
        <w:t>Se analizaron tres de las principales teorías que explican el proceso de transición, se definió que la teoría de la búsqueda y la teoría de las señales son las que mejor explican lo que sucede al momento de que un egresado trata de insertarse al mercado de trabajo. La teoría de la fila, explica el tiempo que transcurre desde que un buscador de empleo inicia su proceso de transición hasta que logra ser contratado, que es lo que se está analizando en  esta tesis, que se traduce como su inserción al mercado de</w:t>
      </w:r>
      <w:r>
        <w:rPr>
          <w:spacing w:val="-12"/>
        </w:rPr>
        <w:t> </w:t>
      </w:r>
      <w:r>
        <w:rPr/>
        <w:t>trabajo.</w:t>
      </w:r>
    </w:p>
    <w:p>
      <w:pPr>
        <w:pStyle w:val="BodyText"/>
      </w:pPr>
    </w:p>
    <w:p>
      <w:pPr>
        <w:pStyle w:val="BodyText"/>
        <w:spacing w:before="8"/>
        <w:rPr>
          <w:sz w:val="29"/>
        </w:rPr>
      </w:pPr>
    </w:p>
    <w:p>
      <w:pPr>
        <w:pStyle w:val="BodyText"/>
        <w:spacing w:line="360" w:lineRule="auto" w:before="1"/>
        <w:ind w:left="102" w:right="119"/>
        <w:jc w:val="both"/>
      </w:pPr>
      <w:r>
        <w:rPr/>
        <w:t>El proceso de transición en esta tesis fue definido con base en las teorías revisadas como el momento único que transcurre entre la formación universitaria de los egresados de la Licenciatura en Economía de la UAEMéx y su inserción al mercado de trabajo. La pregunta de investigación que se planteó:</w:t>
      </w:r>
    </w:p>
    <w:p>
      <w:pPr>
        <w:pStyle w:val="BodyText"/>
      </w:pPr>
    </w:p>
    <w:p>
      <w:pPr>
        <w:pStyle w:val="BodyText"/>
        <w:spacing w:line="360" w:lineRule="auto" w:before="143"/>
        <w:ind w:left="461"/>
      </w:pPr>
      <w:r>
        <w:rPr/>
        <w:t>¿Existen las condiciones, las oportunidades de acceso y permanencia al mercado de trabajo de los egresados de la licenciatura de Economía de la Facultad de Economía   de</w:t>
      </w:r>
    </w:p>
    <w:p>
      <w:pPr>
        <w:spacing w:after="0" w:line="360" w:lineRule="auto"/>
        <w:sectPr>
          <w:pgSz w:w="12240" w:h="15840"/>
          <w:pgMar w:header="0" w:footer="1003" w:top="1360" w:bottom="1200" w:left="1600" w:right="1580"/>
        </w:sectPr>
      </w:pPr>
    </w:p>
    <w:p>
      <w:pPr>
        <w:pStyle w:val="BodyText"/>
        <w:spacing w:line="360" w:lineRule="auto" w:before="50"/>
        <w:ind w:left="461"/>
      </w:pPr>
      <w:r>
        <w:rPr/>
        <w:t>la UAEMéx, que faciliten el proceso de transición de los mismos de la universidad al mercado de trabajo?</w:t>
      </w:r>
    </w:p>
    <w:p>
      <w:pPr>
        <w:pStyle w:val="BodyText"/>
      </w:pPr>
    </w:p>
    <w:p>
      <w:pPr>
        <w:pStyle w:val="BodyText"/>
        <w:spacing w:line="360" w:lineRule="auto" w:before="143"/>
        <w:ind w:left="102" w:right="119"/>
        <w:jc w:val="both"/>
      </w:pPr>
      <w:r>
        <w:rPr/>
        <w:t>Obtuvo una respuesta favorable, tanto el análisis descriptivo de los resultados de la  encuesta como el valor calculado del ICE e ICE ponderado mostraron que las condiciones de los egresados de la Licenciatura en Economía son favorables. Es decir, el proceso de transición para este caso de estudio es rápido y fluido. El 78% de los encuestados continúa trabajando en su primer empleo, lo que muestra un alto índice de permanencia. Y el 48% de ellos logró ser contratado indefinidamente como primera</w:t>
      </w:r>
      <w:r>
        <w:rPr>
          <w:spacing w:val="-10"/>
        </w:rPr>
        <w:t> </w:t>
      </w:r>
      <w:r>
        <w:rPr/>
        <w:t>opción.</w:t>
      </w:r>
    </w:p>
    <w:p>
      <w:pPr>
        <w:pStyle w:val="BodyText"/>
      </w:pPr>
    </w:p>
    <w:p>
      <w:pPr>
        <w:pStyle w:val="BodyText"/>
        <w:spacing w:line="360" w:lineRule="auto" w:before="143"/>
        <w:ind w:left="102" w:right="116"/>
        <w:jc w:val="both"/>
      </w:pPr>
      <w:r>
        <w:rPr/>
        <w:t>Se planteó un </w:t>
      </w:r>
      <w:r>
        <w:rPr>
          <w:b/>
        </w:rPr>
        <w:t>objetivo general: </w:t>
      </w:r>
      <w:r>
        <w:rPr/>
        <w:t>analizar el proceso de transición al mercado de trabajo de los egresados universitarios de la Licenciatura de Economía de la UAEMéx durante el periodo 2000 – 2010, con la finalidad de determinar si existen las condiciones, oportunidades de acceso y permanencia en el mercado de trabajo para los egresados.</w:t>
      </w:r>
    </w:p>
    <w:p>
      <w:pPr>
        <w:pStyle w:val="BodyText"/>
      </w:pPr>
    </w:p>
    <w:p>
      <w:pPr>
        <w:pStyle w:val="BodyText"/>
        <w:spacing w:line="360" w:lineRule="auto" w:before="143"/>
        <w:ind w:left="102" w:right="117"/>
        <w:jc w:val="both"/>
      </w:pPr>
      <w:r>
        <w:rPr/>
        <w:t>El objetivo general se cumplió íntegramente, fue necesario evaluar a una muestra de egresados dentro del periodo seleccionado, con los resultados obtenidos se logró construir  el ICE con el cual se evalúo el proceso de transición al mercado de trabajo, en donde retomando los postulados de las teorías se determinó que éste si cuenta con las características que facilitan la inserción rápida para los egresados de la Licenciatura en Economía de la</w:t>
      </w:r>
      <w:r>
        <w:rPr>
          <w:spacing w:val="-2"/>
        </w:rPr>
        <w:t> </w:t>
      </w:r>
      <w:r>
        <w:rPr/>
        <w:t>UAEMéx.</w:t>
      </w:r>
    </w:p>
    <w:p>
      <w:pPr>
        <w:pStyle w:val="BodyText"/>
        <w:spacing w:line="360" w:lineRule="auto" w:before="205"/>
        <w:ind w:left="102" w:right="121"/>
        <w:jc w:val="both"/>
      </w:pPr>
      <w:r>
        <w:rPr/>
        <w:t>La hipótesis de investigación fue definida como: los periodos de transición de la universidad al mercado de trabajo se han alargado y complejizado para los egresados universitarios de los licenciatura de Economía de la</w:t>
      </w:r>
      <w:r>
        <w:rPr>
          <w:spacing w:val="-7"/>
        </w:rPr>
        <w:t> </w:t>
      </w:r>
      <w:r>
        <w:rPr/>
        <w:t>UAEMéx.</w:t>
      </w:r>
    </w:p>
    <w:p>
      <w:pPr>
        <w:pStyle w:val="BodyText"/>
      </w:pPr>
    </w:p>
    <w:p>
      <w:pPr>
        <w:pStyle w:val="BodyText"/>
        <w:spacing w:line="360" w:lineRule="auto" w:before="143"/>
        <w:ind w:left="102" w:right="118"/>
        <w:jc w:val="both"/>
      </w:pPr>
      <w:r>
        <w:rPr/>
        <w:t>Se encontró evidencia suficiente para rechazar la hipótesis de investigación, aclarando que si bien los tiempos no son tan largos para los egresados de la licenciatura de Economía y en su mayoría fueron contratados en su primer empleo, el ICE mostró que no son los mejores empleos a los que acceden. El 60% del total encuestado tardó entre cero y seis meses para conseguir un contrato. El 64% de los encuestados obtuvo un salario promedio inicial de</w:t>
      </w:r>
    </w:p>
    <w:p>
      <w:pPr>
        <w:spacing w:after="0" w:line="360" w:lineRule="auto"/>
        <w:jc w:val="both"/>
        <w:sectPr>
          <w:pgSz w:w="12240" w:h="15840"/>
          <w:pgMar w:header="0" w:footer="1003" w:top="1360" w:bottom="1200" w:left="1600" w:right="1580"/>
        </w:sectPr>
      </w:pPr>
    </w:p>
    <w:p>
      <w:pPr>
        <w:pStyle w:val="BodyText"/>
        <w:spacing w:line="360" w:lineRule="auto" w:before="50"/>
        <w:ind w:left="102" w:right="120"/>
        <w:jc w:val="both"/>
      </w:pPr>
      <w:r>
        <w:rPr/>
        <w:t>$6,000 la mayoría de los egresados han logrado contratos indefinidos en su primer empleo (48%).</w:t>
      </w:r>
    </w:p>
    <w:p>
      <w:pPr>
        <w:pStyle w:val="BodyText"/>
      </w:pPr>
    </w:p>
    <w:p>
      <w:pPr>
        <w:pStyle w:val="BodyText"/>
        <w:spacing w:before="8"/>
        <w:rPr>
          <w:sz w:val="29"/>
        </w:rPr>
      </w:pPr>
    </w:p>
    <w:p>
      <w:pPr>
        <w:pStyle w:val="BodyText"/>
        <w:spacing w:line="360" w:lineRule="auto" w:before="1"/>
        <w:ind w:left="102" w:right="113"/>
        <w:jc w:val="both"/>
      </w:pPr>
      <w:r>
        <w:rPr/>
        <w:t>Una vez analizada la parte teórica que sustenta esta investigación y su vinculación con los resultados de la encuesta aplicada a los egresados de la carrera de economía de la UAEMéx durante el periodo 2000 a 2010, se analizó también al sistema de educación superior mexicano, el cual cuenta con una estructura organizacional clara y definida. Se han logrado avances importantes en los principales indicadores como queda de manifiesto en las cifras y gráficas presentadas, también se puede deducir que existen oportunidades de cambio para mejorar el sistema educativo desde sus orígenes (la formación básica).</w:t>
      </w:r>
    </w:p>
    <w:p>
      <w:pPr>
        <w:pStyle w:val="BodyText"/>
      </w:pPr>
    </w:p>
    <w:p>
      <w:pPr>
        <w:pStyle w:val="BodyText"/>
        <w:spacing w:before="8"/>
        <w:rPr>
          <w:sz w:val="29"/>
        </w:rPr>
      </w:pPr>
    </w:p>
    <w:p>
      <w:pPr>
        <w:pStyle w:val="BodyText"/>
        <w:spacing w:line="360" w:lineRule="auto" w:before="1"/>
        <w:ind w:left="102" w:right="120"/>
        <w:jc w:val="both"/>
      </w:pPr>
      <w:r>
        <w:rPr/>
        <w:t>El empleo y desempleo en el país siguen siendo dos de los principales indicadores que miden el progreso económico de México (SER, 2013). De acuerdo a las cifras revisadas hasta el momento, se puede inferir que la situación para los egresados universitarios y su proceso de transición al mercado de trabajo no está sencillo, ni resulta fácil incorporarse en un tiempo corto al mercado de trabajo.</w:t>
      </w:r>
    </w:p>
    <w:p>
      <w:pPr>
        <w:pStyle w:val="BodyText"/>
      </w:pPr>
    </w:p>
    <w:p>
      <w:pPr>
        <w:pStyle w:val="BodyText"/>
        <w:spacing w:line="360" w:lineRule="auto" w:before="143"/>
        <w:ind w:left="102" w:right="123"/>
        <w:jc w:val="both"/>
      </w:pPr>
      <w:r>
        <w:rPr/>
        <w:t>Existe un gran interés por parte de los jóvenes por complementar su formación académica, 48% respondió que por iniciativa propia acude a cursos y actividades complementarias extracurriculares que considera ayudan a ser mejor aceptado por el mercado de trabajo.</w:t>
      </w:r>
    </w:p>
    <w:p>
      <w:pPr>
        <w:pStyle w:val="BodyText"/>
      </w:pPr>
    </w:p>
    <w:p>
      <w:pPr>
        <w:pStyle w:val="BodyText"/>
        <w:spacing w:line="360" w:lineRule="auto" w:before="143"/>
        <w:ind w:left="102" w:right="116"/>
        <w:jc w:val="both"/>
      </w:pPr>
      <w:r>
        <w:rPr/>
        <w:t>Con los resultados obtenidos para este caso de estudio se pudo corroborar algunos postulados la teoría de la búsqueda, mostrando que los egresados encuestados universitarios de la carrera de economía viven un proceso de transición al mercado de trabajo corto, además de que tanto de la UAEMéx como la licenciatura gozan de buena reputación ante los empleadores de la región (según la apreciación de los encuestados). Se confirmó también que existen “señales” como: promedio, titulación e historial académico que son fundamentales para los empleadores, las cuales fueron la base para tomar la decisión de contratación de los buscadores, que en este caso de estudio son los licenciados en economía encuestados.</w:t>
      </w:r>
    </w:p>
    <w:p>
      <w:pPr>
        <w:spacing w:after="0" w:line="360" w:lineRule="auto"/>
        <w:jc w:val="both"/>
        <w:sectPr>
          <w:pgSz w:w="12240" w:h="15840"/>
          <w:pgMar w:header="0" w:footer="1003" w:top="1360" w:bottom="1200" w:left="1600" w:right="1580"/>
        </w:sectPr>
      </w:pPr>
    </w:p>
    <w:p>
      <w:pPr>
        <w:pStyle w:val="BodyText"/>
        <w:spacing w:line="360" w:lineRule="auto" w:before="50"/>
        <w:ind w:left="102" w:right="116"/>
        <w:jc w:val="both"/>
      </w:pPr>
      <w:r>
        <w:rPr/>
        <w:t>Otro de los hallazgos importantes encontrados en el análisis de datos es que tanto los jóvenes como el mercado de trabajo sí consideran importantes la formación y preparación universitaria en la carrera de economía.</w:t>
      </w:r>
    </w:p>
    <w:p>
      <w:pPr>
        <w:pStyle w:val="BodyText"/>
      </w:pPr>
    </w:p>
    <w:p>
      <w:pPr>
        <w:pStyle w:val="BodyText"/>
        <w:spacing w:line="360" w:lineRule="auto" w:before="143"/>
        <w:ind w:left="102" w:right="119"/>
        <w:jc w:val="both"/>
      </w:pPr>
      <w:r>
        <w:rPr/>
        <w:t>Al momento de encarar el mercado de trabajo se enfrentan con la realidad de que son escasamente valorados los conocimientos y habilidades que obtuvieron. Además, tienen la idea de que los conocimientos teóricos no están del todo vinculados con los puestos de trabajo y que hacen falta más conocimientos empíricos (práctica) presentándose una desvinculación entre las universidades y el mercado de trabajo.</w:t>
      </w:r>
    </w:p>
    <w:p>
      <w:pPr>
        <w:pStyle w:val="BodyText"/>
      </w:pPr>
    </w:p>
    <w:p>
      <w:pPr>
        <w:pStyle w:val="BodyText"/>
        <w:spacing w:line="360" w:lineRule="auto" w:before="143"/>
        <w:ind w:left="102" w:right="118"/>
        <w:jc w:val="both"/>
      </w:pPr>
      <w:r>
        <w:rPr/>
        <w:t>Desde la perspectiva de los egresados, los empleadores tienen en buen concepto la carrera de economía de la UAEMéx. Se encontró evidencia de que dicha Universidad goza de un buen prestigio a nivel entidad y los egresados de la Licenciatura de Economía en  su mayoría han encontrado trabajo, lo cual es indicativo de una buena empleabilidad. Además, existe un gran interés por parte de los jóvenes para complementar su formación académica, 47 % respondió que por iniciativa propia acude a cursos y actividades complementarias extracurriculares que consideran ayudan a ser mejor aceptados por el mercado de trabajo al ser más competitivos.</w:t>
      </w:r>
    </w:p>
    <w:p>
      <w:pPr>
        <w:pStyle w:val="BodyText"/>
      </w:pPr>
    </w:p>
    <w:p>
      <w:pPr>
        <w:pStyle w:val="BodyText"/>
        <w:spacing w:line="360" w:lineRule="auto" w:before="143"/>
        <w:ind w:left="102" w:right="118"/>
        <w:jc w:val="both"/>
      </w:pPr>
      <w:r>
        <w:rPr/>
        <w:t>En cuanto, al tipo de trayectoria profesional los egresados de la Licenciatura de Economía de la UAEMéx, en su mayoría, se encuentran en dos tipos de trayectorias: éxito precoz y aproximación sucesiva, en donde en la primera se evalúa conforme al tiempo que transcurre entre que finalizan sus estudios profesionales y son contratados en el mercado de trabajo.</w:t>
      </w:r>
    </w:p>
    <w:p>
      <w:pPr>
        <w:pStyle w:val="BodyText"/>
      </w:pPr>
    </w:p>
    <w:p>
      <w:pPr>
        <w:pStyle w:val="BodyText"/>
        <w:spacing w:line="362" w:lineRule="auto" w:before="143"/>
        <w:ind w:left="102" w:right="125"/>
        <w:jc w:val="both"/>
      </w:pPr>
      <w:r>
        <w:rPr/>
        <w:t>En el caso de la aproximación sucesiva se encuentran todos aquellos que han incrementado su capital humano a la par que han crecido en su ámbito profesional.</w:t>
      </w:r>
    </w:p>
    <w:p>
      <w:pPr>
        <w:pStyle w:val="BodyText"/>
      </w:pPr>
    </w:p>
    <w:p>
      <w:pPr>
        <w:pStyle w:val="BodyText"/>
        <w:spacing w:line="360" w:lineRule="auto" w:before="140"/>
        <w:ind w:left="102" w:right="118"/>
        <w:jc w:val="both"/>
      </w:pPr>
      <w:r>
        <w:rPr/>
        <w:t>Lo anterior, se confirmó con los resultados de cómo percibieron su proceso de transición, donde la mayoría indicó que fue “fácil”. Por lo tanto, es una carrera que por el momento y de acuerdo con los resultados de la muestra, no presenta problemas de transición al  mercado  de  trabajo,  derivado  de  que  los  egresados  de  la  Licenciatura  en   </w:t>
      </w:r>
      <w:r>
        <w:rPr>
          <w:spacing w:val="47"/>
        </w:rPr>
        <w:t> </w:t>
      </w:r>
      <w:r>
        <w:rPr/>
        <w:t>Economía</w:t>
      </w:r>
    </w:p>
    <w:p>
      <w:pPr>
        <w:spacing w:after="0" w:line="360" w:lineRule="auto"/>
        <w:jc w:val="both"/>
        <w:sectPr>
          <w:pgSz w:w="12240" w:h="15840"/>
          <w:pgMar w:header="0" w:footer="1003" w:top="1360" w:bottom="1200" w:left="1600" w:right="1580"/>
        </w:sectPr>
      </w:pPr>
    </w:p>
    <w:p>
      <w:pPr>
        <w:pStyle w:val="BodyText"/>
        <w:spacing w:line="360" w:lineRule="auto" w:before="50"/>
        <w:ind w:left="102" w:right="116"/>
        <w:jc w:val="both"/>
      </w:pPr>
      <w:r>
        <w:rPr/>
        <w:t>encuestados cuentan con el capital humano necesario para desempeñar las labores que demandan los puestos disponibles en la entidad, así como el prestigio de que goza la facultad de Economía de la UAEMéx.</w:t>
      </w:r>
    </w:p>
    <w:p>
      <w:pPr>
        <w:pStyle w:val="BodyText"/>
      </w:pPr>
    </w:p>
    <w:p>
      <w:pPr>
        <w:pStyle w:val="BodyText"/>
        <w:spacing w:line="360" w:lineRule="auto" w:before="143"/>
        <w:ind w:left="102" w:right="117"/>
        <w:jc w:val="both"/>
      </w:pPr>
      <w:r>
        <w:rPr/>
        <w:t>Se obtiene suficiente información para mostrar que durante el periodo 2000 a 2010, en el caso de los egresados de la Licenciatura de Economía de los encuestados en este trabajo, sí influyó la formación de capital humano para incorporarse más rápido y en mejores condiciones al mercado de trabajo. La conclusión principal es que los egresados encuestados de la Licenciatura en Economía de la UAEMéx no se enfrentan a grandes dificultades para insertarse a la vida profesional, 95% han trabajado, sin embargo la calidad de empleo al que están accediendo se encuentra en la media, con un ICE de 54.42 puntos,  lo que indica que si bien no se encuentran en el grupo inferior con las peores condiciones  de contratación tampoco se sitúan en el segmento privilegiado con las mejores condiciones laborales.</w:t>
      </w:r>
    </w:p>
    <w:p>
      <w:pPr>
        <w:spacing w:after="0" w:line="360" w:lineRule="auto"/>
        <w:jc w:val="both"/>
        <w:sectPr>
          <w:pgSz w:w="12240" w:h="15840"/>
          <w:pgMar w:header="0" w:footer="1003" w:top="1360" w:bottom="1200" w:left="1600" w:right="1580"/>
        </w:sectPr>
      </w:pPr>
    </w:p>
    <w:p>
      <w:pPr>
        <w:pStyle w:val="Heading3"/>
        <w:ind w:left="2262"/>
        <w:jc w:val="left"/>
      </w:pPr>
      <w:bookmarkStart w:name="_bookmark90" w:id="164"/>
      <w:bookmarkEnd w:id="164"/>
      <w:r>
        <w:rPr>
          <w:b w:val="0"/>
        </w:rPr>
      </w:r>
      <w:r>
        <w:rPr/>
        <w:t>FUTURAS LÍNEAS DE INVESTIGACIÓN</w:t>
      </w:r>
    </w:p>
    <w:p>
      <w:pPr>
        <w:pStyle w:val="BodyText"/>
        <w:rPr>
          <w:b/>
        </w:rPr>
      </w:pPr>
    </w:p>
    <w:p>
      <w:pPr>
        <w:pStyle w:val="BodyText"/>
        <w:spacing w:line="360" w:lineRule="auto" w:before="175"/>
        <w:ind w:left="102" w:right="115"/>
        <w:jc w:val="both"/>
      </w:pPr>
      <w:r>
        <w:rPr/>
        <w:t>De acuerdo con el alcance y hallazgos obtenidos se observa que este es un estudio fundamental para vincular a las IES con el mercado de trabajo, en esta tesis solamente se pudieron mostrar algunos datos de este fenómeno, por lo que se recomiendan las siguientes líneas de investigación futura:</w:t>
      </w:r>
    </w:p>
    <w:p>
      <w:pPr>
        <w:pStyle w:val="ListParagraph"/>
        <w:numPr>
          <w:ilvl w:val="0"/>
          <w:numId w:val="80"/>
        </w:numPr>
        <w:tabs>
          <w:tab w:pos="821" w:val="left" w:leader="none"/>
          <w:tab w:pos="822" w:val="left" w:leader="none"/>
        </w:tabs>
        <w:spacing w:line="240" w:lineRule="auto" w:before="3" w:after="0"/>
        <w:ind w:left="822" w:right="0" w:hanging="360"/>
        <w:jc w:val="left"/>
        <w:rPr>
          <w:sz w:val="24"/>
        </w:rPr>
      </w:pPr>
      <w:r>
        <w:rPr>
          <w:sz w:val="24"/>
        </w:rPr>
        <w:t>Ampliar la</w:t>
      </w:r>
      <w:r>
        <w:rPr>
          <w:spacing w:val="-6"/>
          <w:sz w:val="24"/>
        </w:rPr>
        <w:t> </w:t>
      </w:r>
      <w:r>
        <w:rPr>
          <w:sz w:val="24"/>
        </w:rPr>
        <w:t>muestra.</w:t>
      </w:r>
    </w:p>
    <w:p>
      <w:pPr>
        <w:pStyle w:val="ListParagraph"/>
        <w:numPr>
          <w:ilvl w:val="0"/>
          <w:numId w:val="80"/>
        </w:numPr>
        <w:tabs>
          <w:tab w:pos="821" w:val="left" w:leader="none"/>
          <w:tab w:pos="822" w:val="left" w:leader="none"/>
        </w:tabs>
        <w:spacing w:line="350" w:lineRule="auto" w:before="138" w:after="0"/>
        <w:ind w:left="822" w:right="125" w:hanging="360"/>
        <w:jc w:val="left"/>
        <w:rPr>
          <w:sz w:val="24"/>
        </w:rPr>
      </w:pPr>
      <w:r>
        <w:rPr>
          <w:sz w:val="24"/>
        </w:rPr>
        <w:t>Realizar un estudio específico de los vínculos existentes entre las IES y el mercado de trabajo del Estado de</w:t>
      </w:r>
      <w:r>
        <w:rPr>
          <w:spacing w:val="-3"/>
          <w:sz w:val="24"/>
        </w:rPr>
        <w:t> </w:t>
      </w:r>
      <w:r>
        <w:rPr>
          <w:sz w:val="24"/>
        </w:rPr>
        <w:t>México.</w:t>
      </w:r>
    </w:p>
    <w:p>
      <w:pPr>
        <w:pStyle w:val="ListParagraph"/>
        <w:numPr>
          <w:ilvl w:val="0"/>
          <w:numId w:val="80"/>
        </w:numPr>
        <w:tabs>
          <w:tab w:pos="821" w:val="left" w:leader="none"/>
          <w:tab w:pos="822" w:val="left" w:leader="none"/>
        </w:tabs>
        <w:spacing w:line="240" w:lineRule="auto" w:before="17" w:after="0"/>
        <w:ind w:left="822" w:right="0" w:hanging="360"/>
        <w:jc w:val="left"/>
        <w:rPr>
          <w:sz w:val="24"/>
        </w:rPr>
      </w:pPr>
      <w:r>
        <w:rPr>
          <w:sz w:val="24"/>
        </w:rPr>
        <w:t>Analizar las implicaciones de la flexibilidad laboral en los egresados</w:t>
      </w:r>
      <w:r>
        <w:rPr>
          <w:spacing w:val="-14"/>
          <w:sz w:val="24"/>
        </w:rPr>
        <w:t> </w:t>
      </w:r>
      <w:r>
        <w:rPr>
          <w:sz w:val="24"/>
        </w:rPr>
        <w:t>universitarios.</w:t>
      </w:r>
    </w:p>
    <w:p>
      <w:pPr>
        <w:pStyle w:val="ListParagraph"/>
        <w:numPr>
          <w:ilvl w:val="0"/>
          <w:numId w:val="80"/>
        </w:numPr>
        <w:tabs>
          <w:tab w:pos="821" w:val="left" w:leader="none"/>
          <w:tab w:pos="822" w:val="left" w:leader="none"/>
        </w:tabs>
        <w:spacing w:line="350" w:lineRule="auto" w:before="138" w:after="0"/>
        <w:ind w:left="822" w:right="123" w:hanging="360"/>
        <w:jc w:val="left"/>
        <w:rPr>
          <w:sz w:val="24"/>
        </w:rPr>
      </w:pPr>
      <w:r>
        <w:rPr>
          <w:sz w:val="24"/>
        </w:rPr>
        <w:t>Estudiar las teorías de ciclos económicos con la finalidad de presentar un análisis más detallado respecto al comportamiento del ICE y el momento de</w:t>
      </w:r>
      <w:r>
        <w:rPr>
          <w:spacing w:val="-13"/>
          <w:sz w:val="24"/>
        </w:rPr>
        <w:t> </w:t>
      </w:r>
      <w:r>
        <w:rPr>
          <w:sz w:val="24"/>
        </w:rPr>
        <w:t>egreso.</w:t>
      </w:r>
    </w:p>
    <w:p>
      <w:pPr>
        <w:pStyle w:val="ListParagraph"/>
        <w:numPr>
          <w:ilvl w:val="0"/>
          <w:numId w:val="80"/>
        </w:numPr>
        <w:tabs>
          <w:tab w:pos="821" w:val="left" w:leader="none"/>
          <w:tab w:pos="822" w:val="left" w:leader="none"/>
        </w:tabs>
        <w:spacing w:line="240" w:lineRule="auto" w:before="16" w:after="0"/>
        <w:ind w:left="822" w:right="0" w:hanging="360"/>
        <w:jc w:val="left"/>
        <w:rPr>
          <w:sz w:val="24"/>
        </w:rPr>
      </w:pPr>
      <w:r>
        <w:rPr>
          <w:sz w:val="24"/>
        </w:rPr>
        <w:t>Aplicar la misma encuesta a otra carrera y realizar análisis</w:t>
      </w:r>
      <w:r>
        <w:rPr>
          <w:spacing w:val="-18"/>
          <w:sz w:val="24"/>
        </w:rPr>
        <w:t> </w:t>
      </w:r>
      <w:r>
        <w:rPr>
          <w:sz w:val="24"/>
        </w:rPr>
        <w:t>comparativos.</w:t>
      </w:r>
    </w:p>
    <w:p>
      <w:pPr>
        <w:pStyle w:val="ListParagraph"/>
        <w:numPr>
          <w:ilvl w:val="0"/>
          <w:numId w:val="80"/>
        </w:numPr>
        <w:tabs>
          <w:tab w:pos="821" w:val="left" w:leader="none"/>
          <w:tab w:pos="822" w:val="left" w:leader="none"/>
        </w:tabs>
        <w:spacing w:line="240" w:lineRule="auto" w:before="135" w:after="0"/>
        <w:ind w:left="822" w:right="0" w:hanging="360"/>
        <w:jc w:val="left"/>
        <w:rPr>
          <w:sz w:val="24"/>
        </w:rPr>
      </w:pPr>
      <w:r>
        <w:rPr>
          <w:sz w:val="24"/>
        </w:rPr>
        <w:t>Aplicar la misma encuesta en otra IES para la misma</w:t>
      </w:r>
      <w:r>
        <w:rPr>
          <w:spacing w:val="-14"/>
          <w:sz w:val="24"/>
        </w:rPr>
        <w:t> </w:t>
      </w:r>
      <w:r>
        <w:rPr>
          <w:sz w:val="24"/>
        </w:rPr>
        <w:t>carrera.</w:t>
      </w:r>
    </w:p>
    <w:p>
      <w:pPr>
        <w:pStyle w:val="ListParagraph"/>
        <w:numPr>
          <w:ilvl w:val="0"/>
          <w:numId w:val="80"/>
        </w:numPr>
        <w:tabs>
          <w:tab w:pos="821" w:val="left" w:leader="none"/>
          <w:tab w:pos="822" w:val="left" w:leader="none"/>
        </w:tabs>
        <w:spacing w:line="352" w:lineRule="auto" w:before="138" w:after="0"/>
        <w:ind w:left="822" w:right="123" w:hanging="360"/>
        <w:jc w:val="left"/>
        <w:rPr>
          <w:sz w:val="24"/>
        </w:rPr>
      </w:pPr>
      <w:r>
        <w:rPr>
          <w:sz w:val="24"/>
        </w:rPr>
        <w:t>Utilizar técnicas de imputación para completar los datos faltantes de las encuestas eliminadas de la presente</w:t>
      </w:r>
      <w:r>
        <w:rPr>
          <w:spacing w:val="-11"/>
          <w:sz w:val="24"/>
        </w:rPr>
        <w:t> </w:t>
      </w:r>
      <w:r>
        <w:rPr>
          <w:sz w:val="24"/>
        </w:rPr>
        <w:t>investigación.</w:t>
      </w:r>
    </w:p>
    <w:p>
      <w:pPr>
        <w:pStyle w:val="ListParagraph"/>
        <w:numPr>
          <w:ilvl w:val="0"/>
          <w:numId w:val="80"/>
        </w:numPr>
        <w:tabs>
          <w:tab w:pos="821" w:val="left" w:leader="none"/>
          <w:tab w:pos="822" w:val="left" w:leader="none"/>
        </w:tabs>
        <w:spacing w:line="352" w:lineRule="auto" w:before="12" w:after="0"/>
        <w:ind w:left="822" w:right="122" w:hanging="360"/>
        <w:jc w:val="left"/>
        <w:rPr>
          <w:sz w:val="24"/>
        </w:rPr>
      </w:pPr>
      <w:r>
        <w:rPr>
          <w:sz w:val="24"/>
        </w:rPr>
        <w:t>Estudiar la teoría de capital social y redes sociales con la finalidad de poder vincular los resultados obtenidos de la encuesta con los supuestos</w:t>
      </w:r>
      <w:r>
        <w:rPr>
          <w:spacing w:val="-8"/>
          <w:sz w:val="24"/>
        </w:rPr>
        <w:t> </w:t>
      </w:r>
      <w:r>
        <w:rPr>
          <w:sz w:val="24"/>
        </w:rPr>
        <w:t>planteados.</w:t>
      </w:r>
    </w:p>
    <w:p>
      <w:pPr>
        <w:pStyle w:val="ListParagraph"/>
        <w:numPr>
          <w:ilvl w:val="0"/>
          <w:numId w:val="80"/>
        </w:numPr>
        <w:tabs>
          <w:tab w:pos="821" w:val="left" w:leader="none"/>
          <w:tab w:pos="822" w:val="left" w:leader="none"/>
        </w:tabs>
        <w:spacing w:line="352" w:lineRule="auto" w:before="11" w:after="0"/>
        <w:ind w:left="822" w:right="118" w:hanging="360"/>
        <w:jc w:val="left"/>
        <w:rPr>
          <w:sz w:val="24"/>
        </w:rPr>
      </w:pPr>
      <w:r>
        <w:rPr>
          <w:sz w:val="24"/>
        </w:rPr>
        <w:t>Aplicar la metodología de la hermenéutica analógica para comparar los resultados de la encuesta con datos obtenidos de una base de datos</w:t>
      </w:r>
      <w:r>
        <w:rPr>
          <w:spacing w:val="-11"/>
          <w:sz w:val="24"/>
        </w:rPr>
        <w:t> </w:t>
      </w:r>
      <w:r>
        <w:rPr>
          <w:sz w:val="24"/>
        </w:rPr>
        <w:t>oficial.</w:t>
      </w:r>
    </w:p>
    <w:p>
      <w:pPr>
        <w:spacing w:after="0" w:line="352" w:lineRule="auto"/>
        <w:jc w:val="left"/>
        <w:rPr>
          <w:sz w:val="24"/>
        </w:rPr>
        <w:sectPr>
          <w:footerReference w:type="default" r:id="rId138"/>
          <w:pgSz w:w="12240" w:h="15840"/>
          <w:pgMar w:footer="1003" w:header="0" w:top="1360" w:bottom="1200" w:left="1600" w:right="1580"/>
          <w:pgNumType w:start="200"/>
        </w:sectPr>
      </w:pPr>
    </w:p>
    <w:p>
      <w:pPr>
        <w:pStyle w:val="BodyText"/>
        <w:spacing w:before="9"/>
        <w:rPr>
          <w:sz w:val="10"/>
        </w:rPr>
      </w:pPr>
    </w:p>
    <w:p>
      <w:pPr>
        <w:pStyle w:val="Heading3"/>
        <w:spacing w:before="70"/>
        <w:ind w:right="18"/>
        <w:jc w:val="center"/>
      </w:pPr>
      <w:bookmarkStart w:name="_bookmark91" w:id="165"/>
      <w:bookmarkEnd w:id="165"/>
      <w:r>
        <w:rPr>
          <w:b w:val="0"/>
        </w:rPr>
      </w:r>
      <w:r>
        <w:rPr/>
        <w:t>BIBLIOGRAFÍA</w:t>
      </w:r>
    </w:p>
    <w:p>
      <w:pPr>
        <w:pStyle w:val="BodyText"/>
        <w:spacing w:before="1"/>
        <w:rPr>
          <w:b/>
          <w:sz w:val="31"/>
        </w:rPr>
      </w:pPr>
    </w:p>
    <w:p>
      <w:pPr>
        <w:spacing w:line="360" w:lineRule="auto" w:before="0"/>
        <w:ind w:left="385" w:right="121" w:hanging="284"/>
        <w:jc w:val="both"/>
        <w:rPr>
          <w:sz w:val="24"/>
        </w:rPr>
      </w:pPr>
      <w:r>
        <w:rPr>
          <w:sz w:val="24"/>
        </w:rPr>
        <w:t>Abad, M. (1997). </w:t>
      </w:r>
      <w:r>
        <w:rPr>
          <w:i/>
          <w:sz w:val="24"/>
        </w:rPr>
        <w:t>Investigación evaluativa en Documentación. Aplicación a la </w:t>
      </w:r>
      <w:r>
        <w:rPr>
          <w:i/>
          <w:sz w:val="24"/>
        </w:rPr>
        <w:t>documentación médica. </w:t>
      </w:r>
      <w:r>
        <w:rPr>
          <w:sz w:val="24"/>
        </w:rPr>
        <w:t>Biblioteconomia documentación 2.</w:t>
      </w:r>
    </w:p>
    <w:p>
      <w:pPr>
        <w:pStyle w:val="BodyText"/>
        <w:spacing w:before="3"/>
      </w:pPr>
    </w:p>
    <w:p>
      <w:pPr>
        <w:pStyle w:val="BodyText"/>
        <w:spacing w:before="1"/>
        <w:ind w:left="385" w:right="123" w:hanging="284"/>
        <w:jc w:val="both"/>
      </w:pPr>
      <w:r>
        <w:rPr/>
        <w:t>Aggarwal, S. (2004) Labor quality in India manufacturing: A state level analysis. Documento de trabajo 126. Nueva Delhi: Indian Council for research on International Ecomomic Relations.</w:t>
      </w:r>
    </w:p>
    <w:p>
      <w:pPr>
        <w:pStyle w:val="BodyText"/>
        <w:spacing w:before="9"/>
        <w:rPr>
          <w:sz w:val="23"/>
        </w:rPr>
      </w:pPr>
    </w:p>
    <w:p>
      <w:pPr>
        <w:spacing w:before="0"/>
        <w:ind w:left="385" w:right="117" w:hanging="284"/>
        <w:jc w:val="both"/>
        <w:rPr>
          <w:sz w:val="24"/>
        </w:rPr>
      </w:pPr>
      <w:r>
        <w:rPr>
          <w:sz w:val="24"/>
        </w:rPr>
        <w:t>Alarcón, R. y Santos H. (2008) </w:t>
      </w:r>
      <w:r>
        <w:rPr>
          <w:i/>
          <w:sz w:val="24"/>
        </w:rPr>
        <w:t>Una mirada longitudinal de la calidad del empleo y sus </w:t>
      </w:r>
      <w:r>
        <w:rPr>
          <w:i/>
          <w:sz w:val="24"/>
        </w:rPr>
        <w:t>diferencias desde la perspectiva de género: encuesta panel Casen 1996-2001-2006. </w:t>
      </w:r>
      <w:r>
        <w:rPr>
          <w:sz w:val="24"/>
        </w:rPr>
        <w:t>Documento de trabajo del departamento de Estudios de Mideplan, División social. pp.  76</w:t>
      </w:r>
    </w:p>
    <w:p>
      <w:pPr>
        <w:pStyle w:val="BodyText"/>
      </w:pPr>
    </w:p>
    <w:p>
      <w:pPr>
        <w:spacing w:before="0"/>
        <w:ind w:left="385" w:right="120" w:hanging="284"/>
        <w:jc w:val="both"/>
        <w:rPr>
          <w:sz w:val="24"/>
        </w:rPr>
      </w:pPr>
      <w:r>
        <w:rPr>
          <w:sz w:val="24"/>
        </w:rPr>
        <w:t>Altabach, P. y Mc Gill, P. (2000). </w:t>
      </w:r>
      <w:r>
        <w:rPr>
          <w:i/>
          <w:sz w:val="24"/>
        </w:rPr>
        <w:t>Educación Superior en el siglo XXI. Desafío Global y </w:t>
      </w:r>
      <w:r>
        <w:rPr>
          <w:i/>
          <w:sz w:val="24"/>
        </w:rPr>
        <w:t>Respuesta Nacional. </w:t>
      </w:r>
      <w:r>
        <w:rPr>
          <w:sz w:val="24"/>
        </w:rPr>
        <w:t>Buenos Aires, Argentina: Biblos.</w:t>
      </w:r>
    </w:p>
    <w:p>
      <w:pPr>
        <w:pStyle w:val="BodyText"/>
        <w:spacing w:before="2"/>
      </w:pPr>
    </w:p>
    <w:p>
      <w:pPr>
        <w:pStyle w:val="BodyText"/>
        <w:ind w:left="102"/>
      </w:pPr>
      <w:r>
        <w:rPr/>
        <w:t>Alonso, M. (2010). Evaluación del potencial de inserción laboral y pratrones de carrera.</w:t>
      </w:r>
    </w:p>
    <w:p>
      <w:pPr>
        <w:spacing w:before="43"/>
        <w:ind w:left="385" w:right="0" w:firstLine="0"/>
        <w:jc w:val="left"/>
        <w:rPr>
          <w:sz w:val="24"/>
        </w:rPr>
      </w:pPr>
      <w:r>
        <w:rPr>
          <w:i/>
          <w:sz w:val="24"/>
        </w:rPr>
        <w:t>Revista de educación</w:t>
      </w:r>
      <w:r>
        <w:rPr>
          <w:sz w:val="24"/>
        </w:rPr>
        <w:t>. 351 pp. 409-434.</w:t>
      </w:r>
    </w:p>
    <w:p>
      <w:pPr>
        <w:pStyle w:val="BodyText"/>
        <w:spacing w:before="1"/>
        <w:rPr>
          <w:sz w:val="31"/>
        </w:rPr>
      </w:pPr>
    </w:p>
    <w:p>
      <w:pPr>
        <w:pStyle w:val="BodyText"/>
        <w:spacing w:line="276" w:lineRule="auto"/>
        <w:ind w:left="385" w:right="117" w:hanging="284"/>
        <w:jc w:val="both"/>
      </w:pPr>
      <w:r>
        <w:rPr/>
        <w:t>Amadeo, E. y Camargo, J. (1993). Flexibilidad laboral. productividad y ajuste. </w:t>
      </w:r>
      <w:r>
        <w:rPr>
          <w:i/>
        </w:rPr>
        <w:t>Boletín </w:t>
      </w:r>
      <w:r>
        <w:rPr>
          <w:i/>
        </w:rPr>
        <w:t>Sociográfico</w:t>
      </w:r>
      <w:r>
        <w:rPr/>
        <w:t>. (26) pp. 25-40.</w:t>
      </w:r>
    </w:p>
    <w:p>
      <w:pPr>
        <w:pStyle w:val="BodyText"/>
        <w:spacing w:before="10"/>
        <w:rPr>
          <w:sz w:val="27"/>
        </w:rPr>
      </w:pPr>
    </w:p>
    <w:p>
      <w:pPr>
        <w:spacing w:before="0"/>
        <w:ind w:left="102" w:right="0" w:firstLine="0"/>
        <w:jc w:val="left"/>
        <w:rPr>
          <w:i/>
          <w:sz w:val="24"/>
        </w:rPr>
      </w:pPr>
      <w:r>
        <w:rPr>
          <w:sz w:val="24"/>
        </w:rPr>
        <w:t>Anderson, D., Sweeney, D. y Williams, T. (2012) </w:t>
      </w:r>
      <w:r>
        <w:rPr>
          <w:i/>
          <w:sz w:val="24"/>
        </w:rPr>
        <w:t>Estadística para negocios y economía.</w:t>
      </w:r>
    </w:p>
    <w:p>
      <w:pPr>
        <w:pStyle w:val="BodyText"/>
        <w:spacing w:before="41"/>
        <w:ind w:left="385"/>
      </w:pPr>
      <w:r>
        <w:rPr/>
        <w:t>México, D.F., México: Cengage Learning</w:t>
      </w:r>
    </w:p>
    <w:p>
      <w:pPr>
        <w:pStyle w:val="BodyText"/>
        <w:spacing w:before="3"/>
        <w:rPr>
          <w:sz w:val="31"/>
        </w:rPr>
      </w:pPr>
    </w:p>
    <w:p>
      <w:pPr>
        <w:spacing w:before="0"/>
        <w:ind w:left="102" w:right="0" w:firstLine="0"/>
        <w:jc w:val="left"/>
        <w:rPr>
          <w:sz w:val="24"/>
        </w:rPr>
      </w:pPr>
      <w:r>
        <w:rPr>
          <w:sz w:val="24"/>
        </w:rPr>
        <w:t>ANUIES-FESE.  (2011).  </w:t>
      </w:r>
      <w:r>
        <w:rPr>
          <w:i/>
          <w:sz w:val="24"/>
        </w:rPr>
        <w:t>Manual  de la  vinculación educación superior-empresa</w:t>
      </w:r>
      <w:r>
        <w:rPr>
          <w:sz w:val="24"/>
        </w:rPr>
        <w:t>. México.</w:t>
      </w:r>
    </w:p>
    <w:p>
      <w:pPr>
        <w:pStyle w:val="BodyText"/>
        <w:spacing w:before="41"/>
        <w:ind w:left="385"/>
      </w:pPr>
      <w:r>
        <w:rPr/>
        <w:t>D.F., México: ANUIES - FESE.</w:t>
      </w:r>
    </w:p>
    <w:p>
      <w:pPr>
        <w:pStyle w:val="BodyText"/>
        <w:spacing w:before="1"/>
        <w:rPr>
          <w:sz w:val="31"/>
        </w:rPr>
      </w:pPr>
    </w:p>
    <w:p>
      <w:pPr>
        <w:spacing w:line="278" w:lineRule="auto" w:before="0"/>
        <w:ind w:left="385" w:right="116" w:hanging="284"/>
        <w:jc w:val="both"/>
        <w:rPr>
          <w:sz w:val="24"/>
        </w:rPr>
      </w:pPr>
      <w:r>
        <w:rPr>
          <w:sz w:val="24"/>
        </w:rPr>
        <w:t>Araneda, H. (1980). </w:t>
      </w:r>
      <w:r>
        <w:rPr>
          <w:i/>
          <w:sz w:val="24"/>
        </w:rPr>
        <w:t>Economía política. 3ª Ed. Colección Manuales Jurídicos. </w:t>
      </w:r>
      <w:r>
        <w:rPr>
          <w:sz w:val="24"/>
        </w:rPr>
        <w:t>Santiago de Chile, Chile: Editorial Jurídica de Chile.</w:t>
      </w:r>
    </w:p>
    <w:p>
      <w:pPr>
        <w:pStyle w:val="BodyText"/>
        <w:spacing w:before="5"/>
        <w:rPr>
          <w:sz w:val="27"/>
        </w:rPr>
      </w:pPr>
    </w:p>
    <w:p>
      <w:pPr>
        <w:spacing w:line="276" w:lineRule="auto" w:before="0"/>
        <w:ind w:left="385" w:right="120" w:hanging="284"/>
        <w:jc w:val="both"/>
        <w:rPr>
          <w:sz w:val="24"/>
        </w:rPr>
      </w:pPr>
      <w:r>
        <w:rPr>
          <w:sz w:val="24"/>
        </w:rPr>
        <w:t>Basave, J. y Hernández, M. (2005). </w:t>
      </w:r>
      <w:r>
        <w:rPr>
          <w:i/>
          <w:sz w:val="24"/>
        </w:rPr>
        <w:t>Los Estudios de Empresarios y Empresas: Una </w:t>
      </w:r>
      <w:r>
        <w:rPr>
          <w:i/>
          <w:sz w:val="24"/>
        </w:rPr>
        <w:t>perspectiva Internacional. </w:t>
      </w:r>
      <w:r>
        <w:rPr>
          <w:sz w:val="24"/>
        </w:rPr>
        <w:t>México. D.F.: UAM / UNAM.</w:t>
      </w:r>
    </w:p>
    <w:p>
      <w:pPr>
        <w:pStyle w:val="BodyText"/>
        <w:spacing w:before="9"/>
        <w:rPr>
          <w:sz w:val="27"/>
        </w:rPr>
      </w:pPr>
    </w:p>
    <w:p>
      <w:pPr>
        <w:spacing w:line="276" w:lineRule="auto" w:before="0"/>
        <w:ind w:left="385" w:right="120" w:hanging="284"/>
        <w:jc w:val="both"/>
        <w:rPr>
          <w:sz w:val="24"/>
        </w:rPr>
      </w:pPr>
      <w:r>
        <w:rPr>
          <w:sz w:val="24"/>
        </w:rPr>
        <w:t>Basurto, R. (2010). </w:t>
      </w:r>
      <w:r>
        <w:rPr>
          <w:i/>
          <w:sz w:val="24"/>
        </w:rPr>
        <w:t>Sonora. La competitividad regional y empresarial ante la economía del </w:t>
      </w:r>
      <w:r>
        <w:rPr>
          <w:i/>
          <w:sz w:val="24"/>
        </w:rPr>
        <w:t>conocimiento. </w:t>
      </w:r>
      <w:r>
        <w:rPr>
          <w:sz w:val="24"/>
        </w:rPr>
        <w:t>Hermosillo, México: Mora Cantúa Editores.</w:t>
      </w:r>
    </w:p>
    <w:p>
      <w:pPr>
        <w:pStyle w:val="BodyText"/>
        <w:spacing w:before="7"/>
        <w:rPr>
          <w:sz w:val="27"/>
        </w:rPr>
      </w:pPr>
    </w:p>
    <w:p>
      <w:pPr>
        <w:spacing w:line="278" w:lineRule="auto" w:before="0"/>
        <w:ind w:left="385" w:right="117" w:hanging="284"/>
        <w:jc w:val="both"/>
        <w:rPr>
          <w:sz w:val="24"/>
        </w:rPr>
      </w:pPr>
      <w:r>
        <w:rPr>
          <w:sz w:val="24"/>
        </w:rPr>
        <w:t>Becker, G. (1962). Investment in Human Capital: A theorical Analysis. </w:t>
      </w:r>
      <w:r>
        <w:rPr>
          <w:i/>
          <w:sz w:val="24"/>
        </w:rPr>
        <w:t>Journal of Political </w:t>
      </w:r>
      <w:r>
        <w:rPr>
          <w:i/>
          <w:sz w:val="24"/>
        </w:rPr>
        <w:t>Economy </w:t>
      </w:r>
      <w:r>
        <w:rPr>
          <w:sz w:val="24"/>
        </w:rPr>
        <w:t>70 (5) pp. 9-49</w:t>
      </w:r>
    </w:p>
    <w:p>
      <w:pPr>
        <w:spacing w:after="0" w:line="278" w:lineRule="auto"/>
        <w:jc w:val="both"/>
        <w:rPr>
          <w:sz w:val="24"/>
        </w:rPr>
        <w:sectPr>
          <w:pgSz w:w="12240" w:h="15840"/>
          <w:pgMar w:header="0" w:footer="1003" w:top="1500" w:bottom="1200" w:left="1600" w:right="1580"/>
        </w:sectPr>
      </w:pPr>
    </w:p>
    <w:p>
      <w:pPr>
        <w:spacing w:line="278" w:lineRule="auto" w:before="50"/>
        <w:ind w:left="385" w:right="0" w:hanging="284"/>
        <w:jc w:val="left"/>
        <w:rPr>
          <w:sz w:val="24"/>
        </w:rPr>
      </w:pPr>
      <w:r>
        <w:rPr>
          <w:sz w:val="24"/>
        </w:rPr>
        <w:t>Becker, G. (1985). Human capital. effort. and the sexual division of labor. </w:t>
      </w:r>
      <w:r>
        <w:rPr>
          <w:i/>
          <w:sz w:val="24"/>
        </w:rPr>
        <w:t>Journal of labor </w:t>
      </w:r>
      <w:r>
        <w:rPr>
          <w:i/>
          <w:sz w:val="24"/>
        </w:rPr>
        <w:t>economics. </w:t>
      </w:r>
      <w:r>
        <w:rPr>
          <w:sz w:val="24"/>
        </w:rPr>
        <w:t>3 (1) pp. 333-58</w:t>
      </w:r>
    </w:p>
    <w:p>
      <w:pPr>
        <w:pStyle w:val="BodyText"/>
        <w:spacing w:before="4"/>
        <w:rPr>
          <w:sz w:val="27"/>
        </w:rPr>
      </w:pPr>
    </w:p>
    <w:p>
      <w:pPr>
        <w:pStyle w:val="BodyText"/>
        <w:tabs>
          <w:tab w:pos="1457" w:val="left" w:leader="none"/>
        </w:tabs>
        <w:spacing w:line="276" w:lineRule="auto"/>
        <w:ind w:left="385" w:right="121" w:hanging="284"/>
      </w:pPr>
      <w:r>
        <w:rPr/>
        <w:t>Becker, </w:t>
      </w:r>
      <w:r>
        <w:rPr>
          <w:spacing w:val="5"/>
        </w:rPr>
        <w:t> </w:t>
      </w:r>
      <w:r>
        <w:rPr/>
        <w:t>G.</w:t>
        <w:tab/>
        <w:t>y  Chiswick,  B.  (1966).  The  economics  of  education.  Education </w:t>
      </w:r>
      <w:r>
        <w:rPr>
          <w:spacing w:val="49"/>
        </w:rPr>
        <w:t> </w:t>
      </w:r>
      <w:r>
        <w:rPr/>
        <w:t>and </w:t>
      </w:r>
      <w:r>
        <w:rPr>
          <w:spacing w:val="5"/>
        </w:rPr>
        <w:t> </w:t>
      </w:r>
      <w:r>
        <w:rPr/>
        <w:t>the distribution of earnings. </w:t>
      </w:r>
      <w:r>
        <w:rPr>
          <w:i/>
        </w:rPr>
        <w:t>The American Economic Review</w:t>
      </w:r>
      <w:r>
        <w:rPr/>
        <w:t>. 56 (1/2) pp.</w:t>
      </w:r>
      <w:r>
        <w:rPr>
          <w:spacing w:val="-9"/>
        </w:rPr>
        <w:t> </w:t>
      </w:r>
      <w:r>
        <w:rPr/>
        <w:t>358-369</w:t>
      </w:r>
    </w:p>
    <w:p>
      <w:pPr>
        <w:pStyle w:val="BodyText"/>
        <w:spacing w:before="9"/>
        <w:rPr>
          <w:sz w:val="27"/>
        </w:rPr>
      </w:pPr>
    </w:p>
    <w:p>
      <w:pPr>
        <w:spacing w:line="276" w:lineRule="auto" w:before="0"/>
        <w:ind w:left="385" w:right="123" w:hanging="284"/>
        <w:jc w:val="left"/>
        <w:rPr>
          <w:sz w:val="24"/>
        </w:rPr>
      </w:pPr>
      <w:r>
        <w:rPr>
          <w:sz w:val="24"/>
        </w:rPr>
        <w:t>Blinder, A. (1973) Wage discrimination: Reduced form and structural estimates. </w:t>
      </w:r>
      <w:r>
        <w:rPr>
          <w:i/>
          <w:sz w:val="24"/>
        </w:rPr>
        <w:t>The </w:t>
      </w:r>
      <w:r>
        <w:rPr>
          <w:i/>
          <w:sz w:val="24"/>
        </w:rPr>
        <w:t>Journal of Human Resources. </w:t>
      </w:r>
      <w:r>
        <w:rPr>
          <w:sz w:val="24"/>
        </w:rPr>
        <w:t>8 (4) pp. 436-455.</w:t>
      </w:r>
    </w:p>
    <w:p>
      <w:pPr>
        <w:pStyle w:val="BodyText"/>
        <w:spacing w:before="9"/>
        <w:rPr>
          <w:sz w:val="27"/>
        </w:rPr>
      </w:pPr>
    </w:p>
    <w:p>
      <w:pPr>
        <w:pStyle w:val="BodyText"/>
        <w:spacing w:line="276" w:lineRule="auto"/>
        <w:ind w:left="385" w:hanging="284"/>
      </w:pPr>
      <w:r>
        <w:rPr/>
        <w:t>Bloodgood, J., Turnley, W. y Mudrack, P. (2010). Ethics instruction and the perceived acceptability of cheating. </w:t>
      </w:r>
      <w:r>
        <w:rPr>
          <w:i/>
        </w:rPr>
        <w:t>Journal of Business Ethics</w:t>
      </w:r>
      <w:r>
        <w:rPr/>
        <w:t>. 95 pp. 23-37.</w:t>
      </w:r>
    </w:p>
    <w:p>
      <w:pPr>
        <w:pStyle w:val="BodyText"/>
        <w:spacing w:before="7"/>
        <w:rPr>
          <w:sz w:val="27"/>
        </w:rPr>
      </w:pPr>
    </w:p>
    <w:p>
      <w:pPr>
        <w:spacing w:line="278" w:lineRule="auto" w:before="1"/>
        <w:ind w:left="385" w:right="0" w:hanging="284"/>
        <w:jc w:val="left"/>
        <w:rPr>
          <w:sz w:val="24"/>
        </w:rPr>
      </w:pPr>
      <w:r>
        <w:rPr>
          <w:sz w:val="24"/>
        </w:rPr>
        <w:t>Braverman, H. (1998). Labor and Monopoly Capital. The Degradation of work in the twentieth century. </w:t>
      </w:r>
      <w:r>
        <w:rPr>
          <w:i/>
          <w:sz w:val="24"/>
        </w:rPr>
        <w:t>Monthly Review Press New York</w:t>
      </w:r>
      <w:r>
        <w:rPr>
          <w:sz w:val="24"/>
        </w:rPr>
        <w:t>. pp. 59-85</w:t>
      </w:r>
    </w:p>
    <w:p>
      <w:pPr>
        <w:pStyle w:val="BodyText"/>
        <w:spacing w:before="4"/>
        <w:rPr>
          <w:sz w:val="27"/>
        </w:rPr>
      </w:pPr>
    </w:p>
    <w:p>
      <w:pPr>
        <w:spacing w:line="276" w:lineRule="auto" w:before="0"/>
        <w:ind w:left="385" w:right="0" w:hanging="284"/>
        <w:jc w:val="left"/>
        <w:rPr>
          <w:sz w:val="24"/>
        </w:rPr>
      </w:pPr>
      <w:r>
        <w:rPr>
          <w:sz w:val="24"/>
        </w:rPr>
        <w:t>Brunet, I. y Morell, A. (1998). Mercado de trabajo y estrategias de valorización. </w:t>
      </w:r>
      <w:r>
        <w:rPr>
          <w:i/>
          <w:sz w:val="24"/>
        </w:rPr>
        <w:t>Revista </w:t>
      </w:r>
      <w:r>
        <w:rPr>
          <w:i/>
          <w:sz w:val="24"/>
        </w:rPr>
        <w:t>Española de Investigaciones Sociológicas. </w:t>
      </w:r>
      <w:r>
        <w:rPr>
          <w:sz w:val="24"/>
        </w:rPr>
        <w:t>pp. 37-71</w:t>
      </w:r>
    </w:p>
    <w:p>
      <w:pPr>
        <w:pStyle w:val="BodyText"/>
        <w:spacing w:before="7"/>
        <w:rPr>
          <w:sz w:val="27"/>
        </w:rPr>
      </w:pPr>
    </w:p>
    <w:p>
      <w:pPr>
        <w:spacing w:before="0"/>
        <w:ind w:left="810" w:right="118" w:hanging="708"/>
        <w:jc w:val="both"/>
        <w:rPr>
          <w:sz w:val="24"/>
        </w:rPr>
      </w:pPr>
      <w:r>
        <w:rPr>
          <w:sz w:val="24"/>
        </w:rPr>
        <w:t>Burgos, A. y Roberti, E. (2013). </w:t>
      </w:r>
      <w:r>
        <w:rPr>
          <w:i/>
          <w:sz w:val="24"/>
        </w:rPr>
        <w:t>Los mundos del trabajo: multiplicidad de dispositivos, </w:t>
      </w:r>
      <w:r>
        <w:rPr>
          <w:i/>
          <w:sz w:val="24"/>
        </w:rPr>
        <w:t>trayectorias y sentidos en la inserción laboral de los jóvenes.</w:t>
      </w:r>
      <w:r>
        <w:rPr>
          <w:sz w:val="24"/>
        </w:rPr>
        <w:t>Congreso nacional de estudios del trabajo. El mundo del trabajo en discusión. Avances y temas dependientes.ASET - Asociación Argentina de Especialistas en Estudios del Trabajo. Buenos Aires, Argentina: 7,8 y 9 de agosto de</w:t>
      </w:r>
      <w:r>
        <w:rPr>
          <w:spacing w:val="-8"/>
          <w:sz w:val="24"/>
        </w:rPr>
        <w:t> </w:t>
      </w:r>
      <w:r>
        <w:rPr>
          <w:sz w:val="24"/>
        </w:rPr>
        <w:t>2013.</w:t>
      </w:r>
    </w:p>
    <w:p>
      <w:pPr>
        <w:pStyle w:val="BodyText"/>
      </w:pPr>
    </w:p>
    <w:p>
      <w:pPr>
        <w:pStyle w:val="BodyText"/>
        <w:ind w:left="810" w:right="127" w:hanging="708"/>
        <w:jc w:val="both"/>
      </w:pPr>
      <w:r>
        <w:rPr/>
        <w:t>Cacéres, D. y Zuñiga, S. (2013) Disparidades regionales y estabilidad de la calidad del empleo en Chile: 1998-2006. </w:t>
      </w:r>
      <w:r>
        <w:rPr>
          <w:i/>
        </w:rPr>
        <w:t>Gestión y Política Pública, </w:t>
      </w:r>
      <w:r>
        <w:rPr/>
        <w:t>22 (1) PP.203-243.</w:t>
      </w:r>
    </w:p>
    <w:p>
      <w:pPr>
        <w:pStyle w:val="BodyText"/>
      </w:pPr>
    </w:p>
    <w:p>
      <w:pPr>
        <w:spacing w:before="0"/>
        <w:ind w:left="810" w:right="115" w:hanging="708"/>
        <w:jc w:val="both"/>
        <w:rPr>
          <w:sz w:val="24"/>
        </w:rPr>
      </w:pPr>
      <w:r>
        <w:rPr>
          <w:sz w:val="24"/>
        </w:rPr>
        <w:t>Cachón, L. (1999). </w:t>
      </w:r>
      <w:r>
        <w:rPr>
          <w:i/>
          <w:sz w:val="24"/>
        </w:rPr>
        <w:t>Los Jóvenes en el Mercado de Trabajo en España</w:t>
      </w:r>
      <w:r>
        <w:rPr>
          <w:sz w:val="24"/>
        </w:rPr>
        <w:t>. Universidad Complutense de Madrid. Madrid, España.</w:t>
      </w:r>
    </w:p>
    <w:p>
      <w:pPr>
        <w:pStyle w:val="BodyText"/>
      </w:pPr>
    </w:p>
    <w:p>
      <w:pPr>
        <w:spacing w:before="0"/>
        <w:ind w:left="810" w:right="126" w:hanging="708"/>
        <w:jc w:val="both"/>
        <w:rPr>
          <w:sz w:val="24"/>
        </w:rPr>
      </w:pPr>
      <w:r>
        <w:rPr>
          <w:sz w:val="24"/>
        </w:rPr>
        <w:t>Cain, G. (1975). The challenge of dual and radical theories of the labor market to orthodox theory. </w:t>
      </w:r>
      <w:r>
        <w:rPr>
          <w:i/>
          <w:sz w:val="24"/>
        </w:rPr>
        <w:t>The American Economic Review. </w:t>
      </w:r>
      <w:r>
        <w:rPr>
          <w:sz w:val="24"/>
        </w:rPr>
        <w:t>65(2) pp.16-22.</w:t>
      </w:r>
    </w:p>
    <w:p>
      <w:pPr>
        <w:pStyle w:val="BodyText"/>
      </w:pPr>
    </w:p>
    <w:p>
      <w:pPr>
        <w:pStyle w:val="BodyText"/>
      </w:pPr>
    </w:p>
    <w:p>
      <w:pPr>
        <w:pStyle w:val="BodyText"/>
        <w:ind w:left="810" w:right="117" w:hanging="708"/>
        <w:jc w:val="both"/>
      </w:pPr>
      <w:r>
        <w:rPr/>
        <w:t>Camarena, B. y Velarde, D. (2009). Educación Superior y mercado de trabajo: vinculación y pertinencia social ¿por qué? y ¿para qué?. </w:t>
      </w:r>
      <w:r>
        <w:rPr>
          <w:i/>
        </w:rPr>
        <w:t>Estudios Sociales Número Especial. </w:t>
      </w:r>
      <w:r>
        <w:rPr/>
        <w:t>pp. 106-125.</w:t>
      </w:r>
    </w:p>
    <w:p>
      <w:pPr>
        <w:pStyle w:val="BodyText"/>
      </w:pPr>
    </w:p>
    <w:p>
      <w:pPr>
        <w:pStyle w:val="BodyText"/>
        <w:ind w:left="102"/>
      </w:pPr>
      <w:r>
        <w:rPr/>
        <w:t>Campos, G. (2001). Los Rostros Opuestos del Mercado. </w:t>
      </w:r>
      <w:r>
        <w:rPr>
          <w:i/>
        </w:rPr>
        <w:t>Aportes</w:t>
      </w:r>
      <w:r>
        <w:rPr/>
        <w:t>. pp. 141-148.</w:t>
      </w:r>
    </w:p>
    <w:p>
      <w:pPr>
        <w:pStyle w:val="BodyText"/>
      </w:pPr>
    </w:p>
    <w:p>
      <w:pPr>
        <w:pStyle w:val="BodyText"/>
        <w:spacing w:line="275" w:lineRule="exact"/>
        <w:ind w:left="102"/>
      </w:pPr>
      <w:r>
        <w:rPr/>
        <w:t>Campos, G. (2003) Implicaciones del Concepto de Empleabilidad en la Reforma Educativa.</w:t>
      </w:r>
    </w:p>
    <w:p>
      <w:pPr>
        <w:spacing w:line="275" w:lineRule="exact" w:before="0"/>
        <w:ind w:left="810" w:right="0" w:firstLine="0"/>
        <w:jc w:val="left"/>
        <w:rPr>
          <w:sz w:val="24"/>
        </w:rPr>
      </w:pPr>
      <w:r>
        <w:rPr>
          <w:i/>
          <w:sz w:val="24"/>
        </w:rPr>
        <w:t>Revista Iberoamericana de Educación</w:t>
      </w:r>
      <w:r>
        <w:rPr>
          <w:sz w:val="24"/>
        </w:rPr>
        <w:t>. pp. 1-9.</w:t>
      </w:r>
    </w:p>
    <w:p>
      <w:pPr>
        <w:spacing w:after="0" w:line="275" w:lineRule="exact"/>
        <w:jc w:val="left"/>
        <w:rPr>
          <w:sz w:val="24"/>
        </w:rPr>
        <w:sectPr>
          <w:pgSz w:w="12240" w:h="15840"/>
          <w:pgMar w:header="0" w:footer="1003" w:top="1360" w:bottom="1200" w:left="1600" w:right="1580"/>
        </w:sectPr>
      </w:pPr>
    </w:p>
    <w:p>
      <w:pPr>
        <w:pStyle w:val="BodyText"/>
        <w:spacing w:before="48"/>
        <w:ind w:left="810" w:hanging="708"/>
      </w:pPr>
      <w:r>
        <w:rPr/>
        <w:t>Carboni, S. Delicio, F. y Maestromey, M. (2000). Relación entre universidad y sector productivo. </w:t>
      </w:r>
      <w:r>
        <w:rPr>
          <w:i/>
        </w:rPr>
        <w:t>FACES</w:t>
      </w:r>
      <w:r>
        <w:rPr/>
        <w:t>. 6 (9) pp. 81-97.</w:t>
      </w:r>
    </w:p>
    <w:p>
      <w:pPr>
        <w:pStyle w:val="BodyText"/>
      </w:pPr>
    </w:p>
    <w:p>
      <w:pPr>
        <w:pStyle w:val="BodyText"/>
        <w:ind w:left="810" w:hanging="708"/>
      </w:pPr>
      <w:r>
        <w:rPr/>
        <w:t>Carlson, B. (2002). Educación y mercado del trabajo en América Latina frente a la globalización. </w:t>
      </w:r>
      <w:r>
        <w:rPr>
          <w:i/>
        </w:rPr>
        <w:t>Revista de la CEPAL </w:t>
      </w:r>
      <w:r>
        <w:rPr/>
        <w:t>77. pp. 123-141.</w:t>
      </w:r>
    </w:p>
    <w:p>
      <w:pPr>
        <w:spacing w:line="278" w:lineRule="auto" w:before="2"/>
        <w:ind w:left="385" w:right="119" w:hanging="284"/>
        <w:jc w:val="both"/>
        <w:rPr>
          <w:sz w:val="24"/>
        </w:rPr>
      </w:pPr>
      <w:r>
        <w:rPr>
          <w:sz w:val="24"/>
        </w:rPr>
        <w:t>Casal, J. (1997). </w:t>
      </w:r>
      <w:r>
        <w:rPr>
          <w:i/>
          <w:sz w:val="24"/>
        </w:rPr>
        <w:t>Modalidades de transición profesional. mercado de trabajo y condiciones </w:t>
      </w:r>
      <w:r>
        <w:rPr>
          <w:i/>
          <w:sz w:val="24"/>
        </w:rPr>
        <w:t>de empleo. </w:t>
      </w:r>
      <w:r>
        <w:rPr>
          <w:sz w:val="24"/>
        </w:rPr>
        <w:t>Cuadernos de relaciones laborales.  No. 11. Madrid, España.</w:t>
      </w:r>
    </w:p>
    <w:p>
      <w:pPr>
        <w:pStyle w:val="BodyText"/>
        <w:spacing w:before="4"/>
        <w:rPr>
          <w:sz w:val="27"/>
        </w:rPr>
      </w:pPr>
    </w:p>
    <w:p>
      <w:pPr>
        <w:spacing w:line="276" w:lineRule="auto" w:before="0"/>
        <w:ind w:left="385" w:right="118" w:hanging="284"/>
        <w:jc w:val="both"/>
        <w:rPr>
          <w:sz w:val="24"/>
        </w:rPr>
      </w:pPr>
      <w:r>
        <w:rPr>
          <w:sz w:val="24"/>
        </w:rPr>
        <w:t>Casanova, H. (2002) </w:t>
      </w:r>
      <w:r>
        <w:rPr>
          <w:i/>
          <w:sz w:val="24"/>
        </w:rPr>
        <w:t>Nuevas políticas de la educación superior. </w:t>
      </w:r>
      <w:r>
        <w:rPr>
          <w:sz w:val="24"/>
        </w:rPr>
        <w:t>Ed. 1ª Coruña, España: Netbiblo.</w:t>
      </w:r>
    </w:p>
    <w:p>
      <w:pPr>
        <w:pStyle w:val="BodyText"/>
        <w:spacing w:before="202"/>
        <w:ind w:left="102"/>
      </w:pPr>
      <w:r>
        <w:rPr/>
        <w:t>Celina,  H.  y Camñl,  a.  (2005)  Aproximación  al  uso  del  coeficiente  alfa  de Cronbach.</w:t>
      </w:r>
    </w:p>
    <w:p>
      <w:pPr>
        <w:spacing w:before="41"/>
        <w:ind w:left="385" w:right="0" w:firstLine="0"/>
        <w:jc w:val="left"/>
        <w:rPr>
          <w:sz w:val="24"/>
        </w:rPr>
      </w:pPr>
      <w:r>
        <w:rPr>
          <w:i/>
          <w:sz w:val="24"/>
        </w:rPr>
        <w:t>Revista colombiana de psiquiatría </w:t>
      </w:r>
      <w:r>
        <w:rPr>
          <w:sz w:val="24"/>
        </w:rPr>
        <w:t>34 (4) pp. 572-580.</w:t>
      </w:r>
    </w:p>
    <w:p>
      <w:pPr>
        <w:pStyle w:val="BodyText"/>
        <w:rPr>
          <w:sz w:val="21"/>
        </w:rPr>
      </w:pPr>
    </w:p>
    <w:p>
      <w:pPr>
        <w:spacing w:line="276" w:lineRule="auto" w:before="1"/>
        <w:ind w:left="385" w:right="115" w:hanging="284"/>
        <w:jc w:val="both"/>
        <w:rPr>
          <w:sz w:val="24"/>
        </w:rPr>
      </w:pPr>
      <w:r>
        <w:rPr>
          <w:sz w:val="24"/>
        </w:rPr>
        <w:t>Cernas, D. y Mercado, P. (2013) Los estudios económico-administrativos: origen, críticas y nuevos rumbos. EN: González, F. y Aguado, E. (2013) </w:t>
      </w:r>
      <w:r>
        <w:rPr>
          <w:i/>
          <w:sz w:val="24"/>
        </w:rPr>
        <w:t>Escalas del conocimiento. Las </w:t>
      </w:r>
      <w:r>
        <w:rPr>
          <w:i/>
          <w:sz w:val="24"/>
        </w:rPr>
        <w:t>formas de construcción del objeto en las disciplinas sociales. </w:t>
      </w:r>
      <w:r>
        <w:rPr>
          <w:sz w:val="24"/>
        </w:rPr>
        <w:t>México, D.F., México: Ediciones Eón/Universidad Autónoma del Estado de México.</w:t>
      </w:r>
    </w:p>
    <w:p>
      <w:pPr>
        <w:pStyle w:val="BodyText"/>
        <w:spacing w:line="276" w:lineRule="auto" w:before="202"/>
        <w:ind w:left="385" w:right="119" w:hanging="284"/>
        <w:jc w:val="both"/>
      </w:pPr>
      <w:r>
        <w:rPr/>
        <w:t>Chapman, K., Davis, R., Toy, D. y Wright, L. (2004). Academic Integrity in the business school environment: I'll get by with a little help from my friends. </w:t>
      </w:r>
      <w:r>
        <w:rPr>
          <w:i/>
        </w:rPr>
        <w:t>Journal of Marketing </w:t>
      </w:r>
      <w:r>
        <w:rPr>
          <w:i/>
        </w:rPr>
        <w:t>Education </w:t>
      </w:r>
      <w:r>
        <w:rPr/>
        <w:t>. 26 pp. 236-249.</w:t>
      </w:r>
    </w:p>
    <w:p>
      <w:pPr>
        <w:spacing w:line="276" w:lineRule="auto" w:before="202"/>
        <w:ind w:left="385" w:right="121" w:hanging="284"/>
        <w:jc w:val="both"/>
        <w:rPr>
          <w:sz w:val="24"/>
        </w:rPr>
      </w:pPr>
      <w:r>
        <w:rPr>
          <w:sz w:val="24"/>
        </w:rPr>
        <w:t>Chacón, B. (1999) Calidad del empleo y pobreza en Chile, 1990-1996. EN Infante, R. (ed.) </w:t>
      </w:r>
      <w:r>
        <w:rPr>
          <w:i/>
          <w:sz w:val="24"/>
        </w:rPr>
        <w:t>La calidad del empleo: la experiencia de los países latinoamericanos y de los Estados </w:t>
      </w:r>
      <w:r>
        <w:rPr>
          <w:i/>
          <w:sz w:val="24"/>
        </w:rPr>
        <w:t>Unidos. </w:t>
      </w:r>
      <w:r>
        <w:rPr>
          <w:sz w:val="24"/>
        </w:rPr>
        <w:t>Santiago de Chile, Chile: Organización Internacional del Trabajo. pp. 264.</w:t>
      </w:r>
    </w:p>
    <w:p>
      <w:pPr>
        <w:pStyle w:val="BodyText"/>
        <w:spacing w:line="276" w:lineRule="auto" w:before="200"/>
        <w:ind w:left="385" w:right="119" w:hanging="284"/>
        <w:jc w:val="both"/>
      </w:pPr>
      <w:r>
        <w:rPr/>
        <w:t>Chéron, A., Langot. F., Moreno-Galbis, E., Tepp. G., Pse, E. e Iza, C. (2011). Labour Market Institutions and Technological Employment. </w:t>
      </w:r>
      <w:r>
        <w:rPr>
          <w:i/>
        </w:rPr>
        <w:t>Economica</w:t>
      </w:r>
      <w:r>
        <w:rPr/>
        <w:t>. 78 pp. 159-186.</w:t>
      </w:r>
    </w:p>
    <w:p>
      <w:pPr>
        <w:pStyle w:val="BodyText"/>
        <w:spacing w:before="202"/>
        <w:ind w:left="102"/>
      </w:pPr>
      <w:r>
        <w:rPr/>
        <w:t>Corral-Verdugo, V. (1995) Modelos variables latentes para la investigación conductual.</w:t>
      </w:r>
    </w:p>
    <w:p>
      <w:pPr>
        <w:spacing w:before="41"/>
        <w:ind w:left="385" w:right="0" w:firstLine="0"/>
        <w:jc w:val="left"/>
        <w:rPr>
          <w:sz w:val="24"/>
        </w:rPr>
      </w:pPr>
      <w:r>
        <w:rPr>
          <w:i/>
          <w:sz w:val="24"/>
        </w:rPr>
        <w:t>Acta Comportamentalia. </w:t>
      </w:r>
      <w:r>
        <w:rPr>
          <w:sz w:val="24"/>
        </w:rPr>
        <w:t>3(2) pp. 171-190.</w:t>
      </w:r>
    </w:p>
    <w:p>
      <w:pPr>
        <w:pStyle w:val="BodyText"/>
        <w:rPr>
          <w:sz w:val="21"/>
        </w:rPr>
      </w:pPr>
    </w:p>
    <w:p>
      <w:pPr>
        <w:spacing w:line="276" w:lineRule="auto" w:before="1"/>
        <w:ind w:left="385" w:right="120" w:hanging="284"/>
        <w:jc w:val="both"/>
        <w:rPr>
          <w:sz w:val="24"/>
        </w:rPr>
      </w:pPr>
      <w:r>
        <w:rPr>
          <w:sz w:val="24"/>
        </w:rPr>
        <w:t>Cortés, C. (2005). </w:t>
      </w:r>
      <w:r>
        <w:rPr>
          <w:i/>
          <w:sz w:val="24"/>
        </w:rPr>
        <w:t>Las empresas Transnacionales en México como factor fundamental en el </w:t>
      </w:r>
      <w:r>
        <w:rPr>
          <w:i/>
          <w:sz w:val="24"/>
        </w:rPr>
        <w:t>desarrollo que debe ser regulado. </w:t>
      </w:r>
      <w:r>
        <w:rPr>
          <w:sz w:val="24"/>
        </w:rPr>
        <w:t>Cholula, México: Universidad de las Américas. Tesis de Licenciatura. Escuela de Ciencias Sociales. Departamento de Relaciones Internacionales e Historia.</w:t>
      </w:r>
    </w:p>
    <w:p>
      <w:pPr>
        <w:pStyle w:val="BodyText"/>
        <w:spacing w:before="202"/>
        <w:ind w:left="102"/>
        <w:rPr>
          <w:i/>
        </w:rPr>
      </w:pPr>
      <w:r>
        <w:rPr/>
        <w:t>Cronbach, L. (1951). Coefficient alpha and the internal structure of tests. </w:t>
      </w:r>
      <w:r>
        <w:rPr>
          <w:i/>
        </w:rPr>
        <w:t>Psychometrica  3.</w:t>
      </w:r>
    </w:p>
    <w:p>
      <w:pPr>
        <w:pStyle w:val="BodyText"/>
        <w:spacing w:before="41"/>
        <w:ind w:left="385"/>
      </w:pPr>
      <w:r>
        <w:rPr/>
        <w:t>pp. 249-254.</w:t>
      </w:r>
    </w:p>
    <w:p>
      <w:pPr>
        <w:pStyle w:val="BodyText"/>
        <w:rPr>
          <w:sz w:val="21"/>
        </w:rPr>
      </w:pPr>
    </w:p>
    <w:p>
      <w:pPr>
        <w:pStyle w:val="BodyText"/>
        <w:spacing w:before="1"/>
        <w:ind w:left="102"/>
      </w:pPr>
      <w:r>
        <w:rPr/>
        <w:t>Cruz, Y. y Cruz, A. (2008). La educación superior en México. Tendencias</w:t>
      </w:r>
      <w:r>
        <w:rPr>
          <w:spacing w:val="51"/>
        </w:rPr>
        <w:t> </w:t>
      </w:r>
      <w:r>
        <w:rPr/>
        <w:t>y desafios.</w:t>
      </w:r>
    </w:p>
    <w:p>
      <w:pPr>
        <w:spacing w:before="41"/>
        <w:ind w:left="385" w:right="0" w:firstLine="0"/>
        <w:jc w:val="left"/>
        <w:rPr>
          <w:sz w:val="24"/>
        </w:rPr>
      </w:pPr>
      <w:r>
        <w:rPr>
          <w:sz w:val="24"/>
        </w:rPr>
        <w:t>Avaliacao, Brasil: </w:t>
      </w:r>
      <w:r>
        <w:rPr>
          <w:i/>
          <w:sz w:val="24"/>
        </w:rPr>
        <w:t>Revista de Avaliacao da Educacao </w:t>
      </w:r>
      <w:r>
        <w:rPr>
          <w:sz w:val="24"/>
        </w:rPr>
        <w:t>. 13 (2) pp. 293-311.</w:t>
      </w:r>
    </w:p>
    <w:p>
      <w:pPr>
        <w:spacing w:after="0"/>
        <w:jc w:val="left"/>
        <w:rPr>
          <w:sz w:val="24"/>
        </w:rPr>
        <w:sectPr>
          <w:pgSz w:w="12240" w:h="15840"/>
          <w:pgMar w:header="0" w:footer="1003" w:top="1360" w:bottom="1200" w:left="1600" w:right="1580"/>
        </w:sectPr>
      </w:pPr>
    </w:p>
    <w:p>
      <w:pPr>
        <w:spacing w:line="278" w:lineRule="auto" w:before="50"/>
        <w:ind w:left="385" w:right="0" w:hanging="284"/>
        <w:jc w:val="left"/>
        <w:rPr>
          <w:sz w:val="24"/>
        </w:rPr>
      </w:pPr>
      <w:r>
        <w:rPr>
          <w:sz w:val="24"/>
        </w:rPr>
        <w:t>Damiani, M., Hölscher, J. y Pompei, F. (2011). Labour market inequalities and the role of Institutions. </w:t>
      </w:r>
      <w:r>
        <w:rPr>
          <w:i/>
          <w:sz w:val="24"/>
        </w:rPr>
        <w:t>The European Journal of Comparative Economics. </w:t>
      </w:r>
      <w:r>
        <w:rPr>
          <w:sz w:val="24"/>
        </w:rPr>
        <w:t>8 (2) pp. 163-173.</w:t>
      </w:r>
    </w:p>
    <w:p>
      <w:pPr>
        <w:spacing w:line="276" w:lineRule="auto" w:before="197"/>
        <w:ind w:left="385" w:right="0" w:hanging="284"/>
        <w:jc w:val="left"/>
        <w:rPr>
          <w:sz w:val="24"/>
        </w:rPr>
      </w:pPr>
      <w:r>
        <w:rPr>
          <w:sz w:val="24"/>
        </w:rPr>
        <w:t>De la Garza, E. (1997). La flexibilidad del trabajo en América Latina. </w:t>
      </w:r>
      <w:r>
        <w:rPr>
          <w:i/>
          <w:sz w:val="24"/>
        </w:rPr>
        <w:t>Revista </w:t>
      </w:r>
      <w:r>
        <w:rPr>
          <w:i/>
          <w:sz w:val="24"/>
        </w:rPr>
        <w:t>Lationamericana de Estudios de Trabajo. </w:t>
      </w:r>
      <w:r>
        <w:rPr>
          <w:sz w:val="24"/>
        </w:rPr>
        <w:t>3 (5) pp.129-157.</w:t>
      </w:r>
    </w:p>
    <w:p>
      <w:pPr>
        <w:spacing w:before="202"/>
        <w:ind w:left="102" w:right="0" w:firstLine="0"/>
        <w:jc w:val="left"/>
        <w:rPr>
          <w:sz w:val="24"/>
        </w:rPr>
      </w:pPr>
      <w:r>
        <w:rPr>
          <w:sz w:val="24"/>
        </w:rPr>
        <w:t>Díaz, J. (1999). </w:t>
      </w:r>
      <w:r>
        <w:rPr>
          <w:i/>
          <w:sz w:val="24"/>
        </w:rPr>
        <w:t>Macroeconomía: primeros conceptos</w:t>
      </w:r>
      <w:r>
        <w:rPr>
          <w:sz w:val="24"/>
        </w:rPr>
        <w:t>. Madrid, España: Antoni Bosch.</w:t>
      </w:r>
    </w:p>
    <w:p>
      <w:pPr>
        <w:pStyle w:val="BodyText"/>
        <w:rPr>
          <w:sz w:val="21"/>
        </w:rPr>
      </w:pPr>
    </w:p>
    <w:p>
      <w:pPr>
        <w:spacing w:line="276" w:lineRule="auto" w:before="1"/>
        <w:ind w:left="385" w:right="0" w:hanging="284"/>
        <w:jc w:val="left"/>
        <w:rPr>
          <w:sz w:val="24"/>
        </w:rPr>
      </w:pPr>
      <w:r>
        <w:rPr>
          <w:sz w:val="24"/>
        </w:rPr>
        <w:t>Dickens, W. y Lang, K. (1985). </w:t>
      </w:r>
      <w:r>
        <w:rPr>
          <w:i/>
          <w:sz w:val="24"/>
        </w:rPr>
        <w:t>A test of dual labor market theory. </w:t>
      </w:r>
      <w:r>
        <w:rPr>
          <w:sz w:val="24"/>
        </w:rPr>
        <w:t>NBER Working paper series. No. 1314  Cambridge, Inglaterra: National Bureau of Economic Research.</w:t>
      </w:r>
    </w:p>
    <w:p>
      <w:pPr>
        <w:spacing w:line="278" w:lineRule="auto" w:before="200"/>
        <w:ind w:left="385" w:right="123" w:hanging="284"/>
        <w:jc w:val="left"/>
        <w:rPr>
          <w:sz w:val="24"/>
        </w:rPr>
      </w:pPr>
      <w:r>
        <w:rPr>
          <w:sz w:val="24"/>
        </w:rPr>
        <w:t>Doeringer, P. y Piore, M. (1971). </w:t>
      </w:r>
      <w:r>
        <w:rPr>
          <w:i/>
          <w:sz w:val="24"/>
        </w:rPr>
        <w:t>Internal labor markets and manpower analysis</w:t>
      </w:r>
      <w:r>
        <w:rPr>
          <w:sz w:val="24"/>
        </w:rPr>
        <w:t>. New York, USA: D.C. Heath and Company.</w:t>
      </w:r>
    </w:p>
    <w:p>
      <w:pPr>
        <w:spacing w:line="276" w:lineRule="auto" w:before="197"/>
        <w:ind w:left="385" w:right="0" w:hanging="284"/>
        <w:jc w:val="left"/>
        <w:rPr>
          <w:sz w:val="24"/>
        </w:rPr>
      </w:pPr>
      <w:r>
        <w:rPr>
          <w:sz w:val="24"/>
        </w:rPr>
        <w:t>Doeringer, P. y Piore, M. (1985). </w:t>
      </w:r>
      <w:r>
        <w:rPr>
          <w:i/>
          <w:sz w:val="24"/>
        </w:rPr>
        <w:t>Mercados internos de trabajo y análisis laboral</w:t>
      </w:r>
      <w:r>
        <w:rPr>
          <w:sz w:val="24"/>
        </w:rPr>
        <w:t>. Madrid, España: Ministerio de trabajo y Seguridad social.</w:t>
      </w:r>
    </w:p>
    <w:p>
      <w:pPr>
        <w:pStyle w:val="BodyText"/>
        <w:spacing w:line="518" w:lineRule="exact" w:before="12"/>
        <w:ind w:left="102"/>
        <w:rPr>
          <w:i/>
        </w:rPr>
      </w:pPr>
      <w:r>
        <w:rPr/>
        <w:t>Dornbusch, R. y Fischer, S. (1985). </w:t>
      </w:r>
      <w:r>
        <w:rPr>
          <w:i/>
        </w:rPr>
        <w:t>Macroeconomía. </w:t>
      </w:r>
      <w:r>
        <w:rPr/>
        <w:t>3ª Ed. Madrid, España: McGraw Hill Dunlop, J. (1966). Job vacancy measures and economic analysis EN: </w:t>
      </w:r>
      <w:r>
        <w:rPr>
          <w:i/>
        </w:rPr>
        <w:t>The measurement and</w:t>
      </w:r>
    </w:p>
    <w:p>
      <w:pPr>
        <w:spacing w:line="265" w:lineRule="exact" w:before="0"/>
        <w:ind w:left="385" w:right="0" w:firstLine="0"/>
        <w:jc w:val="left"/>
        <w:rPr>
          <w:sz w:val="24"/>
        </w:rPr>
      </w:pPr>
      <w:r>
        <w:rPr>
          <w:i/>
          <w:sz w:val="24"/>
        </w:rPr>
        <w:t>Interpretation of job vacancies. </w:t>
      </w:r>
      <w:r>
        <w:rPr>
          <w:sz w:val="24"/>
        </w:rPr>
        <w:t>(1966). Columbia University Press.</w:t>
      </w:r>
    </w:p>
    <w:p>
      <w:pPr>
        <w:pStyle w:val="BodyText"/>
        <w:spacing w:before="10"/>
        <w:rPr>
          <w:sz w:val="20"/>
        </w:rPr>
      </w:pPr>
    </w:p>
    <w:p>
      <w:pPr>
        <w:pStyle w:val="BodyText"/>
        <w:tabs>
          <w:tab w:pos="1574" w:val="left" w:leader="none"/>
        </w:tabs>
        <w:ind w:left="102"/>
      </w:pPr>
      <w:r>
        <w:rPr/>
        <w:t>Ettlie, </w:t>
      </w:r>
      <w:r>
        <w:rPr>
          <w:spacing w:val="33"/>
        </w:rPr>
        <w:t> </w:t>
      </w:r>
      <w:r>
        <w:rPr/>
        <w:t>J. </w:t>
      </w:r>
      <w:r>
        <w:rPr>
          <w:spacing w:val="38"/>
        </w:rPr>
        <w:t> </w:t>
      </w:r>
      <w:r>
        <w:rPr/>
        <w:t>y</w:t>
        <w:tab/>
        <w:t>Penner-Hahn,  J.  (1994).  Flexibility  ratios  and  manufacturing    </w:t>
      </w:r>
      <w:r>
        <w:rPr>
          <w:spacing w:val="48"/>
        </w:rPr>
        <w:t> </w:t>
      </w:r>
      <w:r>
        <w:rPr/>
        <w:t>strategy.</w:t>
      </w:r>
    </w:p>
    <w:p>
      <w:pPr>
        <w:spacing w:before="43"/>
        <w:ind w:left="385" w:right="0" w:firstLine="0"/>
        <w:jc w:val="left"/>
        <w:rPr>
          <w:sz w:val="24"/>
        </w:rPr>
      </w:pPr>
      <w:r>
        <w:rPr>
          <w:i/>
          <w:sz w:val="24"/>
        </w:rPr>
        <w:t>Management Science </w:t>
      </w:r>
      <w:r>
        <w:rPr>
          <w:sz w:val="24"/>
        </w:rPr>
        <w:t>40 (11) pp. 1444-1454.</w:t>
      </w:r>
    </w:p>
    <w:p>
      <w:pPr>
        <w:pStyle w:val="BodyText"/>
        <w:spacing w:before="10"/>
        <w:rPr>
          <w:sz w:val="20"/>
        </w:rPr>
      </w:pPr>
    </w:p>
    <w:p>
      <w:pPr>
        <w:spacing w:line="276" w:lineRule="auto" w:before="0"/>
        <w:ind w:left="385" w:right="123" w:hanging="284"/>
        <w:jc w:val="left"/>
        <w:rPr>
          <w:sz w:val="24"/>
        </w:rPr>
      </w:pPr>
      <w:r>
        <w:rPr>
          <w:sz w:val="24"/>
        </w:rPr>
        <w:t>Farné, S. (2003) </w:t>
      </w:r>
      <w:r>
        <w:rPr>
          <w:i/>
          <w:sz w:val="24"/>
        </w:rPr>
        <w:t>Estudio sobre la calidad del empleo en Colombia</w:t>
      </w:r>
      <w:r>
        <w:rPr>
          <w:sz w:val="24"/>
        </w:rPr>
        <w:t>. Lima, Perú: OIT / Oficina subregional para los países Andinos.</w:t>
      </w:r>
    </w:p>
    <w:p>
      <w:pPr>
        <w:pStyle w:val="BodyText"/>
        <w:spacing w:line="276" w:lineRule="auto" w:before="202"/>
        <w:ind w:left="385" w:right="123" w:hanging="284"/>
      </w:pPr>
      <w:r>
        <w:rPr/>
        <w:t>Freeman, L. (1979). Centrality in Social Networksconceptual clarification.  </w:t>
      </w:r>
      <w:r>
        <w:rPr>
          <w:i/>
        </w:rPr>
        <w:t>Social </w:t>
      </w:r>
      <w:r>
        <w:rPr>
          <w:i/>
        </w:rPr>
        <w:t>Networks. </w:t>
      </w:r>
      <w:r>
        <w:rPr/>
        <w:t>(1) pp. 215-239.</w:t>
      </w:r>
    </w:p>
    <w:p>
      <w:pPr>
        <w:spacing w:before="202"/>
        <w:ind w:left="102" w:right="0" w:firstLine="0"/>
        <w:jc w:val="left"/>
        <w:rPr>
          <w:i/>
          <w:sz w:val="24"/>
        </w:rPr>
      </w:pPr>
      <w:r>
        <w:rPr>
          <w:sz w:val="24"/>
        </w:rPr>
        <w:t>Freeman, R. (1994). </w:t>
      </w:r>
      <w:r>
        <w:rPr>
          <w:i/>
          <w:sz w:val="24"/>
        </w:rPr>
        <w:t>Mercados de trabajo en acción. Ensayos sobre economía empírica.</w:t>
      </w:r>
    </w:p>
    <w:p>
      <w:pPr>
        <w:pStyle w:val="BodyText"/>
        <w:spacing w:before="41"/>
        <w:ind w:left="385"/>
      </w:pPr>
      <w:r>
        <w:rPr/>
        <w:t>Madrid, España: Ministerio de Trabajo y Seguridad Social.</w:t>
      </w:r>
    </w:p>
    <w:p>
      <w:pPr>
        <w:pStyle w:val="BodyText"/>
        <w:rPr>
          <w:sz w:val="21"/>
        </w:rPr>
      </w:pPr>
    </w:p>
    <w:p>
      <w:pPr>
        <w:spacing w:line="276" w:lineRule="auto" w:before="1"/>
        <w:ind w:left="385" w:right="123" w:hanging="284"/>
        <w:jc w:val="left"/>
        <w:rPr>
          <w:sz w:val="24"/>
        </w:rPr>
      </w:pPr>
      <w:r>
        <w:rPr>
          <w:sz w:val="24"/>
        </w:rPr>
        <w:t>García, J. (2001). </w:t>
      </w:r>
      <w:r>
        <w:rPr>
          <w:i/>
          <w:sz w:val="24"/>
        </w:rPr>
        <w:t>La cultura de la Universidad del nuevo milenio</w:t>
      </w:r>
      <w:r>
        <w:rPr>
          <w:sz w:val="24"/>
        </w:rPr>
        <w:t>. Estudios sobre las culturas contemporáneas . Vol. VII (13) pp.75-96.</w:t>
      </w:r>
    </w:p>
    <w:p>
      <w:pPr>
        <w:spacing w:line="278" w:lineRule="auto" w:before="200"/>
        <w:ind w:left="385" w:right="0" w:hanging="284"/>
        <w:jc w:val="left"/>
        <w:rPr>
          <w:sz w:val="24"/>
        </w:rPr>
      </w:pPr>
      <w:r>
        <w:rPr>
          <w:sz w:val="24"/>
        </w:rPr>
        <w:t>García, S. (1994). </w:t>
      </w:r>
      <w:r>
        <w:rPr>
          <w:i/>
          <w:sz w:val="24"/>
        </w:rPr>
        <w:t>Introducción a la economía de la empresa. </w:t>
      </w:r>
      <w:r>
        <w:rPr>
          <w:sz w:val="24"/>
        </w:rPr>
        <w:t>Madrid, España: Ediciones Diaz Santos.</w:t>
      </w:r>
    </w:p>
    <w:p>
      <w:pPr>
        <w:pStyle w:val="BodyText"/>
        <w:spacing w:line="276" w:lineRule="auto" w:before="197"/>
        <w:ind w:left="385" w:right="118" w:hanging="284"/>
        <w:jc w:val="both"/>
      </w:pPr>
      <w:r>
        <w:rPr/>
        <w:t>Gee, S., Tung-Chun, H. y Li-Husan, H. (2006) Establishment and application of a labor quality index: The case of Taiwan's manufacturing industry. </w:t>
      </w:r>
      <w:r>
        <w:rPr>
          <w:i/>
        </w:rPr>
        <w:t>Social Indicator Research </w:t>
      </w:r>
      <w:r>
        <w:rPr/>
        <w:t>79 (1) pp. 61-93.</w:t>
      </w:r>
    </w:p>
    <w:p>
      <w:pPr>
        <w:spacing w:line="278" w:lineRule="auto" w:before="200"/>
        <w:ind w:left="385" w:right="123" w:hanging="284"/>
        <w:jc w:val="left"/>
        <w:rPr>
          <w:sz w:val="24"/>
        </w:rPr>
      </w:pPr>
      <w:r>
        <w:rPr>
          <w:sz w:val="24"/>
        </w:rPr>
        <w:t>Geráld-Destinobles, A. (2006). </w:t>
      </w:r>
      <w:r>
        <w:rPr>
          <w:i/>
          <w:sz w:val="24"/>
        </w:rPr>
        <w:t>El capital Humano en las teorías del crecimiento </w:t>
      </w:r>
      <w:r>
        <w:rPr>
          <w:i/>
          <w:sz w:val="24"/>
        </w:rPr>
        <w:t>económico. </w:t>
      </w:r>
      <w:r>
        <w:rPr>
          <w:sz w:val="24"/>
        </w:rPr>
        <w:t>Chihuahua, México: Eumed.net.</w:t>
      </w:r>
    </w:p>
    <w:p>
      <w:pPr>
        <w:spacing w:after="0" w:line="278" w:lineRule="auto"/>
        <w:jc w:val="left"/>
        <w:rPr>
          <w:sz w:val="24"/>
        </w:rPr>
        <w:sectPr>
          <w:pgSz w:w="12240" w:h="15840"/>
          <w:pgMar w:header="0" w:footer="1003" w:top="1360" w:bottom="1200" w:left="1600" w:right="1580"/>
        </w:sectPr>
      </w:pPr>
    </w:p>
    <w:p>
      <w:pPr>
        <w:spacing w:line="276" w:lineRule="auto" w:before="50"/>
        <w:ind w:left="385" w:right="121" w:hanging="284"/>
        <w:jc w:val="both"/>
        <w:rPr>
          <w:sz w:val="24"/>
        </w:rPr>
      </w:pPr>
      <w:r>
        <w:rPr>
          <w:sz w:val="24"/>
        </w:rPr>
        <w:t>Ghazzawi, I. (2010). The next generation of entrepreneurs: A reflection of a college outreach business program for High School Students. </w:t>
      </w:r>
      <w:r>
        <w:rPr>
          <w:i/>
          <w:sz w:val="24"/>
        </w:rPr>
        <w:t>Journal of Entrepreneurship </w:t>
      </w:r>
      <w:r>
        <w:rPr>
          <w:i/>
          <w:sz w:val="24"/>
        </w:rPr>
        <w:t>Education . </w:t>
      </w:r>
      <w:r>
        <w:rPr>
          <w:sz w:val="24"/>
        </w:rPr>
        <w:t>13 pp. 9-35.</w:t>
      </w:r>
    </w:p>
    <w:p>
      <w:pPr>
        <w:spacing w:line="278" w:lineRule="auto" w:before="200"/>
        <w:ind w:left="385" w:right="122" w:hanging="284"/>
        <w:jc w:val="both"/>
        <w:rPr>
          <w:sz w:val="24"/>
        </w:rPr>
      </w:pPr>
      <w:r>
        <w:rPr>
          <w:sz w:val="24"/>
        </w:rPr>
        <w:t>Gómez, F., Borra. C., Gil, M. y Salas, M. (2008). </w:t>
      </w:r>
      <w:r>
        <w:rPr>
          <w:i/>
          <w:sz w:val="24"/>
        </w:rPr>
        <w:t>La duración del primer desempleo en: La </w:t>
      </w:r>
      <w:r>
        <w:rPr>
          <w:i/>
          <w:sz w:val="24"/>
        </w:rPr>
        <w:t>inserción laboral de los economistas. </w:t>
      </w:r>
      <w:r>
        <w:rPr>
          <w:sz w:val="24"/>
        </w:rPr>
        <w:t>Navarra, España: Thomson. pp. 39-63.</w:t>
      </w:r>
    </w:p>
    <w:p>
      <w:pPr>
        <w:spacing w:line="278" w:lineRule="auto" w:before="197"/>
        <w:ind w:left="385" w:right="118" w:hanging="284"/>
        <w:jc w:val="both"/>
        <w:rPr>
          <w:sz w:val="24"/>
        </w:rPr>
      </w:pPr>
      <w:r>
        <w:rPr>
          <w:sz w:val="24"/>
        </w:rPr>
        <w:t>Gómez, M. (2004). Reflexiones sobre el concepto de embeddedness. </w:t>
      </w:r>
      <w:r>
        <w:rPr>
          <w:i/>
          <w:sz w:val="24"/>
        </w:rPr>
        <w:t>Polis: Investigación y </w:t>
      </w:r>
      <w:r>
        <w:rPr>
          <w:i/>
          <w:sz w:val="24"/>
        </w:rPr>
        <w:t>Análisis Sociopolítico y Psicosocial </w:t>
      </w:r>
      <w:r>
        <w:rPr>
          <w:sz w:val="24"/>
        </w:rPr>
        <w:t>2(4) pp. 145-164</w:t>
      </w:r>
    </w:p>
    <w:p>
      <w:pPr>
        <w:pStyle w:val="BodyText"/>
        <w:spacing w:line="276" w:lineRule="auto" w:before="197"/>
        <w:ind w:left="385" w:right="116" w:hanging="284"/>
        <w:jc w:val="both"/>
      </w:pPr>
      <w:r>
        <w:rPr/>
        <w:t>González, D. (2008). La influencia del capital relacional. innovación tecnológica y orientación al mercado sobre los resultados empresariales en empresas de alta tecnología. Un modelo conceptual. </w:t>
      </w:r>
      <w:r>
        <w:rPr>
          <w:i/>
        </w:rPr>
        <w:t>Pensamiento y Gestión. </w:t>
      </w:r>
      <w:r>
        <w:rPr/>
        <w:t>Universidad del Norte . 25 pp.113-138.</w:t>
      </w:r>
    </w:p>
    <w:p>
      <w:pPr>
        <w:pStyle w:val="BodyText"/>
        <w:spacing w:line="278" w:lineRule="auto" w:before="200"/>
        <w:ind w:left="385" w:right="120" w:hanging="284"/>
        <w:jc w:val="both"/>
      </w:pPr>
      <w:r>
        <w:rPr/>
        <w:t>González, X., González, X. y Miles, D. (2001). A transición da universidade ó traballo: Unha aproximación empírica. </w:t>
      </w:r>
      <w:r>
        <w:rPr>
          <w:i/>
        </w:rPr>
        <w:t>Revista Galega de Economía</w:t>
      </w:r>
      <w:r>
        <w:rPr/>
        <w:t>. 10 pp.177-192.</w:t>
      </w:r>
    </w:p>
    <w:p>
      <w:pPr>
        <w:spacing w:line="276" w:lineRule="auto" w:before="197"/>
        <w:ind w:left="385" w:right="120" w:hanging="284"/>
        <w:jc w:val="both"/>
        <w:rPr>
          <w:sz w:val="24"/>
        </w:rPr>
      </w:pPr>
      <w:r>
        <w:rPr>
          <w:sz w:val="24"/>
        </w:rPr>
        <w:t>Granados, J. y Vences J. (2011) </w:t>
      </w:r>
      <w:r>
        <w:rPr>
          <w:i/>
          <w:sz w:val="24"/>
        </w:rPr>
        <w:t>Construyendo un indicador para medir la calidad del </w:t>
      </w:r>
      <w:r>
        <w:rPr>
          <w:i/>
          <w:sz w:val="24"/>
        </w:rPr>
        <w:t>empleo en el tiempo en las ciudades de México. </w:t>
      </w:r>
      <w:r>
        <w:rPr>
          <w:sz w:val="24"/>
        </w:rPr>
        <w:t>Universidad Autónoma del Estado de Hidalgo.</w:t>
      </w:r>
    </w:p>
    <w:p>
      <w:pPr>
        <w:tabs>
          <w:tab w:pos="1198" w:val="left" w:leader="none"/>
          <w:tab w:pos="2025" w:val="left" w:leader="none"/>
          <w:tab w:pos="2841" w:val="left" w:leader="none"/>
          <w:tab w:pos="4470" w:val="left" w:leader="none"/>
          <w:tab w:pos="5760" w:val="left" w:leader="none"/>
          <w:tab w:pos="6684" w:val="left" w:leader="none"/>
          <w:tab w:pos="7857" w:val="left" w:leader="none"/>
        </w:tabs>
        <w:spacing w:line="276" w:lineRule="auto" w:before="200"/>
        <w:ind w:left="102" w:right="117" w:firstLine="0"/>
        <w:jc w:val="right"/>
        <w:rPr>
          <w:sz w:val="24"/>
        </w:rPr>
      </w:pPr>
      <w:r>
        <w:rPr>
          <w:sz w:val="24"/>
        </w:rPr>
        <w:t>Guthrie, J., Boedker, C., y Cuganesan, S. (2005). </w:t>
      </w:r>
      <w:r>
        <w:rPr>
          <w:i/>
          <w:sz w:val="24"/>
        </w:rPr>
        <w:t>Making (In)visible:</w:t>
      </w:r>
      <w:r>
        <w:rPr>
          <w:i/>
          <w:spacing w:val="10"/>
          <w:sz w:val="24"/>
        </w:rPr>
        <w:t> </w:t>
      </w:r>
      <w:r>
        <w:rPr>
          <w:i/>
          <w:sz w:val="24"/>
        </w:rPr>
        <w:t>A tringulation of</w:t>
      </w:r>
      <w:r>
        <w:rPr>
          <w:i/>
          <w:spacing w:val="16"/>
          <w:sz w:val="24"/>
        </w:rPr>
        <w:t> </w:t>
      </w:r>
      <w:r>
        <w:rPr>
          <w:i/>
          <w:sz w:val="24"/>
        </w:rPr>
        <w:t>An</w:t>
      </w:r>
      <w:r>
        <w:rPr>
          <w:i/>
          <w:sz w:val="24"/>
        </w:rPr>
        <w:t> Australia</w:t>
        <w:tab/>
        <w:t>Public</w:t>
        <w:tab/>
        <w:t>Sector</w:t>
        <w:tab/>
        <w:t>Organisation's</w:t>
        <w:tab/>
        <w:t>Intellectual</w:t>
        <w:tab/>
        <w:t>Capital</w:t>
        <w:tab/>
        <w:t>Practices.</w:t>
        <w:tab/>
      </w:r>
      <w:r>
        <w:rPr>
          <w:spacing w:val="-1"/>
          <w:sz w:val="24"/>
        </w:rPr>
        <w:t>Eropean </w:t>
      </w:r>
      <w:r>
        <w:rPr>
          <w:sz w:val="24"/>
        </w:rPr>
        <w:t>Accounting Association's 28th Annual Congress. Goteborg. 18-20 May. 2005.</w:t>
      </w:r>
      <w:r>
        <w:rPr>
          <w:spacing w:val="-15"/>
          <w:sz w:val="24"/>
        </w:rPr>
        <w:t> </w:t>
      </w:r>
      <w:r>
        <w:rPr>
          <w:sz w:val="24"/>
        </w:rPr>
        <w:t>Goteborg.</w:t>
      </w:r>
    </w:p>
    <w:p>
      <w:pPr>
        <w:pStyle w:val="BodyText"/>
        <w:spacing w:line="278" w:lineRule="auto" w:before="200"/>
        <w:ind w:left="385" w:right="121" w:hanging="284"/>
        <w:jc w:val="both"/>
      </w:pPr>
      <w:r>
        <w:rPr/>
        <w:t>Hagedoorn, J. (2006). Understanding the cross-level embededness of interfirm partnership formation. </w:t>
      </w:r>
      <w:r>
        <w:rPr>
          <w:i/>
        </w:rPr>
        <w:t>Academy of Management Review</w:t>
      </w:r>
      <w:r>
        <w:rPr/>
        <w:t>. 31 (3) pp. 670-680.</w:t>
      </w:r>
    </w:p>
    <w:p>
      <w:pPr>
        <w:pStyle w:val="BodyText"/>
        <w:spacing w:before="197"/>
        <w:ind w:left="102"/>
      </w:pPr>
      <w:r>
        <w:rPr/>
        <w:t>Hall, R., y Taylor, J. (1992). </w:t>
      </w:r>
      <w:r>
        <w:rPr>
          <w:i/>
        </w:rPr>
        <w:t>Macroeconomía</w:t>
      </w:r>
      <w:r>
        <w:rPr/>
        <w:t>. Barcelona, España: Editor Antoni Bosch.</w:t>
      </w:r>
    </w:p>
    <w:p>
      <w:pPr>
        <w:pStyle w:val="BodyText"/>
        <w:spacing w:before="3"/>
        <w:rPr>
          <w:sz w:val="31"/>
        </w:rPr>
      </w:pPr>
    </w:p>
    <w:p>
      <w:pPr>
        <w:spacing w:line="276" w:lineRule="auto" w:before="0"/>
        <w:ind w:left="385" w:right="117" w:hanging="284"/>
        <w:jc w:val="both"/>
        <w:rPr>
          <w:sz w:val="24"/>
        </w:rPr>
      </w:pPr>
      <w:r>
        <w:rPr>
          <w:sz w:val="24"/>
        </w:rPr>
        <w:t>Hans-Georg, K. y Pereyra, M. (2009). La experiencia del Pisa en Alemania: Recepción. reformas recientes y reflexiones sobre un sistema educativo en cambio. </w:t>
      </w:r>
      <w:r>
        <w:rPr>
          <w:i/>
          <w:sz w:val="24"/>
        </w:rPr>
        <w:t>Revista de </w:t>
      </w:r>
      <w:r>
        <w:rPr>
          <w:i/>
          <w:sz w:val="24"/>
        </w:rPr>
        <w:t>Currículum y Formación de Profesorado</w:t>
      </w:r>
      <w:r>
        <w:rPr>
          <w:sz w:val="24"/>
        </w:rPr>
        <w:t>. Vol. 13 (2) pp.1-24.</w:t>
      </w:r>
    </w:p>
    <w:p>
      <w:pPr>
        <w:pStyle w:val="BodyText"/>
        <w:spacing w:before="10"/>
        <w:rPr>
          <w:sz w:val="27"/>
        </w:rPr>
      </w:pPr>
    </w:p>
    <w:p>
      <w:pPr>
        <w:spacing w:line="276" w:lineRule="auto" w:before="0"/>
        <w:ind w:left="385" w:right="120" w:hanging="284"/>
        <w:jc w:val="both"/>
        <w:rPr>
          <w:sz w:val="24"/>
        </w:rPr>
      </w:pPr>
      <w:r>
        <w:rPr>
          <w:sz w:val="24"/>
        </w:rPr>
        <w:t>Harrison, B. y Sum, A. (1979). The theory of "dual" or segmented labor markets. </w:t>
      </w:r>
      <w:r>
        <w:rPr>
          <w:i/>
          <w:sz w:val="24"/>
        </w:rPr>
        <w:t>Journal  </w:t>
      </w:r>
      <w:r>
        <w:rPr>
          <w:i/>
          <w:sz w:val="24"/>
        </w:rPr>
        <w:t>of economic Issues. </w:t>
      </w:r>
      <w:r>
        <w:rPr>
          <w:sz w:val="24"/>
        </w:rPr>
        <w:t>13 (3) pp.</w:t>
      </w:r>
      <w:r>
        <w:rPr>
          <w:spacing w:val="-5"/>
          <w:sz w:val="24"/>
        </w:rPr>
        <w:t> </w:t>
      </w:r>
      <w:r>
        <w:rPr>
          <w:sz w:val="24"/>
        </w:rPr>
        <w:t>687-706.</w:t>
      </w:r>
    </w:p>
    <w:p>
      <w:pPr>
        <w:pStyle w:val="BodyText"/>
        <w:spacing w:before="7"/>
        <w:rPr>
          <w:sz w:val="27"/>
        </w:rPr>
      </w:pPr>
    </w:p>
    <w:p>
      <w:pPr>
        <w:spacing w:line="276" w:lineRule="auto" w:before="0"/>
        <w:ind w:left="385" w:right="115" w:hanging="284"/>
        <w:jc w:val="both"/>
        <w:rPr>
          <w:sz w:val="24"/>
        </w:rPr>
      </w:pPr>
      <w:r>
        <w:rPr>
          <w:sz w:val="24"/>
        </w:rPr>
        <w:t>Hernández, O. (1998) </w:t>
      </w:r>
      <w:r>
        <w:rPr>
          <w:i/>
          <w:sz w:val="24"/>
        </w:rPr>
        <w:t>Temas de análisis estadístico multivariado. </w:t>
      </w:r>
      <w:r>
        <w:rPr>
          <w:sz w:val="24"/>
        </w:rPr>
        <w:t>1ª Edic. San José, Costa Rica: Editorial de la Universidad de Costa Rica.</w:t>
      </w:r>
    </w:p>
    <w:p>
      <w:pPr>
        <w:pStyle w:val="BodyText"/>
        <w:spacing w:before="9"/>
        <w:rPr>
          <w:sz w:val="27"/>
        </w:rPr>
      </w:pPr>
    </w:p>
    <w:p>
      <w:pPr>
        <w:pStyle w:val="BodyText"/>
        <w:spacing w:line="276" w:lineRule="auto"/>
        <w:ind w:left="385" w:right="118" w:hanging="284"/>
        <w:jc w:val="both"/>
      </w:pPr>
      <w:r>
        <w:rPr/>
        <w:t>Izura, T., y Montesino, B. (2010). Un concepto explicativo de la realidad laboral: Trabajo Decente. </w:t>
      </w:r>
      <w:r>
        <w:rPr>
          <w:i/>
        </w:rPr>
        <w:t>Revist Reid</w:t>
      </w:r>
      <w:r>
        <w:rPr/>
        <w:t>. INEDITO.</w:t>
      </w:r>
    </w:p>
    <w:p>
      <w:pPr>
        <w:spacing w:after="0" w:line="276" w:lineRule="auto"/>
        <w:jc w:val="both"/>
        <w:sectPr>
          <w:pgSz w:w="12240" w:h="15840"/>
          <w:pgMar w:header="0" w:footer="1003" w:top="1360" w:bottom="1200" w:left="1600" w:right="1580"/>
        </w:sectPr>
      </w:pPr>
    </w:p>
    <w:p>
      <w:pPr>
        <w:pStyle w:val="BodyText"/>
        <w:spacing w:line="276" w:lineRule="auto" w:before="50"/>
        <w:ind w:left="385" w:right="117" w:hanging="284"/>
        <w:jc w:val="both"/>
      </w:pPr>
      <w:r>
        <w:rPr/>
        <w:t>Jacinto, C. (2006). Estrategias sistémicas y subjetivas de transición laboral de los jóvenes  en Argentina. El papel de los dispositivos de formación para el empleo. </w:t>
      </w:r>
      <w:r>
        <w:rPr>
          <w:i/>
        </w:rPr>
        <w:t>Revista de </w:t>
      </w:r>
      <w:r>
        <w:rPr>
          <w:i/>
        </w:rPr>
        <w:t>educación</w:t>
      </w:r>
      <w:r>
        <w:rPr/>
        <w:t>. 341 pp.</w:t>
      </w:r>
      <w:r>
        <w:rPr>
          <w:spacing w:val="-2"/>
        </w:rPr>
        <w:t> </w:t>
      </w:r>
      <w:r>
        <w:rPr/>
        <w:t>57-79.</w:t>
      </w:r>
    </w:p>
    <w:p>
      <w:pPr>
        <w:pStyle w:val="BodyText"/>
        <w:spacing w:before="7"/>
        <w:rPr>
          <w:sz w:val="27"/>
        </w:rPr>
      </w:pPr>
    </w:p>
    <w:p>
      <w:pPr>
        <w:pStyle w:val="BodyText"/>
        <w:spacing w:line="276" w:lineRule="auto"/>
        <w:ind w:left="385" w:right="116" w:hanging="284"/>
        <w:jc w:val="both"/>
      </w:pPr>
      <w:r>
        <w:rPr/>
        <w:t>Kent, R. (2005). La dialéctica de la esperanza y la desilución en políticas de Educación Superior en México. </w:t>
      </w:r>
      <w:r>
        <w:rPr>
          <w:i/>
        </w:rPr>
        <w:t>Revista de la Educación Superior</w:t>
      </w:r>
      <w:r>
        <w:rPr/>
        <w:t>. Vol. XXXIV (2) (134) pp. 63- 79.</w:t>
      </w:r>
    </w:p>
    <w:p>
      <w:pPr>
        <w:pStyle w:val="BodyText"/>
        <w:spacing w:before="7"/>
        <w:rPr>
          <w:sz w:val="27"/>
        </w:rPr>
      </w:pPr>
    </w:p>
    <w:p>
      <w:pPr>
        <w:spacing w:line="278" w:lineRule="auto" w:before="0"/>
        <w:ind w:left="385" w:right="115" w:hanging="284"/>
        <w:jc w:val="both"/>
        <w:rPr>
          <w:sz w:val="24"/>
        </w:rPr>
      </w:pPr>
      <w:r>
        <w:rPr>
          <w:sz w:val="24"/>
        </w:rPr>
        <w:t>Kerr, C. (1954) Industrial conflict and its mediation. </w:t>
      </w:r>
      <w:r>
        <w:rPr>
          <w:i/>
          <w:sz w:val="24"/>
        </w:rPr>
        <w:t>American Journal of Sociology</w:t>
      </w:r>
      <w:r>
        <w:rPr>
          <w:sz w:val="24"/>
        </w:rPr>
        <w:t>. 60 (3) pp. 230-245.</w:t>
      </w:r>
    </w:p>
    <w:p>
      <w:pPr>
        <w:pStyle w:val="BodyText"/>
        <w:spacing w:before="5"/>
        <w:rPr>
          <w:sz w:val="27"/>
        </w:rPr>
      </w:pPr>
    </w:p>
    <w:p>
      <w:pPr>
        <w:spacing w:line="276" w:lineRule="auto" w:before="0"/>
        <w:ind w:left="385" w:right="121" w:hanging="284"/>
        <w:jc w:val="both"/>
        <w:rPr>
          <w:sz w:val="24"/>
        </w:rPr>
      </w:pPr>
      <w:r>
        <w:rPr>
          <w:sz w:val="24"/>
        </w:rPr>
        <w:t>Kidwell, L., y Kent, J. (2008). Integrity at a distance: A study of academic misconduct among university students on and off campus. </w:t>
      </w:r>
      <w:r>
        <w:rPr>
          <w:i/>
          <w:sz w:val="24"/>
        </w:rPr>
        <w:t>Accounting Education: An International </w:t>
      </w:r>
      <w:r>
        <w:rPr>
          <w:i/>
          <w:sz w:val="24"/>
        </w:rPr>
        <w:t>Journal</w:t>
      </w:r>
      <w:r>
        <w:rPr>
          <w:sz w:val="24"/>
        </w:rPr>
        <w:t>. 17 pp. S3-S16.</w:t>
      </w:r>
    </w:p>
    <w:p>
      <w:pPr>
        <w:pStyle w:val="BodyText"/>
        <w:spacing w:before="7"/>
        <w:rPr>
          <w:sz w:val="27"/>
        </w:rPr>
      </w:pPr>
    </w:p>
    <w:p>
      <w:pPr>
        <w:spacing w:line="276" w:lineRule="auto" w:before="0"/>
        <w:ind w:left="385" w:right="119" w:hanging="284"/>
        <w:jc w:val="both"/>
        <w:rPr>
          <w:sz w:val="24"/>
        </w:rPr>
      </w:pPr>
      <w:r>
        <w:rPr>
          <w:sz w:val="24"/>
        </w:rPr>
        <w:t>Kotz, D. (2009). The financial and economic crisis of 2008: A systematic crisis of neoliberal capitalism. </w:t>
      </w:r>
      <w:r>
        <w:rPr>
          <w:i/>
          <w:sz w:val="24"/>
        </w:rPr>
        <w:t>Review of radical political economics</w:t>
      </w:r>
      <w:r>
        <w:rPr>
          <w:sz w:val="24"/>
        </w:rPr>
        <w:t>. pp.</w:t>
      </w:r>
      <w:r>
        <w:rPr>
          <w:spacing w:val="-14"/>
          <w:sz w:val="24"/>
        </w:rPr>
        <w:t> </w:t>
      </w:r>
      <w:r>
        <w:rPr>
          <w:sz w:val="24"/>
        </w:rPr>
        <w:t>305-317.</w:t>
      </w:r>
    </w:p>
    <w:p>
      <w:pPr>
        <w:pStyle w:val="BodyText"/>
        <w:spacing w:before="9"/>
        <w:rPr>
          <w:sz w:val="27"/>
        </w:rPr>
      </w:pPr>
    </w:p>
    <w:p>
      <w:pPr>
        <w:pStyle w:val="BodyText"/>
        <w:ind w:left="102"/>
      </w:pPr>
      <w:r>
        <w:rPr/>
        <w:t>Kuder,  G.  y  Richardson,  M.  (1937)  The  theory  of  the  estimation  of  test   </w:t>
      </w:r>
      <w:r>
        <w:rPr>
          <w:spacing w:val="54"/>
        </w:rPr>
        <w:t> </w:t>
      </w:r>
      <w:r>
        <w:rPr/>
        <w:t>reliability.</w:t>
      </w:r>
    </w:p>
    <w:p>
      <w:pPr>
        <w:spacing w:before="41"/>
        <w:ind w:left="385" w:right="0" w:firstLine="0"/>
        <w:jc w:val="left"/>
        <w:rPr>
          <w:sz w:val="24"/>
        </w:rPr>
      </w:pPr>
      <w:r>
        <w:rPr>
          <w:i/>
          <w:sz w:val="24"/>
        </w:rPr>
        <w:t>Psychometrika </w:t>
      </w:r>
      <w:r>
        <w:rPr>
          <w:sz w:val="24"/>
        </w:rPr>
        <w:t>2 (3) pp. 151-160.</w:t>
      </w:r>
    </w:p>
    <w:p>
      <w:pPr>
        <w:pStyle w:val="BodyText"/>
        <w:spacing w:before="1"/>
        <w:rPr>
          <w:sz w:val="31"/>
        </w:rPr>
      </w:pPr>
    </w:p>
    <w:p>
      <w:pPr>
        <w:pStyle w:val="BodyText"/>
        <w:spacing w:line="278" w:lineRule="auto"/>
        <w:ind w:left="385" w:right="115" w:hanging="284"/>
        <w:jc w:val="both"/>
      </w:pPr>
      <w:r>
        <w:rPr/>
        <w:t>Lagos, R. (1994). ¿Qué se entiende por flexibilidad del mercado de trabajo?. </w:t>
      </w:r>
      <w:r>
        <w:rPr>
          <w:i/>
        </w:rPr>
        <w:t>Revista de la </w:t>
      </w:r>
      <w:r>
        <w:rPr>
          <w:i/>
        </w:rPr>
        <w:t>CEPAL. </w:t>
      </w:r>
      <w:r>
        <w:rPr/>
        <w:t>54 pp. 81-95.</w:t>
      </w:r>
    </w:p>
    <w:p>
      <w:pPr>
        <w:pStyle w:val="BodyText"/>
        <w:spacing w:before="4"/>
        <w:rPr>
          <w:sz w:val="27"/>
        </w:rPr>
      </w:pPr>
    </w:p>
    <w:p>
      <w:pPr>
        <w:spacing w:line="276" w:lineRule="auto" w:before="0"/>
        <w:ind w:left="385" w:right="117" w:hanging="284"/>
        <w:jc w:val="both"/>
        <w:rPr>
          <w:sz w:val="24"/>
        </w:rPr>
      </w:pPr>
      <w:r>
        <w:rPr>
          <w:sz w:val="24"/>
        </w:rPr>
        <w:t>Lawshe, C. (1975) A quantitative approach to content validity. </w:t>
      </w:r>
      <w:r>
        <w:rPr>
          <w:i/>
          <w:sz w:val="24"/>
        </w:rPr>
        <w:t>Personnel Psychology. </w:t>
      </w:r>
      <w:r>
        <w:rPr>
          <w:sz w:val="24"/>
        </w:rPr>
        <w:t>28 pp. 563-575.</w:t>
      </w:r>
    </w:p>
    <w:p>
      <w:pPr>
        <w:pStyle w:val="BodyText"/>
        <w:spacing w:line="276" w:lineRule="auto" w:before="3"/>
        <w:ind w:left="385" w:right="116" w:hanging="284"/>
        <w:jc w:val="both"/>
      </w:pPr>
      <w:r>
        <w:rPr/>
        <w:t>León, A. (2004). Un modelo de vinculación universidad-PYME-administración pública  para la creación de centros de desarrollo productivo en la costa caribe de Colombia. </w:t>
      </w:r>
      <w:r>
        <w:rPr>
          <w:i/>
        </w:rPr>
        <w:t>Ingeniería y Desarrollo. Universidad del Norte</w:t>
      </w:r>
      <w:r>
        <w:rPr/>
        <w:t>. 15 pp.</w:t>
      </w:r>
      <w:r>
        <w:rPr>
          <w:spacing w:val="-6"/>
        </w:rPr>
        <w:t> </w:t>
      </w:r>
      <w:r>
        <w:rPr/>
        <w:t>84-115.</w:t>
      </w:r>
    </w:p>
    <w:p>
      <w:pPr>
        <w:pStyle w:val="BodyText"/>
        <w:spacing w:before="9"/>
        <w:rPr>
          <w:sz w:val="27"/>
        </w:rPr>
      </w:pPr>
    </w:p>
    <w:p>
      <w:pPr>
        <w:spacing w:line="276" w:lineRule="auto" w:before="0"/>
        <w:ind w:left="385" w:right="121" w:hanging="284"/>
        <w:jc w:val="both"/>
        <w:rPr>
          <w:sz w:val="24"/>
        </w:rPr>
      </w:pPr>
      <w:r>
        <w:rPr>
          <w:sz w:val="24"/>
        </w:rPr>
        <w:t>Levine, S. y White, P. (1960) Exchange as a conceptual framework for the study of interorganizational relationships. </w:t>
      </w:r>
      <w:r>
        <w:rPr>
          <w:i/>
          <w:sz w:val="24"/>
        </w:rPr>
        <w:t>Administrative Science Quarterly. </w:t>
      </w:r>
      <w:r>
        <w:rPr>
          <w:sz w:val="24"/>
        </w:rPr>
        <w:t>5 pp. 583-601.</w:t>
      </w:r>
    </w:p>
    <w:p>
      <w:pPr>
        <w:pStyle w:val="BodyText"/>
        <w:spacing w:before="7"/>
        <w:rPr>
          <w:sz w:val="27"/>
        </w:rPr>
      </w:pPr>
    </w:p>
    <w:p>
      <w:pPr>
        <w:pStyle w:val="BodyText"/>
        <w:spacing w:line="276" w:lineRule="auto" w:before="1"/>
        <w:ind w:left="385" w:right="117" w:hanging="284"/>
        <w:jc w:val="both"/>
      </w:pPr>
      <w:r>
        <w:rPr/>
        <w:t>Liu, O. (2011). Measuring value-added in higher education: conditions and caveats  – results from using the Measure of Academic Proficiency and Progress (MAPP™). </w:t>
      </w:r>
      <w:r>
        <w:rPr>
          <w:i/>
        </w:rPr>
        <w:t>Assessment &amp; Evaluation in Higher Education</w:t>
      </w:r>
      <w:r>
        <w:rPr/>
        <w:t>. 36 (1) pp.81-94.</w:t>
      </w:r>
    </w:p>
    <w:p>
      <w:pPr>
        <w:pStyle w:val="BodyText"/>
        <w:spacing w:before="7"/>
        <w:rPr>
          <w:sz w:val="27"/>
        </w:rPr>
      </w:pPr>
    </w:p>
    <w:p>
      <w:pPr>
        <w:spacing w:before="0"/>
        <w:ind w:left="102" w:right="0" w:firstLine="0"/>
        <w:jc w:val="left"/>
        <w:rPr>
          <w:sz w:val="24"/>
        </w:rPr>
      </w:pPr>
      <w:r>
        <w:rPr>
          <w:sz w:val="24"/>
        </w:rPr>
        <w:t>Loría, E. (2001) Los altibajos de la economía mexicana en 2001. </w:t>
      </w:r>
      <w:r>
        <w:rPr>
          <w:i/>
          <w:sz w:val="24"/>
        </w:rPr>
        <w:t>Momento económico.   </w:t>
      </w:r>
      <w:r>
        <w:rPr>
          <w:sz w:val="24"/>
        </w:rPr>
        <w:t>pp.</w:t>
      </w:r>
    </w:p>
    <w:p>
      <w:pPr>
        <w:pStyle w:val="BodyText"/>
        <w:spacing w:before="41"/>
        <w:ind w:left="385"/>
      </w:pPr>
      <w:r>
        <w:rPr/>
        <w:t>57-59.</w:t>
      </w:r>
    </w:p>
    <w:p>
      <w:pPr>
        <w:spacing w:after="0"/>
        <w:sectPr>
          <w:pgSz w:w="12240" w:h="15840"/>
          <w:pgMar w:header="0" w:footer="1003" w:top="1360" w:bottom="1200" w:left="1600" w:right="1580"/>
        </w:sectPr>
      </w:pPr>
    </w:p>
    <w:p>
      <w:pPr>
        <w:pStyle w:val="BodyText"/>
        <w:spacing w:line="278" w:lineRule="auto" w:before="50"/>
        <w:ind w:left="385" w:right="119" w:hanging="284"/>
        <w:jc w:val="both"/>
      </w:pPr>
      <w:r>
        <w:rPr/>
        <w:t>López, M. (2008). El aprendizaje basado en problemas. una propuesta en el contexto de la educación superior en México. </w:t>
      </w:r>
      <w:r>
        <w:rPr>
          <w:i/>
        </w:rPr>
        <w:t>Tiempo de Educar . </w:t>
      </w:r>
      <w:r>
        <w:rPr/>
        <w:t>9 (18) pp. 199-232.</w:t>
      </w:r>
    </w:p>
    <w:p>
      <w:pPr>
        <w:pStyle w:val="BodyText"/>
        <w:spacing w:before="4"/>
        <w:rPr>
          <w:sz w:val="27"/>
        </w:rPr>
      </w:pPr>
    </w:p>
    <w:p>
      <w:pPr>
        <w:spacing w:line="276" w:lineRule="auto" w:before="0"/>
        <w:ind w:left="385" w:right="119" w:hanging="284"/>
        <w:jc w:val="both"/>
        <w:rPr>
          <w:sz w:val="24"/>
        </w:rPr>
      </w:pPr>
      <w:r>
        <w:rPr>
          <w:sz w:val="24"/>
        </w:rPr>
        <w:t>López. M. (2008). </w:t>
      </w:r>
      <w:r>
        <w:rPr>
          <w:i/>
          <w:sz w:val="24"/>
        </w:rPr>
        <w:t>Documentos de investigación del Programa de Doctorado de Economía </w:t>
      </w:r>
      <w:r>
        <w:rPr>
          <w:i/>
          <w:sz w:val="24"/>
        </w:rPr>
        <w:t>Aplicada Universitat Autónoma de Barcelona. </w:t>
      </w:r>
      <w:r>
        <w:rPr>
          <w:sz w:val="24"/>
        </w:rPr>
        <w:t>pp. 1-21.</w:t>
      </w:r>
    </w:p>
    <w:p>
      <w:pPr>
        <w:pStyle w:val="BodyText"/>
        <w:spacing w:before="9"/>
        <w:rPr>
          <w:sz w:val="27"/>
        </w:rPr>
      </w:pPr>
    </w:p>
    <w:p>
      <w:pPr>
        <w:spacing w:line="276" w:lineRule="auto" w:before="0"/>
        <w:ind w:left="385" w:right="117" w:hanging="284"/>
        <w:jc w:val="both"/>
        <w:rPr>
          <w:sz w:val="24"/>
        </w:rPr>
      </w:pPr>
      <w:r>
        <w:rPr>
          <w:sz w:val="24"/>
        </w:rPr>
        <w:t>López, M. (2009). Efectos de la correspondencia entre educación y empleo de los jóvenes en el mercado de trabajo mexicano. </w:t>
      </w:r>
      <w:r>
        <w:rPr>
          <w:i/>
          <w:sz w:val="24"/>
        </w:rPr>
        <w:t>Revista Mexicana de Investigación Educativa</w:t>
      </w:r>
      <w:r>
        <w:rPr>
          <w:sz w:val="24"/>
        </w:rPr>
        <w:t>. 14 (42) pp. 863-887.</w:t>
      </w:r>
    </w:p>
    <w:p>
      <w:pPr>
        <w:pStyle w:val="BodyText"/>
        <w:spacing w:before="9"/>
        <w:rPr>
          <w:sz w:val="27"/>
        </w:rPr>
      </w:pPr>
    </w:p>
    <w:p>
      <w:pPr>
        <w:pStyle w:val="BodyText"/>
        <w:spacing w:line="276" w:lineRule="auto"/>
        <w:ind w:left="385" w:right="121" w:hanging="284"/>
        <w:jc w:val="both"/>
      </w:pPr>
      <w:r>
        <w:rPr/>
        <w:t>López-Calva, L., González, A. y Ortiz, E. (2007) Índice de competitividad social. México, D.F., México: PNUD-Mimeo.</w:t>
      </w:r>
    </w:p>
    <w:p>
      <w:pPr>
        <w:pStyle w:val="BodyText"/>
        <w:spacing w:before="9"/>
        <w:rPr>
          <w:sz w:val="27"/>
        </w:rPr>
      </w:pPr>
    </w:p>
    <w:p>
      <w:pPr>
        <w:pStyle w:val="BodyText"/>
        <w:spacing w:line="276" w:lineRule="auto"/>
        <w:ind w:left="385" w:right="118" w:hanging="284"/>
        <w:jc w:val="both"/>
      </w:pPr>
      <w:r>
        <w:rPr/>
        <w:t>Lorenz, E., Lundvally, B.-A., Valeyre, A. y Holm, J. (2010). Organizational learning and systems of labor market regulation in Europe. </w:t>
      </w:r>
      <w:r>
        <w:rPr>
          <w:i/>
        </w:rPr>
        <w:t>Industrial and Corporate Change</w:t>
      </w:r>
      <w:r>
        <w:rPr/>
        <w:t>. 19 (4) pp. 1141–1173.</w:t>
      </w:r>
    </w:p>
    <w:p>
      <w:pPr>
        <w:pStyle w:val="BodyText"/>
        <w:spacing w:before="7"/>
        <w:rPr>
          <w:sz w:val="27"/>
        </w:rPr>
      </w:pPr>
    </w:p>
    <w:p>
      <w:pPr>
        <w:spacing w:line="276" w:lineRule="auto" w:before="0"/>
        <w:ind w:left="385" w:right="115" w:hanging="284"/>
        <w:jc w:val="both"/>
        <w:rPr>
          <w:sz w:val="24"/>
        </w:rPr>
      </w:pPr>
      <w:r>
        <w:rPr>
          <w:sz w:val="24"/>
        </w:rPr>
        <w:t>Marichal, C. (2003). Auge y decadencia de las empresas estatales en México. 1930-1980: algunas notas sobre la relación histórica entre empresas estatales y endeudamiento externo. México. D.F.: UAM / UNAM EN: Basave, J. y Hernández, M. (2005). </w:t>
      </w:r>
      <w:r>
        <w:rPr>
          <w:i/>
          <w:sz w:val="24"/>
        </w:rPr>
        <w:t>Los </w:t>
      </w:r>
      <w:r>
        <w:rPr>
          <w:i/>
          <w:sz w:val="24"/>
        </w:rPr>
        <w:t>estudios de empresarios y empresas: Una perspectiva Internacional</w:t>
      </w:r>
      <w:r>
        <w:rPr>
          <w:sz w:val="24"/>
        </w:rPr>
        <w:t>.</w:t>
      </w:r>
    </w:p>
    <w:p>
      <w:pPr>
        <w:pStyle w:val="BodyText"/>
        <w:spacing w:before="10"/>
        <w:rPr>
          <w:sz w:val="27"/>
        </w:rPr>
      </w:pPr>
    </w:p>
    <w:p>
      <w:pPr>
        <w:pStyle w:val="BodyText"/>
        <w:spacing w:line="276" w:lineRule="auto"/>
        <w:ind w:left="385" w:right="118" w:hanging="284"/>
        <w:jc w:val="both"/>
      </w:pPr>
      <w:r>
        <w:rPr/>
        <w:t>Marsden, P. (1994). The Hiring Process: Recruitment Methods American. </w:t>
      </w:r>
      <w:r>
        <w:rPr>
          <w:i/>
        </w:rPr>
        <w:t>Behavioral </w:t>
      </w:r>
      <w:r>
        <w:rPr>
          <w:i/>
        </w:rPr>
        <w:t>Scientist</w:t>
      </w:r>
      <w:r>
        <w:rPr/>
        <w:t>. 37 pp. 979-991.</w:t>
      </w:r>
    </w:p>
    <w:p>
      <w:pPr>
        <w:pStyle w:val="BodyText"/>
        <w:spacing w:before="7"/>
        <w:rPr>
          <w:sz w:val="27"/>
        </w:rPr>
      </w:pPr>
    </w:p>
    <w:p>
      <w:pPr>
        <w:spacing w:line="278" w:lineRule="auto" w:before="0"/>
        <w:ind w:left="385" w:right="117" w:hanging="284"/>
        <w:jc w:val="both"/>
        <w:rPr>
          <w:sz w:val="24"/>
        </w:rPr>
      </w:pPr>
      <w:r>
        <w:rPr>
          <w:sz w:val="24"/>
        </w:rPr>
        <w:t>Martínez, J. (2011). </w:t>
      </w:r>
      <w:r>
        <w:rPr>
          <w:i/>
          <w:sz w:val="24"/>
        </w:rPr>
        <w:t>Plan de desarrollo 2011-2015 Facultad de Economía. </w:t>
      </w:r>
      <w:r>
        <w:rPr>
          <w:sz w:val="24"/>
        </w:rPr>
        <w:t>Universidad Autónoma del Estado de México.</w:t>
      </w:r>
    </w:p>
    <w:p>
      <w:pPr>
        <w:pStyle w:val="BodyText"/>
        <w:spacing w:before="4"/>
        <w:rPr>
          <w:sz w:val="27"/>
        </w:rPr>
      </w:pPr>
    </w:p>
    <w:p>
      <w:pPr>
        <w:spacing w:before="0"/>
        <w:ind w:left="102" w:right="0" w:firstLine="0"/>
        <w:jc w:val="left"/>
        <w:rPr>
          <w:sz w:val="24"/>
        </w:rPr>
      </w:pPr>
      <w:r>
        <w:rPr>
          <w:sz w:val="24"/>
        </w:rPr>
        <w:t>Martínez, T. (2008). </w:t>
      </w:r>
      <w:r>
        <w:rPr>
          <w:i/>
          <w:sz w:val="24"/>
        </w:rPr>
        <w:t>Desarrollo Regional en México. </w:t>
      </w:r>
      <w:r>
        <w:rPr>
          <w:sz w:val="24"/>
        </w:rPr>
        <w:t>México. D.F., México: UAM.</w:t>
      </w:r>
    </w:p>
    <w:p>
      <w:pPr>
        <w:pStyle w:val="BodyText"/>
        <w:spacing w:before="3"/>
        <w:rPr>
          <w:sz w:val="31"/>
        </w:rPr>
      </w:pPr>
    </w:p>
    <w:p>
      <w:pPr>
        <w:spacing w:line="276" w:lineRule="auto" w:before="0"/>
        <w:ind w:left="385" w:right="118" w:hanging="284"/>
        <w:jc w:val="both"/>
        <w:rPr>
          <w:sz w:val="24"/>
        </w:rPr>
      </w:pPr>
      <w:r>
        <w:rPr>
          <w:sz w:val="24"/>
        </w:rPr>
        <w:t>McCall, J. (1970). Economics of information and job search. </w:t>
      </w:r>
      <w:r>
        <w:rPr>
          <w:i/>
          <w:sz w:val="24"/>
        </w:rPr>
        <w:t>The quarterly journal of </w:t>
      </w:r>
      <w:r>
        <w:rPr>
          <w:i/>
          <w:sz w:val="24"/>
        </w:rPr>
        <w:t>economics. </w:t>
      </w:r>
      <w:r>
        <w:rPr>
          <w:sz w:val="24"/>
        </w:rPr>
        <w:t>84 (1) pp. 113-126</w:t>
      </w:r>
    </w:p>
    <w:p>
      <w:pPr>
        <w:spacing w:line="276" w:lineRule="auto" w:before="1"/>
        <w:ind w:left="385" w:right="117" w:hanging="284"/>
        <w:jc w:val="both"/>
        <w:rPr>
          <w:sz w:val="24"/>
        </w:rPr>
      </w:pPr>
      <w:r>
        <w:rPr>
          <w:sz w:val="24"/>
        </w:rPr>
        <w:t>McConnel, C. y Brue, S. (1997). </w:t>
      </w:r>
      <w:r>
        <w:rPr>
          <w:i/>
          <w:sz w:val="24"/>
        </w:rPr>
        <w:t>Economía Laboral Contemporánea. </w:t>
      </w:r>
      <w:r>
        <w:rPr>
          <w:sz w:val="24"/>
        </w:rPr>
        <w:t>Madrid, España: Mc Graw Hill.</w:t>
      </w:r>
    </w:p>
    <w:p>
      <w:pPr>
        <w:pStyle w:val="BodyText"/>
        <w:spacing w:before="11"/>
        <w:rPr>
          <w:sz w:val="35"/>
        </w:rPr>
      </w:pPr>
    </w:p>
    <w:p>
      <w:pPr>
        <w:spacing w:before="0"/>
        <w:ind w:left="102" w:right="0" w:firstLine="0"/>
        <w:jc w:val="left"/>
        <w:rPr>
          <w:sz w:val="24"/>
        </w:rPr>
      </w:pPr>
      <w:r>
        <w:rPr>
          <w:sz w:val="24"/>
        </w:rPr>
        <w:t>McDonald,  R. (2005). </w:t>
      </w:r>
      <w:r>
        <w:rPr>
          <w:i/>
          <w:sz w:val="24"/>
        </w:rPr>
        <w:t>Nuevas perspectivas sobre la evaluación</w:t>
      </w:r>
      <w:r>
        <w:rPr>
          <w:sz w:val="24"/>
        </w:rPr>
        <w:t>. París, Francia: UNESCO</w:t>
      </w:r>
    </w:p>
    <w:p>
      <w:pPr>
        <w:pStyle w:val="BodyText"/>
      </w:pPr>
    </w:p>
    <w:p>
      <w:pPr>
        <w:pStyle w:val="BodyText"/>
      </w:pPr>
    </w:p>
    <w:p>
      <w:pPr>
        <w:spacing w:before="0"/>
        <w:ind w:left="385" w:right="118" w:hanging="284"/>
        <w:jc w:val="both"/>
        <w:rPr>
          <w:sz w:val="24"/>
        </w:rPr>
      </w:pPr>
      <w:r>
        <w:rPr>
          <w:sz w:val="24"/>
        </w:rPr>
        <w:t>Méndez, C. y Rondón, M. (2012). Introducción al análisis factorial exploratorio. </w:t>
      </w:r>
      <w:r>
        <w:rPr>
          <w:i/>
          <w:sz w:val="24"/>
        </w:rPr>
        <w:t>Revista </w:t>
      </w:r>
      <w:r>
        <w:rPr>
          <w:i/>
          <w:sz w:val="24"/>
        </w:rPr>
        <w:t>Colombiana de Psiquiatría. </w:t>
      </w:r>
      <w:r>
        <w:rPr>
          <w:sz w:val="24"/>
        </w:rPr>
        <w:t>pp. 197-207</w:t>
      </w:r>
    </w:p>
    <w:p>
      <w:pPr>
        <w:spacing w:after="0"/>
        <w:jc w:val="both"/>
        <w:rPr>
          <w:sz w:val="24"/>
        </w:rPr>
        <w:sectPr>
          <w:pgSz w:w="12240" w:h="15840"/>
          <w:pgMar w:header="0" w:footer="1003" w:top="1360" w:bottom="1200" w:left="1600" w:right="1580"/>
        </w:sectPr>
      </w:pPr>
    </w:p>
    <w:p>
      <w:pPr>
        <w:spacing w:before="48"/>
        <w:ind w:left="385" w:right="118" w:hanging="284"/>
        <w:jc w:val="both"/>
        <w:rPr>
          <w:sz w:val="24"/>
        </w:rPr>
      </w:pPr>
      <w:r>
        <w:rPr>
          <w:sz w:val="24"/>
        </w:rPr>
        <w:t>Mincer, J. (1958). Investment in human capital and personal income distribution. </w:t>
      </w:r>
      <w:r>
        <w:rPr>
          <w:i/>
          <w:sz w:val="24"/>
        </w:rPr>
        <w:t>Journal  </w:t>
      </w:r>
      <w:r>
        <w:rPr>
          <w:i/>
          <w:sz w:val="24"/>
        </w:rPr>
        <w:t>of Political Economy </w:t>
      </w:r>
      <w:r>
        <w:rPr>
          <w:sz w:val="24"/>
        </w:rPr>
        <w:t>66 (4) pp.</w:t>
      </w:r>
      <w:r>
        <w:rPr>
          <w:spacing w:val="-6"/>
          <w:sz w:val="24"/>
        </w:rPr>
        <w:t> </w:t>
      </w:r>
      <w:r>
        <w:rPr>
          <w:sz w:val="24"/>
        </w:rPr>
        <w:t>281-302</w:t>
      </w:r>
    </w:p>
    <w:p>
      <w:pPr>
        <w:pStyle w:val="BodyText"/>
      </w:pPr>
    </w:p>
    <w:p>
      <w:pPr>
        <w:spacing w:before="0"/>
        <w:ind w:left="385" w:right="115" w:hanging="284"/>
        <w:jc w:val="both"/>
        <w:rPr>
          <w:sz w:val="24"/>
        </w:rPr>
      </w:pPr>
      <w:r>
        <w:rPr>
          <w:sz w:val="24"/>
        </w:rPr>
        <w:t>Mincer, J. (1970). The distribution of labor incomes: A survey. </w:t>
      </w:r>
      <w:r>
        <w:rPr>
          <w:i/>
          <w:sz w:val="24"/>
        </w:rPr>
        <w:t>Journal of Economic </w:t>
      </w:r>
      <w:r>
        <w:rPr>
          <w:i/>
          <w:sz w:val="24"/>
        </w:rPr>
        <w:t>Literature</w:t>
      </w:r>
      <w:r>
        <w:rPr>
          <w:sz w:val="24"/>
        </w:rPr>
        <w:t>. 8 (1) pp. 1-26</w:t>
      </w:r>
    </w:p>
    <w:p>
      <w:pPr>
        <w:pStyle w:val="BodyText"/>
      </w:pPr>
    </w:p>
    <w:p>
      <w:pPr>
        <w:tabs>
          <w:tab w:pos="6275" w:val="left" w:leader="none"/>
        </w:tabs>
        <w:spacing w:before="0"/>
        <w:ind w:left="102" w:right="0" w:firstLine="0"/>
        <w:jc w:val="left"/>
        <w:rPr>
          <w:i/>
          <w:sz w:val="24"/>
        </w:rPr>
      </w:pPr>
      <w:r>
        <w:rPr>
          <w:sz w:val="24"/>
        </w:rPr>
        <w:t>Ministerio  del  trabajo  (2002)  </w:t>
      </w:r>
      <w:r>
        <w:rPr>
          <w:i/>
          <w:sz w:val="24"/>
        </w:rPr>
        <w:t>Observatorio  laboral</w:t>
      </w:r>
      <w:r>
        <w:rPr>
          <w:i/>
          <w:spacing w:val="-2"/>
          <w:sz w:val="24"/>
        </w:rPr>
        <w:t> </w:t>
      </w:r>
      <w:r>
        <w:rPr>
          <w:i/>
          <w:sz w:val="24"/>
        </w:rPr>
        <w:t>núm.</w:t>
      </w:r>
      <w:r>
        <w:rPr>
          <w:i/>
          <w:spacing w:val="48"/>
          <w:sz w:val="24"/>
        </w:rPr>
        <w:t> </w:t>
      </w:r>
      <w:r>
        <w:rPr>
          <w:i/>
          <w:sz w:val="24"/>
        </w:rPr>
        <w:t>6</w:t>
        <w:tab/>
        <w:t>del  ministerio  del</w:t>
      </w:r>
      <w:r>
        <w:rPr>
          <w:i/>
          <w:spacing w:val="33"/>
          <w:sz w:val="24"/>
        </w:rPr>
        <w:t> </w:t>
      </w:r>
      <w:r>
        <w:rPr>
          <w:i/>
          <w:sz w:val="24"/>
        </w:rPr>
        <w:t>trabajo.</w:t>
      </w:r>
    </w:p>
    <w:p>
      <w:pPr>
        <w:pStyle w:val="BodyText"/>
        <w:ind w:left="385"/>
      </w:pPr>
      <w:r>
        <w:rPr/>
        <w:t>Santiago de Chile, Chile. pp. 14</w:t>
      </w:r>
    </w:p>
    <w:p>
      <w:pPr>
        <w:pStyle w:val="BodyText"/>
      </w:pPr>
    </w:p>
    <w:p>
      <w:pPr>
        <w:spacing w:before="0"/>
        <w:ind w:left="385" w:right="118" w:hanging="284"/>
        <w:jc w:val="both"/>
        <w:rPr>
          <w:sz w:val="24"/>
        </w:rPr>
      </w:pPr>
      <w:r>
        <w:rPr>
          <w:sz w:val="24"/>
        </w:rPr>
        <w:t>Miranda, S. y Salgado, C. (2013) </w:t>
      </w:r>
      <w:r>
        <w:rPr>
          <w:i/>
          <w:sz w:val="24"/>
        </w:rPr>
        <w:t>La nueva ley federal del trabajo en México formaliza la </w:t>
      </w:r>
      <w:r>
        <w:rPr>
          <w:i/>
          <w:sz w:val="24"/>
        </w:rPr>
        <w:t>flexibilidad laboral. </w:t>
      </w:r>
      <w:r>
        <w:rPr>
          <w:sz w:val="24"/>
        </w:rPr>
        <w:t>Artículo inedito. Toluca, México: Universidad Autónoma del  Estado de</w:t>
      </w:r>
      <w:r>
        <w:rPr>
          <w:spacing w:val="-3"/>
          <w:sz w:val="24"/>
        </w:rPr>
        <w:t> </w:t>
      </w:r>
      <w:r>
        <w:rPr>
          <w:sz w:val="24"/>
        </w:rPr>
        <w:t>México.</w:t>
      </w:r>
    </w:p>
    <w:p>
      <w:pPr>
        <w:pStyle w:val="BodyText"/>
      </w:pPr>
    </w:p>
    <w:p>
      <w:pPr>
        <w:pStyle w:val="BodyText"/>
        <w:ind w:left="385" w:right="119" w:hanging="284"/>
        <w:jc w:val="both"/>
      </w:pPr>
      <w:r>
        <w:rPr/>
        <w:t>Molnar, K., Kletke, M. y Chongwatpol. J. (2008). Ethics vs. IT ethics: Do undergraduate students perceive a difference? </w:t>
      </w:r>
      <w:r>
        <w:rPr>
          <w:i/>
        </w:rPr>
        <w:t>Journal of business Ethics</w:t>
      </w:r>
      <w:r>
        <w:rPr/>
        <w:t>. 83 pp. 657-671.</w:t>
      </w:r>
    </w:p>
    <w:p>
      <w:pPr>
        <w:pStyle w:val="BodyText"/>
      </w:pPr>
    </w:p>
    <w:p>
      <w:pPr>
        <w:pStyle w:val="BodyText"/>
        <w:ind w:left="102"/>
      </w:pPr>
      <w:r>
        <w:rPr/>
        <w:t>Morstensen, D. (1970). Job search. the duaration of unemployment. and the phillips   curve.</w:t>
      </w:r>
    </w:p>
    <w:p>
      <w:pPr>
        <w:spacing w:before="0"/>
        <w:ind w:left="385" w:right="0" w:firstLine="0"/>
        <w:jc w:val="left"/>
        <w:rPr>
          <w:sz w:val="24"/>
        </w:rPr>
      </w:pPr>
      <w:r>
        <w:rPr>
          <w:i/>
          <w:sz w:val="24"/>
        </w:rPr>
        <w:t>The american economic review. </w:t>
      </w:r>
      <w:r>
        <w:rPr>
          <w:sz w:val="24"/>
        </w:rPr>
        <w:t>60 (5) pp.847-862</w:t>
      </w:r>
    </w:p>
    <w:p>
      <w:pPr>
        <w:pStyle w:val="BodyText"/>
      </w:pPr>
    </w:p>
    <w:p>
      <w:pPr>
        <w:spacing w:before="0"/>
        <w:ind w:left="385" w:right="119" w:hanging="284"/>
        <w:jc w:val="both"/>
        <w:rPr>
          <w:sz w:val="24"/>
        </w:rPr>
      </w:pPr>
      <w:r>
        <w:rPr>
          <w:sz w:val="24"/>
        </w:rPr>
        <w:t>Muchinsky, P. (2006). </w:t>
      </w:r>
      <w:r>
        <w:rPr>
          <w:i/>
          <w:sz w:val="24"/>
        </w:rPr>
        <w:t>Psychology applied to work: An introduction to industrial and </w:t>
      </w:r>
      <w:r>
        <w:rPr>
          <w:i/>
          <w:sz w:val="24"/>
        </w:rPr>
        <w:t>organizational psychology. </w:t>
      </w:r>
      <w:r>
        <w:rPr>
          <w:sz w:val="24"/>
        </w:rPr>
        <w:t>Belmont, USA: Thomson.</w:t>
      </w:r>
    </w:p>
    <w:p>
      <w:pPr>
        <w:pStyle w:val="BodyText"/>
      </w:pPr>
    </w:p>
    <w:p>
      <w:pPr>
        <w:spacing w:before="0"/>
        <w:ind w:left="385" w:right="117" w:hanging="284"/>
        <w:jc w:val="both"/>
        <w:rPr>
          <w:sz w:val="24"/>
        </w:rPr>
      </w:pPr>
      <w:r>
        <w:rPr>
          <w:sz w:val="24"/>
        </w:rPr>
        <w:t>Muñoz, H. (2005). </w:t>
      </w:r>
      <w:r>
        <w:rPr>
          <w:i/>
          <w:sz w:val="24"/>
        </w:rPr>
        <w:t>Educación Superior. el mercado emergente y el bien público. </w:t>
      </w:r>
      <w:r>
        <w:rPr>
          <w:sz w:val="24"/>
        </w:rPr>
        <w:t>Cuadernos del Seminario educación superior de la UNAM 2. México. D.F., México: UNAM.</w:t>
      </w:r>
    </w:p>
    <w:p>
      <w:pPr>
        <w:pStyle w:val="BodyText"/>
      </w:pPr>
    </w:p>
    <w:p>
      <w:pPr>
        <w:spacing w:before="0"/>
        <w:ind w:left="385" w:right="120" w:hanging="284"/>
        <w:jc w:val="both"/>
        <w:rPr>
          <w:sz w:val="24"/>
        </w:rPr>
      </w:pPr>
      <w:r>
        <w:rPr>
          <w:sz w:val="24"/>
        </w:rPr>
        <w:t>Naidorf, J. (2002). </w:t>
      </w:r>
      <w:r>
        <w:rPr>
          <w:i/>
          <w:sz w:val="24"/>
        </w:rPr>
        <w:t>En torno a la vinculación científico-tecnológica entre la Universidad. la </w:t>
      </w:r>
      <w:r>
        <w:rPr>
          <w:i/>
          <w:sz w:val="24"/>
        </w:rPr>
        <w:t>Empresa y el Estado. Desarrollos teóricos de una agenda crítica. </w:t>
      </w:r>
      <w:r>
        <w:rPr>
          <w:sz w:val="24"/>
        </w:rPr>
        <w:t>Fundamentos en Humanidades III (1-2) (5-6) pp. 7-22.</w:t>
      </w:r>
    </w:p>
    <w:p>
      <w:pPr>
        <w:pStyle w:val="BodyText"/>
      </w:pPr>
    </w:p>
    <w:p>
      <w:pPr>
        <w:spacing w:before="0"/>
        <w:ind w:left="102" w:right="0" w:firstLine="0"/>
        <w:jc w:val="left"/>
        <w:rPr>
          <w:i/>
          <w:sz w:val="24"/>
        </w:rPr>
      </w:pPr>
      <w:r>
        <w:rPr>
          <w:sz w:val="24"/>
        </w:rPr>
        <w:t>National Governor's Association (2001). </w:t>
      </w:r>
      <w:r>
        <w:rPr>
          <w:i/>
          <w:sz w:val="24"/>
        </w:rPr>
        <w:t>The 21st Century is Upon US. Are We Ready?</w:t>
      </w:r>
    </w:p>
    <w:p>
      <w:pPr>
        <w:pStyle w:val="BodyText"/>
        <w:ind w:left="385"/>
      </w:pPr>
      <w:r>
        <w:rPr/>
        <w:t>Washington. D.C., USA: NGA Center for Best Practices.</w:t>
      </w:r>
    </w:p>
    <w:p>
      <w:pPr>
        <w:pStyle w:val="BodyText"/>
      </w:pPr>
    </w:p>
    <w:p>
      <w:pPr>
        <w:spacing w:before="0"/>
        <w:ind w:left="385" w:right="117" w:hanging="284"/>
        <w:jc w:val="both"/>
        <w:rPr>
          <w:sz w:val="24"/>
        </w:rPr>
      </w:pPr>
      <w:r>
        <w:rPr>
          <w:sz w:val="24"/>
        </w:rPr>
        <w:t>Nirenberg, O. (2012) </w:t>
      </w:r>
      <w:r>
        <w:rPr>
          <w:i/>
          <w:sz w:val="24"/>
        </w:rPr>
        <w:t>Un método para la autoevaluación y la mejora de la calidad </w:t>
      </w:r>
      <w:r>
        <w:rPr>
          <w:i/>
          <w:sz w:val="24"/>
        </w:rPr>
        <w:t>educativa. Sistematización de experiencias en escuelas primarias argentinas 2006-2012</w:t>
      </w:r>
      <w:r>
        <w:rPr>
          <w:sz w:val="24"/>
        </w:rPr>
        <w:t>. Fondo de las Naciones Unidas para la Infancia (UNICEF), CEADEL.</w:t>
      </w:r>
    </w:p>
    <w:p>
      <w:pPr>
        <w:pStyle w:val="BodyText"/>
      </w:pPr>
    </w:p>
    <w:p>
      <w:pPr>
        <w:pStyle w:val="BodyText"/>
        <w:ind w:left="385" w:right="121" w:hanging="284"/>
        <w:jc w:val="both"/>
      </w:pPr>
      <w:r>
        <w:rPr/>
        <w:t>Novales, A. (1996). Estadística y econometría. Madrid: Mcgraw-Hill / Interamericana de España, S.A.</w:t>
      </w:r>
    </w:p>
    <w:p>
      <w:pPr>
        <w:pStyle w:val="BodyText"/>
      </w:pPr>
    </w:p>
    <w:p>
      <w:pPr>
        <w:pStyle w:val="BodyText"/>
        <w:ind w:left="385" w:right="117" w:hanging="284"/>
        <w:jc w:val="both"/>
        <w:rPr>
          <w:i/>
        </w:rPr>
      </w:pPr>
      <w:r>
        <w:rPr/>
        <w:t>Novick, P. y Botstein, D. (1985) Phenotypic analysis of temperature-sensitive yeast actin mutants. </w:t>
      </w:r>
      <w:r>
        <w:rPr>
          <w:i/>
        </w:rPr>
        <w:t>Cell Press.</w:t>
      </w:r>
    </w:p>
    <w:p>
      <w:pPr>
        <w:pStyle w:val="BodyText"/>
        <w:rPr>
          <w:i/>
        </w:rPr>
      </w:pPr>
    </w:p>
    <w:p>
      <w:pPr>
        <w:spacing w:before="0"/>
        <w:ind w:left="385" w:right="116" w:hanging="284"/>
        <w:jc w:val="both"/>
        <w:rPr>
          <w:sz w:val="24"/>
        </w:rPr>
      </w:pPr>
      <w:r>
        <w:rPr>
          <w:sz w:val="24"/>
        </w:rPr>
        <w:t>Oaxaca, R. (1973) Male-female wage differentials in urban labor markets. </w:t>
      </w:r>
      <w:r>
        <w:rPr>
          <w:i/>
          <w:sz w:val="24"/>
        </w:rPr>
        <w:t>International </w:t>
      </w:r>
      <w:r>
        <w:rPr>
          <w:i/>
          <w:sz w:val="24"/>
        </w:rPr>
        <w:t>Economic Review. </w:t>
      </w:r>
      <w:r>
        <w:rPr>
          <w:sz w:val="24"/>
        </w:rPr>
        <w:t>14 pp. 693-709.</w:t>
      </w:r>
    </w:p>
    <w:p>
      <w:pPr>
        <w:spacing w:after="0"/>
        <w:jc w:val="both"/>
        <w:rPr>
          <w:sz w:val="24"/>
        </w:rPr>
        <w:sectPr>
          <w:pgSz w:w="12240" w:h="15840"/>
          <w:pgMar w:header="0" w:footer="1003" w:top="1360" w:bottom="1200" w:left="1600" w:right="1580"/>
        </w:sectPr>
      </w:pPr>
    </w:p>
    <w:p>
      <w:pPr>
        <w:pStyle w:val="BodyText"/>
        <w:spacing w:before="48"/>
        <w:ind w:left="385" w:right="116" w:hanging="284"/>
        <w:jc w:val="both"/>
      </w:pPr>
      <w:r>
        <w:rPr/>
        <w:t>Ortmann, A. (1997). How to Survive in Post-Industrial Environments: Adam Smith's Advice for today's Colleges and Universities. </w:t>
      </w:r>
      <w:r>
        <w:rPr>
          <w:i/>
        </w:rPr>
        <w:t>Journal of Higher Education</w:t>
      </w:r>
      <w:r>
        <w:rPr/>
        <w:t>. 68 pp. 483- 501.</w:t>
      </w:r>
    </w:p>
    <w:p>
      <w:pPr>
        <w:pStyle w:val="BodyText"/>
      </w:pPr>
    </w:p>
    <w:p>
      <w:pPr>
        <w:spacing w:before="0"/>
        <w:ind w:left="385" w:right="117" w:hanging="284"/>
        <w:jc w:val="both"/>
        <w:rPr>
          <w:sz w:val="24"/>
        </w:rPr>
      </w:pPr>
      <w:r>
        <w:rPr>
          <w:sz w:val="24"/>
        </w:rPr>
        <w:t>Osberg, L. y Sharpe, A. (1999) </w:t>
      </w:r>
      <w:r>
        <w:rPr>
          <w:i/>
          <w:sz w:val="24"/>
        </w:rPr>
        <w:t>An index of economic well being for Canada. </w:t>
      </w:r>
      <w:r>
        <w:rPr>
          <w:sz w:val="24"/>
        </w:rPr>
        <w:t>Quebec, Canada: Applied Research Branch, Strategic Policy.</w:t>
      </w:r>
    </w:p>
    <w:p>
      <w:pPr>
        <w:pStyle w:val="BodyText"/>
      </w:pPr>
    </w:p>
    <w:p>
      <w:pPr>
        <w:pStyle w:val="BodyText"/>
        <w:ind w:left="102"/>
      </w:pPr>
      <w:r>
        <w:rPr/>
        <w:t>Osberg, L. y Sharpe, A. (2003) An index of labour market well-being for OECD  countries.</w:t>
      </w:r>
    </w:p>
    <w:p>
      <w:pPr>
        <w:pStyle w:val="BodyText"/>
        <w:ind w:left="385"/>
      </w:pPr>
      <w:r>
        <w:rPr/>
        <w:t>Center for the study of living standards. Reporte 2003-2005, Ottawa, Canadá.</w:t>
      </w:r>
    </w:p>
    <w:p>
      <w:pPr>
        <w:pStyle w:val="BodyText"/>
      </w:pPr>
    </w:p>
    <w:p>
      <w:pPr>
        <w:spacing w:before="0"/>
        <w:ind w:left="385" w:right="117" w:hanging="284"/>
        <w:jc w:val="both"/>
        <w:rPr>
          <w:sz w:val="24"/>
        </w:rPr>
      </w:pPr>
      <w:r>
        <w:rPr>
          <w:sz w:val="24"/>
        </w:rPr>
        <w:t>Peck, J. (1996). </w:t>
      </w:r>
      <w:r>
        <w:rPr>
          <w:i/>
          <w:sz w:val="24"/>
        </w:rPr>
        <w:t>Work-place. The social regulation of labor markets</w:t>
      </w:r>
      <w:r>
        <w:rPr>
          <w:sz w:val="24"/>
        </w:rPr>
        <w:t>. New York - London, USA-Inglaterra: The Guilford Press.</w:t>
      </w:r>
    </w:p>
    <w:p>
      <w:pPr>
        <w:pStyle w:val="BodyText"/>
      </w:pPr>
    </w:p>
    <w:p>
      <w:pPr>
        <w:pStyle w:val="BodyText"/>
        <w:ind w:left="385" w:right="120" w:hanging="284"/>
        <w:jc w:val="both"/>
        <w:rPr>
          <w:i/>
        </w:rPr>
      </w:pPr>
      <w:r>
        <w:rPr/>
        <w:t>Pedrajas, A. y Sala, T. (2010) La flexibilidad interna tras la reforma efectuada por la ley 35/2010, de 17 de Septiembre: sus mejoras y sus carencias. </w:t>
      </w:r>
      <w:r>
        <w:rPr>
          <w:i/>
        </w:rPr>
        <w:t>Boletín Laboral.</w:t>
      </w:r>
    </w:p>
    <w:p>
      <w:pPr>
        <w:pStyle w:val="BodyText"/>
        <w:spacing w:before="4"/>
        <w:rPr>
          <w:i/>
          <w:sz w:val="23"/>
        </w:rPr>
      </w:pPr>
    </w:p>
    <w:p>
      <w:pPr>
        <w:pStyle w:val="BodyText"/>
        <w:ind w:left="102"/>
      </w:pPr>
      <w:r>
        <w:rPr/>
        <w:t>Prieto, C. (1998). ¿Mercado de trabajo? </w:t>
      </w:r>
      <w:r>
        <w:rPr>
          <w:i/>
        </w:rPr>
        <w:t>REIS</w:t>
      </w:r>
      <w:r>
        <w:rPr/>
        <w:t>. 47 (89) pp. 177-192.</w:t>
      </w:r>
    </w:p>
    <w:p>
      <w:pPr>
        <w:pStyle w:val="BodyText"/>
        <w:spacing w:before="2"/>
      </w:pPr>
    </w:p>
    <w:p>
      <w:pPr>
        <w:spacing w:line="276" w:lineRule="auto" w:before="0"/>
        <w:ind w:left="385" w:right="117" w:hanging="284"/>
        <w:jc w:val="both"/>
        <w:rPr>
          <w:sz w:val="24"/>
        </w:rPr>
      </w:pPr>
      <w:r>
        <w:rPr>
          <w:sz w:val="24"/>
        </w:rPr>
        <w:t>Ramírez, R. (2009). </w:t>
      </w:r>
      <w:r>
        <w:rPr>
          <w:i/>
          <w:sz w:val="24"/>
        </w:rPr>
        <w:t>Mexico en la crisis global y en su propia crisis: ¿qué hacer?</w:t>
      </w:r>
      <w:r>
        <w:rPr>
          <w:sz w:val="24"/>
        </w:rPr>
        <w:t>. Ensayo para la Fundación Friedrich Ebert.</w:t>
      </w:r>
    </w:p>
    <w:p>
      <w:pPr>
        <w:pStyle w:val="BodyText"/>
        <w:spacing w:line="276" w:lineRule="auto" w:before="202"/>
        <w:ind w:left="385" w:right="115" w:hanging="284"/>
        <w:jc w:val="both"/>
      </w:pPr>
      <w:r>
        <w:rPr/>
        <w:t>Ramos, J. (1993). El problema del empleo: Enfoques ortodoxos y estructurales. </w:t>
      </w:r>
      <w:r>
        <w:rPr>
          <w:i/>
        </w:rPr>
        <w:t>Cuadernos </w:t>
      </w:r>
      <w:r>
        <w:rPr>
          <w:i/>
        </w:rPr>
        <w:t>de economía. </w:t>
      </w:r>
      <w:r>
        <w:rPr/>
        <w:t>30 (90) pp. 225-246.</w:t>
      </w:r>
    </w:p>
    <w:p>
      <w:pPr>
        <w:spacing w:line="276" w:lineRule="auto" w:before="202"/>
        <w:ind w:left="385" w:right="116" w:hanging="284"/>
        <w:jc w:val="both"/>
        <w:rPr>
          <w:sz w:val="24"/>
        </w:rPr>
      </w:pPr>
      <w:r>
        <w:rPr>
          <w:sz w:val="24"/>
        </w:rPr>
        <w:t>Reich, M., Gordon, D. y Edwards, R. (1973) A theory of labor market segmentation. </w:t>
      </w:r>
      <w:r>
        <w:rPr>
          <w:i/>
          <w:sz w:val="24"/>
        </w:rPr>
        <w:t>The </w:t>
      </w:r>
      <w:r>
        <w:rPr>
          <w:i/>
          <w:sz w:val="24"/>
        </w:rPr>
        <w:t>American Economic Review</w:t>
      </w:r>
      <w:r>
        <w:rPr>
          <w:sz w:val="24"/>
        </w:rPr>
        <w:t>. 63 (2) pp. 359-365</w:t>
      </w:r>
    </w:p>
    <w:p>
      <w:pPr>
        <w:pStyle w:val="BodyText"/>
        <w:spacing w:before="202"/>
        <w:ind w:left="102"/>
      </w:pPr>
      <w:r>
        <w:rPr/>
        <w:t>Reinhart, C., y Rogoff, K. (2008). Is the 2007 U.S. Sub-prime financial crisis so   different?</w:t>
      </w:r>
    </w:p>
    <w:p>
      <w:pPr>
        <w:spacing w:before="41"/>
        <w:ind w:left="385" w:right="0" w:firstLine="0"/>
        <w:jc w:val="left"/>
        <w:rPr>
          <w:sz w:val="24"/>
        </w:rPr>
      </w:pPr>
      <w:r>
        <w:rPr>
          <w:sz w:val="24"/>
        </w:rPr>
        <w:t>An international historical comparison. </w:t>
      </w:r>
      <w:r>
        <w:rPr>
          <w:i/>
          <w:sz w:val="24"/>
        </w:rPr>
        <w:t>NBER working paper series</w:t>
      </w:r>
      <w:r>
        <w:rPr>
          <w:sz w:val="24"/>
        </w:rPr>
        <w:t>. pp. 2-13.</w:t>
      </w:r>
    </w:p>
    <w:p>
      <w:pPr>
        <w:pStyle w:val="BodyText"/>
        <w:spacing w:before="7"/>
        <w:rPr>
          <w:sz w:val="20"/>
        </w:rPr>
      </w:pPr>
    </w:p>
    <w:p>
      <w:pPr>
        <w:spacing w:before="0"/>
        <w:ind w:left="102" w:right="0" w:firstLine="0"/>
        <w:jc w:val="left"/>
        <w:rPr>
          <w:sz w:val="24"/>
        </w:rPr>
      </w:pPr>
      <w:r>
        <w:rPr>
          <w:sz w:val="24"/>
        </w:rPr>
        <w:t>Reyes, A. (1992) </w:t>
      </w:r>
      <w:r>
        <w:rPr>
          <w:i/>
          <w:sz w:val="24"/>
        </w:rPr>
        <w:t>Administración moderna. </w:t>
      </w:r>
      <w:r>
        <w:rPr>
          <w:sz w:val="24"/>
        </w:rPr>
        <w:t>México, D.F., México: LIMUSA.</w:t>
      </w:r>
    </w:p>
    <w:p>
      <w:pPr>
        <w:pStyle w:val="BodyText"/>
        <w:spacing w:before="11"/>
        <w:rPr>
          <w:sz w:val="27"/>
        </w:rPr>
      </w:pPr>
    </w:p>
    <w:p>
      <w:pPr>
        <w:pStyle w:val="BodyText"/>
        <w:spacing w:line="276" w:lineRule="auto"/>
        <w:ind w:left="385" w:right="119" w:hanging="284"/>
        <w:jc w:val="both"/>
      </w:pPr>
      <w:r>
        <w:rPr/>
        <w:t>Ring, P. y Van de Ven, A. (1994). Developmental processes of cooperative interorganizational relationships. </w:t>
      </w:r>
      <w:r>
        <w:rPr>
          <w:i/>
        </w:rPr>
        <w:t>Academy of Management Review. </w:t>
      </w:r>
      <w:r>
        <w:rPr/>
        <w:t>19 pp. 90-118.</w:t>
      </w:r>
    </w:p>
    <w:p>
      <w:pPr>
        <w:pStyle w:val="BodyText"/>
        <w:spacing w:line="278" w:lineRule="auto" w:before="200"/>
        <w:ind w:left="385" w:right="124" w:hanging="284"/>
        <w:jc w:val="both"/>
      </w:pPr>
      <w:r>
        <w:rPr/>
        <w:t>Rodríguez-Oreggia, E. y Silva, L. (2009) Construcción de un índice de condiciones laborales por estados para México. </w:t>
      </w:r>
      <w:r>
        <w:rPr>
          <w:i/>
        </w:rPr>
        <w:t>Gestión y Política Pública, </w:t>
      </w:r>
      <w:r>
        <w:rPr/>
        <w:t>18 (1) pp. 149-178.</w:t>
      </w:r>
    </w:p>
    <w:p>
      <w:pPr>
        <w:spacing w:line="276" w:lineRule="auto" w:before="197"/>
        <w:ind w:left="385" w:right="115" w:hanging="284"/>
        <w:jc w:val="both"/>
        <w:rPr>
          <w:sz w:val="24"/>
        </w:rPr>
      </w:pPr>
      <w:r>
        <w:rPr>
          <w:sz w:val="24"/>
        </w:rPr>
        <w:t>Roca, R. (2009). </w:t>
      </w:r>
      <w:r>
        <w:rPr>
          <w:i/>
          <w:sz w:val="24"/>
        </w:rPr>
        <w:t>Macroeconomía Intermedia. Teorías y Políticas</w:t>
      </w:r>
      <w:r>
        <w:rPr>
          <w:sz w:val="24"/>
        </w:rPr>
        <w:t>. Lima, Perú: Universidad Nacional Mayor de San Marcos Pontificia/ Universidad Católica del Perú.</w:t>
      </w:r>
    </w:p>
    <w:p>
      <w:pPr>
        <w:pStyle w:val="BodyText"/>
        <w:spacing w:line="276" w:lineRule="auto" w:before="202"/>
        <w:ind w:left="385" w:right="118" w:hanging="284"/>
        <w:jc w:val="both"/>
      </w:pPr>
      <w:r>
        <w:rPr/>
        <w:t>Rocha, N., Krawulski, E., Tavares, G. y Penna, D. (2010). Da formação superior ao mercado de trabalho: percepções de alunos sobre a disciplina orientação e planejamento de carreira em uma universidade federal. </w:t>
      </w:r>
      <w:r>
        <w:rPr>
          <w:i/>
        </w:rPr>
        <w:t>Revista electrónica de Investigación y </w:t>
      </w:r>
      <w:r>
        <w:rPr>
          <w:i/>
        </w:rPr>
        <w:t>Docencia</w:t>
      </w:r>
      <w:r>
        <w:rPr/>
        <w:t>. pp. 79-96.</w:t>
      </w:r>
    </w:p>
    <w:p>
      <w:pPr>
        <w:spacing w:after="0" w:line="276" w:lineRule="auto"/>
        <w:jc w:val="both"/>
        <w:sectPr>
          <w:pgSz w:w="12240" w:h="15840"/>
          <w:pgMar w:header="0" w:footer="1003" w:top="1360" w:bottom="1200" w:left="1600" w:right="1580"/>
        </w:sectPr>
      </w:pPr>
    </w:p>
    <w:p>
      <w:pPr>
        <w:spacing w:line="276" w:lineRule="auto" w:before="50"/>
        <w:ind w:left="385" w:right="119" w:hanging="284"/>
        <w:jc w:val="both"/>
        <w:rPr>
          <w:sz w:val="24"/>
        </w:rPr>
      </w:pPr>
      <w:r>
        <w:rPr>
          <w:sz w:val="24"/>
        </w:rPr>
        <w:t>Rodríguez, J. (2007). </w:t>
      </w:r>
      <w:r>
        <w:rPr>
          <w:i/>
          <w:sz w:val="24"/>
        </w:rPr>
        <w:t>Productividad organizacional en la mediana industria superior del </w:t>
      </w:r>
      <w:r>
        <w:rPr>
          <w:i/>
          <w:sz w:val="24"/>
        </w:rPr>
        <w:t>municipio Iribarren</w:t>
      </w:r>
      <w:r>
        <w:rPr>
          <w:sz w:val="24"/>
        </w:rPr>
        <w:t>. Estado Lara, Venezuela. Compendium - Barquesimeto:  Universidad Centro-Occidental Lisandro Alvarado . 10 (18) pp. 37-59</w:t>
      </w:r>
      <w:r>
        <w:rPr>
          <w:spacing w:val="-9"/>
          <w:sz w:val="24"/>
        </w:rPr>
        <w:t> </w:t>
      </w:r>
      <w:r>
        <w:rPr>
          <w:sz w:val="24"/>
        </w:rPr>
        <w:t>.</w:t>
      </w:r>
    </w:p>
    <w:p>
      <w:pPr>
        <w:spacing w:line="276" w:lineRule="auto" w:before="200"/>
        <w:ind w:left="385" w:right="115" w:hanging="284"/>
        <w:jc w:val="both"/>
        <w:rPr>
          <w:sz w:val="24"/>
        </w:rPr>
      </w:pPr>
      <w:r>
        <w:rPr>
          <w:sz w:val="24"/>
        </w:rPr>
        <w:t>Rodriguez, M., González, M., Figuera, M. y Rodríguez, S. (2009). </w:t>
      </w:r>
      <w:r>
        <w:rPr>
          <w:i/>
          <w:sz w:val="24"/>
        </w:rPr>
        <w:t>Estudios Universitarios. </w:t>
      </w:r>
      <w:r>
        <w:rPr>
          <w:i/>
          <w:sz w:val="24"/>
        </w:rPr>
        <w:t>Proyecto profesional y Mundo de trabajo. Cómo tender puentes entre la Univesidad y la vida activa</w:t>
      </w:r>
      <w:r>
        <w:rPr>
          <w:sz w:val="24"/>
        </w:rPr>
        <w:t>. Barcelona, España: Publicaciones I Ediciones de la Universitat de  Barcelona.</w:t>
      </w:r>
    </w:p>
    <w:p>
      <w:pPr>
        <w:pStyle w:val="BodyText"/>
        <w:spacing w:line="276" w:lineRule="auto" w:before="202"/>
        <w:ind w:left="385" w:right="117" w:hanging="284"/>
        <w:jc w:val="both"/>
      </w:pPr>
      <w:r>
        <w:rPr/>
        <w:t>Rodríguez, S., Prades, A., Bernáldez, L. y Sánchez, S. (2009). Sobre la empleabilidad de  los graduados universitarios en Catalunya: del diagnóstico a la acción. </w:t>
      </w:r>
      <w:r>
        <w:rPr>
          <w:i/>
        </w:rPr>
        <w:t>Revista de </w:t>
      </w:r>
      <w:r>
        <w:rPr>
          <w:i/>
        </w:rPr>
        <w:t>eduación</w:t>
      </w:r>
      <w:r>
        <w:rPr/>
        <w:t>. pp.</w:t>
      </w:r>
      <w:r>
        <w:rPr>
          <w:spacing w:val="-3"/>
        </w:rPr>
        <w:t> </w:t>
      </w:r>
      <w:r>
        <w:rPr/>
        <w:t>107-137.</w:t>
      </w:r>
    </w:p>
    <w:p>
      <w:pPr>
        <w:spacing w:before="203"/>
        <w:ind w:left="102" w:right="0" w:firstLine="0"/>
        <w:jc w:val="left"/>
        <w:rPr>
          <w:i/>
          <w:sz w:val="24"/>
        </w:rPr>
      </w:pPr>
      <w:r>
        <w:rPr>
          <w:sz w:val="24"/>
        </w:rPr>
        <w:t>Rojas, R. (2001). </w:t>
      </w:r>
      <w:r>
        <w:rPr>
          <w:i/>
          <w:sz w:val="24"/>
        </w:rPr>
        <w:t>Formación de investiadores educativos Una propuesta de   investigación.</w:t>
      </w:r>
    </w:p>
    <w:p>
      <w:pPr>
        <w:pStyle w:val="BodyText"/>
        <w:spacing w:before="41"/>
        <w:ind w:left="385"/>
      </w:pPr>
      <w:r>
        <w:rPr/>
        <w:t>México. D.F., México: Plaza y Valdés.</w:t>
      </w:r>
    </w:p>
    <w:p>
      <w:pPr>
        <w:pStyle w:val="BodyText"/>
        <w:rPr>
          <w:sz w:val="21"/>
        </w:rPr>
      </w:pPr>
    </w:p>
    <w:p>
      <w:pPr>
        <w:spacing w:line="276" w:lineRule="auto" w:before="1"/>
        <w:ind w:left="385" w:right="122" w:hanging="284"/>
        <w:jc w:val="both"/>
        <w:rPr>
          <w:sz w:val="24"/>
        </w:rPr>
      </w:pPr>
      <w:r>
        <w:rPr>
          <w:sz w:val="24"/>
        </w:rPr>
        <w:t>Romero, J. (2008). </w:t>
      </w:r>
      <w:r>
        <w:rPr>
          <w:i/>
          <w:sz w:val="24"/>
        </w:rPr>
        <w:t>Experiencias de vinculación Universidad-sector productivo y social en </w:t>
      </w:r>
      <w:r>
        <w:rPr>
          <w:i/>
          <w:sz w:val="24"/>
        </w:rPr>
        <w:t>la BUAP. </w:t>
      </w:r>
      <w:r>
        <w:rPr>
          <w:sz w:val="24"/>
        </w:rPr>
        <w:t>México. D.F., México: ANUIES.</w:t>
      </w:r>
    </w:p>
    <w:p>
      <w:pPr>
        <w:pStyle w:val="BodyText"/>
        <w:spacing w:line="278" w:lineRule="auto" w:before="200"/>
        <w:ind w:left="385" w:right="120" w:hanging="284"/>
        <w:jc w:val="both"/>
      </w:pPr>
      <w:r>
        <w:rPr/>
        <w:t>Rose, A. y Spiegel, M. (2009). Cross-country causes and consequences of the 2008 crisis: early warning. </w:t>
      </w:r>
      <w:r>
        <w:rPr>
          <w:i/>
        </w:rPr>
        <w:t>NBER working paper series</w:t>
      </w:r>
      <w:r>
        <w:rPr/>
        <w:t>. pp. 1-49.</w:t>
      </w:r>
    </w:p>
    <w:p>
      <w:pPr>
        <w:spacing w:line="276" w:lineRule="auto" w:before="197"/>
        <w:ind w:left="385" w:right="117" w:hanging="284"/>
        <w:jc w:val="both"/>
        <w:rPr>
          <w:sz w:val="24"/>
        </w:rPr>
      </w:pPr>
      <w:r>
        <w:rPr>
          <w:sz w:val="24"/>
        </w:rPr>
        <w:t>Rubio, J. (2006). </w:t>
      </w:r>
      <w:r>
        <w:rPr>
          <w:i/>
          <w:sz w:val="24"/>
        </w:rPr>
        <w:t>La política educativa y la educación superior en México. 1995-2006: Un </w:t>
      </w:r>
      <w:r>
        <w:rPr>
          <w:i/>
          <w:sz w:val="24"/>
        </w:rPr>
        <w:t>balance. </w:t>
      </w:r>
      <w:r>
        <w:rPr>
          <w:sz w:val="24"/>
        </w:rPr>
        <w:t>México. D.F., México: Secretaría de Educación Pública / Fondo de Cultura Económica.</w:t>
      </w:r>
    </w:p>
    <w:p>
      <w:pPr>
        <w:spacing w:line="276" w:lineRule="auto" w:before="200"/>
        <w:ind w:left="385" w:right="114" w:hanging="284"/>
        <w:jc w:val="both"/>
        <w:rPr>
          <w:sz w:val="24"/>
        </w:rPr>
      </w:pPr>
      <w:r>
        <w:rPr>
          <w:sz w:val="24"/>
        </w:rPr>
        <w:t>Rubio, L., Miranda, S. y Salgado, C. (2012) </w:t>
      </w:r>
      <w:r>
        <w:rPr>
          <w:i/>
          <w:sz w:val="24"/>
        </w:rPr>
        <w:t>Periodo de transición y mercado de trabajo de </w:t>
      </w:r>
      <w:r>
        <w:rPr>
          <w:i/>
          <w:sz w:val="24"/>
        </w:rPr>
        <w:t>los profesionistas. nacional y Estado de México 2012. </w:t>
      </w:r>
      <w:r>
        <w:rPr>
          <w:sz w:val="24"/>
        </w:rPr>
        <w:t>EN: II Coloquio Internacional y VII Nacional de Investigación en Ciencias Económico-Administrativas. 22-23 de noviembre 2012. Toluca.</w:t>
      </w:r>
    </w:p>
    <w:p>
      <w:pPr>
        <w:spacing w:line="276" w:lineRule="auto" w:before="202"/>
        <w:ind w:left="385" w:right="119" w:hanging="284"/>
        <w:jc w:val="both"/>
        <w:rPr>
          <w:sz w:val="24"/>
        </w:rPr>
      </w:pPr>
      <w:r>
        <w:rPr>
          <w:sz w:val="24"/>
        </w:rPr>
        <w:t>Ruiz, </w:t>
      </w:r>
      <w:r>
        <w:rPr>
          <w:spacing w:val="-3"/>
          <w:sz w:val="24"/>
        </w:rPr>
        <w:t>L. </w:t>
      </w:r>
      <w:r>
        <w:rPr>
          <w:sz w:val="24"/>
        </w:rPr>
        <w:t>(2011). </w:t>
      </w:r>
      <w:r>
        <w:rPr>
          <w:i/>
          <w:sz w:val="24"/>
        </w:rPr>
        <w:t>Programa Nacional de Extensión de los servicios. vinculación y difusión </w:t>
      </w:r>
      <w:r>
        <w:rPr>
          <w:i/>
          <w:sz w:val="24"/>
        </w:rPr>
        <w:t>de la cultura 2011</w:t>
      </w:r>
      <w:r>
        <w:rPr>
          <w:sz w:val="24"/>
        </w:rPr>
        <w:t>. México. D.F., México:</w:t>
      </w:r>
      <w:r>
        <w:rPr>
          <w:spacing w:val="-7"/>
          <w:sz w:val="24"/>
        </w:rPr>
        <w:t> </w:t>
      </w:r>
      <w:r>
        <w:rPr>
          <w:sz w:val="24"/>
        </w:rPr>
        <w:t>ANUIES.</w:t>
      </w:r>
    </w:p>
    <w:p>
      <w:pPr>
        <w:pStyle w:val="BodyText"/>
        <w:spacing w:line="278" w:lineRule="auto" w:before="200"/>
        <w:ind w:left="385" w:right="123" w:hanging="284"/>
        <w:jc w:val="both"/>
      </w:pPr>
      <w:r>
        <w:rPr/>
        <w:t>Ruiz, R. (2010). Innovación en la educación superior. Hacia las sociedades del conocimiento. México. D.F.: Fondo de Cultura Económica.</w:t>
      </w:r>
    </w:p>
    <w:p>
      <w:pPr>
        <w:pStyle w:val="BodyText"/>
        <w:spacing w:line="276" w:lineRule="auto" w:before="197"/>
        <w:ind w:left="385" w:right="121" w:hanging="284"/>
        <w:jc w:val="both"/>
      </w:pPr>
      <w:r>
        <w:rPr/>
        <w:t>Salgado, M. y Miranda, S. (2007). Mercado de Trabajo y profesionistas en el Estado de México. </w:t>
      </w:r>
      <w:r>
        <w:rPr>
          <w:i/>
        </w:rPr>
        <w:t>Quivera</w:t>
      </w:r>
      <w:r>
        <w:rPr/>
        <w:t>. Universidad Autónoma del Estado de México . 9 (1).</w:t>
      </w:r>
    </w:p>
    <w:p>
      <w:pPr>
        <w:spacing w:line="276" w:lineRule="auto" w:before="202"/>
        <w:ind w:left="385" w:right="118" w:hanging="284"/>
        <w:jc w:val="both"/>
        <w:rPr>
          <w:sz w:val="24"/>
        </w:rPr>
      </w:pPr>
      <w:r>
        <w:rPr>
          <w:sz w:val="24"/>
        </w:rPr>
        <w:t>Salgado, M. y Miranda, S. (2008). </w:t>
      </w:r>
      <w:r>
        <w:rPr>
          <w:i/>
          <w:sz w:val="24"/>
        </w:rPr>
        <w:t>El mercado de trabajo de los profesionistas en el Estado </w:t>
      </w:r>
      <w:r>
        <w:rPr>
          <w:i/>
          <w:sz w:val="24"/>
        </w:rPr>
        <w:t>de México 1990-2000. Actividad económica regional en el Estado de México. Biblioteca Mexiquense del bicentenario. </w:t>
      </w:r>
      <w:r>
        <w:rPr>
          <w:sz w:val="24"/>
        </w:rPr>
        <w:t>Secretaría de desarrollo económico. Colección Mayor. No. 7</w:t>
      </w:r>
    </w:p>
    <w:p>
      <w:pPr>
        <w:spacing w:after="0" w:line="276" w:lineRule="auto"/>
        <w:jc w:val="both"/>
        <w:rPr>
          <w:sz w:val="24"/>
        </w:rPr>
        <w:sectPr>
          <w:footerReference w:type="default" r:id="rId139"/>
          <w:pgSz w:w="12240" w:h="15840"/>
          <w:pgMar w:footer="1003" w:header="0" w:top="1360" w:bottom="1200" w:left="1600" w:right="1580"/>
          <w:pgNumType w:start="210"/>
        </w:sectPr>
      </w:pPr>
    </w:p>
    <w:p>
      <w:pPr>
        <w:pStyle w:val="BodyText"/>
        <w:spacing w:line="278" w:lineRule="auto" w:before="50"/>
        <w:ind w:left="385" w:right="118" w:hanging="284"/>
        <w:jc w:val="both"/>
      </w:pPr>
      <w:r>
        <w:rPr/>
        <w:t>Sánchez, M. y Intxaurburu, M. (1995). La flexibilidad del mercado de trabajo: la búsqueda de un nuevo concepto. </w:t>
      </w:r>
      <w:r>
        <w:rPr>
          <w:i/>
        </w:rPr>
        <w:t>Estudios de economía aplicada</w:t>
      </w:r>
      <w:r>
        <w:rPr/>
        <w:t>. 4 pp. 115-134</w:t>
      </w:r>
    </w:p>
    <w:p>
      <w:pPr>
        <w:spacing w:line="276" w:lineRule="auto" w:before="197"/>
        <w:ind w:left="385" w:right="116" w:hanging="284"/>
        <w:jc w:val="both"/>
        <w:rPr>
          <w:sz w:val="24"/>
        </w:rPr>
      </w:pPr>
      <w:r>
        <w:rPr>
          <w:sz w:val="24"/>
        </w:rPr>
        <w:t>Schwerdt, G y Turunen, J. (2006) </w:t>
      </w:r>
      <w:r>
        <w:rPr>
          <w:i/>
          <w:sz w:val="24"/>
        </w:rPr>
        <w:t>Growth in Euro Area labor quality</w:t>
      </w:r>
      <w:r>
        <w:rPr>
          <w:sz w:val="24"/>
        </w:rPr>
        <w:t>. Documento de  trabajo 575, Frankfurt, Alemania: European Central</w:t>
      </w:r>
      <w:r>
        <w:rPr>
          <w:spacing w:val="-7"/>
          <w:sz w:val="24"/>
        </w:rPr>
        <w:t> </w:t>
      </w:r>
      <w:r>
        <w:rPr>
          <w:sz w:val="24"/>
        </w:rPr>
        <w:t>Bank.</w:t>
      </w:r>
    </w:p>
    <w:p>
      <w:pPr>
        <w:spacing w:line="276" w:lineRule="auto" w:before="202"/>
        <w:ind w:left="385" w:right="116" w:hanging="284"/>
        <w:jc w:val="both"/>
        <w:rPr>
          <w:sz w:val="24"/>
        </w:rPr>
      </w:pPr>
      <w:r>
        <w:rPr>
          <w:sz w:val="24"/>
        </w:rPr>
        <w:t>Selva, C. (2004). </w:t>
      </w:r>
      <w:r>
        <w:rPr>
          <w:i/>
          <w:sz w:val="24"/>
        </w:rPr>
        <w:t>El capital humano y su contribución al crecimiento económico. Un </w:t>
      </w:r>
      <w:r>
        <w:rPr>
          <w:i/>
          <w:sz w:val="24"/>
        </w:rPr>
        <w:t>análisis para Castilla-La Mancha. </w:t>
      </w:r>
      <w:r>
        <w:rPr>
          <w:sz w:val="24"/>
        </w:rPr>
        <w:t>Cuenca, España: Ediciones de la Universidad de Castilla-La Mancha.</w:t>
      </w:r>
    </w:p>
    <w:p>
      <w:pPr>
        <w:spacing w:line="276" w:lineRule="auto" w:before="200"/>
        <w:ind w:left="385" w:right="116" w:hanging="284"/>
        <w:jc w:val="both"/>
        <w:rPr>
          <w:sz w:val="24"/>
        </w:rPr>
      </w:pPr>
      <w:r>
        <w:rPr>
          <w:sz w:val="24"/>
        </w:rPr>
        <w:t>Schultz, T. (1961). Investment in Human Capital. </w:t>
      </w:r>
      <w:r>
        <w:rPr>
          <w:i/>
          <w:sz w:val="24"/>
        </w:rPr>
        <w:t>The American Economic Review</w:t>
      </w:r>
      <w:r>
        <w:rPr>
          <w:sz w:val="24"/>
        </w:rPr>
        <w:t>. 51 (1) pp. 1- 17</w:t>
      </w:r>
    </w:p>
    <w:p>
      <w:pPr>
        <w:pStyle w:val="BodyText"/>
        <w:spacing w:line="276" w:lineRule="auto" w:before="203"/>
        <w:ind w:left="385" w:right="119" w:hanging="284"/>
        <w:jc w:val="both"/>
      </w:pPr>
      <w:r>
        <w:rPr/>
        <w:t>Schwartzman, S. (2000). América Latina: las respuestas nacionales a los desafios mundiales. Buenos Aires, Argentina: EN: Altabach. P. y McGrill. P. (2000) </w:t>
      </w:r>
      <w:r>
        <w:rPr>
          <w:i/>
        </w:rPr>
        <w:t>Educación </w:t>
      </w:r>
      <w:r>
        <w:rPr>
          <w:i/>
        </w:rPr>
        <w:t>Superior en el siglo XXI. </w:t>
      </w:r>
      <w:r>
        <w:rPr/>
        <w:t>Edit. Biblos.</w:t>
      </w:r>
    </w:p>
    <w:p>
      <w:pPr>
        <w:spacing w:line="276" w:lineRule="auto" w:before="202"/>
        <w:ind w:left="385" w:right="116" w:hanging="284"/>
        <w:jc w:val="both"/>
        <w:rPr>
          <w:sz w:val="24"/>
        </w:rPr>
      </w:pPr>
      <w:r>
        <w:rPr>
          <w:sz w:val="24"/>
        </w:rPr>
        <w:t>Scott, R. y Davis, G. (2007). </w:t>
      </w:r>
      <w:r>
        <w:rPr>
          <w:i/>
          <w:sz w:val="24"/>
        </w:rPr>
        <w:t>Organizations and organizing. Rational. natural and open </w:t>
      </w:r>
      <w:r>
        <w:rPr>
          <w:i/>
          <w:sz w:val="24"/>
        </w:rPr>
        <w:t>system perspectives.  </w:t>
      </w:r>
      <w:r>
        <w:rPr>
          <w:sz w:val="24"/>
        </w:rPr>
        <w:t>Upper Saddle River, USA: Pearson- Prentice Hall</w:t>
      </w:r>
    </w:p>
    <w:p>
      <w:pPr>
        <w:pStyle w:val="BodyText"/>
        <w:spacing w:line="276" w:lineRule="auto" w:before="202"/>
        <w:ind w:left="385" w:right="117" w:hanging="284"/>
        <w:jc w:val="both"/>
      </w:pPr>
      <w:r>
        <w:rPr/>
        <w:t>Scull, S. y Cuthill, M. (2010). Engaged outreach: using community engagement to facilitate access to higher education for people from low socio-economic backgrounds. </w:t>
      </w:r>
      <w:r>
        <w:rPr>
          <w:i/>
        </w:rPr>
        <w:t>Higher </w:t>
      </w:r>
      <w:r>
        <w:rPr>
          <w:i/>
        </w:rPr>
        <w:t>Education Research y Development</w:t>
      </w:r>
      <w:r>
        <w:rPr/>
        <w:t>. 29 (1) pp. 59-74.</w:t>
      </w:r>
    </w:p>
    <w:p>
      <w:pPr>
        <w:spacing w:line="276" w:lineRule="auto" w:before="203"/>
        <w:ind w:left="385" w:right="117" w:hanging="284"/>
        <w:jc w:val="both"/>
        <w:rPr>
          <w:sz w:val="24"/>
        </w:rPr>
      </w:pPr>
      <w:r>
        <w:rPr>
          <w:sz w:val="24"/>
        </w:rPr>
        <w:t>Segura, J. (2001). La reforma del mercado de trabajo español: Un panorama. </w:t>
      </w:r>
      <w:r>
        <w:rPr>
          <w:i/>
          <w:sz w:val="24"/>
        </w:rPr>
        <w:t>Revista de </w:t>
      </w:r>
      <w:r>
        <w:rPr>
          <w:i/>
          <w:sz w:val="24"/>
        </w:rPr>
        <w:t>Economía Aplicada</w:t>
      </w:r>
      <w:r>
        <w:rPr>
          <w:sz w:val="24"/>
        </w:rPr>
        <w:t>. Vol. IX (25) pp. 157-190.</w:t>
      </w:r>
    </w:p>
    <w:p>
      <w:pPr>
        <w:spacing w:line="276" w:lineRule="auto" w:before="202"/>
        <w:ind w:left="385" w:right="119" w:hanging="284"/>
        <w:jc w:val="both"/>
        <w:rPr>
          <w:sz w:val="24"/>
        </w:rPr>
      </w:pPr>
      <w:r>
        <w:rPr>
          <w:sz w:val="24"/>
        </w:rPr>
        <w:t>Siddique, A., Aslam, D., Khan, M. y Fatima, U. (2011). Impact of Academic Leadership on Faculty’s Motivation. and Organizational Effectiveness in Higher Education System. </w:t>
      </w:r>
      <w:r>
        <w:rPr>
          <w:i/>
          <w:sz w:val="24"/>
        </w:rPr>
        <w:t>International Journal of Business and Social Science</w:t>
      </w:r>
      <w:r>
        <w:rPr>
          <w:sz w:val="24"/>
        </w:rPr>
        <w:t>. 2 (8) pp.184-191.</w:t>
      </w:r>
    </w:p>
    <w:p>
      <w:pPr>
        <w:spacing w:line="276" w:lineRule="auto" w:before="202"/>
        <w:ind w:left="385" w:right="117" w:hanging="284"/>
        <w:jc w:val="both"/>
        <w:rPr>
          <w:sz w:val="24"/>
        </w:rPr>
      </w:pPr>
      <w:r>
        <w:rPr>
          <w:sz w:val="24"/>
        </w:rPr>
        <w:t>Solow, R. (1992). </w:t>
      </w:r>
      <w:r>
        <w:rPr>
          <w:i/>
          <w:sz w:val="24"/>
        </w:rPr>
        <w:t>El mercado de trabajo como institución social</w:t>
      </w:r>
      <w:r>
        <w:rPr>
          <w:sz w:val="24"/>
        </w:rPr>
        <w:t>. Madrid, España: Alianza Editorial.</w:t>
      </w:r>
    </w:p>
    <w:p>
      <w:pPr>
        <w:pStyle w:val="BodyText"/>
        <w:spacing w:line="278" w:lineRule="auto" w:before="200"/>
        <w:ind w:left="385" w:right="116" w:hanging="284"/>
        <w:jc w:val="both"/>
      </w:pPr>
      <w:r>
        <w:rPr/>
        <w:t>Soto, S. (2009). Elementos para la comprensión de la crisis actual del capitalismo. Una perspectiva desde la perfería. </w:t>
      </w:r>
      <w:r>
        <w:rPr>
          <w:i/>
        </w:rPr>
        <w:t>Reflexiones</w:t>
      </w:r>
      <w:r>
        <w:rPr/>
        <w:t>. 88 (1) pp. 137-153.</w:t>
      </w:r>
    </w:p>
    <w:p>
      <w:pPr>
        <w:spacing w:line="278" w:lineRule="auto" w:before="198"/>
        <w:ind w:left="385" w:right="116" w:hanging="284"/>
        <w:jc w:val="both"/>
        <w:rPr>
          <w:sz w:val="24"/>
        </w:rPr>
      </w:pPr>
      <w:r>
        <w:rPr>
          <w:sz w:val="24"/>
        </w:rPr>
        <w:t>Spence, M. (1973). Job Market Signaling. </w:t>
      </w:r>
      <w:r>
        <w:rPr>
          <w:i/>
          <w:sz w:val="24"/>
        </w:rPr>
        <w:t>Quarterly Journal of Economics. </w:t>
      </w:r>
      <w:r>
        <w:rPr>
          <w:sz w:val="24"/>
        </w:rPr>
        <w:t>87. pp. 355- 374.</w:t>
      </w:r>
    </w:p>
    <w:p>
      <w:pPr>
        <w:spacing w:before="197"/>
        <w:ind w:left="102" w:right="0" w:firstLine="0"/>
        <w:jc w:val="left"/>
        <w:rPr>
          <w:sz w:val="24"/>
        </w:rPr>
      </w:pPr>
      <w:r>
        <w:rPr>
          <w:sz w:val="24"/>
        </w:rPr>
        <w:t>Stigler, G. (1961). The Economics of Information. </w:t>
      </w:r>
      <w:r>
        <w:rPr>
          <w:i/>
          <w:sz w:val="24"/>
        </w:rPr>
        <w:t>Journal of Political Economy</w:t>
      </w:r>
      <w:r>
        <w:rPr>
          <w:sz w:val="24"/>
        </w:rPr>
        <w:t>. 69. pp.</w:t>
      </w:r>
    </w:p>
    <w:p>
      <w:pPr>
        <w:pStyle w:val="BodyText"/>
        <w:spacing w:before="41"/>
        <w:ind w:left="385"/>
      </w:pPr>
      <w:r>
        <w:rPr/>
        <w:t>213-225.</w:t>
      </w:r>
    </w:p>
    <w:p>
      <w:pPr>
        <w:pStyle w:val="BodyText"/>
        <w:rPr>
          <w:sz w:val="21"/>
        </w:rPr>
      </w:pPr>
    </w:p>
    <w:p>
      <w:pPr>
        <w:spacing w:before="1"/>
        <w:ind w:left="102" w:right="0" w:firstLine="0"/>
        <w:jc w:val="left"/>
        <w:rPr>
          <w:sz w:val="24"/>
        </w:rPr>
      </w:pPr>
      <w:r>
        <w:rPr>
          <w:sz w:val="24"/>
        </w:rPr>
        <w:t>Thurow. L. (1970). </w:t>
      </w:r>
      <w:r>
        <w:rPr>
          <w:i/>
          <w:sz w:val="24"/>
        </w:rPr>
        <w:t>Investment in human capital</w:t>
      </w:r>
      <w:r>
        <w:rPr>
          <w:sz w:val="24"/>
        </w:rPr>
        <w:t>. Belmont, USA: Wadsworth.</w:t>
      </w:r>
    </w:p>
    <w:p>
      <w:pPr>
        <w:spacing w:after="0"/>
        <w:jc w:val="left"/>
        <w:rPr>
          <w:sz w:val="24"/>
        </w:rPr>
        <w:sectPr>
          <w:pgSz w:w="12240" w:h="15840"/>
          <w:pgMar w:header="0" w:footer="1003" w:top="1360" w:bottom="1200" w:left="1600" w:right="1580"/>
        </w:sectPr>
      </w:pPr>
    </w:p>
    <w:p>
      <w:pPr>
        <w:spacing w:line="276" w:lineRule="auto" w:before="50"/>
        <w:ind w:left="385" w:right="117" w:hanging="284"/>
        <w:jc w:val="both"/>
        <w:rPr>
          <w:sz w:val="24"/>
        </w:rPr>
      </w:pPr>
      <w:r>
        <w:rPr>
          <w:sz w:val="24"/>
        </w:rPr>
        <w:t>Thurow, L. y Lucas, R. (1972). </w:t>
      </w:r>
      <w:r>
        <w:rPr>
          <w:i/>
          <w:sz w:val="24"/>
        </w:rPr>
        <w:t>The american distribution ofincome: a structural problem. </w:t>
      </w:r>
      <w:r>
        <w:rPr>
          <w:sz w:val="24"/>
        </w:rPr>
        <w:t>A study for the joint ecomomic committee. Washington D.C., USA: US Congress. Government Printing Office.</w:t>
      </w:r>
    </w:p>
    <w:p>
      <w:pPr>
        <w:pStyle w:val="BodyText"/>
      </w:pPr>
    </w:p>
    <w:p>
      <w:pPr>
        <w:pStyle w:val="BodyText"/>
        <w:spacing w:before="1"/>
        <w:rPr>
          <w:sz w:val="21"/>
        </w:rPr>
      </w:pPr>
    </w:p>
    <w:p>
      <w:pPr>
        <w:spacing w:line="276" w:lineRule="auto" w:before="1"/>
        <w:ind w:left="385" w:right="124" w:hanging="284"/>
        <w:jc w:val="both"/>
        <w:rPr>
          <w:sz w:val="24"/>
        </w:rPr>
      </w:pPr>
      <w:r>
        <w:rPr>
          <w:sz w:val="24"/>
        </w:rPr>
        <w:t>Toharia, L. (1983). </w:t>
      </w:r>
      <w:r>
        <w:rPr>
          <w:i/>
          <w:sz w:val="24"/>
        </w:rPr>
        <w:t>El mercado de trabajo: Teorías y aplicaciones Compilaciones e </w:t>
      </w:r>
      <w:r>
        <w:rPr>
          <w:i/>
          <w:sz w:val="24"/>
        </w:rPr>
        <w:t>introducción de Luis Toharia</w:t>
      </w:r>
      <w:r>
        <w:rPr>
          <w:sz w:val="24"/>
        </w:rPr>
        <w:t>. Madrid, España: Alianza.</w:t>
      </w:r>
    </w:p>
    <w:p>
      <w:pPr>
        <w:pStyle w:val="BodyText"/>
        <w:spacing w:before="7"/>
        <w:rPr>
          <w:sz w:val="27"/>
        </w:rPr>
      </w:pPr>
    </w:p>
    <w:p>
      <w:pPr>
        <w:spacing w:line="278" w:lineRule="auto" w:before="0"/>
        <w:ind w:left="810" w:right="115" w:hanging="708"/>
        <w:jc w:val="both"/>
        <w:rPr>
          <w:sz w:val="24"/>
        </w:rPr>
      </w:pPr>
      <w:r>
        <w:rPr>
          <w:sz w:val="24"/>
        </w:rPr>
        <w:t>Trejo, S. (1998). </w:t>
      </w:r>
      <w:r>
        <w:rPr>
          <w:i/>
          <w:sz w:val="24"/>
        </w:rPr>
        <w:t>Empleo para Todos: El Reto y los Caminos. México. </w:t>
      </w:r>
      <w:r>
        <w:rPr>
          <w:sz w:val="24"/>
        </w:rPr>
        <w:t>Fondo de Cultura Económica.</w:t>
      </w:r>
    </w:p>
    <w:p>
      <w:pPr>
        <w:pStyle w:val="BodyText"/>
        <w:spacing w:line="276" w:lineRule="auto" w:before="197"/>
        <w:ind w:left="102" w:right="119"/>
        <w:jc w:val="right"/>
      </w:pPr>
      <w:r>
        <w:rPr/>
        <w:t>Tsang, E. (1997). Organizational Learning and the Learning Organization: A Dichotomy Between Descriptive and Prescriptive Research. </w:t>
      </w:r>
      <w:r>
        <w:rPr>
          <w:i/>
        </w:rPr>
        <w:t>Human Relations</w:t>
      </w:r>
      <w:r>
        <w:rPr/>
        <w:t>. 50 (1) pp. 73-89.</w:t>
      </w:r>
    </w:p>
    <w:p>
      <w:pPr>
        <w:spacing w:before="202"/>
        <w:ind w:left="102" w:right="0" w:firstLine="0"/>
        <w:jc w:val="left"/>
        <w:rPr>
          <w:i/>
          <w:sz w:val="24"/>
        </w:rPr>
      </w:pPr>
      <w:r>
        <w:rPr>
          <w:sz w:val="24"/>
        </w:rPr>
        <w:t>Tünnermann,</w:t>
      </w:r>
      <w:r>
        <w:rPr>
          <w:spacing w:val="50"/>
          <w:sz w:val="24"/>
        </w:rPr>
        <w:t> </w:t>
      </w:r>
      <w:r>
        <w:rPr>
          <w:sz w:val="24"/>
        </w:rPr>
        <w:t>C.</w:t>
      </w:r>
      <w:r>
        <w:rPr>
          <w:spacing w:val="50"/>
          <w:sz w:val="24"/>
        </w:rPr>
        <w:t> </w:t>
      </w:r>
      <w:r>
        <w:rPr>
          <w:sz w:val="24"/>
        </w:rPr>
        <w:t>(2003).</w:t>
      </w:r>
      <w:r>
        <w:rPr>
          <w:spacing w:val="53"/>
          <w:sz w:val="24"/>
        </w:rPr>
        <w:t> </w:t>
      </w:r>
      <w:r>
        <w:rPr>
          <w:i/>
          <w:sz w:val="24"/>
        </w:rPr>
        <w:t>La</w:t>
      </w:r>
      <w:r>
        <w:rPr>
          <w:i/>
          <w:spacing w:val="50"/>
          <w:sz w:val="24"/>
        </w:rPr>
        <w:t> </w:t>
      </w:r>
      <w:r>
        <w:rPr>
          <w:i/>
          <w:sz w:val="24"/>
        </w:rPr>
        <w:t>Universidad</w:t>
      </w:r>
      <w:r>
        <w:rPr>
          <w:i/>
          <w:spacing w:val="50"/>
          <w:sz w:val="24"/>
        </w:rPr>
        <w:t> </w:t>
      </w:r>
      <w:r>
        <w:rPr>
          <w:i/>
          <w:sz w:val="24"/>
        </w:rPr>
        <w:t>latinoamericana</w:t>
      </w:r>
      <w:r>
        <w:rPr>
          <w:i/>
          <w:spacing w:val="50"/>
          <w:sz w:val="24"/>
        </w:rPr>
        <w:t> </w:t>
      </w:r>
      <w:r>
        <w:rPr>
          <w:i/>
          <w:sz w:val="24"/>
        </w:rPr>
        <w:t>ante</w:t>
      </w:r>
      <w:r>
        <w:rPr>
          <w:i/>
          <w:spacing w:val="50"/>
          <w:sz w:val="24"/>
        </w:rPr>
        <w:t> </w:t>
      </w:r>
      <w:r>
        <w:rPr>
          <w:i/>
          <w:sz w:val="24"/>
        </w:rPr>
        <w:t>los</w:t>
      </w:r>
      <w:r>
        <w:rPr>
          <w:i/>
          <w:spacing w:val="51"/>
          <w:sz w:val="24"/>
        </w:rPr>
        <w:t> </w:t>
      </w:r>
      <w:r>
        <w:rPr>
          <w:i/>
          <w:sz w:val="24"/>
        </w:rPr>
        <w:t>retos</w:t>
      </w:r>
      <w:r>
        <w:rPr>
          <w:i/>
          <w:spacing w:val="50"/>
          <w:sz w:val="24"/>
        </w:rPr>
        <w:t> </w:t>
      </w:r>
      <w:r>
        <w:rPr>
          <w:i/>
          <w:sz w:val="24"/>
        </w:rPr>
        <w:t>del</w:t>
      </w:r>
      <w:r>
        <w:rPr>
          <w:i/>
          <w:spacing w:val="51"/>
          <w:sz w:val="24"/>
        </w:rPr>
        <w:t> </w:t>
      </w:r>
      <w:r>
        <w:rPr>
          <w:i/>
          <w:sz w:val="24"/>
        </w:rPr>
        <w:t>siglo</w:t>
      </w:r>
      <w:r>
        <w:rPr>
          <w:i/>
          <w:spacing w:val="50"/>
          <w:sz w:val="24"/>
        </w:rPr>
        <w:t> </w:t>
      </w:r>
      <w:r>
        <w:rPr>
          <w:i/>
          <w:sz w:val="24"/>
        </w:rPr>
        <w:t>XXI.</w:t>
      </w:r>
    </w:p>
    <w:p>
      <w:pPr>
        <w:pStyle w:val="BodyText"/>
        <w:spacing w:before="41"/>
        <w:ind w:left="810"/>
      </w:pPr>
      <w:r>
        <w:rPr/>
        <w:t>México. D.F., México: Unión de Universidades de América Latina.</w:t>
      </w:r>
    </w:p>
    <w:p>
      <w:pPr>
        <w:pStyle w:val="BodyText"/>
        <w:rPr>
          <w:sz w:val="21"/>
        </w:rPr>
      </w:pPr>
    </w:p>
    <w:p>
      <w:pPr>
        <w:spacing w:line="276" w:lineRule="auto" w:before="1"/>
        <w:ind w:left="810" w:right="118" w:hanging="708"/>
        <w:jc w:val="both"/>
        <w:rPr>
          <w:sz w:val="24"/>
        </w:rPr>
      </w:pPr>
      <w:r>
        <w:rPr>
          <w:sz w:val="24"/>
        </w:rPr>
        <w:t>Uzzi, B. (1997). Social structure and competition in inter-firm networks: The paradox of embeddedness. </w:t>
      </w:r>
      <w:r>
        <w:rPr>
          <w:i/>
          <w:sz w:val="24"/>
        </w:rPr>
        <w:t>Administrative Science Quarterly. </w:t>
      </w:r>
      <w:r>
        <w:rPr>
          <w:sz w:val="24"/>
        </w:rPr>
        <w:t>42 pp. 35-67.</w:t>
      </w:r>
    </w:p>
    <w:p>
      <w:pPr>
        <w:pStyle w:val="BodyText"/>
        <w:spacing w:line="276" w:lineRule="auto" w:before="202"/>
        <w:ind w:left="810" w:right="123" w:hanging="708"/>
        <w:jc w:val="both"/>
      </w:pPr>
      <w:r>
        <w:rPr/>
        <w:t>Vargas, J., Reza, M. y Sariolghalam, N. (2010). Multiple Intelligences and the Future of Education in Mexico. </w:t>
      </w:r>
      <w:r>
        <w:rPr>
          <w:i/>
        </w:rPr>
        <w:t>Asian Social Science</w:t>
      </w:r>
      <w:r>
        <w:rPr/>
        <w:t>. 6 (6) pp. 139-147.</w:t>
      </w:r>
    </w:p>
    <w:p>
      <w:pPr>
        <w:spacing w:line="278" w:lineRule="auto" w:before="200"/>
        <w:ind w:left="810" w:right="119" w:hanging="708"/>
        <w:jc w:val="both"/>
        <w:rPr>
          <w:sz w:val="24"/>
        </w:rPr>
      </w:pPr>
      <w:r>
        <w:rPr>
          <w:sz w:val="24"/>
        </w:rPr>
        <w:t>Vega, A. (2001). </w:t>
      </w:r>
      <w:r>
        <w:rPr>
          <w:i/>
          <w:sz w:val="24"/>
        </w:rPr>
        <w:t>Educación Superior de Calidad para el Siglo XXI. </w:t>
      </w:r>
      <w:r>
        <w:rPr>
          <w:sz w:val="24"/>
        </w:rPr>
        <w:t>Educación- Universidad de Costa Rica . 25 (1) pp. 9-17.</w:t>
      </w:r>
    </w:p>
    <w:p>
      <w:pPr>
        <w:spacing w:before="197"/>
        <w:ind w:left="102" w:right="0" w:firstLine="0"/>
        <w:jc w:val="left"/>
        <w:rPr>
          <w:i/>
          <w:sz w:val="24"/>
        </w:rPr>
      </w:pPr>
      <w:r>
        <w:rPr>
          <w:sz w:val="24"/>
        </w:rPr>
        <w:t>Weller, J. (2007). </w:t>
      </w:r>
      <w:r>
        <w:rPr>
          <w:i/>
          <w:sz w:val="24"/>
        </w:rPr>
        <w:t>La flexibilidad del mercado de trabajo en América Latina y el Caribe.</w:t>
      </w:r>
    </w:p>
    <w:p>
      <w:pPr>
        <w:pStyle w:val="BodyText"/>
        <w:spacing w:line="448" w:lineRule="auto" w:before="43"/>
        <w:ind w:left="102" w:firstLine="707"/>
      </w:pPr>
      <w:r>
        <w:rPr/>
        <w:t>Aspectos del debate, alguna evidencia y políticas. Santiago de Chile, Chile: CEPAL. Wooldrige, J. (2006) Introducción a la econometría. Madrid: Paraninfo-Cengage Learning. Womack, J. y Jones, D. (2003). </w:t>
      </w:r>
      <w:r>
        <w:rPr>
          <w:i/>
        </w:rPr>
        <w:t>Lean thinking. </w:t>
      </w:r>
      <w:r>
        <w:rPr/>
        <w:t>New York, USA: Free Press.</w:t>
      </w:r>
    </w:p>
    <w:p>
      <w:pPr>
        <w:spacing w:line="276" w:lineRule="auto" w:before="8"/>
        <w:ind w:left="810" w:right="117" w:hanging="708"/>
        <w:jc w:val="both"/>
        <w:rPr>
          <w:sz w:val="24"/>
        </w:rPr>
      </w:pPr>
      <w:r>
        <w:rPr>
          <w:sz w:val="24"/>
        </w:rPr>
        <w:t>Yañez, S. (1999). Consideraciones sobre flexibilidad laboral planteadas desde una mirada de género. EN: Insignia. J. y Yañez. S. (eds.) </w:t>
      </w:r>
      <w:r>
        <w:rPr>
          <w:i/>
          <w:sz w:val="24"/>
        </w:rPr>
        <w:t>Sindicalismo. género y flexibilización </w:t>
      </w:r>
      <w:r>
        <w:rPr>
          <w:i/>
          <w:sz w:val="24"/>
        </w:rPr>
        <w:t>en el Mercosur y Chile. Inserción laboral femenina. </w:t>
      </w:r>
      <w:r>
        <w:rPr>
          <w:sz w:val="24"/>
        </w:rPr>
        <w:t>Santiago de Chile, Chile: Fundación Friedrich Ebert / CEM.</w:t>
      </w:r>
    </w:p>
    <w:p>
      <w:pPr>
        <w:spacing w:before="202"/>
        <w:ind w:left="162" w:right="0" w:firstLine="0"/>
        <w:jc w:val="left"/>
        <w:rPr>
          <w:sz w:val="24"/>
        </w:rPr>
      </w:pPr>
      <w:r>
        <w:rPr>
          <w:sz w:val="24"/>
        </w:rPr>
        <w:t>Zeytinoglu,   I.   (1999).   </w:t>
      </w:r>
      <w:r>
        <w:rPr>
          <w:i/>
          <w:sz w:val="24"/>
        </w:rPr>
        <w:t>Changing   work   relationships   in   Industrialized  </w:t>
      </w:r>
      <w:r>
        <w:rPr>
          <w:i/>
          <w:spacing w:val="58"/>
          <w:sz w:val="24"/>
        </w:rPr>
        <w:t> </w:t>
      </w:r>
      <w:r>
        <w:rPr>
          <w:i/>
          <w:sz w:val="24"/>
        </w:rPr>
        <w:t>Economies</w:t>
      </w:r>
      <w:r>
        <w:rPr>
          <w:sz w:val="24"/>
        </w:rPr>
        <w:t>.</w:t>
      </w:r>
    </w:p>
    <w:p>
      <w:pPr>
        <w:pStyle w:val="BodyText"/>
        <w:spacing w:before="41"/>
        <w:ind w:left="385"/>
      </w:pPr>
      <w:r>
        <w:rPr/>
        <w:t>Philadelphia: Library of Congress Cataloging in Publication Data.</w:t>
      </w:r>
    </w:p>
    <w:p>
      <w:pPr>
        <w:spacing w:after="0"/>
        <w:sectPr>
          <w:pgSz w:w="12240" w:h="15840"/>
          <w:pgMar w:header="0" w:footer="1003" w:top="1360" w:bottom="1200" w:left="1600" w:right="1580"/>
        </w:sectPr>
      </w:pPr>
    </w:p>
    <w:p>
      <w:pPr>
        <w:pStyle w:val="Heading3"/>
        <w:ind w:right="16"/>
        <w:jc w:val="center"/>
      </w:pPr>
      <w:bookmarkStart w:name="_bookmark92" w:id="166"/>
      <w:bookmarkEnd w:id="166"/>
      <w:r>
        <w:rPr>
          <w:b w:val="0"/>
        </w:rPr>
      </w:r>
      <w:r>
        <w:rPr/>
        <w:t>REFERENCIAS EN LÍNEA</w:t>
      </w:r>
    </w:p>
    <w:p>
      <w:pPr>
        <w:pStyle w:val="BodyText"/>
        <w:rPr>
          <w:b/>
        </w:rPr>
      </w:pPr>
    </w:p>
    <w:p>
      <w:pPr>
        <w:pStyle w:val="BodyText"/>
        <w:spacing w:before="10"/>
        <w:rPr>
          <w:b/>
          <w:sz w:val="21"/>
        </w:rPr>
      </w:pPr>
    </w:p>
    <w:p>
      <w:pPr>
        <w:pStyle w:val="BodyText"/>
        <w:spacing w:line="276" w:lineRule="auto"/>
        <w:ind w:left="529" w:right="116" w:hanging="428"/>
        <w:jc w:val="both"/>
      </w:pPr>
      <w:r>
        <w:rPr/>
        <w:t>Alcántar. V. M.. y Arcos. J. L. (2004). La vinculación como instrumento de imagen y posicionamiento de las instituciones de educación superior. </w:t>
      </w:r>
      <w:r>
        <w:rPr>
          <w:i/>
        </w:rPr>
        <w:t>Revista electrónica de </w:t>
      </w:r>
      <w:r>
        <w:rPr>
          <w:i/>
        </w:rPr>
        <w:t>Investigación Educativa </w:t>
      </w:r>
      <w:r>
        <w:rPr/>
        <w:t>. 6 (1). Consultado el día 12 de enero de 2012. Disponible en: </w:t>
      </w:r>
      <w:hyperlink r:id="rId140">
        <w:r>
          <w:rPr>
            <w:color w:val="0000FF"/>
            <w:u w:val="single" w:color="0000FF"/>
          </w:rPr>
          <w:t>http://redie.uabc.mx/vol6no1/contenido-enriquez.html</w:t>
        </w:r>
      </w:hyperlink>
    </w:p>
    <w:p>
      <w:pPr>
        <w:pStyle w:val="BodyText"/>
        <w:spacing w:before="4"/>
        <w:rPr>
          <w:sz w:val="11"/>
        </w:rPr>
      </w:pPr>
    </w:p>
    <w:p>
      <w:pPr>
        <w:pStyle w:val="BodyText"/>
        <w:spacing w:line="276" w:lineRule="auto" w:before="69"/>
        <w:ind w:left="529" w:right="119" w:hanging="428"/>
        <w:jc w:val="both"/>
      </w:pPr>
      <w:r>
        <w:rPr/>
        <w:t>ANUIES (2013). Asociación Nacional de Universidades e Instituciones de Educación Superior-ANUIES. Consultado el 19 de mayo de 2013. Disponible en: </w:t>
      </w:r>
      <w:hyperlink r:id="rId141">
        <w:r>
          <w:rPr>
            <w:color w:val="0000FF"/>
            <w:u w:val="single" w:color="0000FF"/>
          </w:rPr>
          <w:t>http://201.161.2.34/la_anuies/diries/</w:t>
        </w:r>
      </w:hyperlink>
    </w:p>
    <w:p>
      <w:pPr>
        <w:pStyle w:val="BodyText"/>
        <w:spacing w:before="7"/>
        <w:rPr>
          <w:sz w:val="11"/>
        </w:rPr>
      </w:pPr>
    </w:p>
    <w:p>
      <w:pPr>
        <w:pStyle w:val="BodyText"/>
        <w:tabs>
          <w:tab w:pos="1789" w:val="left" w:leader="none"/>
          <w:tab w:pos="3562" w:val="left" w:leader="none"/>
          <w:tab w:pos="4576" w:val="left" w:leader="none"/>
        </w:tabs>
        <w:spacing w:line="276" w:lineRule="auto" w:before="69"/>
        <w:ind w:left="529" w:right="116" w:hanging="428"/>
      </w:pPr>
      <w:r>
        <w:rPr/>
        <w:t>Banco de México (2004). Resumen informe anual 2003. Consultado el 20 de mayo de  2014.</w:t>
        <w:tab/>
        <w:t>Disponible</w:t>
        <w:tab/>
        <w:t>en:</w:t>
        <w:tab/>
      </w:r>
      <w:hyperlink r:id="rId142">
        <w:r>
          <w:rPr>
            <w:color w:val="0000FF"/>
            <w:spacing w:val="-1"/>
            <w:u w:val="single" w:color="0000FF"/>
          </w:rPr>
          <w:t>http://www.banxico.gob.mx/publicaciones-y-</w:t>
        </w:r>
      </w:hyperlink>
      <w:r>
        <w:rPr>
          <w:color w:val="0000FF"/>
          <w:spacing w:val="-1"/>
          <w:u w:val="single" w:color="0000FF"/>
        </w:rPr>
        <w:t> </w:t>
      </w:r>
      <w:hyperlink r:id="rId142">
        <w:r>
          <w:rPr>
            <w:color w:val="0000FF"/>
            <w:u w:val="single" w:color="0000FF"/>
          </w:rPr>
          <w:t>discursos/publicaciones/informes-periodicos/anual/%7BB7834043-430B-E9E7-290E-</w:t>
        </w:r>
      </w:hyperlink>
      <w:r>
        <w:rPr>
          <w:color w:val="0000FF"/>
          <w:u w:val="single" w:color="0000FF"/>
        </w:rPr>
        <w:t> </w:t>
      </w:r>
      <w:hyperlink r:id="rId142">
        <w:r>
          <w:rPr>
            <w:color w:val="0000FF"/>
            <w:u w:val="single" w:color="0000FF"/>
          </w:rPr>
          <w:t>0B57366C0D67%7D.pdf</w:t>
        </w:r>
      </w:hyperlink>
    </w:p>
    <w:p>
      <w:pPr>
        <w:pStyle w:val="BodyText"/>
        <w:spacing w:before="7"/>
        <w:rPr>
          <w:sz w:val="11"/>
        </w:rPr>
      </w:pPr>
    </w:p>
    <w:p>
      <w:pPr>
        <w:pStyle w:val="BodyText"/>
        <w:spacing w:line="276" w:lineRule="auto" w:before="69"/>
        <w:ind w:left="529" w:right="118" w:hanging="428"/>
        <w:jc w:val="both"/>
      </w:pPr>
      <w:r>
        <w:rPr/>
        <w:t>Banco de México (2012). Consultado el 23 de febrero de 2012. Disponible en: </w:t>
      </w:r>
      <w:hyperlink r:id="rId143">
        <w:r>
          <w:rPr>
            <w:color w:val="0000FF"/>
            <w:u w:val="single" w:color="0000FF"/>
          </w:rPr>
          <w:t>http://www.banxico.org.mx/SieInternet/consultarDirectorioInternetAction.do?accion=c</w:t>
        </w:r>
      </w:hyperlink>
      <w:r>
        <w:rPr>
          <w:color w:val="0000FF"/>
          <w:u w:val="single" w:color="0000FF"/>
        </w:rPr>
        <w:t> </w:t>
      </w:r>
      <w:hyperlink r:id="rId143">
        <w:r>
          <w:rPr>
            <w:color w:val="0000FF"/>
            <w:u w:val="single" w:color="0000FF"/>
          </w:rPr>
          <w:t>onsultar%20CuadroAnalitico&amp;idCuadro=CA126&amp;sector=12&amp;locale=es</w:t>
        </w:r>
      </w:hyperlink>
    </w:p>
    <w:p>
      <w:pPr>
        <w:pStyle w:val="BodyText"/>
        <w:spacing w:before="7"/>
        <w:rPr>
          <w:sz w:val="11"/>
        </w:rPr>
      </w:pPr>
    </w:p>
    <w:p>
      <w:pPr>
        <w:pStyle w:val="BodyText"/>
        <w:spacing w:line="276" w:lineRule="auto" w:before="69"/>
        <w:ind w:left="529" w:right="116" w:hanging="428"/>
        <w:jc w:val="both"/>
      </w:pPr>
      <w:r>
        <w:rPr/>
        <w:t>Campos. G.. y Sánchez. G. (2005). La vinculación universitaria: ese oscuro objeto del deseo. </w:t>
      </w:r>
      <w:r>
        <w:rPr>
          <w:i/>
        </w:rPr>
        <w:t>Revista electrónica de investigación Educativa </w:t>
      </w:r>
      <w:r>
        <w:rPr/>
        <w:t>. 7 (2). Consultado el día 12 de enero de 2012. Disponible en: </w:t>
      </w:r>
      <w:hyperlink r:id="rId144">
        <w:r>
          <w:rPr>
            <w:color w:val="0000FF"/>
            <w:u w:val="single" w:color="0000FF"/>
          </w:rPr>
          <w:t>http://redie.uabc.mx/vol7no2/contenido-campos.html</w:t>
        </w:r>
      </w:hyperlink>
      <w:r>
        <w:rPr/>
        <w:t>.</w:t>
      </w:r>
    </w:p>
    <w:p>
      <w:pPr>
        <w:pStyle w:val="BodyText"/>
        <w:spacing w:before="7"/>
        <w:rPr>
          <w:sz w:val="11"/>
        </w:rPr>
      </w:pPr>
    </w:p>
    <w:p>
      <w:pPr>
        <w:pStyle w:val="BodyText"/>
        <w:spacing w:line="276" w:lineRule="auto" w:before="69"/>
        <w:ind w:left="529" w:hanging="428"/>
      </w:pPr>
      <w:r>
        <w:rPr/>
        <w:t>Canacintra Digital. (2011). Consultado el 9 de noviembre de 2011. Disponible en: </w:t>
      </w:r>
      <w:hyperlink r:id="rId145">
        <w:r>
          <w:rPr>
            <w:color w:val="0000FF"/>
            <w:u w:val="single" w:color="0000FF"/>
          </w:rPr>
          <w:t>http://www.canacintra-</w:t>
        </w:r>
      </w:hyperlink>
      <w:r>
        <w:rPr>
          <w:color w:val="0000FF"/>
          <w:u w:val="single" w:color="0000FF"/>
        </w:rPr>
        <w:t> </w:t>
      </w:r>
      <w:hyperlink r:id="rId145">
        <w:r>
          <w:rPr>
            <w:color w:val="0000FF"/>
            <w:u w:val="single" w:color="0000FF"/>
          </w:rPr>
          <w:t>digital.com.mx/home/index.php?option=com_content&amp;view=article&amp;id=335&amp;Itemid=</w:t>
        </w:r>
      </w:hyperlink>
      <w:r>
        <w:rPr>
          <w:color w:val="0000FF"/>
          <w:u w:val="single" w:color="0000FF"/>
        </w:rPr>
        <w:t> </w:t>
      </w:r>
      <w:hyperlink r:id="rId145">
        <w:r>
          <w:rPr>
            <w:color w:val="0000FF"/>
            <w:u w:val="single" w:color="0000FF"/>
          </w:rPr>
          <w:t>152</w:t>
        </w:r>
      </w:hyperlink>
    </w:p>
    <w:p>
      <w:pPr>
        <w:pStyle w:val="BodyText"/>
        <w:spacing w:before="4"/>
        <w:rPr>
          <w:sz w:val="11"/>
        </w:rPr>
      </w:pPr>
    </w:p>
    <w:p>
      <w:pPr>
        <w:pStyle w:val="BodyText"/>
        <w:spacing w:line="276" w:lineRule="auto" w:before="69"/>
        <w:ind w:left="529" w:right="117" w:hanging="428"/>
        <w:jc w:val="both"/>
      </w:pPr>
      <w:r>
        <w:rPr/>
        <w:t>CEDEFOP-European Centre for the Development of Vocational Training (2012). Consultado el 20 de marzo de 2013. Disponible en: </w:t>
      </w:r>
      <w:hyperlink r:id="rId146">
        <w:r>
          <w:rPr>
            <w:color w:val="0000FF"/>
            <w:u w:val="single" w:color="0000FF"/>
          </w:rPr>
          <w:t>http://www.cedefop.europa.eu/EN/Index.aspx</w:t>
        </w:r>
      </w:hyperlink>
    </w:p>
    <w:p>
      <w:pPr>
        <w:pStyle w:val="BodyText"/>
        <w:spacing w:before="4"/>
        <w:rPr>
          <w:sz w:val="11"/>
        </w:rPr>
      </w:pPr>
    </w:p>
    <w:p>
      <w:pPr>
        <w:pStyle w:val="BodyText"/>
        <w:spacing w:before="69"/>
        <w:ind w:left="102"/>
      </w:pPr>
      <w:r>
        <w:rPr/>
        <w:t>CEI-Centro  de  Economía  Internacional  (2012).  Consultado  el  30  de  abril  de      2012.</w:t>
      </w:r>
    </w:p>
    <w:p>
      <w:pPr>
        <w:pStyle w:val="BodyText"/>
        <w:spacing w:before="44"/>
        <w:ind w:left="529"/>
      </w:pPr>
      <w:r>
        <w:rPr/>
        <w:t>Disponible en: </w:t>
      </w:r>
      <w:hyperlink r:id="rId147">
        <w:r>
          <w:rPr>
            <w:color w:val="0000FF"/>
            <w:u w:val="single" w:color="0000FF"/>
          </w:rPr>
          <w:t>http://www.cei.gov.ar/node/27</w:t>
        </w:r>
      </w:hyperlink>
    </w:p>
    <w:p>
      <w:pPr>
        <w:pStyle w:val="BodyText"/>
        <w:spacing w:before="9"/>
        <w:rPr>
          <w:sz w:val="14"/>
        </w:rPr>
      </w:pPr>
    </w:p>
    <w:p>
      <w:pPr>
        <w:pStyle w:val="BodyText"/>
        <w:tabs>
          <w:tab w:pos="1474" w:val="left" w:leader="none"/>
          <w:tab w:pos="2366" w:val="left" w:leader="none"/>
          <w:tab w:pos="3717" w:val="left" w:leader="none"/>
          <w:tab w:pos="4144" w:val="left" w:leader="none"/>
          <w:tab w:pos="4638" w:val="left" w:leader="none"/>
          <w:tab w:pos="5118" w:val="left" w:leader="none"/>
          <w:tab w:pos="6063" w:val="left" w:leader="none"/>
          <w:tab w:pos="6542" w:val="left" w:leader="none"/>
          <w:tab w:pos="7343" w:val="left" w:leader="none"/>
          <w:tab w:pos="8651" w:val="left" w:leader="none"/>
        </w:tabs>
        <w:spacing w:line="276" w:lineRule="auto" w:before="70"/>
        <w:ind w:left="529" w:right="116" w:hanging="428"/>
      </w:pPr>
      <w:r>
        <w:rPr/>
        <w:t>CENEVAL</w:t>
        <w:tab/>
        <w:t>(2013)</w:t>
        <w:tab/>
        <w:t>Consultado</w:t>
        <w:tab/>
        <w:t>el</w:t>
        <w:tab/>
        <w:t>15</w:t>
        <w:tab/>
        <w:t>de</w:t>
        <w:tab/>
        <w:t>febrero</w:t>
        <w:tab/>
        <w:t>de</w:t>
        <w:tab/>
        <w:t>2013.</w:t>
        <w:tab/>
        <w:t>Disponible</w:t>
        <w:tab/>
      </w:r>
      <w:r>
        <w:rPr>
          <w:spacing w:val="-1"/>
        </w:rPr>
        <w:t>en: </w:t>
      </w:r>
      <w:hyperlink r:id="rId148">
        <w:r>
          <w:rPr>
            <w:color w:val="0000FF"/>
            <w:u w:val="single" w:color="0000FF"/>
          </w:rPr>
          <w:t>http://www.ceneval.edu.mx/</w:t>
        </w:r>
      </w:hyperlink>
    </w:p>
    <w:p>
      <w:pPr>
        <w:pStyle w:val="BodyText"/>
        <w:spacing w:before="4"/>
        <w:rPr>
          <w:sz w:val="11"/>
        </w:rPr>
      </w:pPr>
    </w:p>
    <w:p>
      <w:pPr>
        <w:pStyle w:val="BodyText"/>
        <w:tabs>
          <w:tab w:pos="1256" w:val="left" w:leader="none"/>
          <w:tab w:pos="2357" w:val="left" w:leader="none"/>
          <w:tab w:pos="3084" w:val="left" w:leader="none"/>
          <w:tab w:pos="4127" w:val="left" w:leader="none"/>
          <w:tab w:pos="5679" w:val="left" w:leader="none"/>
          <w:tab w:pos="6474" w:val="left" w:leader="none"/>
        </w:tabs>
        <w:spacing w:before="69"/>
        <w:ind w:left="529" w:right="116" w:hanging="428"/>
      </w:pPr>
      <w:r>
        <w:rPr/>
        <w:t>CEPAL- Comisión Económica Para América Latina y el Caribe (2005). Consultado el 20  de</w:t>
        <w:tab/>
        <w:t>marzo</w:t>
        <w:tab/>
        <w:t>de</w:t>
        <w:tab/>
        <w:t>2012.</w:t>
        <w:tab/>
        <w:t>Disponible</w:t>
        <w:tab/>
        <w:t>en:</w:t>
        <w:tab/>
      </w:r>
      <w:hyperlink r:id="rId149">
        <w:r>
          <w:rPr>
            <w:color w:val="0000FF"/>
            <w:u w:val="single" w:color="0000FF"/>
          </w:rPr>
          <w:t>http://www.eclac.org/cgi-</w:t>
        </w:r>
      </w:hyperlink>
      <w:r>
        <w:rPr>
          <w:color w:val="0000FF"/>
          <w:u w:val="single" w:color="0000FF"/>
        </w:rPr>
        <w:t> </w:t>
      </w:r>
      <w:r>
        <w:rPr>
          <w:color w:val="0000FF"/>
          <w:u w:val="single" w:color="0000FF"/>
        </w:rPr>
        <w:t>bin/getProd.asp?xml=/revista/noticias/articuloCEPAL/5/19085/P19085.xml&amp;xsl=/revi </w:t>
      </w:r>
      <w:r>
        <w:rPr>
          <w:color w:val="0000FF"/>
          <w:u w:val="single" w:color="0000FF"/>
        </w:rPr>
        <w:t>sta/tpl/p39f.xsl&amp;base=/revista/tpl/top-bottom.xsl</w:t>
      </w:r>
    </w:p>
    <w:p>
      <w:pPr>
        <w:spacing w:after="0"/>
        <w:sectPr>
          <w:pgSz w:w="12240" w:h="15840"/>
          <w:pgMar w:header="0" w:footer="1003" w:top="1360" w:bottom="1200" w:left="1600" w:right="1580"/>
        </w:sectPr>
      </w:pPr>
    </w:p>
    <w:p>
      <w:pPr>
        <w:pStyle w:val="BodyText"/>
        <w:tabs>
          <w:tab w:pos="8649" w:val="left" w:leader="none"/>
        </w:tabs>
        <w:spacing w:line="278" w:lineRule="auto" w:before="50"/>
        <w:ind w:left="529" w:right="116" w:hanging="428"/>
      </w:pPr>
      <w:r>
        <w:rPr/>
        <w:t>COESPO-Consejo Estatal de Población (2013) Consultado el 20 de diciembre de 2013, Disponible</w:t>
        <w:tab/>
        <w:t>en:</w:t>
      </w:r>
    </w:p>
    <w:p>
      <w:pPr>
        <w:pStyle w:val="BodyText"/>
        <w:spacing w:line="274" w:lineRule="exact"/>
        <w:ind w:left="529"/>
      </w:pPr>
      <w:hyperlink r:id="rId150">
        <w:r>
          <w:rPr>
            <w:color w:val="0000FF"/>
            <w:u w:val="single" w:color="0000FF"/>
          </w:rPr>
          <w:t>http://qacontent.edomex.gob.mx/coespo/numeralia/poblaciontotal/index.htm</w:t>
        </w:r>
      </w:hyperlink>
    </w:p>
    <w:p>
      <w:pPr>
        <w:pStyle w:val="BodyText"/>
        <w:spacing w:before="9"/>
        <w:rPr>
          <w:sz w:val="14"/>
        </w:rPr>
      </w:pPr>
    </w:p>
    <w:p>
      <w:pPr>
        <w:pStyle w:val="BodyText"/>
        <w:spacing w:line="278" w:lineRule="auto" w:before="70"/>
        <w:ind w:left="529" w:right="107" w:hanging="428"/>
      </w:pPr>
      <w:r>
        <w:rPr/>
        <w:t>COPAES - Consejo Para la Acreditación de la Educación Superior. A.C. (2013) Consultado el 10 de febrero de 2013. Disponible en: </w:t>
      </w:r>
      <w:hyperlink r:id="rId151">
        <w:r>
          <w:rPr>
            <w:color w:val="0000FF"/>
            <w:u w:val="single" w:color="0000FF"/>
          </w:rPr>
          <w:t>http://www.copaes.org.mx/FINAL/inicio.php</w:t>
        </w:r>
      </w:hyperlink>
    </w:p>
    <w:p>
      <w:pPr>
        <w:pStyle w:val="BodyText"/>
        <w:spacing w:before="1"/>
        <w:rPr>
          <w:sz w:val="11"/>
        </w:rPr>
      </w:pPr>
    </w:p>
    <w:p>
      <w:pPr>
        <w:pStyle w:val="BodyText"/>
        <w:spacing w:line="278" w:lineRule="auto" w:before="70"/>
        <w:ind w:left="529" w:hanging="428"/>
      </w:pPr>
      <w:r>
        <w:rPr/>
        <w:t>CONACYT-Consejo Nacional de Ciencia y Tecnología (2013) Consultado el 11 de febrero de 2013. Disponible en: </w:t>
      </w:r>
      <w:hyperlink r:id="rId152">
        <w:r>
          <w:rPr>
            <w:color w:val="0000FF"/>
            <w:u w:val="single" w:color="0000FF"/>
          </w:rPr>
          <w:t>https://conacyt.mx/</w:t>
        </w:r>
      </w:hyperlink>
    </w:p>
    <w:p>
      <w:pPr>
        <w:pStyle w:val="BodyText"/>
        <w:spacing w:before="1"/>
        <w:rPr>
          <w:sz w:val="11"/>
        </w:rPr>
      </w:pPr>
    </w:p>
    <w:p>
      <w:pPr>
        <w:pStyle w:val="BodyText"/>
        <w:spacing w:line="276" w:lineRule="auto" w:before="70"/>
        <w:ind w:left="529" w:right="117" w:hanging="428"/>
        <w:jc w:val="both"/>
      </w:pPr>
      <w:r>
        <w:rPr/>
        <w:t>CONEAU – Consejo Nacional de la Evaluación y Acreditación Universitaria (2013) Consultado el 17 de marzo de 2014. Disponible en: </w:t>
      </w:r>
      <w:hyperlink r:id="rId153">
        <w:r>
          <w:rPr>
            <w:color w:val="0000FF"/>
            <w:u w:val="single" w:color="0000FF"/>
          </w:rPr>
          <w:t>http://www.fcm.uncu.edu.ar/joomla/index.php/home/acreditacion</w:t>
        </w:r>
      </w:hyperlink>
    </w:p>
    <w:p>
      <w:pPr>
        <w:pStyle w:val="BodyText"/>
        <w:spacing w:before="4"/>
        <w:rPr>
          <w:sz w:val="11"/>
        </w:rPr>
      </w:pPr>
    </w:p>
    <w:p>
      <w:pPr>
        <w:pStyle w:val="BodyText"/>
        <w:spacing w:line="276" w:lineRule="auto" w:before="69"/>
        <w:ind w:left="529" w:hanging="428"/>
      </w:pPr>
      <w:r>
        <w:rPr/>
        <w:t>Cuéntame INEGI. (2011).Consultado el 9 de noviembre de 2011. Disponible en: </w:t>
      </w:r>
      <w:hyperlink r:id="rId154">
        <w:r>
          <w:rPr>
            <w:color w:val="0000FF"/>
            <w:u w:val="single" w:color="0000FF"/>
          </w:rPr>
          <w:t>http://cuentame.inegi.org.mx/economia/default.aspx?tema=E</w:t>
        </w:r>
      </w:hyperlink>
    </w:p>
    <w:p>
      <w:pPr>
        <w:pStyle w:val="BodyText"/>
        <w:spacing w:before="7"/>
        <w:rPr>
          <w:sz w:val="11"/>
        </w:rPr>
      </w:pPr>
    </w:p>
    <w:p>
      <w:pPr>
        <w:pStyle w:val="BodyText"/>
        <w:spacing w:before="69"/>
        <w:ind w:left="102"/>
      </w:pPr>
      <w:r>
        <w:rPr/>
        <w:t>Cuenta de la Hacienda Pública Federal (2000, 2001, 2002, 2003, 2004, 2005, 2006, 2007,</w:t>
      </w:r>
    </w:p>
    <w:p>
      <w:pPr>
        <w:pStyle w:val="BodyText"/>
        <w:spacing w:line="276" w:lineRule="auto" w:before="41"/>
        <w:ind w:left="529"/>
      </w:pPr>
      <w:r>
        <w:rPr/>
        <w:t>2008, 2009, 2010, 2011 y 2012). Consultado el 5 de mayo de 2013. Disponible en: </w:t>
      </w:r>
      <w:hyperlink r:id="rId155">
        <w:r>
          <w:rPr>
            <w:color w:val="0000FF"/>
            <w:u w:val="single" w:color="0000FF"/>
          </w:rPr>
          <w:t>http://www.apartados.hacienda.gob.mx/</w:t>
        </w:r>
      </w:hyperlink>
    </w:p>
    <w:p>
      <w:pPr>
        <w:pStyle w:val="BodyText"/>
        <w:spacing w:before="4"/>
        <w:rPr>
          <w:sz w:val="11"/>
        </w:rPr>
      </w:pPr>
    </w:p>
    <w:p>
      <w:pPr>
        <w:pStyle w:val="BodyText"/>
        <w:tabs>
          <w:tab w:pos="929" w:val="left" w:leader="none"/>
          <w:tab w:pos="1973" w:val="left" w:leader="none"/>
          <w:tab w:pos="2830" w:val="left" w:leader="none"/>
          <w:tab w:pos="4139" w:val="left" w:leader="none"/>
          <w:tab w:pos="4528" w:val="left" w:leader="none"/>
          <w:tab w:pos="4986" w:val="left" w:leader="none"/>
          <w:tab w:pos="5428" w:val="left" w:leader="none"/>
          <w:tab w:pos="6176" w:val="left" w:leader="none"/>
          <w:tab w:pos="6617" w:val="left" w:leader="none"/>
          <w:tab w:pos="7379" w:val="left" w:leader="none"/>
          <w:tab w:pos="8649" w:val="left" w:leader="none"/>
        </w:tabs>
        <w:spacing w:before="69"/>
        <w:ind w:left="529" w:right="116" w:hanging="428"/>
      </w:pPr>
      <w:r>
        <w:rPr/>
        <w:t>Diario</w:t>
        <w:tab/>
        <w:t>Colatino</w:t>
        <w:tab/>
        <w:t>(2013)</w:t>
        <w:tab/>
        <w:t>Consultado</w:t>
        <w:tab/>
        <w:t>el</w:t>
        <w:tab/>
        <w:t>20</w:t>
        <w:tab/>
        <w:t>de</w:t>
        <w:tab/>
        <w:t>mayo</w:t>
        <w:tab/>
        <w:t>de</w:t>
        <w:tab/>
        <w:t>2013.</w:t>
        <w:tab/>
        <w:t>Disponible</w:t>
        <w:tab/>
        <w:t>en:</w:t>
      </w:r>
      <w:r>
        <w:rPr>
          <w:w w:val="99"/>
        </w:rPr>
        <w:t> </w:t>
      </w:r>
      <w:hyperlink r:id="rId156">
        <w:r>
          <w:rPr>
            <w:color w:val="0000FF"/>
            <w:u w:val="single" w:color="0000FF"/>
          </w:rPr>
          <w:t>http://www.diariocolatino.com/es/20051011/documentos/23041/%C2%BFQu%C3%A</w:t>
        </w:r>
      </w:hyperlink>
      <w:r>
        <w:rPr>
          <w:color w:val="0000FF"/>
          <w:u w:val="single" w:color="0000FF"/>
        </w:rPr>
        <w:t> </w:t>
      </w:r>
      <w:hyperlink r:id="rId156">
        <w:r>
          <w:rPr>
            <w:color w:val="0000FF"/>
            <w:u w:val="single" w:color="0000FF"/>
          </w:rPr>
          <w:t>9-es-la-flexibilidad-del-mercado-de-trabajo.htm?tpl=69</w:t>
        </w:r>
      </w:hyperlink>
    </w:p>
    <w:p>
      <w:pPr>
        <w:pStyle w:val="BodyText"/>
        <w:rPr>
          <w:sz w:val="20"/>
        </w:rPr>
      </w:pPr>
    </w:p>
    <w:p>
      <w:pPr>
        <w:pStyle w:val="BodyText"/>
        <w:spacing w:before="3"/>
        <w:rPr>
          <w:sz w:val="19"/>
        </w:rPr>
      </w:pPr>
    </w:p>
    <w:p>
      <w:pPr>
        <w:pStyle w:val="BodyText"/>
        <w:spacing w:line="276" w:lineRule="auto" w:before="69"/>
        <w:ind w:left="529" w:right="115" w:hanging="428"/>
        <w:jc w:val="both"/>
      </w:pPr>
      <w:r>
        <w:rPr/>
        <w:t>DOF.-Diario Oficial de la Federación (30 de junio de 2009). </w:t>
      </w:r>
      <w:r>
        <w:rPr>
          <w:i/>
        </w:rPr>
        <w:t>DOF Nueva Estratificacion  </w:t>
      </w:r>
      <w:r>
        <w:rPr>
          <w:i/>
        </w:rPr>
        <w:t>De Las PyMEs</w:t>
      </w:r>
      <w:r>
        <w:rPr/>
        <w:t>. Consultado el 12 de marzo de 2012. Disponible en: </w:t>
      </w:r>
      <w:hyperlink r:id="rId157">
        <w:r>
          <w:rPr>
            <w:color w:val="0000FF"/>
            <w:u w:val="single" w:color="0000FF"/>
          </w:rPr>
          <w:t>http://www.compite.org.mx/DOFNuevaEstratificacionDeLasPyMEs.htm</w:t>
        </w:r>
      </w:hyperlink>
    </w:p>
    <w:p>
      <w:pPr>
        <w:pStyle w:val="BodyText"/>
        <w:spacing w:before="7"/>
        <w:rPr>
          <w:sz w:val="11"/>
        </w:rPr>
      </w:pPr>
    </w:p>
    <w:p>
      <w:pPr>
        <w:pStyle w:val="BodyText"/>
        <w:spacing w:line="276" w:lineRule="auto" w:before="69"/>
        <w:ind w:left="529" w:right="115" w:hanging="428"/>
      </w:pPr>
      <w:r>
        <w:rPr/>
        <w:t>DGPEE- Dirección General de Planeación y Estadística Educativa (2013). Consultado el 19 de mayo de 2013. Disponible en:</w:t>
      </w:r>
      <w:r>
        <w:rPr>
          <w:spacing w:val="50"/>
        </w:rPr>
        <w:t> </w:t>
      </w:r>
      <w:hyperlink r:id="rId158">
        <w:r>
          <w:rPr>
            <w:color w:val="0000FF"/>
            <w:u w:val="single" w:color="0000FF"/>
          </w:rPr>
          <w:t>http://www.dgpp.sep.gob.mx/estadistica.html</w:t>
        </w:r>
      </w:hyperlink>
    </w:p>
    <w:p>
      <w:pPr>
        <w:pStyle w:val="BodyText"/>
        <w:spacing w:before="4"/>
        <w:rPr>
          <w:sz w:val="11"/>
        </w:rPr>
      </w:pPr>
    </w:p>
    <w:p>
      <w:pPr>
        <w:pStyle w:val="BodyText"/>
        <w:tabs>
          <w:tab w:pos="2507" w:val="left" w:leader="none"/>
        </w:tabs>
        <w:spacing w:line="276" w:lineRule="auto" w:before="69"/>
        <w:ind w:left="529" w:right="115" w:hanging="428"/>
        <w:jc w:val="both"/>
      </w:pPr>
      <w:r>
        <w:rPr/>
        <w:t>Educación de Calidad-Colombia 2012. E. d. (2012). </w:t>
      </w:r>
      <w:r>
        <w:rPr>
          <w:i/>
        </w:rPr>
        <w:t>Educación de Calidad-Colombia</w:t>
      </w:r>
      <w:r>
        <w:rPr/>
        <w:t>. Consultado</w:t>
        <w:tab/>
        <w:t>el       11       de       marzo       de       2012.       </w:t>
      </w:r>
      <w:r>
        <w:rPr>
          <w:spacing w:val="54"/>
        </w:rPr>
        <w:t> </w:t>
      </w:r>
      <w:r>
        <w:rPr/>
        <w:t>Disponible      </w:t>
      </w:r>
      <w:r>
        <w:rPr>
          <w:spacing w:val="20"/>
        </w:rPr>
        <w:t> </w:t>
      </w:r>
      <w:r>
        <w:rPr/>
        <w:t>en: </w:t>
      </w:r>
      <w:hyperlink r:id="rId159">
        <w:r>
          <w:rPr>
            <w:color w:val="0000FF"/>
            <w:u w:val="single" w:color="0000FF"/>
          </w:rPr>
          <w:t>http://www.mineducacion.gov.co/1621/article-217744.html</w:t>
        </w:r>
      </w:hyperlink>
    </w:p>
    <w:p>
      <w:pPr>
        <w:pStyle w:val="BodyText"/>
        <w:spacing w:before="5"/>
        <w:rPr>
          <w:sz w:val="11"/>
        </w:rPr>
      </w:pPr>
    </w:p>
    <w:p>
      <w:pPr>
        <w:pStyle w:val="BodyText"/>
        <w:spacing w:line="276" w:lineRule="auto" w:before="69"/>
        <w:ind w:left="529" w:right="112" w:hanging="428"/>
        <w:jc w:val="both"/>
      </w:pPr>
      <w:r>
        <w:rPr/>
        <w:t>El economista (2011) </w:t>
      </w:r>
      <w:r>
        <w:rPr>
          <w:i/>
        </w:rPr>
        <w:t>PIB habría crecido 5.4% al cierre</w:t>
      </w:r>
      <w:r>
        <w:rPr/>
        <w:t>. Consultado el 10 de marzo de 2014. Disponible en: </w:t>
      </w:r>
      <w:hyperlink r:id="rId160">
        <w:r>
          <w:rPr>
            <w:color w:val="0000FF"/>
            <w:u w:val="single" w:color="0000FF"/>
          </w:rPr>
          <w:t>http://eleconomista.com.mx/finanzas-publicas/2011/01/06/pib-</w:t>
        </w:r>
      </w:hyperlink>
      <w:r>
        <w:rPr>
          <w:color w:val="0000FF"/>
          <w:u w:val="single" w:color="0000FF"/>
        </w:rPr>
        <w:t> </w:t>
      </w:r>
      <w:hyperlink r:id="rId160">
        <w:r>
          <w:rPr>
            <w:color w:val="0000FF"/>
            <w:u w:val="single" w:color="0000FF"/>
          </w:rPr>
          <w:t>habria-crecido-54-cierre</w:t>
        </w:r>
      </w:hyperlink>
    </w:p>
    <w:p>
      <w:pPr>
        <w:pStyle w:val="BodyText"/>
        <w:spacing w:before="7"/>
        <w:rPr>
          <w:sz w:val="11"/>
        </w:rPr>
      </w:pPr>
    </w:p>
    <w:p>
      <w:pPr>
        <w:tabs>
          <w:tab w:pos="2501" w:val="left" w:leader="none"/>
          <w:tab w:pos="4172" w:val="left" w:leader="none"/>
          <w:tab w:pos="6155" w:val="left" w:leader="none"/>
          <w:tab w:pos="8649" w:val="left" w:leader="none"/>
        </w:tabs>
        <w:spacing w:line="276" w:lineRule="auto" w:before="69"/>
        <w:ind w:left="529" w:right="116" w:hanging="428"/>
        <w:jc w:val="left"/>
        <w:rPr>
          <w:sz w:val="24"/>
        </w:rPr>
      </w:pPr>
      <w:r>
        <w:rPr>
          <w:sz w:val="24"/>
        </w:rPr>
        <w:t>El economista (2012). </w:t>
      </w:r>
      <w:r>
        <w:rPr>
          <w:i/>
          <w:sz w:val="24"/>
        </w:rPr>
        <w:t>Profesionistas, grueso del desempleo estatal. </w:t>
      </w:r>
      <w:r>
        <w:rPr>
          <w:sz w:val="24"/>
        </w:rPr>
        <w:t>Consultado el 10 de mayo</w:t>
        <w:tab/>
        <w:t>de</w:t>
        <w:tab/>
        <w:t>2013.</w:t>
        <w:tab/>
        <w:t>Disponible</w:t>
        <w:tab/>
        <w:t>en:</w:t>
      </w:r>
      <w:r>
        <w:rPr>
          <w:w w:val="99"/>
          <w:sz w:val="24"/>
        </w:rPr>
        <w:t> </w:t>
      </w:r>
      <w:hyperlink r:id="rId161">
        <w:r>
          <w:rPr>
            <w:color w:val="0000FF"/>
            <w:sz w:val="24"/>
            <w:u w:val="single" w:color="0000FF"/>
          </w:rPr>
          <w:t>http://eleconomista.com.mx/industrias/2012/09/30/profesionistas-grueso-desempleo-</w:t>
        </w:r>
      </w:hyperlink>
      <w:r>
        <w:rPr>
          <w:color w:val="0000FF"/>
          <w:sz w:val="24"/>
          <w:u w:val="single" w:color="0000FF"/>
        </w:rPr>
        <w:t> </w:t>
      </w:r>
      <w:hyperlink r:id="rId161">
        <w:r>
          <w:rPr>
            <w:color w:val="0000FF"/>
            <w:sz w:val="24"/>
            <w:u w:val="single" w:color="0000FF"/>
          </w:rPr>
          <w:t>estatal</w:t>
        </w:r>
      </w:hyperlink>
    </w:p>
    <w:p>
      <w:pPr>
        <w:spacing w:after="0" w:line="276" w:lineRule="auto"/>
        <w:jc w:val="left"/>
        <w:rPr>
          <w:sz w:val="24"/>
        </w:rPr>
        <w:sectPr>
          <w:pgSz w:w="12240" w:h="15840"/>
          <w:pgMar w:header="0" w:footer="1003" w:top="1360" w:bottom="1200" w:left="1600" w:right="1580"/>
        </w:sectPr>
      </w:pPr>
    </w:p>
    <w:p>
      <w:pPr>
        <w:pStyle w:val="BodyText"/>
        <w:rPr>
          <w:sz w:val="20"/>
        </w:rPr>
      </w:pPr>
    </w:p>
    <w:p>
      <w:pPr>
        <w:pStyle w:val="BodyText"/>
        <w:tabs>
          <w:tab w:pos="4331" w:val="left" w:leader="none"/>
          <w:tab w:pos="8646" w:val="left" w:leader="none"/>
        </w:tabs>
        <w:spacing w:line="276" w:lineRule="auto" w:before="199"/>
        <w:ind w:left="529" w:right="119" w:hanging="428"/>
        <w:jc w:val="both"/>
      </w:pPr>
      <w:r>
        <w:rPr/>
        <w:t>ENOE-Encuesta Nacional de Ocupación y Empleo (2011) Consultado el 10 de mazo de 2013.</w:t>
        <w:tab/>
        <w:t>Disponible</w:t>
        <w:tab/>
        <w:t>en:</w:t>
      </w:r>
      <w:r>
        <w:rPr>
          <w:w w:val="99"/>
        </w:rPr>
        <w:t> </w:t>
      </w:r>
      <w:hyperlink r:id="rId162">
        <w:r>
          <w:rPr>
            <w:color w:val="0000FF"/>
            <w:u w:val="single" w:color="0000FF"/>
          </w:rPr>
          <w:t>http://www.inegi.org.mx/est/contenidos/proyectos/encuestas/hogares/regulares/enoe/de</w:t>
        </w:r>
      </w:hyperlink>
      <w:r>
        <w:rPr>
          <w:color w:val="0000FF"/>
          <w:u w:val="single" w:color="0000FF"/>
        </w:rPr>
        <w:t> </w:t>
      </w:r>
      <w:hyperlink r:id="rId162">
        <w:r>
          <w:rPr>
            <w:color w:val="0000FF"/>
            <w:u w:val="single" w:color="0000FF"/>
          </w:rPr>
          <w:t>fault.aspx</w:t>
        </w:r>
      </w:hyperlink>
    </w:p>
    <w:p>
      <w:pPr>
        <w:pStyle w:val="BodyText"/>
        <w:spacing w:before="4"/>
        <w:rPr>
          <w:sz w:val="11"/>
        </w:rPr>
      </w:pPr>
    </w:p>
    <w:p>
      <w:pPr>
        <w:tabs>
          <w:tab w:pos="4331" w:val="left" w:leader="none"/>
          <w:tab w:pos="8646" w:val="left" w:leader="none"/>
        </w:tabs>
        <w:spacing w:line="276" w:lineRule="auto" w:before="69"/>
        <w:ind w:left="529" w:right="119" w:hanging="428"/>
        <w:jc w:val="left"/>
        <w:rPr>
          <w:sz w:val="24"/>
        </w:rPr>
      </w:pPr>
      <w:r>
        <w:rPr>
          <w:sz w:val="24"/>
        </w:rPr>
        <w:t>Eurostat. (2013) </w:t>
      </w:r>
      <w:r>
        <w:rPr>
          <w:i/>
          <w:sz w:val="24"/>
        </w:rPr>
        <w:t>Tasas de empleo por grupos de edad y máximo nivel de estudios </w:t>
      </w:r>
      <w:r>
        <w:rPr>
          <w:i/>
          <w:sz w:val="24"/>
        </w:rPr>
        <w:t>alcanzado. tercer trimestre de 2010 (%) en México</w:t>
      </w:r>
      <w:r>
        <w:rPr>
          <w:sz w:val="24"/>
        </w:rPr>
        <w:t>. Consultado el 15 de octubre de 2013.</w:t>
        <w:tab/>
        <w:t>Disponible</w:t>
        <w:tab/>
        <w:t>en:</w:t>
      </w:r>
      <w:r>
        <w:rPr>
          <w:w w:val="99"/>
          <w:sz w:val="24"/>
        </w:rPr>
        <w:t> </w:t>
      </w:r>
      <w:hyperlink r:id="rId163">
        <w:r>
          <w:rPr>
            <w:color w:val="0000FF"/>
            <w:sz w:val="24"/>
            <w:u w:val="single" w:color="0000FF"/>
          </w:rPr>
          <w:t>http://epp.eurostat.ec.europa.eu/statistics_explained/index.php?title=File:Tasas_de_em</w:t>
        </w:r>
      </w:hyperlink>
      <w:r>
        <w:rPr>
          <w:color w:val="0000FF"/>
          <w:sz w:val="24"/>
          <w:u w:val="single" w:color="0000FF"/>
        </w:rPr>
        <w:t> </w:t>
      </w:r>
      <w:hyperlink r:id="rId163">
        <w:r>
          <w:rPr>
            <w:color w:val="0000FF"/>
            <w:spacing w:val="-1"/>
            <w:sz w:val="24"/>
            <w:u w:val="single" w:color="0000FF"/>
          </w:rPr>
          <w:t>pleo_por_grupos_de_edad_y_sexo._y_m%C3%A1ximo_nivel_de_estudios_alcanzado.</w:t>
        </w:r>
      </w:hyperlink>
    </w:p>
    <w:p>
      <w:pPr>
        <w:pStyle w:val="BodyText"/>
        <w:spacing w:before="1"/>
        <w:ind w:left="529"/>
      </w:pPr>
      <w:hyperlink r:id="rId163">
        <w:r>
          <w:rPr>
            <w:color w:val="0000FF"/>
            <w:u w:val="single" w:color="0000FF"/>
          </w:rPr>
          <w:t>_tercer_trimestre_de_2010_%28%25%29_es.PNG&amp;filetimestamp=20111005124701</w:t>
        </w:r>
      </w:hyperlink>
    </w:p>
    <w:p>
      <w:pPr>
        <w:pStyle w:val="BodyText"/>
        <w:rPr>
          <w:sz w:val="20"/>
        </w:rPr>
      </w:pPr>
    </w:p>
    <w:p>
      <w:pPr>
        <w:pStyle w:val="BodyText"/>
        <w:rPr>
          <w:sz w:val="20"/>
        </w:rPr>
      </w:pPr>
    </w:p>
    <w:p>
      <w:pPr>
        <w:pStyle w:val="BodyText"/>
        <w:spacing w:before="1"/>
        <w:rPr>
          <w:sz w:val="20"/>
        </w:rPr>
      </w:pPr>
    </w:p>
    <w:p>
      <w:pPr>
        <w:pStyle w:val="BodyText"/>
        <w:spacing w:line="276" w:lineRule="auto" w:before="70"/>
        <w:ind w:left="529" w:hanging="428"/>
      </w:pPr>
      <w:r>
        <w:rPr/>
        <w:t>FIMPES-Federación de Instituciones Mexicanas Particulares de Educación Superior. A.C. (2013) Consultado el 15 de abril de 2013. Disponible en: </w:t>
      </w:r>
      <w:hyperlink r:id="rId164">
        <w:r>
          <w:rPr>
            <w:color w:val="0000FF"/>
            <w:u w:val="single" w:color="0000FF"/>
          </w:rPr>
          <w:t>http://www.fimpes.org.mx/</w:t>
        </w:r>
      </w:hyperlink>
    </w:p>
    <w:p>
      <w:pPr>
        <w:pStyle w:val="BodyText"/>
        <w:spacing w:before="4"/>
        <w:rPr>
          <w:sz w:val="11"/>
        </w:rPr>
      </w:pPr>
    </w:p>
    <w:p>
      <w:pPr>
        <w:pStyle w:val="BodyText"/>
        <w:spacing w:line="278" w:lineRule="auto" w:before="69"/>
        <w:ind w:left="529" w:right="123" w:hanging="428"/>
      </w:pPr>
      <w:r>
        <w:rPr/>
        <w:t>G &amp; B Marketing Empresarial. (2012). </w:t>
      </w:r>
      <w:r>
        <w:rPr>
          <w:i/>
        </w:rPr>
        <w:t>Diccionario empresarial</w:t>
      </w:r>
      <w:r>
        <w:rPr/>
        <w:t>. Consultado el 11  de marzo de 2012. Disponible en: </w:t>
      </w:r>
      <w:hyperlink r:id="rId165">
        <w:r>
          <w:rPr>
            <w:color w:val="0000FF"/>
            <w:u w:val="single" w:color="0000FF"/>
          </w:rPr>
          <w:t>http://www.gbmarketingcr.net/diccionario.html</w:t>
        </w:r>
      </w:hyperlink>
    </w:p>
    <w:p>
      <w:pPr>
        <w:pStyle w:val="BodyText"/>
        <w:spacing w:before="1"/>
        <w:rPr>
          <w:sz w:val="11"/>
        </w:rPr>
      </w:pPr>
    </w:p>
    <w:p>
      <w:pPr>
        <w:pStyle w:val="BodyText"/>
        <w:tabs>
          <w:tab w:pos="905" w:val="left" w:leader="none"/>
          <w:tab w:pos="1863" w:val="left" w:leader="none"/>
          <w:tab w:pos="2821" w:val="left" w:leader="none"/>
          <w:tab w:pos="4172" w:val="left" w:leader="none"/>
          <w:tab w:pos="4601" w:val="left" w:leader="none"/>
          <w:tab w:pos="5100" w:val="left" w:leader="none"/>
          <w:tab w:pos="6049" w:val="left" w:leader="none"/>
          <w:tab w:pos="6534" w:val="left" w:leader="none"/>
          <w:tab w:pos="7336" w:val="left" w:leader="none"/>
          <w:tab w:pos="8647" w:val="left" w:leader="none"/>
        </w:tabs>
        <w:spacing w:line="276" w:lineRule="auto" w:before="70"/>
        <w:ind w:left="529" w:right="118" w:hanging="428"/>
      </w:pPr>
      <w:r>
        <w:rPr/>
        <w:t>Index</w:t>
        <w:tab/>
        <w:t>Mundi.</w:t>
        <w:tab/>
        <w:t>(2012).</w:t>
        <w:tab/>
        <w:t>Consultado</w:t>
        <w:tab/>
        <w:t>el</w:t>
        <w:tab/>
        <w:t>23</w:t>
        <w:tab/>
        <w:t>febrero</w:t>
        <w:tab/>
        <w:t>de</w:t>
        <w:tab/>
        <w:t>2012.</w:t>
        <w:tab/>
        <w:t>Disponible</w:t>
        <w:tab/>
        <w:t>en:</w:t>
      </w:r>
      <w:r>
        <w:rPr>
          <w:w w:val="99"/>
        </w:rPr>
        <w:t> </w:t>
      </w:r>
      <w:hyperlink r:id="rId166">
        <w:r>
          <w:rPr>
            <w:color w:val="0000FF"/>
            <w:u w:val="single" w:color="0000FF"/>
          </w:rPr>
          <w:t>http://www.indexmundi.com/g/g.aspx?c=mx&amp;v=65&amp;l=es</w:t>
        </w:r>
      </w:hyperlink>
    </w:p>
    <w:p>
      <w:pPr>
        <w:pStyle w:val="BodyText"/>
        <w:spacing w:before="7"/>
        <w:rPr>
          <w:sz w:val="11"/>
        </w:rPr>
      </w:pPr>
    </w:p>
    <w:p>
      <w:pPr>
        <w:pStyle w:val="BodyText"/>
        <w:tabs>
          <w:tab w:pos="931" w:val="left" w:leader="none"/>
          <w:tab w:pos="1916" w:val="left" w:leader="none"/>
          <w:tab w:pos="2897" w:val="left" w:leader="none"/>
          <w:tab w:pos="4274" w:val="left" w:leader="none"/>
          <w:tab w:pos="4730" w:val="left" w:leader="none"/>
          <w:tab w:pos="5253" w:val="left" w:leader="none"/>
          <w:tab w:pos="5975" w:val="left" w:leader="none"/>
          <w:tab w:pos="6484" w:val="left" w:leader="none"/>
          <w:tab w:pos="7312" w:val="left" w:leader="none"/>
          <w:tab w:pos="8649" w:val="left" w:leader="none"/>
        </w:tabs>
        <w:spacing w:line="276" w:lineRule="auto" w:before="69"/>
        <w:ind w:left="529" w:right="116" w:hanging="428"/>
      </w:pPr>
      <w:r>
        <w:rPr/>
        <w:t>Index</w:t>
        <w:tab/>
        <w:t>Mundi.</w:t>
        <w:tab/>
        <w:t>(2013).</w:t>
        <w:tab/>
        <w:t>Consultado</w:t>
        <w:tab/>
        <w:t>el</w:t>
        <w:tab/>
        <w:t>27</w:t>
        <w:tab/>
        <w:t>abril</w:t>
        <w:tab/>
        <w:t>de</w:t>
        <w:tab/>
        <w:t>2013.</w:t>
        <w:tab/>
        <w:t>Disponible</w:t>
        <w:tab/>
        <w:t>en:</w:t>
      </w:r>
      <w:r>
        <w:rPr>
          <w:w w:val="99"/>
        </w:rPr>
        <w:t> </w:t>
      </w:r>
      <w:hyperlink r:id="rId166">
        <w:r>
          <w:rPr>
            <w:color w:val="0000FF"/>
            <w:u w:val="single" w:color="0000FF"/>
          </w:rPr>
          <w:t>http://www.indexmundi.com/g/g.aspx?c=mx&amp;v=65&amp;l=es</w:t>
        </w:r>
      </w:hyperlink>
    </w:p>
    <w:p>
      <w:pPr>
        <w:pStyle w:val="BodyText"/>
        <w:spacing w:before="7"/>
        <w:rPr>
          <w:sz w:val="11"/>
        </w:rPr>
      </w:pPr>
    </w:p>
    <w:p>
      <w:pPr>
        <w:pStyle w:val="BodyText"/>
        <w:spacing w:line="276" w:lineRule="auto" w:before="69"/>
        <w:ind w:left="529" w:right="116" w:hanging="428"/>
        <w:jc w:val="both"/>
      </w:pPr>
      <w:r>
        <w:rPr/>
        <w:t>ISCED-Iternational Standard Classification of Education (2013) Consultado el 11 de mayo de 2013. Disponible en: </w:t>
      </w:r>
      <w:hyperlink r:id="rId167">
        <w:r>
          <w:rPr>
            <w:color w:val="0000FF"/>
            <w:u w:val="single" w:color="0000FF"/>
          </w:rPr>
          <w:t>http://www.uis.unesco.org/EDUCATION/Pages/international-</w:t>
        </w:r>
      </w:hyperlink>
      <w:r>
        <w:rPr>
          <w:color w:val="0000FF"/>
          <w:u w:val="single" w:color="0000FF"/>
        </w:rPr>
        <w:t> </w:t>
      </w:r>
      <w:hyperlink r:id="rId167">
        <w:r>
          <w:rPr>
            <w:color w:val="0000FF"/>
            <w:u w:val="single" w:color="0000FF"/>
          </w:rPr>
          <w:t>standard-classification-of-education.aspx</w:t>
        </w:r>
      </w:hyperlink>
    </w:p>
    <w:p>
      <w:pPr>
        <w:pStyle w:val="BodyText"/>
        <w:spacing w:before="7"/>
        <w:rPr>
          <w:sz w:val="11"/>
        </w:rPr>
      </w:pPr>
    </w:p>
    <w:p>
      <w:pPr>
        <w:pStyle w:val="BodyText"/>
        <w:spacing w:line="276" w:lineRule="auto" w:before="69"/>
        <w:ind w:left="529" w:hanging="428"/>
      </w:pPr>
      <w:r>
        <w:rPr/>
        <w:t>INEA-Instituto Nacional para la Educación de los Adultos (2011). Consultado el 10 de noviembre de 2011. Disponible en: </w:t>
      </w:r>
      <w:hyperlink r:id="rId168">
        <w:r>
          <w:rPr>
            <w:color w:val="0000FF"/>
            <w:u w:val="single" w:color="0000FF"/>
          </w:rPr>
          <w:t>http://www.inea.gob.mx/</w:t>
        </w:r>
      </w:hyperlink>
    </w:p>
    <w:p>
      <w:pPr>
        <w:pStyle w:val="BodyText"/>
        <w:spacing w:before="7"/>
        <w:rPr>
          <w:sz w:val="11"/>
        </w:rPr>
      </w:pPr>
    </w:p>
    <w:p>
      <w:pPr>
        <w:pStyle w:val="BodyText"/>
        <w:tabs>
          <w:tab w:pos="2854" w:val="left" w:leader="none"/>
          <w:tab w:pos="5495" w:val="left" w:leader="none"/>
          <w:tab w:pos="8649" w:val="left" w:leader="none"/>
        </w:tabs>
        <w:spacing w:line="276" w:lineRule="auto" w:before="69"/>
        <w:ind w:left="529" w:right="115" w:hanging="428"/>
      </w:pPr>
      <w:r>
        <w:rPr/>
        <w:t>INEGI- Instituto Nacional de Estadística y Geografía (2012). Consultado el 23 de febrero de</w:t>
        <w:tab/>
        <w:t>2012.</w:t>
        <w:tab/>
        <w:t>Disponible</w:t>
        <w:tab/>
        <w:t>en: </w:t>
      </w:r>
      <w:hyperlink r:id="rId169">
        <w:r>
          <w:rPr>
            <w:color w:val="0000FF"/>
            <w:u w:val="single" w:color="0000FF"/>
          </w:rPr>
          <w:t>http://www.inegi.org.mx/sistemas/bie/cuadrosestadisticos/GeneraCuadro.aspx?s=est&amp;</w:t>
        </w:r>
      </w:hyperlink>
      <w:r>
        <w:rPr>
          <w:color w:val="0000FF"/>
          <w:u w:val="single" w:color="0000FF"/>
        </w:rPr>
        <w:t> </w:t>
      </w:r>
      <w:hyperlink r:id="rId169">
        <w:r>
          <w:rPr>
            <w:color w:val="0000FF"/>
            <w:u w:val="single" w:color="0000FF"/>
          </w:rPr>
          <w:t>nc=492&amp;c=23920</w:t>
        </w:r>
      </w:hyperlink>
    </w:p>
    <w:p>
      <w:pPr>
        <w:pStyle w:val="BodyText"/>
        <w:spacing w:before="7"/>
        <w:rPr>
          <w:sz w:val="11"/>
        </w:rPr>
      </w:pPr>
    </w:p>
    <w:p>
      <w:pPr>
        <w:pStyle w:val="BodyText"/>
        <w:spacing w:line="276" w:lineRule="auto" w:before="69"/>
        <w:ind w:left="529" w:hanging="428"/>
      </w:pPr>
      <w:r>
        <w:rPr/>
        <w:t>La Crónica (2003) Entrevista a José Angel Pescador Osuna. Consultado el 20 de mayo de 2013. Disponible en: </w:t>
      </w:r>
      <w:hyperlink r:id="rId170">
        <w:r>
          <w:rPr>
            <w:color w:val="0000FF"/>
            <w:u w:val="single" w:color="0000FF"/>
          </w:rPr>
          <w:t>http://www.cronica.com.mx/notas/2003/45735.html</w:t>
        </w:r>
      </w:hyperlink>
    </w:p>
    <w:p>
      <w:pPr>
        <w:pStyle w:val="BodyText"/>
        <w:spacing w:before="6"/>
        <w:rPr>
          <w:sz w:val="11"/>
        </w:rPr>
      </w:pPr>
    </w:p>
    <w:p>
      <w:pPr>
        <w:spacing w:before="70"/>
        <w:ind w:left="102" w:right="0" w:firstLine="0"/>
        <w:jc w:val="left"/>
        <w:rPr>
          <w:sz w:val="24"/>
        </w:rPr>
      </w:pPr>
      <w:r>
        <w:rPr>
          <w:sz w:val="24"/>
        </w:rPr>
        <w:t>Liajorge (2010) </w:t>
      </w:r>
      <w:r>
        <w:rPr>
          <w:i/>
          <w:sz w:val="24"/>
        </w:rPr>
        <w:t>Segunda Carrera, Maestría, seguir o no seguir estudiando</w:t>
      </w:r>
      <w:r>
        <w:rPr>
          <w:sz w:val="24"/>
        </w:rPr>
        <w:t>. Consultado  </w:t>
      </w:r>
      <w:r>
        <w:rPr>
          <w:spacing w:val="55"/>
          <w:sz w:val="24"/>
        </w:rPr>
        <w:t> </w:t>
      </w:r>
      <w:r>
        <w:rPr>
          <w:sz w:val="24"/>
        </w:rPr>
        <w:t>el</w:t>
      </w:r>
    </w:p>
    <w:p>
      <w:pPr>
        <w:pStyle w:val="BodyText"/>
        <w:tabs>
          <w:tab w:pos="1625" w:val="left" w:leader="none"/>
          <w:tab w:pos="2707" w:val="left" w:leader="none"/>
          <w:tab w:pos="4255" w:val="left" w:leader="none"/>
          <w:tab w:pos="5339" w:val="left" w:leader="none"/>
          <w:tab w:pos="6736" w:val="left" w:leader="none"/>
          <w:tab w:pos="8648" w:val="left" w:leader="none"/>
        </w:tabs>
        <w:spacing w:before="41"/>
        <w:ind w:left="529"/>
      </w:pPr>
      <w:r>
        <w:rPr/>
        <w:t>15</w:t>
        <w:tab/>
        <w:t>de</w:t>
        <w:tab/>
        <w:t>febrero</w:t>
        <w:tab/>
        <w:t>de</w:t>
        <w:tab/>
        <w:t>2014.</w:t>
        <w:tab/>
        <w:t>Disponible</w:t>
        <w:tab/>
        <w:t>en:</w:t>
      </w:r>
    </w:p>
    <w:p>
      <w:pPr>
        <w:spacing w:after="0"/>
        <w:sectPr>
          <w:pgSz w:w="12240" w:h="15840"/>
          <w:pgMar w:header="0" w:footer="1003" w:top="1500" w:bottom="1200" w:left="1600" w:right="1580"/>
        </w:sectPr>
      </w:pPr>
    </w:p>
    <w:p>
      <w:pPr>
        <w:pStyle w:val="BodyText"/>
        <w:spacing w:line="278" w:lineRule="auto" w:before="50"/>
        <w:ind w:left="529" w:right="661"/>
      </w:pPr>
      <w:hyperlink r:id="rId171">
        <w:r>
          <w:rPr>
            <w:color w:val="0000FF"/>
            <w:w w:val="95"/>
            <w:u w:val="single" w:color="0000FF"/>
          </w:rPr>
          <w:t>http://liajorgge.wordpress.com/2010/12/01/segunda-carrera-maestria-seguir-o-no-</w:t>
        </w:r>
      </w:hyperlink>
      <w:r>
        <w:rPr>
          <w:color w:val="0000FF"/>
          <w:w w:val="95"/>
          <w:u w:val="single" w:color="0000FF"/>
        </w:rPr>
        <w:t> </w:t>
      </w:r>
      <w:hyperlink r:id="rId171">
        <w:r>
          <w:rPr>
            <w:color w:val="0000FF"/>
            <w:u w:val="single" w:color="0000FF"/>
          </w:rPr>
          <w:t>seguir-estudiando/</w:t>
        </w:r>
      </w:hyperlink>
    </w:p>
    <w:p>
      <w:pPr>
        <w:pStyle w:val="BodyText"/>
        <w:spacing w:before="1"/>
        <w:rPr>
          <w:sz w:val="11"/>
        </w:rPr>
      </w:pPr>
    </w:p>
    <w:p>
      <w:pPr>
        <w:tabs>
          <w:tab w:pos="7010" w:val="left" w:leader="none"/>
        </w:tabs>
        <w:spacing w:line="276" w:lineRule="auto" w:before="70"/>
        <w:ind w:left="529" w:right="116" w:hanging="428"/>
        <w:jc w:val="both"/>
        <w:rPr>
          <w:sz w:val="24"/>
        </w:rPr>
      </w:pPr>
      <w:r>
        <w:rPr>
          <w:sz w:val="24"/>
        </w:rPr>
        <w:t>Leydesdoff. L. (2001) </w:t>
      </w:r>
      <w:r>
        <w:rPr>
          <w:i/>
          <w:sz w:val="24"/>
        </w:rPr>
        <w:t>Knowledge based innovation systems and the model of a triple helix </w:t>
      </w:r>
      <w:r>
        <w:rPr>
          <w:i/>
          <w:sz w:val="24"/>
        </w:rPr>
        <w:t>of        </w:t>
      </w:r>
      <w:r>
        <w:rPr>
          <w:i/>
          <w:spacing w:val="46"/>
          <w:sz w:val="24"/>
        </w:rPr>
        <w:t> </w:t>
      </w:r>
      <w:r>
        <w:rPr>
          <w:i/>
          <w:sz w:val="24"/>
        </w:rPr>
        <w:t>university-industry-government        </w:t>
      </w:r>
      <w:r>
        <w:rPr>
          <w:i/>
          <w:spacing w:val="46"/>
          <w:sz w:val="24"/>
        </w:rPr>
        <w:t> </w:t>
      </w:r>
      <w:r>
        <w:rPr>
          <w:i/>
          <w:sz w:val="24"/>
        </w:rPr>
        <w:t>relations.</w:t>
        <w:tab/>
      </w:r>
      <w:r>
        <w:rPr>
          <w:sz w:val="24"/>
        </w:rPr>
        <w:t>Disponible        </w:t>
      </w:r>
      <w:r>
        <w:rPr>
          <w:spacing w:val="43"/>
          <w:sz w:val="24"/>
        </w:rPr>
        <w:t> </w:t>
      </w:r>
      <w:r>
        <w:rPr>
          <w:sz w:val="24"/>
        </w:rPr>
        <w:t>en: </w:t>
      </w:r>
      <w:hyperlink r:id="rId172">
        <w:r>
          <w:rPr>
            <w:color w:val="0000FF"/>
            <w:sz w:val="24"/>
            <w:u w:val="single" w:color="0000FF"/>
          </w:rPr>
          <w:t>http://www.leydesdorff.net/</w:t>
        </w:r>
      </w:hyperlink>
    </w:p>
    <w:p>
      <w:pPr>
        <w:pStyle w:val="BodyText"/>
        <w:spacing w:before="4"/>
        <w:rPr>
          <w:sz w:val="11"/>
        </w:rPr>
      </w:pPr>
    </w:p>
    <w:p>
      <w:pPr>
        <w:pStyle w:val="BodyText"/>
        <w:tabs>
          <w:tab w:pos="2501" w:val="left" w:leader="none"/>
          <w:tab w:pos="4172" w:val="left" w:leader="none"/>
          <w:tab w:pos="6155" w:val="left" w:leader="none"/>
          <w:tab w:pos="8649" w:val="left" w:leader="none"/>
        </w:tabs>
        <w:spacing w:line="276" w:lineRule="auto" w:before="69"/>
        <w:ind w:left="529" w:right="116" w:hanging="428"/>
        <w:jc w:val="both"/>
      </w:pPr>
      <w:r>
        <w:rPr/>
        <w:t>López. X. y Sosa. I. (2007) Blog-Sexenio de Vicente Fox Quesada. Consultado el 22 de mayo</w:t>
        <w:tab/>
        <w:t>de</w:t>
        <w:tab/>
        <w:t>2013.</w:t>
        <w:tab/>
        <w:t>Disponible</w:t>
        <w:tab/>
        <w:t>en:</w:t>
      </w:r>
      <w:r>
        <w:rPr>
          <w:w w:val="99"/>
        </w:rPr>
        <w:t> </w:t>
      </w:r>
      <w:hyperlink r:id="rId173">
        <w:r>
          <w:rPr>
            <w:color w:val="0000FF"/>
            <w:u w:val="single" w:color="0000FF"/>
          </w:rPr>
          <w:t>http://sexenio20002006.blogspot.mx/2007/11/educacin.html</w:t>
        </w:r>
      </w:hyperlink>
    </w:p>
    <w:p>
      <w:pPr>
        <w:pStyle w:val="BodyText"/>
        <w:spacing w:before="4"/>
        <w:rPr>
          <w:sz w:val="11"/>
        </w:rPr>
      </w:pPr>
    </w:p>
    <w:p>
      <w:pPr>
        <w:spacing w:line="276" w:lineRule="auto" w:before="69"/>
        <w:ind w:left="529" w:right="0" w:hanging="428"/>
        <w:jc w:val="left"/>
        <w:rPr>
          <w:sz w:val="24"/>
        </w:rPr>
      </w:pPr>
      <w:r>
        <w:rPr>
          <w:sz w:val="24"/>
        </w:rPr>
        <w:t>Liker. J. (2010) </w:t>
      </w:r>
      <w:r>
        <w:rPr>
          <w:i/>
          <w:sz w:val="24"/>
        </w:rPr>
        <w:t>Toyota’s lost its quality edge? Not so fast. </w:t>
      </w:r>
      <w:r>
        <w:rPr>
          <w:sz w:val="24"/>
        </w:rPr>
        <w:t>Businessweek. Disponible en: </w:t>
      </w:r>
      <w:hyperlink r:id="rId174">
        <w:r>
          <w:rPr>
            <w:color w:val="0000FF"/>
            <w:sz w:val="24"/>
            <w:u w:val="single" w:color="0000FF"/>
          </w:rPr>
          <w:t>http://it.kaizen.com/fileadmin/DATA/kaizen_it/Documents/Publications/Business%20</w:t>
        </w:r>
      </w:hyperlink>
      <w:r>
        <w:rPr>
          <w:color w:val="0000FF"/>
          <w:sz w:val="24"/>
          <w:u w:val="single" w:color="0000FF"/>
        </w:rPr>
        <w:t> </w:t>
      </w:r>
      <w:hyperlink r:id="rId174">
        <w:r>
          <w:rPr>
            <w:color w:val="0000FF"/>
            <w:sz w:val="24"/>
            <w:u w:val="single" w:color="0000FF"/>
          </w:rPr>
          <w:t>Week%20Toyota%27s%20Lost%20Its%20Quality%20Edge.pdf</w:t>
        </w:r>
      </w:hyperlink>
    </w:p>
    <w:p>
      <w:pPr>
        <w:pStyle w:val="BodyText"/>
        <w:spacing w:before="4"/>
        <w:rPr>
          <w:sz w:val="11"/>
        </w:rPr>
      </w:pPr>
    </w:p>
    <w:p>
      <w:pPr>
        <w:pStyle w:val="BodyText"/>
        <w:spacing w:line="276" w:lineRule="auto" w:before="69"/>
        <w:ind w:left="385" w:right="117" w:hanging="284"/>
        <w:jc w:val="both"/>
      </w:pPr>
      <w:r>
        <w:rPr/>
        <w:t>Lucero, I. y Meza, S. (2002) Validación de instrumentos para medir conocimientos. Departamento de física - Facultad de Ciencias Exactas, Naturales y Agrimensura. </w:t>
      </w:r>
      <w:r>
        <w:rPr>
          <w:i/>
        </w:rPr>
        <w:t>UNNE. </w:t>
      </w:r>
      <w:r>
        <w:rPr/>
        <w:t>Consultado el 25 de abril de 2014. Disponible en: </w:t>
      </w:r>
      <w:hyperlink r:id="rId175">
        <w:r>
          <w:rPr>
            <w:color w:val="0000FF"/>
            <w:u w:val="single" w:color="0000FF"/>
          </w:rPr>
          <w:t>www.unne.edu.ar/cyt/2002/09-Educacion/D-027.pdf</w:t>
        </w:r>
      </w:hyperlink>
    </w:p>
    <w:p>
      <w:pPr>
        <w:pStyle w:val="BodyText"/>
        <w:rPr>
          <w:sz w:val="20"/>
        </w:rPr>
      </w:pPr>
    </w:p>
    <w:p>
      <w:pPr>
        <w:pStyle w:val="BodyText"/>
        <w:spacing w:before="1"/>
        <w:rPr>
          <w:sz w:val="19"/>
        </w:rPr>
      </w:pPr>
    </w:p>
    <w:p>
      <w:pPr>
        <w:pStyle w:val="BodyText"/>
        <w:spacing w:line="276" w:lineRule="auto" w:before="70"/>
        <w:ind w:left="529" w:right="115" w:hanging="428"/>
        <w:jc w:val="both"/>
      </w:pPr>
      <w:r>
        <w:rPr/>
        <w:t>Mungaray. A. (2001). La educación superior y el mercado de trabajo profesional. </w:t>
      </w:r>
      <w:r>
        <w:rPr>
          <w:i/>
        </w:rPr>
        <w:t>Revista </w:t>
      </w:r>
      <w:r>
        <w:rPr>
          <w:i/>
        </w:rPr>
        <w:t>electrónica de investigación Educativa </w:t>
      </w:r>
      <w:r>
        <w:rPr/>
        <w:t>. 3 (1). Consultado el 12 de enero de 2012. Disponible en: </w:t>
      </w:r>
      <w:hyperlink r:id="rId176">
        <w:r>
          <w:rPr>
            <w:color w:val="0000FF"/>
            <w:u w:val="single" w:color="0000FF"/>
          </w:rPr>
          <w:t>http://redie.uabc.mx/vol3no1/contenido-mungaray.html</w:t>
        </w:r>
      </w:hyperlink>
    </w:p>
    <w:p>
      <w:pPr>
        <w:pStyle w:val="BodyText"/>
        <w:spacing w:before="7"/>
        <w:rPr>
          <w:sz w:val="11"/>
        </w:rPr>
      </w:pPr>
    </w:p>
    <w:p>
      <w:pPr>
        <w:pStyle w:val="BodyText"/>
        <w:spacing w:line="276" w:lineRule="auto" w:before="69"/>
        <w:ind w:left="529" w:right="115" w:hanging="428"/>
      </w:pPr>
      <w:r>
        <w:rPr/>
        <w:t>OCDE-Organisation for Economic Co-Operation and Development. (2012). OECD Employment outlook 2012. Consultado el 1 de septiembre de 2012. Disponible en: </w:t>
      </w:r>
      <w:hyperlink r:id="rId177">
        <w:r>
          <w:rPr>
            <w:color w:val="0000FF"/>
            <w:u w:val="single" w:color="0000FF"/>
          </w:rPr>
          <w:t>http://www.oecd-ilibrary.org/employment/oecd-employment-outlook-</w:t>
        </w:r>
      </w:hyperlink>
      <w:r>
        <w:rPr>
          <w:color w:val="0000FF"/>
          <w:u w:val="single" w:color="0000FF"/>
        </w:rPr>
        <w:t> </w:t>
      </w:r>
      <w:hyperlink r:id="rId177">
        <w:r>
          <w:rPr>
            <w:color w:val="0000FF"/>
            <w:u w:val="single" w:color="0000FF"/>
          </w:rPr>
          <w:t>2012_empl_outlook-2012-en</w:t>
        </w:r>
      </w:hyperlink>
    </w:p>
    <w:p>
      <w:pPr>
        <w:pStyle w:val="BodyText"/>
        <w:spacing w:before="2"/>
        <w:rPr>
          <w:sz w:val="11"/>
        </w:rPr>
      </w:pPr>
    </w:p>
    <w:p>
      <w:pPr>
        <w:pStyle w:val="BodyText"/>
        <w:spacing w:before="69"/>
        <w:ind w:left="102"/>
      </w:pPr>
      <w:r>
        <w:rPr/>
        <w:t>OIT- Organización Internacional del trabajo (2013). Consultado el 20 de abril de 2013.</w:t>
      </w:r>
    </w:p>
    <w:p>
      <w:pPr>
        <w:spacing w:before="7"/>
        <w:ind w:left="529" w:right="0" w:firstLine="0"/>
        <w:jc w:val="left"/>
        <w:rPr>
          <w:rFonts w:ascii="Calibri"/>
          <w:sz w:val="22"/>
        </w:rPr>
      </w:pPr>
      <w:r>
        <w:rPr>
          <w:sz w:val="24"/>
        </w:rPr>
        <w:t>Disponible en: </w:t>
      </w:r>
      <w:hyperlink r:id="rId178">
        <w:r>
          <w:rPr>
            <w:rFonts w:ascii="Calibri"/>
            <w:color w:val="0000FF"/>
            <w:sz w:val="22"/>
            <w:u w:val="single" w:color="0000FF"/>
          </w:rPr>
          <w:t>http://www.ilo.org/global/lang--es/index.htm</w:t>
        </w:r>
      </w:hyperlink>
    </w:p>
    <w:p>
      <w:pPr>
        <w:pStyle w:val="BodyText"/>
        <w:spacing w:line="276" w:lineRule="auto" w:before="197"/>
        <w:ind w:left="529" w:hanging="428"/>
      </w:pPr>
      <w:r>
        <w:rPr/>
        <w:t>Plan Nacional de Desarrollo 2001-2006 PND. (2001). </w:t>
      </w:r>
      <w:r>
        <w:rPr>
          <w:i/>
        </w:rPr>
        <w:t>Presidencia</w:t>
      </w:r>
      <w:r>
        <w:rPr/>
        <w:t>. Consultado el 29 de octubre de 2011. Disponible en: </w:t>
      </w:r>
      <w:hyperlink r:id="rId179">
        <w:r>
          <w:rPr>
            <w:color w:val="0000FF"/>
            <w:u w:val="single" w:color="0000FF"/>
          </w:rPr>
          <w:t>http://bibliotecadigital.conevyt.org.mx/</w:t>
        </w:r>
      </w:hyperlink>
    </w:p>
    <w:p>
      <w:pPr>
        <w:pStyle w:val="BodyText"/>
        <w:rPr>
          <w:sz w:val="20"/>
        </w:rPr>
      </w:pPr>
    </w:p>
    <w:p>
      <w:pPr>
        <w:pStyle w:val="BodyText"/>
        <w:rPr>
          <w:sz w:val="20"/>
        </w:rPr>
      </w:pPr>
    </w:p>
    <w:p>
      <w:pPr>
        <w:pStyle w:val="BodyText"/>
        <w:spacing w:before="6"/>
        <w:rPr>
          <w:sz w:val="16"/>
        </w:rPr>
      </w:pPr>
    </w:p>
    <w:p>
      <w:pPr>
        <w:pStyle w:val="BodyText"/>
        <w:spacing w:line="276" w:lineRule="auto" w:before="69"/>
        <w:ind w:left="529" w:hanging="428"/>
      </w:pPr>
      <w:r>
        <w:rPr/>
        <w:t>Plan Nacional de Desarrollo 2007-212 PND. (2007). </w:t>
      </w:r>
      <w:r>
        <w:rPr>
          <w:i/>
        </w:rPr>
        <w:t>Presidencia</w:t>
      </w:r>
      <w:r>
        <w:rPr/>
        <w:t>. Consultado el 29 de octubre de 2011. Disponible en:</w:t>
      </w:r>
      <w:r>
        <w:rPr>
          <w:spacing w:val="51"/>
        </w:rPr>
        <w:t> </w:t>
      </w:r>
      <w:hyperlink r:id="rId180">
        <w:r>
          <w:rPr>
            <w:color w:val="0000FF"/>
            <w:u w:val="single" w:color="0000FF"/>
          </w:rPr>
          <w:t>http://pnd.presidencia.gob.mx/</w:t>
        </w:r>
      </w:hyperlink>
    </w:p>
    <w:p>
      <w:pPr>
        <w:pStyle w:val="BodyText"/>
        <w:spacing w:before="7"/>
        <w:rPr>
          <w:sz w:val="11"/>
        </w:rPr>
      </w:pPr>
    </w:p>
    <w:p>
      <w:pPr>
        <w:pStyle w:val="BodyText"/>
        <w:spacing w:line="276" w:lineRule="auto" w:before="69"/>
        <w:ind w:left="529" w:hanging="428"/>
      </w:pPr>
      <w:r>
        <w:rPr/>
        <w:pict>
          <v:line style="position:absolute;mso-position-horizontal-relative:page;mso-position-vertical-relative:paragraph;z-index:-394528" from="106.459999pt,32.113106pt" to="523.409999pt,32.113106pt" stroked="true" strokeweight=".60004pt" strokecolor="#0000ff">
            <w10:wrap type="none"/>
          </v:line>
        </w:pict>
      </w:r>
      <w:r>
        <w:rPr/>
        <w:t>Portal del empleo (2014). Consutlado el 10 de enero de 2014. Disponible en: </w:t>
      </w:r>
      <w:hyperlink r:id="rId181">
        <w:r>
          <w:rPr>
            <w:color w:val="0000FF"/>
          </w:rPr>
          <w:t>http://www.empleo.gob.mx/es_mx/empleo/tendencias de_empleo_de_las_carreras_p</w:t>
        </w:r>
      </w:hyperlink>
      <w:r>
        <w:rPr>
          <w:color w:val="0000FF"/>
        </w:rPr>
        <w:t> </w:t>
      </w:r>
      <w:hyperlink r:id="rId181">
        <w:r>
          <w:rPr>
            <w:color w:val="0000FF"/>
            <w:u w:val="single" w:color="0000FF"/>
          </w:rPr>
          <w:t>rofesi</w:t>
        </w:r>
      </w:hyperlink>
    </w:p>
    <w:p>
      <w:pPr>
        <w:spacing w:after="0" w:line="276" w:lineRule="auto"/>
        <w:sectPr>
          <w:pgSz w:w="12240" w:h="15840"/>
          <w:pgMar w:header="0" w:footer="1003" w:top="1360" w:bottom="1200" w:left="1600" w:right="1580"/>
        </w:sectPr>
      </w:pPr>
    </w:p>
    <w:p>
      <w:pPr>
        <w:pStyle w:val="BodyText"/>
        <w:tabs>
          <w:tab w:pos="1920" w:val="left" w:leader="none"/>
          <w:tab w:pos="2984" w:val="left" w:leader="none"/>
          <w:tab w:pos="4443" w:val="left" w:leader="none"/>
          <w:tab w:pos="4982" w:val="left" w:leader="none"/>
          <w:tab w:pos="5587" w:val="left" w:leader="none"/>
          <w:tab w:pos="6179" w:val="left" w:leader="none"/>
          <w:tab w:pos="7146" w:val="left" w:leader="none"/>
          <w:tab w:pos="7736" w:val="left" w:leader="none"/>
          <w:tab w:pos="8643" w:val="left" w:leader="none"/>
        </w:tabs>
        <w:spacing w:line="278" w:lineRule="auto" w:before="50"/>
        <w:ind w:left="529" w:right="122" w:hanging="428"/>
      </w:pPr>
      <w:r>
        <w:rPr/>
        <w:t>Portal2edomex</w:t>
        <w:tab/>
        <w:t>(2014).</w:t>
        <w:tab/>
        <w:t>Consultado</w:t>
        <w:tab/>
        <w:t>el</w:t>
        <w:tab/>
        <w:t>17</w:t>
        <w:tab/>
        <w:t>de</w:t>
        <w:tab/>
        <w:t>marzo</w:t>
        <w:tab/>
        <w:t>de</w:t>
        <w:tab/>
        <w:t>2014,</w:t>
        <w:tab/>
        <w:t>en:</w:t>
      </w:r>
      <w:r>
        <w:rPr>
          <w:w w:val="99"/>
        </w:rPr>
        <w:t> </w:t>
      </w:r>
      <w:hyperlink r:id="rId182">
        <w:r>
          <w:rPr>
            <w:color w:val="0000FF"/>
            <w:u w:val="single" w:color="0000FF"/>
          </w:rPr>
          <w:t>http://portal2.edomex.gob.mx/edomex/estado/geografiayestadistica/regiones/index.htm</w:t>
        </w:r>
      </w:hyperlink>
    </w:p>
    <w:p>
      <w:pPr>
        <w:pStyle w:val="BodyText"/>
        <w:spacing w:before="1"/>
        <w:rPr>
          <w:sz w:val="11"/>
        </w:rPr>
      </w:pPr>
    </w:p>
    <w:p>
      <w:pPr>
        <w:pStyle w:val="BodyText"/>
        <w:tabs>
          <w:tab w:pos="2817" w:val="left" w:leader="none"/>
        </w:tabs>
        <w:spacing w:line="276" w:lineRule="auto" w:before="70"/>
        <w:ind w:left="529" w:right="117" w:hanging="428"/>
      </w:pPr>
      <w:r>
        <w:rPr/>
        <w:t>PROMEP-Programa</w:t>
      </w:r>
      <w:r>
        <w:rPr>
          <w:spacing w:val="46"/>
        </w:rPr>
        <w:t> </w:t>
      </w:r>
      <w:r>
        <w:rPr/>
        <w:t>para</w:t>
        <w:tab/>
        <w:t>el  Mejoramiento  del  Profesorado  (2013)  Consultado  </w:t>
      </w:r>
      <w:r>
        <w:rPr>
          <w:spacing w:val="2"/>
        </w:rPr>
        <w:t>el</w:t>
      </w:r>
      <w:r>
        <w:rPr>
          <w:spacing w:val="-18"/>
        </w:rPr>
        <w:t> </w:t>
      </w:r>
      <w:r>
        <w:rPr/>
        <w:t>5</w:t>
      </w:r>
      <w:r>
        <w:rPr>
          <w:spacing w:val="48"/>
        </w:rPr>
        <w:t> </w:t>
      </w:r>
      <w:r>
        <w:rPr/>
        <w:t>de</w:t>
      </w:r>
      <w:r>
        <w:rPr>
          <w:w w:val="99"/>
        </w:rPr>
        <w:t> </w:t>
      </w:r>
      <w:r>
        <w:rPr/>
        <w:t>mayo de 2013. Disponible en:</w:t>
      </w:r>
      <w:r>
        <w:rPr>
          <w:spacing w:val="-6"/>
        </w:rPr>
        <w:t> </w:t>
      </w:r>
      <w:hyperlink r:id="rId183">
        <w:r>
          <w:rPr>
            <w:color w:val="0000FF"/>
            <w:u w:val="single" w:color="0000FF"/>
          </w:rPr>
          <w:t>http://promep.sep.gob.mx/</w:t>
        </w:r>
      </w:hyperlink>
    </w:p>
    <w:p>
      <w:pPr>
        <w:pStyle w:val="BodyText"/>
        <w:spacing w:before="7"/>
        <w:rPr>
          <w:sz w:val="11"/>
        </w:rPr>
      </w:pPr>
    </w:p>
    <w:p>
      <w:pPr>
        <w:pStyle w:val="BodyText"/>
        <w:spacing w:line="276" w:lineRule="auto" w:before="69"/>
        <w:ind w:left="529" w:right="123" w:hanging="428"/>
      </w:pPr>
      <w:r>
        <w:rPr/>
        <w:t>PYMES-Pequeñas y Medianas Empresas. (2012). Las PYMES en México. Consultado el 1 de mayo de 2012.  Disponible en: </w:t>
      </w:r>
      <w:hyperlink r:id="rId184">
        <w:r>
          <w:rPr>
            <w:color w:val="0000FF"/>
            <w:u w:val="single" w:color="0000FF"/>
          </w:rPr>
          <w:t>http://www.institutopyme.org/</w:t>
        </w:r>
      </w:hyperlink>
    </w:p>
    <w:p>
      <w:pPr>
        <w:pStyle w:val="BodyText"/>
        <w:spacing w:before="7"/>
        <w:rPr>
          <w:sz w:val="11"/>
        </w:rPr>
      </w:pPr>
    </w:p>
    <w:p>
      <w:pPr>
        <w:pStyle w:val="BodyText"/>
        <w:spacing w:before="69"/>
        <w:ind w:left="102"/>
      </w:pPr>
      <w:r>
        <w:rPr/>
        <w:t>SEP-Secretaría  de  Educación  Pública  (2011).  Consultado  el  20  de  diciembre  de 2011.</w:t>
      </w:r>
    </w:p>
    <w:p>
      <w:pPr>
        <w:pStyle w:val="BodyText"/>
        <w:spacing w:before="41"/>
        <w:ind w:left="529"/>
      </w:pPr>
      <w:r>
        <w:rPr/>
        <w:t>Disponible en: </w:t>
      </w:r>
      <w:hyperlink r:id="rId185">
        <w:r>
          <w:rPr>
            <w:color w:val="0000FF"/>
            <w:u w:val="single" w:color="0000FF"/>
          </w:rPr>
          <w:t>http://www.sep.gob.mx/</w:t>
        </w:r>
      </w:hyperlink>
    </w:p>
    <w:p>
      <w:pPr>
        <w:pStyle w:val="BodyText"/>
        <w:spacing w:before="1"/>
        <w:rPr>
          <w:sz w:val="15"/>
        </w:rPr>
      </w:pPr>
    </w:p>
    <w:p>
      <w:pPr>
        <w:pStyle w:val="BodyText"/>
        <w:tabs>
          <w:tab w:pos="6580" w:val="left" w:leader="none"/>
        </w:tabs>
        <w:spacing w:before="69"/>
        <w:ind w:left="102"/>
      </w:pPr>
      <w:r>
        <w:rPr/>
        <w:t>SEP-Secretaría  de  Educación  Pública  (2012).  </w:t>
      </w:r>
      <w:r>
        <w:rPr>
          <w:spacing w:val="21"/>
        </w:rPr>
        <w:t> </w:t>
      </w:r>
      <w:r>
        <w:rPr/>
        <w:t>Consultado </w:t>
      </w:r>
      <w:r>
        <w:rPr>
          <w:spacing w:val="14"/>
        </w:rPr>
        <w:t> </w:t>
      </w:r>
      <w:r>
        <w:rPr/>
        <w:t>el</w:t>
        <w:tab/>
        <w:t>4  de  febrero  de  </w:t>
      </w:r>
      <w:r>
        <w:rPr>
          <w:spacing w:val="11"/>
        </w:rPr>
        <w:t> </w:t>
      </w:r>
      <w:r>
        <w:rPr/>
        <w:t>2012.</w:t>
      </w:r>
    </w:p>
    <w:p>
      <w:pPr>
        <w:pStyle w:val="BodyText"/>
        <w:spacing w:before="41"/>
        <w:ind w:left="529"/>
      </w:pPr>
      <w:r>
        <w:rPr/>
        <w:t>Disponible en: </w:t>
      </w:r>
      <w:hyperlink r:id="rId186">
        <w:r>
          <w:rPr>
            <w:color w:val="0000FF"/>
            <w:u w:val="single" w:color="0000FF"/>
          </w:rPr>
          <w:t>http://www.sep.gob.mx/es/sep1/sep1_Estadisticas</w:t>
        </w:r>
      </w:hyperlink>
    </w:p>
    <w:p>
      <w:pPr>
        <w:pStyle w:val="BodyText"/>
        <w:spacing w:before="9"/>
        <w:rPr>
          <w:sz w:val="14"/>
        </w:rPr>
      </w:pPr>
    </w:p>
    <w:p>
      <w:pPr>
        <w:pStyle w:val="BodyText"/>
        <w:spacing w:line="278" w:lineRule="auto" w:before="70"/>
        <w:ind w:left="529" w:right="123" w:hanging="428"/>
      </w:pPr>
      <w:r>
        <w:rPr/>
        <w:t>SEP-Secretaría de Educación Pública (2013). </w:t>
      </w:r>
      <w:r>
        <w:rPr>
          <w:i/>
        </w:rPr>
        <w:t>Educación por niveles</w:t>
      </w:r>
      <w:r>
        <w:rPr/>
        <w:t>. Consultado el 1 de abril de 2013. Disponible en: </w:t>
      </w:r>
      <w:hyperlink r:id="rId187">
        <w:r>
          <w:rPr>
            <w:color w:val="0000FF"/>
            <w:u w:val="single" w:color="0000FF"/>
          </w:rPr>
          <w:t>http://www.sep.gob.mx/es/sep1/educacion_por_niveles</w:t>
        </w:r>
      </w:hyperlink>
    </w:p>
    <w:p>
      <w:pPr>
        <w:pStyle w:val="BodyText"/>
        <w:spacing w:before="1"/>
        <w:rPr>
          <w:sz w:val="11"/>
        </w:rPr>
      </w:pPr>
    </w:p>
    <w:p>
      <w:pPr>
        <w:spacing w:line="276" w:lineRule="auto" w:before="70"/>
        <w:ind w:left="529" w:right="115" w:hanging="428"/>
        <w:jc w:val="both"/>
        <w:rPr>
          <w:sz w:val="24"/>
        </w:rPr>
      </w:pPr>
      <w:r>
        <w:rPr>
          <w:sz w:val="24"/>
        </w:rPr>
        <w:t>SES-SEP. (2013). </w:t>
      </w:r>
      <w:r>
        <w:rPr>
          <w:i/>
          <w:sz w:val="24"/>
        </w:rPr>
        <w:t>Subsecretaría de Educación Superior - Secretaría de Educación Pública</w:t>
      </w:r>
      <w:r>
        <w:rPr>
          <w:sz w:val="24"/>
        </w:rPr>
        <w:t>. Consultado el 12 de marzo de 2013. Disponible en: </w:t>
      </w:r>
      <w:hyperlink r:id="rId188">
        <w:r>
          <w:rPr>
            <w:color w:val="0000FF"/>
            <w:sz w:val="24"/>
            <w:u w:val="single" w:color="0000FF"/>
          </w:rPr>
          <w:t>http://www.ses2.sep.gob.mx/cgi-</w:t>
        </w:r>
      </w:hyperlink>
      <w:r>
        <w:rPr>
          <w:color w:val="0000FF"/>
          <w:sz w:val="24"/>
          <w:u w:val="single" w:color="0000FF"/>
        </w:rPr>
        <w:t> </w:t>
      </w:r>
      <w:hyperlink r:id="rId188">
        <w:r>
          <w:rPr>
            <w:color w:val="0000FF"/>
            <w:sz w:val="24"/>
            <w:u w:val="single" w:color="0000FF"/>
          </w:rPr>
          <w:t>bin/acronimos/sya.pl?busca=I</w:t>
        </w:r>
      </w:hyperlink>
    </w:p>
    <w:p>
      <w:pPr>
        <w:pStyle w:val="BodyText"/>
        <w:spacing w:before="4"/>
        <w:rPr>
          <w:sz w:val="11"/>
        </w:rPr>
      </w:pPr>
    </w:p>
    <w:p>
      <w:pPr>
        <w:pStyle w:val="BodyText"/>
        <w:spacing w:line="278" w:lineRule="auto" w:before="69"/>
        <w:ind w:left="529" w:right="123" w:hanging="428"/>
      </w:pPr>
      <w:r>
        <w:rPr/>
        <w:t>SES-Subsecretaria de Educación Superior. (2011). </w:t>
      </w:r>
      <w:r>
        <w:rPr>
          <w:i/>
        </w:rPr>
        <w:t>Portal de vinculación</w:t>
      </w:r>
      <w:r>
        <w:rPr/>
        <w:t>. Consultado el 27 de octubre de 2011. Disponible en:</w:t>
      </w:r>
      <w:r>
        <w:rPr>
          <w:spacing w:val="52"/>
        </w:rPr>
        <w:t> </w:t>
      </w:r>
      <w:hyperlink r:id="rId189">
        <w:r>
          <w:rPr>
            <w:color w:val="0000FF"/>
            <w:u w:val="single" w:color="0000FF"/>
          </w:rPr>
          <w:t>http://www.vinculacion.ses.sep.gob.mx/#</w:t>
        </w:r>
      </w:hyperlink>
    </w:p>
    <w:p>
      <w:pPr>
        <w:pStyle w:val="BodyText"/>
        <w:spacing w:before="2"/>
        <w:rPr>
          <w:sz w:val="11"/>
        </w:rPr>
      </w:pPr>
    </w:p>
    <w:p>
      <w:pPr>
        <w:pStyle w:val="BodyText"/>
        <w:spacing w:line="276" w:lineRule="auto" w:before="69"/>
        <w:ind w:left="529" w:right="116" w:hanging="428"/>
        <w:jc w:val="both"/>
      </w:pPr>
      <w:r>
        <w:rPr/>
        <w:t>SRE (2013). </w:t>
      </w:r>
      <w:r>
        <w:rPr>
          <w:i/>
        </w:rPr>
        <w:t>Indicadores económicos. </w:t>
      </w:r>
      <w:r>
        <w:rPr/>
        <w:t>Secretaria de Relaciones Exteriores. Consultado el  20 de enero de 2014. Disponible en: </w:t>
      </w:r>
      <w:hyperlink r:id="rId190">
        <w:r>
          <w:rPr>
            <w:color w:val="0000FF"/>
            <w:u w:val="single" w:color="0000FF"/>
          </w:rPr>
          <w:t>http://www.sre.gob.mx/index.php/indicadores-</w:t>
        </w:r>
      </w:hyperlink>
      <w:r>
        <w:rPr>
          <w:color w:val="0000FF"/>
          <w:u w:val="single" w:color="0000FF"/>
        </w:rPr>
        <w:t> </w:t>
      </w:r>
      <w:hyperlink r:id="rId190">
        <w:r>
          <w:rPr>
            <w:color w:val="0000FF"/>
            <w:u w:val="single" w:color="0000FF"/>
          </w:rPr>
          <w:t>economicos</w:t>
        </w:r>
      </w:hyperlink>
    </w:p>
    <w:p>
      <w:pPr>
        <w:pStyle w:val="BodyText"/>
        <w:spacing w:before="4"/>
        <w:rPr>
          <w:sz w:val="11"/>
        </w:rPr>
      </w:pPr>
    </w:p>
    <w:p>
      <w:pPr>
        <w:pStyle w:val="BodyText"/>
        <w:spacing w:line="276" w:lineRule="auto" w:before="69"/>
        <w:ind w:left="529" w:hanging="428"/>
      </w:pPr>
      <w:r>
        <w:rPr/>
        <w:t>STPS-Secretaría del Trabajo y Previsión Social (2012) Consultado el 18 de noviembre de 2012. Disponible en: </w:t>
      </w:r>
      <w:hyperlink r:id="rId191">
        <w:r>
          <w:rPr>
            <w:color w:val="0000FF"/>
            <w:u w:val="single" w:color="0000FF"/>
          </w:rPr>
          <w:t>http://www.stps.gob.mx/bp/index.html</w:t>
        </w:r>
      </w:hyperlink>
    </w:p>
    <w:p>
      <w:pPr>
        <w:pStyle w:val="BodyText"/>
        <w:spacing w:before="7"/>
        <w:rPr>
          <w:sz w:val="11"/>
        </w:rPr>
      </w:pPr>
    </w:p>
    <w:p>
      <w:pPr>
        <w:pStyle w:val="BodyText"/>
        <w:spacing w:before="69"/>
        <w:ind w:left="102"/>
      </w:pPr>
      <w:r>
        <w:rPr/>
        <w:t>The free dictionary (2014) Definición de incremento. Consultado el    13 de marzo de 2014.</w:t>
      </w:r>
    </w:p>
    <w:p>
      <w:pPr>
        <w:pStyle w:val="BodyText"/>
        <w:spacing w:before="41"/>
        <w:ind w:left="529"/>
      </w:pPr>
      <w:r>
        <w:rPr/>
        <w:t>Disponible en: </w:t>
      </w:r>
      <w:hyperlink r:id="rId192">
        <w:r>
          <w:rPr>
            <w:color w:val="0000FF"/>
            <w:u w:val="single" w:color="0000FF"/>
          </w:rPr>
          <w:t>http://es.thefreedictionary.com/incremento</w:t>
        </w:r>
      </w:hyperlink>
    </w:p>
    <w:p>
      <w:pPr>
        <w:pStyle w:val="BodyText"/>
        <w:rPr>
          <w:sz w:val="15"/>
        </w:rPr>
      </w:pPr>
    </w:p>
    <w:p>
      <w:pPr>
        <w:pStyle w:val="BodyText"/>
        <w:spacing w:line="276" w:lineRule="auto" w:before="70"/>
        <w:ind w:left="529" w:hanging="428"/>
      </w:pPr>
      <w:r>
        <w:rPr/>
        <w:t>Tu Empresa.gob. (2012). </w:t>
      </w:r>
      <w:r>
        <w:rPr>
          <w:i/>
        </w:rPr>
        <w:t>Tu Empresa.gob</w:t>
      </w:r>
      <w:r>
        <w:rPr/>
        <w:t>. Consultado el 12 de marzo de 2012. Disponible en: </w:t>
      </w:r>
      <w:hyperlink r:id="rId193">
        <w:r>
          <w:rPr>
            <w:color w:val="0000FF"/>
            <w:u w:val="single" w:color="0000FF"/>
          </w:rPr>
          <w:t>http://www.tuempresa.gob.mx/portal/comun/publico/file.do?llave=glosario</w:t>
        </w:r>
      </w:hyperlink>
    </w:p>
    <w:p>
      <w:pPr>
        <w:pStyle w:val="BodyText"/>
        <w:spacing w:before="4"/>
        <w:rPr>
          <w:sz w:val="11"/>
        </w:rPr>
      </w:pPr>
    </w:p>
    <w:p>
      <w:pPr>
        <w:pStyle w:val="BodyText"/>
        <w:spacing w:before="69"/>
        <w:ind w:left="162"/>
      </w:pPr>
      <w:r>
        <w:rPr/>
        <w:t>UNESCO-Organización de las Naciones Unidas para la Educación (2006). Consultado    el</w:t>
      </w:r>
    </w:p>
    <w:p>
      <w:pPr>
        <w:pStyle w:val="BodyText"/>
        <w:tabs>
          <w:tab w:pos="1049" w:val="left" w:leader="none"/>
          <w:tab w:pos="1555" w:val="left" w:leader="none"/>
          <w:tab w:pos="2371" w:val="left" w:leader="none"/>
          <w:tab w:pos="2881" w:val="left" w:leader="none"/>
          <w:tab w:pos="3704" w:val="left" w:leader="none"/>
          <w:tab w:pos="5038" w:val="left" w:leader="none"/>
          <w:tab w:pos="5615" w:val="left" w:leader="none"/>
        </w:tabs>
        <w:ind w:left="529" w:right="116"/>
      </w:pPr>
      <w:r>
        <w:rPr/>
        <w:t>20</w:t>
        <w:tab/>
        <w:t>de</w:t>
        <w:tab/>
        <w:t>mayo</w:t>
        <w:tab/>
        <w:t>de</w:t>
        <w:tab/>
        <w:t>2013.</w:t>
        <w:tab/>
        <w:t>Disponible</w:t>
        <w:tab/>
        <w:t>en:</w:t>
        <w:tab/>
      </w:r>
      <w:hyperlink r:id="rId194">
        <w:r>
          <w:rPr>
            <w:color w:val="0000FF"/>
            <w:u w:val="single" w:color="0000FF"/>
          </w:rPr>
          <w:t>http://portal.unesco.org/en/ev.php- </w:t>
        </w:r>
      </w:hyperlink>
      <w:hyperlink r:id="rId194">
        <w:r>
          <w:rPr>
            <w:color w:val="0000FF"/>
            <w:u w:val="single" w:color="0000FF"/>
          </w:rPr>
          <w:t>URL_ID=11707&amp;URL_DO=DO_TOPIC&amp;URL_SECTION=201.html</w:t>
        </w:r>
      </w:hyperlink>
    </w:p>
    <w:p>
      <w:pPr>
        <w:pStyle w:val="BodyText"/>
        <w:spacing w:before="11"/>
        <w:rPr>
          <w:sz w:val="17"/>
        </w:rPr>
      </w:pPr>
    </w:p>
    <w:p>
      <w:pPr>
        <w:pStyle w:val="BodyText"/>
        <w:spacing w:before="69"/>
        <w:ind w:left="529" w:right="164" w:hanging="428"/>
      </w:pPr>
      <w:r>
        <w:rPr/>
        <w:t>UNESCO-Organización de las Naciones Unidas para la Educación (2011). Consultado el  20 de mayo de 2013. Disponible en:</w:t>
      </w:r>
      <w:r>
        <w:rPr>
          <w:spacing w:val="-10"/>
        </w:rPr>
        <w:t> </w:t>
      </w:r>
      <w:hyperlink r:id="rId195">
        <w:r>
          <w:rPr>
            <w:color w:val="0000FF"/>
            <w:u w:val="single" w:color="0000FF"/>
          </w:rPr>
          <w:t>http://www.unesco.org/new/es/unesco/networks/</w:t>
        </w:r>
      </w:hyperlink>
    </w:p>
    <w:p>
      <w:pPr>
        <w:spacing w:after="0"/>
        <w:sectPr>
          <w:pgSz w:w="12240" w:h="15840"/>
          <w:pgMar w:header="0" w:footer="1003" w:top="1360" w:bottom="1200" w:left="1600" w:right="1580"/>
        </w:sectPr>
      </w:pPr>
    </w:p>
    <w:p>
      <w:pPr>
        <w:pStyle w:val="BodyText"/>
        <w:tabs>
          <w:tab w:pos="1776" w:val="left" w:leader="none"/>
          <w:tab w:pos="3758" w:val="left" w:leader="none"/>
          <w:tab w:pos="5007" w:val="left" w:leader="none"/>
          <w:tab w:pos="6573" w:val="left" w:leader="none"/>
          <w:tab w:pos="8648" w:val="left" w:leader="none"/>
        </w:tabs>
        <w:spacing w:before="48"/>
        <w:ind w:left="529" w:right="117" w:hanging="428"/>
        <w:jc w:val="both"/>
      </w:pPr>
      <w:r>
        <w:rPr/>
        <w:t>UAEMéx-Universidad Autónoma del Estado de México. (2012) Historia. Consultado el 1 de</w:t>
        <w:tab/>
        <w:t>diciembre</w:t>
        <w:tab/>
        <w:t>de</w:t>
        <w:tab/>
        <w:t>2012.</w:t>
        <w:tab/>
        <w:t>Disponible</w:t>
        <w:tab/>
        <w:t>en:</w:t>
      </w:r>
      <w:r>
        <w:rPr>
          <w:w w:val="99"/>
        </w:rPr>
        <w:t> </w:t>
      </w:r>
      <w:hyperlink r:id="rId196">
        <w:r>
          <w:rPr>
            <w:color w:val="0000FF"/>
            <w:u w:val="single" w:color="0000FF"/>
          </w:rPr>
          <w:t>http://www.uaemex.mx/SEyV/home%20historia.html</w:t>
        </w:r>
      </w:hyperlink>
    </w:p>
    <w:p>
      <w:pPr>
        <w:pStyle w:val="BodyText"/>
        <w:rPr>
          <w:sz w:val="20"/>
        </w:rPr>
      </w:pPr>
    </w:p>
    <w:p>
      <w:pPr>
        <w:pStyle w:val="BodyText"/>
        <w:rPr>
          <w:sz w:val="22"/>
        </w:rPr>
      </w:pPr>
    </w:p>
    <w:p>
      <w:pPr>
        <w:pStyle w:val="BodyText"/>
        <w:spacing w:before="69"/>
        <w:ind w:left="529" w:right="118" w:hanging="428"/>
        <w:jc w:val="both"/>
      </w:pPr>
      <w:r>
        <w:rPr/>
        <w:t>UAEMéx-FE-Facultad de Economía de la Universidad Autónoma del Estado de México (2012). Consultado el 1 de diciembre de 2012. Disponible en: </w:t>
      </w:r>
      <w:hyperlink r:id="rId197">
        <w:r>
          <w:rPr>
            <w:color w:val="0000FF"/>
            <w:u w:val="single" w:color="0000FF"/>
          </w:rPr>
          <w:t>http://www.uaemex.mx/feconomia/</w:t>
        </w:r>
      </w:hyperlink>
    </w:p>
    <w:p>
      <w:pPr>
        <w:pStyle w:val="BodyText"/>
        <w:spacing w:before="11"/>
        <w:rPr>
          <w:sz w:val="17"/>
        </w:rPr>
      </w:pPr>
    </w:p>
    <w:p>
      <w:pPr>
        <w:pStyle w:val="BodyText"/>
        <w:spacing w:before="69"/>
        <w:ind w:left="529" w:right="116" w:hanging="428"/>
      </w:pPr>
      <w:r>
        <w:rPr/>
        <w:t>Uxó, J. (2014) </w:t>
      </w:r>
      <w:r>
        <w:rPr>
          <w:i/>
        </w:rPr>
        <w:t>Crecimiento económico. </w:t>
      </w:r>
      <w:r>
        <w:rPr/>
        <w:t>Consultado el 23 de marzo de 2014. Disponible en: </w:t>
      </w:r>
      <w:hyperlink r:id="rId198">
        <w:r>
          <w:rPr>
            <w:color w:val="0000FF"/>
            <w:u w:val="single" w:color="0000FF"/>
          </w:rPr>
          <w:t>http://www.expansion.com/diccionario-economico/crecimiento-economico.html</w:t>
        </w:r>
      </w:hyperlink>
    </w:p>
    <w:p>
      <w:pPr>
        <w:spacing w:after="0"/>
        <w:sectPr>
          <w:pgSz w:w="12240" w:h="15840"/>
          <w:pgMar w:header="0" w:footer="1003" w:top="1360" w:bottom="1200" w:left="1600" w:right="1580"/>
        </w:sectPr>
      </w:pPr>
    </w:p>
    <w:p>
      <w:pPr>
        <w:pStyle w:val="BodyText"/>
        <w:spacing w:before="4"/>
        <w:rPr>
          <w:sz w:val="28"/>
        </w:rPr>
      </w:pPr>
      <w:r>
        <w:rPr/>
        <w:pict>
          <v:group style="position:absolute;margin-left:89.860001pt;margin-top:588.820007pt;width:60.5pt;height:24.5pt;mso-position-horizontal-relative:page;mso-position-vertical-relative:page;z-index:-394504" coordorigin="1797,11776" coordsize="1210,490">
            <v:shape style="position:absolute;left:1814;top:11813;width:1193;height:454" type="#_x0000_t75" stroked="false">
              <v:imagedata r:id="rId199" o:title=""/>
            </v:shape>
            <v:shape style="position:absolute;left:1807;top:11786;width:1168;height:428" type="#_x0000_t75" stroked="false">
              <v:imagedata r:id="rId200" o:title=""/>
            </v:shape>
            <v:shape style="position:absolute;left:1807;top:11786;width:1168;height:428" coordorigin="1807,11786" coordsize="1168,428" path="m1807,11858l1813,11830,1828,11807,1851,11792,1879,11786,2904,11786,2932,11792,2954,11807,2970,11830,2975,11858,2975,12143,2970,12171,2954,12193,2932,12209,2904,12214,1879,12214,1851,12209,1828,12193,1813,12171,1807,12143,1807,11858xe" filled="false" stroked="true" strokeweight="1pt" strokecolor="#666666">
              <v:path arrowok="t"/>
            </v:shape>
            <v:shape style="position:absolute;left:1836;top:11887;width:1106;height:223" type="#_x0000_t75" stroked="false">
              <v:imagedata r:id="rId201" o:title=""/>
            </v:shape>
            <w10:wrap type="none"/>
          </v:group>
        </w:pict>
      </w:r>
      <w:r>
        <w:rPr/>
        <w:pict>
          <v:group style="position:absolute;margin-left:89.019997pt;margin-top:408.459991pt;width:60.5pt;height:24.5pt;mso-position-horizontal-relative:page;mso-position-vertical-relative:page;z-index:-394480" coordorigin="1780,8169" coordsize="1210,490">
            <v:shape style="position:absolute;left:1798;top:8208;width:1193;height:451" type="#_x0000_t75" stroked="false">
              <v:imagedata r:id="rId202" o:title=""/>
            </v:shape>
            <v:shape style="position:absolute;left:1790;top:8179;width:1168;height:428" type="#_x0000_t75" stroked="false">
              <v:imagedata r:id="rId203" o:title=""/>
            </v:shape>
            <v:shape style="position:absolute;left:1790;top:8179;width:1168;height:428" coordorigin="1790,8179" coordsize="1168,428" path="m1790,8251l1796,8223,1811,8200,1834,8185,1862,8179,2887,8179,2915,8185,2937,8200,2953,8223,2958,8251,2958,8536,2953,8564,2937,8586,2915,8602,2887,8607,1862,8607,1834,8602,1811,8586,1796,8564,1790,8536,1790,8251xe" filled="false" stroked="true" strokeweight="1pt" strokecolor="#666666">
              <v:path arrowok="t"/>
            </v:shape>
            <v:shape style="position:absolute;left:1819;top:8282;width:1106;height:221" type="#_x0000_t75" stroked="false">
              <v:imagedata r:id="rId204" o:title=""/>
            </v:shape>
            <w10:wrap type="none"/>
          </v:group>
        </w:pict>
      </w:r>
      <w:r>
        <w:rPr/>
        <w:pict>
          <v:group style="position:absolute;margin-left:89.019997pt;margin-top:257.980011pt;width:60.5pt;height:24.5pt;mso-position-horizontal-relative:page;mso-position-vertical-relative:page;z-index:-394456" coordorigin="1780,5160" coordsize="1210,490">
            <v:shape style="position:absolute;left:1798;top:5198;width:1193;height:451" type="#_x0000_t75" stroked="false">
              <v:imagedata r:id="rId202" o:title=""/>
            </v:shape>
            <v:shape style="position:absolute;left:1790;top:5170;width:1168;height:428" type="#_x0000_t75" stroked="false">
              <v:imagedata r:id="rId203" o:title=""/>
            </v:shape>
            <v:shape style="position:absolute;left:1790;top:5170;width:1168;height:428" coordorigin="1790,5170" coordsize="1168,428" path="m1790,5241l1796,5213,1811,5191,1834,5175,1862,5170,2887,5170,2915,5175,2937,5191,2953,5213,2958,5241,2958,5526,2953,5554,2937,5577,2915,5592,2887,5598,1862,5598,1834,5592,1811,5577,1796,5554,1790,5526,1790,5241xe" filled="false" stroked="true" strokeweight="1.0pt" strokecolor="#666666">
              <v:path arrowok="t"/>
            </v:shape>
            <v:shape style="position:absolute;left:1819;top:5273;width:1106;height:221" type="#_x0000_t75" stroked="false">
              <v:imagedata r:id="rId204" o:title=""/>
            </v:shape>
            <w10:wrap type="none"/>
          </v:group>
        </w:pict>
      </w:r>
      <w:r>
        <w:rPr/>
        <w:pict>
          <v:group style="position:absolute;margin-left:172.059998pt;margin-top:382.899994pt;width:106.85pt;height:103.85pt;mso-position-horizontal-relative:page;mso-position-vertical-relative:page;z-index:-394408" coordorigin="3441,7658" coordsize="2137,2077">
            <v:shape style="position:absolute;left:3458;top:7697;width:2119;height:2038" type="#_x0000_t75" stroked="false">
              <v:imagedata r:id="rId205" o:title=""/>
            </v:shape>
            <v:shape style="position:absolute;left:3451;top:7668;width:2093;height:2014" type="#_x0000_t75" stroked="false">
              <v:imagedata r:id="rId206" o:title=""/>
            </v:shape>
            <v:shape style="position:absolute;left:3451;top:7668;width:2093;height:2014" coordorigin="3451,7668" coordsize="2093,2014" path="m3451,8004l3460,7927,3485,7856,3525,7794,3577,7742,3639,7702,3710,7677,3787,7668,5209,7668,5286,7677,5356,7702,5419,7742,5470,7794,5510,7856,5535,7927,5544,8004,5544,9346,5535,9423,5510,9494,5470,9556,5419,9608,5356,9648,5286,9673,5209,9682,3787,9682,3710,9673,3639,9648,3577,9608,3525,9556,3485,9494,3460,9423,3451,9346,3451,8004xe" filled="false" stroked="true" strokeweight="1pt" strokecolor="#666666">
              <v:path arrowok="t"/>
            </v:shape>
            <v:shape style="position:absolute;left:3557;top:7848;width:1877;height:1654" type="#_x0000_t75" stroked="false">
              <v:imagedata r:id="rId207" o:title=""/>
            </v:shape>
            <w10:wrap type="none"/>
          </v:group>
        </w:pict>
      </w:r>
      <w:r>
        <w:rPr/>
        <w:pict>
          <v:group style="position:absolute;margin-left:172.059998pt;margin-top:564.580017pt;width:106.85pt;height:85.7pt;mso-position-horizontal-relative:page;mso-position-vertical-relative:page;z-index:-394384" coordorigin="3441,11292" coordsize="2137,1714">
            <v:shape style="position:absolute;left:3458;top:11328;width:2119;height:1678" type="#_x0000_t75" stroked="false">
              <v:imagedata r:id="rId208" o:title=""/>
            </v:shape>
            <v:shape style="position:absolute;left:3451;top:11302;width:2093;height:1652" type="#_x0000_t75" stroked="false">
              <v:imagedata r:id="rId209" o:title=""/>
            </v:shape>
            <v:shape style="position:absolute;left:3451;top:11302;width:2093;height:1652" coordorigin="3451,11302" coordsize="2093,1652" path="m3451,11577l3461,11504,3489,11438,3532,11382,3588,11339,3653,11311,3727,11302,5269,11302,5342,11311,5408,11339,5464,11382,5507,11438,5534,11504,5544,11577,5544,12678,5534,12751,5507,12817,5464,12873,5408,12916,5342,12944,5269,12954,3727,12954,3653,12944,3588,12916,3532,12873,3489,12817,3461,12751,3451,12678,3451,11577xe" filled="false" stroked="true" strokeweight="1pt" strokecolor="#666666">
              <v:path arrowok="t"/>
            </v:shape>
            <v:shape style="position:absolute;left:3540;top:11465;width:1910;height:1327" type="#_x0000_t75" stroked="false">
              <v:imagedata r:id="rId210" o:title=""/>
            </v:shape>
            <w10:wrap type="none"/>
          </v:group>
        </w:pict>
      </w:r>
    </w:p>
    <w:p>
      <w:pPr>
        <w:pStyle w:val="Heading3"/>
        <w:spacing w:before="69"/>
        <w:ind w:left="4084" w:right="4281"/>
        <w:jc w:val="center"/>
      </w:pPr>
      <w:bookmarkStart w:name="_bookmark93" w:id="167"/>
      <w:bookmarkEnd w:id="167"/>
      <w:r>
        <w:rPr>
          <w:b w:val="0"/>
        </w:rPr>
      </w:r>
      <w:r>
        <w:rPr/>
        <w:t>Anexo 1</w:t>
      </w:r>
    </w:p>
    <w:p>
      <w:pPr>
        <w:pStyle w:val="BodyText"/>
        <w:rPr>
          <w:b/>
          <w:sz w:val="20"/>
        </w:rPr>
      </w:pPr>
    </w:p>
    <w:p>
      <w:pPr>
        <w:pStyle w:val="BodyText"/>
        <w:spacing w:before="7"/>
        <w:rPr>
          <w:b/>
          <w:sz w:val="19"/>
        </w:rPr>
      </w:pPr>
    </w:p>
    <w:p>
      <w:pPr>
        <w:spacing w:before="0"/>
        <w:ind w:left="102" w:right="0" w:firstLine="0"/>
        <w:jc w:val="left"/>
        <w:rPr>
          <w:b/>
          <w:sz w:val="24"/>
        </w:rPr>
      </w:pPr>
      <w:r>
        <w:rPr/>
        <w:pict>
          <v:group style="position:absolute;margin-left:172.059998pt;margin-top:101.043106pt;width:106.85pt;height:87.9pt;mso-position-horizontal-relative:page;mso-position-vertical-relative:paragraph;z-index:-394432" coordorigin="3441,2021" coordsize="2137,1758">
            <v:shape style="position:absolute;left:3458;top:2057;width:2119;height:1721" type="#_x0000_t75" stroked="false">
              <v:imagedata r:id="rId211" o:title=""/>
            </v:shape>
            <v:shape style="position:absolute;left:3451;top:2031;width:2093;height:1694" type="#_x0000_t75" stroked="false">
              <v:imagedata r:id="rId212" o:title=""/>
            </v:shape>
            <v:shape style="position:absolute;left:3451;top:2031;width:2093;height:1694" coordorigin="3451,2031" coordsize="2093,1694" path="m3451,2313l3461,2238,3490,2171,3534,2114,3591,2069,3659,2041,3734,2031,5262,2031,5337,2041,5404,2069,5461,2114,5506,2171,5534,2238,5544,2313,5544,3442,5534,3518,5506,3585,5461,3642,5404,3686,5337,3715,5262,3725,3734,3725,3659,3715,3591,3686,3534,3642,3490,3585,3461,3518,3451,3442,3451,2313xe" filled="false" stroked="true" strokeweight="1pt" strokecolor="#666666">
              <v:path arrowok="t"/>
            </v:shape>
            <v:shape style="position:absolute;left:3542;top:2196;width:1906;height:1363" type="#_x0000_t75" stroked="false">
              <v:imagedata r:id="rId213" o:title=""/>
            </v:shape>
            <w10:wrap type="none"/>
          </v:group>
        </w:pict>
      </w:r>
      <w:r>
        <w:rPr>
          <w:b/>
          <w:sz w:val="24"/>
        </w:rPr>
        <w:t>Niveles  ISCED – UNESCO</w:t>
      </w:r>
    </w:p>
    <w:p>
      <w:pPr>
        <w:pStyle w:val="BodyText"/>
        <w:rPr>
          <w:b/>
          <w:sz w:val="20"/>
        </w:rPr>
      </w:pPr>
    </w:p>
    <w:p>
      <w:pPr>
        <w:pStyle w:val="BodyText"/>
        <w:rPr>
          <w:b/>
          <w:sz w:val="20"/>
        </w:rPr>
      </w:pPr>
    </w:p>
    <w:p>
      <w:pPr>
        <w:pStyle w:val="BodyText"/>
        <w:spacing w:before="8"/>
        <w:rPr>
          <w:b/>
          <w:sz w:val="10"/>
        </w:rPr>
      </w:pPr>
    </w:p>
    <w:tbl>
      <w:tblPr>
        <w:tblW w:w="0" w:type="auto"/>
        <w:jc w:val="left"/>
        <w:tblInd w:w="1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00"/>
        <w:gridCol w:w="3067"/>
        <w:gridCol w:w="4467"/>
      </w:tblGrid>
      <w:tr>
        <w:trPr>
          <w:trHeight w:val="1146" w:hRule="exact"/>
        </w:trPr>
        <w:tc>
          <w:tcPr>
            <w:tcW w:w="1400" w:type="dxa"/>
          </w:tcPr>
          <w:p>
            <w:pPr>
              <w:pStyle w:val="TableParagraph"/>
              <w:spacing w:line="245" w:lineRule="exact"/>
              <w:ind w:left="180" w:right="444"/>
              <w:jc w:val="center"/>
              <w:rPr>
                <w:b/>
                <w:sz w:val="24"/>
              </w:rPr>
            </w:pPr>
            <w:r>
              <w:rPr>
                <w:b/>
                <w:sz w:val="24"/>
              </w:rPr>
              <w:t>Nivel</w:t>
            </w:r>
          </w:p>
          <w:p>
            <w:pPr>
              <w:pStyle w:val="TableParagraph"/>
              <w:spacing w:before="139"/>
              <w:ind w:left="181" w:right="444"/>
              <w:jc w:val="center"/>
              <w:rPr>
                <w:b/>
                <w:sz w:val="24"/>
              </w:rPr>
            </w:pPr>
            <w:r>
              <w:rPr>
                <w:b/>
                <w:sz w:val="24"/>
              </w:rPr>
              <w:t>ISCED</w:t>
            </w:r>
          </w:p>
        </w:tc>
        <w:tc>
          <w:tcPr>
            <w:tcW w:w="3067" w:type="dxa"/>
          </w:tcPr>
          <w:p>
            <w:pPr>
              <w:pStyle w:val="TableParagraph"/>
              <w:spacing w:line="245" w:lineRule="exact"/>
              <w:ind w:left="465"/>
              <w:rPr>
                <w:b/>
                <w:sz w:val="24"/>
              </w:rPr>
            </w:pPr>
            <w:r>
              <w:rPr>
                <w:b/>
                <w:sz w:val="24"/>
              </w:rPr>
              <w:t>Denominación</w:t>
            </w:r>
          </w:p>
        </w:tc>
        <w:tc>
          <w:tcPr>
            <w:tcW w:w="4467" w:type="dxa"/>
          </w:tcPr>
          <w:p>
            <w:pPr>
              <w:pStyle w:val="TableParagraph"/>
              <w:spacing w:line="245" w:lineRule="exact"/>
              <w:ind w:left="1122"/>
              <w:rPr>
                <w:b/>
                <w:sz w:val="24"/>
              </w:rPr>
            </w:pPr>
            <w:r>
              <w:rPr>
                <w:b/>
                <w:sz w:val="24"/>
              </w:rPr>
              <w:t>Características</w:t>
            </w:r>
          </w:p>
        </w:tc>
      </w:tr>
      <w:tr>
        <w:trPr>
          <w:trHeight w:val="2775" w:hRule="exact"/>
        </w:trPr>
        <w:tc>
          <w:tcPr>
            <w:tcW w:w="1400" w:type="dxa"/>
          </w:tcPr>
          <w:p>
            <w:pPr>
              <w:pStyle w:val="TableParagraph"/>
              <w:rPr>
                <w:b/>
                <w:sz w:val="22"/>
              </w:rPr>
            </w:pPr>
          </w:p>
          <w:p>
            <w:pPr>
              <w:pStyle w:val="TableParagraph"/>
              <w:rPr>
                <w:b/>
                <w:sz w:val="22"/>
              </w:rPr>
            </w:pPr>
          </w:p>
          <w:p>
            <w:pPr>
              <w:pStyle w:val="TableParagraph"/>
              <w:spacing w:before="134"/>
              <w:ind w:left="243"/>
              <w:rPr>
                <w:rFonts w:ascii="Calibri"/>
                <w:sz w:val="22"/>
              </w:rPr>
            </w:pPr>
            <w:r>
              <w:rPr>
                <w:rFonts w:ascii="Calibri"/>
                <w:sz w:val="22"/>
              </w:rPr>
              <w:t>ISCED 8</w:t>
            </w:r>
          </w:p>
        </w:tc>
        <w:tc>
          <w:tcPr>
            <w:tcW w:w="7534" w:type="dxa"/>
            <w:gridSpan w:val="2"/>
          </w:tcPr>
          <w:p>
            <w:pPr>
              <w:pStyle w:val="TableParagraph"/>
              <w:spacing w:before="7"/>
              <w:rPr>
                <w:b/>
                <w:sz w:val="16"/>
              </w:rPr>
            </w:pPr>
          </w:p>
          <w:p>
            <w:pPr>
              <w:pStyle w:val="TableParagraph"/>
              <w:ind w:left="745" w:right="5663"/>
              <w:jc w:val="center"/>
              <w:rPr>
                <w:rFonts w:ascii="Arial"/>
                <w:sz w:val="18"/>
              </w:rPr>
            </w:pPr>
            <w:r>
              <w:rPr>
                <w:rFonts w:ascii="Arial"/>
                <w:sz w:val="18"/>
              </w:rPr>
              <w:t>Doctorado</w:t>
            </w:r>
          </w:p>
          <w:p>
            <w:pPr>
              <w:pStyle w:val="TableParagraph"/>
              <w:spacing w:line="223" w:lineRule="exact" w:before="61"/>
              <w:ind w:left="2587"/>
              <w:rPr>
                <w:sz w:val="24"/>
              </w:rPr>
            </w:pPr>
            <w:r>
              <w:rPr>
                <w:sz w:val="24"/>
              </w:rPr>
              <w:t>Los  estudios  de  este  nivel  están  dedicados  </w:t>
            </w:r>
            <w:r>
              <w:rPr>
                <w:spacing w:val="54"/>
                <w:sz w:val="24"/>
              </w:rPr>
              <w:t> </w:t>
            </w:r>
            <w:r>
              <w:rPr>
                <w:sz w:val="24"/>
              </w:rPr>
              <w:t>a</w:t>
            </w:r>
          </w:p>
          <w:p>
            <w:pPr>
              <w:pStyle w:val="TableParagraph"/>
              <w:spacing w:line="154" w:lineRule="exact"/>
              <w:ind w:right="4919"/>
              <w:jc w:val="center"/>
              <w:rPr>
                <w:rFonts w:ascii="Arial"/>
                <w:sz w:val="18"/>
              </w:rPr>
            </w:pPr>
            <w:r>
              <w:rPr>
                <w:rFonts w:ascii="Arial"/>
                <w:w w:val="99"/>
                <w:sz w:val="18"/>
              </w:rPr>
              <w:t>o</w:t>
            </w:r>
          </w:p>
          <w:p>
            <w:pPr>
              <w:pStyle w:val="TableParagraph"/>
              <w:spacing w:line="232" w:lineRule="exact" w:before="37"/>
              <w:ind w:left="2587"/>
              <w:rPr>
                <w:sz w:val="24"/>
              </w:rPr>
            </w:pPr>
            <w:r>
              <w:rPr>
                <w:sz w:val="24"/>
              </w:rPr>
              <w:t>estudios  avanzados  e investigaciones originales.</w:t>
            </w:r>
          </w:p>
          <w:p>
            <w:pPr>
              <w:pStyle w:val="TableParagraph"/>
              <w:spacing w:line="163" w:lineRule="exact"/>
              <w:ind w:left="745" w:right="5664"/>
              <w:jc w:val="center"/>
              <w:rPr>
                <w:rFonts w:ascii="Arial"/>
                <w:sz w:val="18"/>
              </w:rPr>
            </w:pPr>
            <w:r>
              <w:rPr>
                <w:rFonts w:ascii="Arial"/>
                <w:sz w:val="18"/>
              </w:rPr>
              <w:t>equivalente</w:t>
            </w:r>
          </w:p>
          <w:p>
            <w:pPr>
              <w:pStyle w:val="TableParagraph"/>
              <w:spacing w:line="360" w:lineRule="auto" w:before="18"/>
              <w:ind w:left="2587" w:right="194"/>
              <w:rPr>
                <w:sz w:val="24"/>
              </w:rPr>
            </w:pPr>
            <w:r>
              <w:rPr>
                <w:sz w:val="24"/>
              </w:rPr>
              <w:t>ofrecidos por IES (principalmente universidades) dedicadas a la investigación.</w:t>
            </w:r>
          </w:p>
        </w:tc>
      </w:tr>
      <w:tr>
        <w:trPr>
          <w:trHeight w:val="3499" w:hRule="exact"/>
        </w:trPr>
        <w:tc>
          <w:tcPr>
            <w:tcW w:w="1400" w:type="dxa"/>
          </w:tcPr>
          <w:p>
            <w:pPr>
              <w:pStyle w:val="TableParagraph"/>
              <w:rPr>
                <w:b/>
                <w:sz w:val="22"/>
              </w:rPr>
            </w:pPr>
          </w:p>
          <w:p>
            <w:pPr>
              <w:pStyle w:val="TableParagraph"/>
              <w:rPr>
                <w:b/>
                <w:sz w:val="22"/>
              </w:rPr>
            </w:pPr>
          </w:p>
          <w:p>
            <w:pPr>
              <w:pStyle w:val="TableParagraph"/>
              <w:spacing w:before="1"/>
              <w:rPr>
                <w:b/>
                <w:sz w:val="32"/>
              </w:rPr>
            </w:pPr>
          </w:p>
          <w:p>
            <w:pPr>
              <w:pStyle w:val="TableParagraph"/>
              <w:ind w:left="173"/>
              <w:rPr>
                <w:rFonts w:ascii="Calibri"/>
                <w:sz w:val="22"/>
              </w:rPr>
            </w:pPr>
            <w:r>
              <w:rPr>
                <w:rFonts w:ascii="Calibri"/>
                <w:sz w:val="22"/>
              </w:rPr>
              <w:t>ISCED 7</w:t>
            </w:r>
          </w:p>
        </w:tc>
        <w:tc>
          <w:tcPr>
            <w:tcW w:w="7534" w:type="dxa"/>
            <w:gridSpan w:val="2"/>
          </w:tcPr>
          <w:p>
            <w:pPr>
              <w:pStyle w:val="TableParagraph"/>
              <w:rPr>
                <w:b/>
                <w:sz w:val="20"/>
              </w:rPr>
            </w:pPr>
          </w:p>
          <w:p>
            <w:pPr>
              <w:pStyle w:val="TableParagraph"/>
              <w:spacing w:before="3"/>
              <w:rPr>
                <w:b/>
                <w:sz w:val="18"/>
              </w:rPr>
            </w:pPr>
          </w:p>
          <w:p>
            <w:pPr>
              <w:pStyle w:val="TableParagraph"/>
              <w:spacing w:before="1"/>
              <w:ind w:left="745" w:right="5666"/>
              <w:jc w:val="center"/>
              <w:rPr>
                <w:rFonts w:ascii="Arial" w:hAnsi="Arial"/>
                <w:sz w:val="20"/>
              </w:rPr>
            </w:pPr>
            <w:r>
              <w:rPr>
                <w:rFonts w:ascii="Arial" w:hAnsi="Arial"/>
                <w:sz w:val="20"/>
              </w:rPr>
              <w:t>Maestría</w:t>
            </w:r>
          </w:p>
          <w:p>
            <w:pPr>
              <w:pStyle w:val="TableParagraph"/>
              <w:tabs>
                <w:tab w:pos="2587" w:val="left" w:leader="none"/>
              </w:tabs>
              <w:spacing w:line="320" w:lineRule="atLeast" w:before="98"/>
              <w:ind w:left="2587" w:right="200" w:hanging="1337"/>
              <w:rPr>
                <w:sz w:val="24"/>
              </w:rPr>
            </w:pPr>
            <w:r>
              <w:rPr>
                <w:rFonts w:ascii="Arial" w:hAnsi="Arial"/>
                <w:position w:val="-9"/>
                <w:sz w:val="20"/>
              </w:rPr>
              <w:t>o</w:t>
              <w:tab/>
            </w:r>
            <w:r>
              <w:rPr>
                <w:sz w:val="24"/>
              </w:rPr>
              <w:t>Los programas de este nivel se  </w:t>
            </w:r>
            <w:r>
              <w:rPr>
                <w:spacing w:val="37"/>
                <w:sz w:val="24"/>
              </w:rPr>
              <w:t> </w:t>
            </w:r>
            <w:r>
              <w:rPr>
                <w:sz w:val="24"/>
              </w:rPr>
              <w:t>caracterizan</w:t>
            </w:r>
            <w:r>
              <w:rPr>
                <w:spacing w:val="26"/>
                <w:sz w:val="24"/>
              </w:rPr>
              <w:t> </w:t>
            </w:r>
            <w:r>
              <w:rPr>
                <w:sz w:val="24"/>
              </w:rPr>
              <w:t>por </w:t>
            </w:r>
            <w:r>
              <w:rPr>
                <w:sz w:val="24"/>
              </w:rPr>
              <w:t>ser esencialmente teóricos y por estar basados</w:t>
            </w:r>
            <w:r>
              <w:rPr>
                <w:spacing w:val="38"/>
                <w:sz w:val="24"/>
              </w:rPr>
              <w:t> </w:t>
            </w:r>
            <w:r>
              <w:rPr>
                <w:sz w:val="24"/>
              </w:rPr>
              <w:t>en</w:t>
            </w:r>
          </w:p>
          <w:p>
            <w:pPr>
              <w:pStyle w:val="TableParagraph"/>
              <w:spacing w:line="134" w:lineRule="exact"/>
              <w:ind w:left="745" w:right="5666"/>
              <w:jc w:val="center"/>
              <w:rPr>
                <w:rFonts w:ascii="Arial"/>
                <w:sz w:val="20"/>
              </w:rPr>
            </w:pPr>
            <w:r>
              <w:rPr>
                <w:rFonts w:ascii="Arial"/>
                <w:sz w:val="20"/>
              </w:rPr>
              <w:t>equivalente</w:t>
            </w:r>
          </w:p>
          <w:p>
            <w:pPr>
              <w:pStyle w:val="TableParagraph"/>
              <w:spacing w:line="360" w:lineRule="auto" w:before="2"/>
              <w:ind w:left="2587" w:right="201"/>
              <w:jc w:val="both"/>
              <w:rPr>
                <w:sz w:val="24"/>
              </w:rPr>
            </w:pPr>
            <w:r>
              <w:rPr>
                <w:sz w:val="24"/>
              </w:rPr>
              <w:t>investigaciones que reflejan los últimos avances del campo o en las mejores prácticas profesionales.</w:t>
            </w:r>
          </w:p>
        </w:tc>
      </w:tr>
      <w:tr>
        <w:trPr>
          <w:trHeight w:val="2695" w:hRule="exact"/>
        </w:trPr>
        <w:tc>
          <w:tcPr>
            <w:tcW w:w="1400" w:type="dxa"/>
          </w:tcPr>
          <w:p>
            <w:pPr>
              <w:pStyle w:val="TableParagraph"/>
              <w:rPr>
                <w:b/>
                <w:sz w:val="22"/>
              </w:rPr>
            </w:pPr>
          </w:p>
          <w:p>
            <w:pPr>
              <w:pStyle w:val="TableParagraph"/>
              <w:rPr>
                <w:b/>
                <w:sz w:val="22"/>
              </w:rPr>
            </w:pPr>
          </w:p>
          <w:p>
            <w:pPr>
              <w:pStyle w:val="TableParagraph"/>
              <w:rPr>
                <w:b/>
                <w:sz w:val="22"/>
              </w:rPr>
            </w:pPr>
          </w:p>
          <w:p>
            <w:pPr>
              <w:pStyle w:val="TableParagraph"/>
              <w:spacing w:before="4"/>
              <w:rPr>
                <w:b/>
                <w:sz w:val="19"/>
              </w:rPr>
            </w:pPr>
          </w:p>
          <w:p>
            <w:pPr>
              <w:pStyle w:val="TableParagraph"/>
              <w:spacing w:before="1"/>
              <w:ind w:left="190"/>
              <w:rPr>
                <w:rFonts w:ascii="Calibri"/>
                <w:sz w:val="22"/>
              </w:rPr>
            </w:pPr>
            <w:r>
              <w:rPr>
                <w:rFonts w:ascii="Calibri"/>
                <w:sz w:val="22"/>
              </w:rPr>
              <w:t>ISCED 6</w:t>
            </w:r>
          </w:p>
        </w:tc>
        <w:tc>
          <w:tcPr>
            <w:tcW w:w="7534" w:type="dxa"/>
            <w:gridSpan w:val="2"/>
          </w:tcPr>
          <w:p>
            <w:pPr>
              <w:pStyle w:val="TableParagraph"/>
              <w:rPr>
                <w:b/>
                <w:sz w:val="20"/>
              </w:rPr>
            </w:pPr>
          </w:p>
          <w:p>
            <w:pPr>
              <w:pStyle w:val="TableParagraph"/>
              <w:spacing w:before="7"/>
              <w:rPr>
                <w:b/>
                <w:sz w:val="28"/>
              </w:rPr>
            </w:pPr>
          </w:p>
          <w:p>
            <w:pPr>
              <w:pStyle w:val="TableParagraph"/>
              <w:spacing w:line="221" w:lineRule="exact"/>
              <w:ind w:left="745" w:right="5669"/>
              <w:jc w:val="center"/>
              <w:rPr>
                <w:rFonts w:ascii="Arial"/>
                <w:sz w:val="20"/>
              </w:rPr>
            </w:pPr>
            <w:r>
              <w:rPr>
                <w:rFonts w:ascii="Arial"/>
                <w:sz w:val="20"/>
              </w:rPr>
              <w:t>Licenciatura</w:t>
            </w:r>
          </w:p>
          <w:p>
            <w:pPr>
              <w:pStyle w:val="TableParagraph"/>
              <w:spacing w:line="256" w:lineRule="exact"/>
              <w:ind w:left="2587"/>
              <w:rPr>
                <w:sz w:val="24"/>
              </w:rPr>
            </w:pPr>
            <w:r>
              <w:rPr>
                <w:sz w:val="24"/>
              </w:rPr>
              <w:t>Los programas en este nivel son   </w:t>
            </w:r>
            <w:r>
              <w:rPr>
                <w:spacing w:val="52"/>
                <w:sz w:val="24"/>
              </w:rPr>
              <w:t> </w:t>
            </w:r>
            <w:r>
              <w:rPr>
                <w:sz w:val="24"/>
              </w:rPr>
              <w:t>esencialmente</w:t>
            </w:r>
          </w:p>
          <w:p>
            <w:pPr>
              <w:pStyle w:val="TableParagraph"/>
              <w:spacing w:line="183" w:lineRule="exact"/>
              <w:ind w:right="4918"/>
              <w:jc w:val="center"/>
              <w:rPr>
                <w:rFonts w:ascii="Arial"/>
                <w:sz w:val="20"/>
              </w:rPr>
            </w:pPr>
            <w:r>
              <w:rPr>
                <w:rFonts w:ascii="Arial"/>
                <w:w w:val="99"/>
                <w:sz w:val="20"/>
              </w:rPr>
              <w:t>o</w:t>
            </w:r>
          </w:p>
          <w:p>
            <w:pPr>
              <w:pStyle w:val="TableParagraph"/>
              <w:spacing w:line="240" w:lineRule="exact"/>
              <w:ind w:left="794" w:firstLine="1792"/>
              <w:rPr>
                <w:sz w:val="24"/>
              </w:rPr>
            </w:pPr>
            <w:r>
              <w:rPr>
                <w:sz w:val="24"/>
              </w:rPr>
              <w:t>teóricos, si  bien pueden  incluir un   componente</w:t>
            </w:r>
          </w:p>
          <w:p>
            <w:pPr>
              <w:pStyle w:val="TableParagraph"/>
              <w:tabs>
                <w:tab w:pos="2587" w:val="left" w:leader="none"/>
              </w:tabs>
              <w:spacing w:line="410" w:lineRule="atLeast" w:before="5"/>
              <w:ind w:left="2587" w:right="199" w:hanging="1793"/>
              <w:jc w:val="both"/>
              <w:rPr>
                <w:sz w:val="24"/>
              </w:rPr>
            </w:pPr>
            <w:r>
              <w:rPr>
                <w:rFonts w:ascii="Arial" w:hAnsi="Arial"/>
                <w:position w:val="15"/>
                <w:sz w:val="20"/>
              </w:rPr>
              <w:t>equivalente</w:t>
              <w:tab/>
            </w:r>
            <w:r>
              <w:rPr>
                <w:sz w:val="24"/>
              </w:rPr>
              <w:t>práctico,  y  están  basados  en</w:t>
            </w:r>
            <w:r>
              <w:rPr>
                <w:spacing w:val="25"/>
                <w:sz w:val="24"/>
              </w:rPr>
              <w:t> </w:t>
            </w:r>
            <w:r>
              <w:rPr>
                <w:sz w:val="24"/>
              </w:rPr>
              <w:t>investigación</w:t>
            </w:r>
            <w:r>
              <w:rPr>
                <w:spacing w:val="53"/>
                <w:sz w:val="24"/>
              </w:rPr>
              <w:t> </w:t>
            </w:r>
            <w:r>
              <w:rPr>
                <w:sz w:val="24"/>
              </w:rPr>
              <w:t>que refleja los últimos avances en el campo o las mejores prácticas</w:t>
            </w:r>
            <w:r>
              <w:rPr>
                <w:spacing w:val="-6"/>
                <w:sz w:val="24"/>
              </w:rPr>
              <w:t> </w:t>
            </w:r>
            <w:r>
              <w:rPr>
                <w:sz w:val="24"/>
              </w:rPr>
              <w:t>profesionales.</w:t>
            </w:r>
          </w:p>
        </w:tc>
      </w:tr>
    </w:tbl>
    <w:p>
      <w:pPr>
        <w:spacing w:after="0" w:line="410" w:lineRule="atLeast"/>
        <w:jc w:val="both"/>
        <w:rPr>
          <w:sz w:val="24"/>
        </w:rPr>
        <w:sectPr>
          <w:pgSz w:w="12240" w:h="15840"/>
          <w:pgMar w:header="0" w:footer="1003" w:top="1500" w:bottom="1200" w:left="1600" w:right="1400"/>
        </w:sectPr>
      </w:pPr>
    </w:p>
    <w:p>
      <w:pPr>
        <w:pStyle w:val="BodyText"/>
        <w:rPr>
          <w:sz w:val="20"/>
        </w:rPr>
      </w:pPr>
      <w:r>
        <w:rPr/>
        <w:pict>
          <v:group style="position:absolute;margin-left:89.019997pt;margin-top:667.780029pt;width:60.5pt;height:24.5pt;mso-position-horizontal-relative:page;mso-position-vertical-relative:page;z-index:8320" coordorigin="1780,13356" coordsize="1210,490">
            <v:shape style="position:absolute;left:1798;top:13392;width:1193;height:454" type="#_x0000_t75" stroked="false">
              <v:imagedata r:id="rId199" o:title=""/>
            </v:shape>
            <v:shape style="position:absolute;left:1790;top:13366;width:1168;height:428" type="#_x0000_t75" stroked="false">
              <v:imagedata r:id="rId200" o:title=""/>
            </v:shape>
            <v:shape style="position:absolute;left:1790;top:13366;width:1168;height:428" coordorigin="1790,13366" coordsize="1168,428" path="m1790,13437l1796,13409,1811,13387,1834,13371,1862,13366,2887,13366,2915,13371,2937,13387,2953,13409,2958,13437,2958,13722,2953,13750,2937,13773,2915,13788,2887,13794,1862,13794,1834,13788,1811,13773,1796,13750,1790,13722,1790,13437xe" filled="false" stroked="true" strokeweight="1pt" strokecolor="#666666">
              <v:path arrowok="t"/>
            </v:shape>
            <v:shape style="position:absolute;left:1819;top:13471;width:1106;height:221" type="#_x0000_t75" stroked="false">
              <v:imagedata r:id="rId204" o:title=""/>
            </v:shape>
            <v:shape style="position:absolute;left:1780;top:13356;width:1210;height:490" type="#_x0000_t202" filled="false" stroked="false">
              <v:textbox inset="0,0,0,0">
                <w:txbxContent>
                  <w:p>
                    <w:pPr>
                      <w:spacing w:before="117"/>
                      <w:ind w:left="183" w:right="0" w:firstLine="0"/>
                      <w:jc w:val="left"/>
                      <w:rPr>
                        <w:rFonts w:ascii="Calibri"/>
                        <w:sz w:val="22"/>
                      </w:rPr>
                    </w:pPr>
                    <w:r>
                      <w:rPr>
                        <w:rFonts w:ascii="Calibri"/>
                        <w:sz w:val="22"/>
                      </w:rPr>
                      <w:t>ISCED 2</w:t>
                    </w:r>
                  </w:p>
                </w:txbxContent>
              </v:textbox>
              <w10:wrap type="none"/>
            </v:shape>
            <w10:wrap type="none"/>
          </v:group>
        </w:pict>
      </w:r>
      <w:r>
        <w:rPr/>
        <w:pict>
          <v:group style="position:absolute;margin-left:89.019997pt;margin-top:458.73999pt;width:60.5pt;height:24.5pt;mso-position-horizontal-relative:page;mso-position-vertical-relative:page;z-index:8368" coordorigin="1780,9175" coordsize="1210,490">
            <v:shape style="position:absolute;left:1798;top:9214;width:1193;height:451" type="#_x0000_t75" stroked="false">
              <v:imagedata r:id="rId202" o:title=""/>
            </v:shape>
            <v:shape style="position:absolute;left:1790;top:9185;width:1168;height:428" type="#_x0000_t75" stroked="false">
              <v:imagedata r:id="rId203" o:title=""/>
            </v:shape>
            <v:shape style="position:absolute;left:1790;top:9185;width:1168;height:428" coordorigin="1790,9185" coordsize="1168,428" path="m1790,9256l1796,9228,1811,9206,1834,9190,1862,9185,2887,9185,2915,9190,2937,9206,2953,9228,2958,9256,2958,9541,2953,9569,2937,9592,2915,9607,2887,9613,1862,9613,1834,9607,1811,9592,1796,9569,1790,9541,1790,9256xe" filled="false" stroked="true" strokeweight="1.0pt" strokecolor="#666666">
              <v:path arrowok="t"/>
            </v:shape>
            <v:shape style="position:absolute;left:1819;top:9288;width:1106;height:223" type="#_x0000_t75" stroked="false">
              <v:imagedata r:id="rId201" o:title=""/>
            </v:shape>
            <v:shape style="position:absolute;left:1780;top:9175;width:1210;height:490" type="#_x0000_t202" filled="false" stroked="false">
              <v:textbox inset="0,0,0,0">
                <w:txbxContent>
                  <w:p>
                    <w:pPr>
                      <w:spacing w:before="114"/>
                      <w:ind w:left="183" w:right="0" w:firstLine="0"/>
                      <w:jc w:val="left"/>
                      <w:rPr>
                        <w:rFonts w:ascii="Calibri"/>
                        <w:sz w:val="22"/>
                      </w:rPr>
                    </w:pPr>
                    <w:r>
                      <w:rPr>
                        <w:rFonts w:ascii="Calibri"/>
                        <w:sz w:val="22"/>
                      </w:rPr>
                      <w:t>ISCED 3</w:t>
                    </w:r>
                  </w:p>
                </w:txbxContent>
              </v:textbox>
              <w10:wrap type="none"/>
            </v:shape>
            <w10:wrap type="none"/>
          </v:group>
        </w:pict>
      </w:r>
      <w:r>
        <w:rPr/>
        <w:pict>
          <v:group style="position:absolute;margin-left:89.019997pt;margin-top:266.980011pt;width:60.5pt;height:24.5pt;mso-position-horizontal-relative:page;mso-position-vertical-relative:page;z-index:8416" coordorigin="1780,5340" coordsize="1210,490">
            <v:shape style="position:absolute;left:1798;top:5378;width:1193;height:451" type="#_x0000_t75" stroked="false">
              <v:imagedata r:id="rId202" o:title=""/>
            </v:shape>
            <v:shape style="position:absolute;left:1790;top:5350;width:1168;height:428" type="#_x0000_t75" stroked="false">
              <v:imagedata r:id="rId203" o:title=""/>
            </v:shape>
            <v:shape style="position:absolute;left:1790;top:5350;width:1168;height:428" coordorigin="1790,5350" coordsize="1168,428" path="m1790,5421l1796,5393,1811,5371,1834,5355,1862,5350,2887,5350,2915,5355,2937,5371,2953,5393,2958,5421,2958,5706,2953,5734,2937,5757,2915,5772,2887,5778,1862,5778,1834,5772,1811,5757,1796,5734,1790,5706,1790,5421xe" filled="false" stroked="true" strokeweight="1.0pt" strokecolor="#666666">
              <v:path arrowok="t"/>
            </v:shape>
            <v:shape style="position:absolute;left:1819;top:5455;width:1106;height:221" type="#_x0000_t75" stroked="false">
              <v:imagedata r:id="rId204" o:title=""/>
            </v:shape>
            <v:shape style="position:absolute;left:1780;top:5340;width:1210;height:490" type="#_x0000_t202" filled="false" stroked="false">
              <v:textbox inset="0,0,0,0">
                <w:txbxContent>
                  <w:p>
                    <w:pPr>
                      <w:spacing w:before="113"/>
                      <w:ind w:left="183" w:right="0" w:firstLine="0"/>
                      <w:jc w:val="left"/>
                      <w:rPr>
                        <w:rFonts w:ascii="Calibri"/>
                        <w:sz w:val="22"/>
                      </w:rPr>
                    </w:pPr>
                    <w:r>
                      <w:rPr>
                        <w:rFonts w:ascii="Calibri"/>
                        <w:sz w:val="22"/>
                      </w:rPr>
                      <w:t>ISCED 4</w:t>
                    </w:r>
                  </w:p>
                </w:txbxContent>
              </v:textbox>
              <w10:wrap type="none"/>
            </v:shape>
            <w10:wrap type="none"/>
          </v:group>
        </w:pict>
      </w:r>
      <w:r>
        <w:rPr/>
        <w:pict>
          <v:group style="position:absolute;margin-left:89.019997pt;margin-top:103.300003pt;width:60.5pt;height:24.5pt;mso-position-horizontal-relative:page;mso-position-vertical-relative:page;z-index:8464" coordorigin="1780,2066" coordsize="1210,490">
            <v:shape style="position:absolute;left:1798;top:2102;width:1193;height:454" type="#_x0000_t75" stroked="false">
              <v:imagedata r:id="rId199" o:title=""/>
            </v:shape>
            <v:shape style="position:absolute;left:1790;top:2076;width:1168;height:428" type="#_x0000_t75" stroked="false">
              <v:imagedata r:id="rId200" o:title=""/>
            </v:shape>
            <v:shape style="position:absolute;left:1790;top:2076;width:1168;height:428" coordorigin="1790,2076" coordsize="1168,428" path="m1790,2147l1796,2120,1811,2097,1834,2082,1862,2076,2887,2076,2915,2082,2937,2097,2953,2120,2958,2147,2958,2433,2953,2460,2937,2483,2915,2498,2887,2504,1862,2504,1834,2498,1811,2483,1796,2460,1790,2433,1790,2147xe" filled="false" stroked="true" strokeweight="1.0pt" strokecolor="#666666">
              <v:path arrowok="t"/>
            </v:shape>
            <v:shape style="position:absolute;left:1819;top:2179;width:1106;height:223" type="#_x0000_t75" stroked="false">
              <v:imagedata r:id="rId201" o:title=""/>
            </v:shape>
            <v:shape style="position:absolute;left:1780;top:2066;width:1210;height:490" type="#_x0000_t202" filled="false" stroked="false">
              <v:textbox inset="0,0,0,0">
                <w:txbxContent>
                  <w:p>
                    <w:pPr>
                      <w:spacing w:before="113"/>
                      <w:ind w:left="183" w:right="0" w:firstLine="0"/>
                      <w:jc w:val="left"/>
                      <w:rPr>
                        <w:rFonts w:ascii="Calibri"/>
                        <w:sz w:val="22"/>
                      </w:rPr>
                    </w:pPr>
                    <w:r>
                      <w:rPr>
                        <w:rFonts w:ascii="Calibri"/>
                        <w:sz w:val="22"/>
                      </w:rPr>
                      <w:t>ISCED 5</w:t>
                    </w:r>
                  </w:p>
                </w:txbxContent>
              </v:textbox>
              <w10:wrap type="none"/>
            </v:shape>
            <w10:wrap type="none"/>
          </v:group>
        </w:pict>
      </w:r>
      <w:r>
        <w:rPr/>
        <w:pict>
          <v:group style="position:absolute;margin-left:172.059998pt;margin-top:82.900002pt;width:106.85pt;height:59.9pt;mso-position-horizontal-relative:page;mso-position-vertical-relative:page;z-index:8512" coordorigin="3441,1658" coordsize="2137,1198">
            <v:shape style="position:absolute;left:3458;top:1694;width:2119;height:1162" type="#_x0000_t75" stroked="false">
              <v:imagedata r:id="rId215" o:title=""/>
            </v:shape>
            <v:shape style="position:absolute;left:3451;top:1668;width:2093;height:1136" type="#_x0000_t75" stroked="false">
              <v:imagedata r:id="rId216" o:title=""/>
            </v:shape>
            <v:shape style="position:absolute;left:3451;top:1668;width:2093;height:1136" coordorigin="3451,1668" coordsize="2093,1136" path="m3451,1857l3466,1784,3507,1723,3567,1683,3641,1668,5355,1668,5429,1683,5489,1723,5529,1784,5544,1857,5544,2615,5529,2688,5489,2749,5429,2789,5355,2804,3641,2804,3567,2789,3507,2749,3466,2688,3451,2615,3451,1857xe" filled="false" stroked="true" strokeweight="1pt" strokecolor="#666666">
              <v:path arrowok="t"/>
            </v:shape>
            <v:shape style="position:absolute;left:3514;top:1805;width:1963;height:862" type="#_x0000_t75" stroked="false">
              <v:imagedata r:id="rId217" o:title=""/>
            </v:shape>
            <v:shape style="position:absolute;left:3441;top:1658;width:2137;height:1198" type="#_x0000_t202" filled="false" stroked="false">
              <v:textbox inset="0,0,0,0">
                <w:txbxContent>
                  <w:p>
                    <w:pPr>
                      <w:spacing w:line="276" w:lineRule="auto" w:before="147"/>
                      <w:ind w:left="332" w:right="359" w:firstLine="3"/>
                      <w:jc w:val="center"/>
                      <w:rPr>
                        <w:rFonts w:ascii="Arial" w:hAnsi="Arial"/>
                        <w:sz w:val="20"/>
                      </w:rPr>
                    </w:pPr>
                    <w:r>
                      <w:rPr>
                        <w:rFonts w:ascii="Arial" w:hAnsi="Arial"/>
                        <w:sz w:val="20"/>
                      </w:rPr>
                      <w:t>Educación terciaria de ciclo corto</w:t>
                    </w:r>
                  </w:p>
                </w:txbxContent>
              </v:textbox>
              <w10:wrap type="none"/>
            </v:shape>
            <w10:wrap type="none"/>
          </v:group>
        </w:pict>
      </w:r>
      <w:r>
        <w:rPr/>
        <w:pict>
          <v:group style="position:absolute;margin-left:167.860001pt;margin-top:266.980011pt;width:106.85pt;height:61.7pt;mso-position-horizontal-relative:page;mso-position-vertical-relative:page;z-index:8560" coordorigin="3357,5340" coordsize="2137,1234">
            <v:shape style="position:absolute;left:3374;top:5378;width:2119;height:1195" type="#_x0000_t75" stroked="false">
              <v:imagedata r:id="rId218" o:title=""/>
            </v:shape>
            <v:shape style="position:absolute;left:3367;top:5350;width:2093;height:1171" type="#_x0000_t75" stroked="false">
              <v:imagedata r:id="rId219" o:title=""/>
            </v:shape>
            <v:shape style="position:absolute;left:3367;top:5350;width:2093;height:1171" coordorigin="3367,5350" coordsize="2093,1171" path="m3367,5545l3383,5469,3424,5407,3486,5365,3562,5350,5265,5350,5341,5365,5403,5407,5445,5469,5460,5545,5460,6325,5445,6401,5403,6463,5341,6505,5265,6521,3562,6521,3486,6505,3424,6463,3383,6401,3367,6325,3367,5545xe" filled="false" stroked="true" strokeweight="1pt" strokecolor="#666666">
              <v:path arrowok="t"/>
            </v:shape>
            <v:shape style="position:absolute;left:3432;top:5491;width:1961;height:893" type="#_x0000_t75" stroked="false">
              <v:imagedata r:id="rId220" o:title=""/>
            </v:shape>
            <v:shape style="position:absolute;left:3357;top:5340;width:2137;height:1234" type="#_x0000_t202" filled="false" stroked="false">
              <v:textbox inset="0,0,0,0">
                <w:txbxContent>
                  <w:p>
                    <w:pPr>
                      <w:spacing w:line="276" w:lineRule="auto" w:before="150"/>
                      <w:ind w:left="307" w:right="329" w:hanging="3"/>
                      <w:jc w:val="center"/>
                      <w:rPr>
                        <w:rFonts w:ascii="Arial" w:hAnsi="Arial"/>
                        <w:sz w:val="22"/>
                      </w:rPr>
                    </w:pPr>
                    <w:r>
                      <w:rPr>
                        <w:rFonts w:ascii="Arial" w:hAnsi="Arial"/>
                        <w:sz w:val="22"/>
                      </w:rPr>
                      <w:t>Educación postsecundaria no terciaria</w:t>
                    </w:r>
                  </w:p>
                </w:txbxContent>
              </v:textbox>
              <w10:wrap type="none"/>
            </v:shape>
            <w10:wrap type="none"/>
          </v:group>
        </w:pict>
      </w:r>
      <w:r>
        <w:rPr/>
        <w:pict>
          <v:group style="position:absolute;margin-left:169.419998pt;margin-top:454.899994pt;width:110.1pt;height:52.6pt;mso-position-horizontal-relative:page;mso-position-vertical-relative:page;z-index:-394048" coordorigin="3388,9098" coordsize="2202,1052">
            <v:shape style="position:absolute;left:3406;top:9137;width:2184;height:1013" type="#_x0000_t75" stroked="false">
              <v:imagedata r:id="rId221" o:title=""/>
            </v:shape>
            <v:shape style="position:absolute;left:3398;top:9108;width:2160;height:989" type="#_x0000_t75" stroked="false">
              <v:imagedata r:id="rId222" o:title=""/>
            </v:shape>
            <v:shape style="position:absolute;left:3398;top:9108;width:2160;height:989" coordorigin="3398,9108" coordsize="2160,989" path="m3398,9273l3411,9209,3447,9156,3499,9121,3563,9108,5394,9108,5458,9121,5510,9156,5545,9209,5558,9273,5558,9932,5545,9996,5510,10049,5458,10084,5394,10097,3563,10097,3499,10084,3447,10049,3411,9996,3398,9932,3398,9273xe" filled="false" stroked="true" strokeweight="1pt" strokecolor="#666666">
              <v:path arrowok="t"/>
            </v:shape>
            <v:shape style="position:absolute;left:3456;top:9240;width:2045;height:727" type="#_x0000_t75" stroked="false">
              <v:imagedata r:id="rId223" o:title=""/>
            </v:shape>
            <v:shape style="position:absolute;left:3388;top:9098;width:2202;height:1052" type="#_x0000_t202" filled="false" stroked="false">
              <v:textbox inset="0,0,0,0">
                <w:txbxContent>
                  <w:p>
                    <w:pPr>
                      <w:spacing w:line="276" w:lineRule="auto" w:before="141"/>
                      <w:ind w:left="344" w:right="345" w:firstLine="233"/>
                      <w:jc w:val="left"/>
                      <w:rPr>
                        <w:rFonts w:ascii="Arial" w:hAnsi="Arial"/>
                        <w:sz w:val="22"/>
                      </w:rPr>
                    </w:pPr>
                    <w:r>
                      <w:rPr>
                        <w:rFonts w:ascii="Arial" w:hAnsi="Arial"/>
                        <w:sz w:val="22"/>
                      </w:rPr>
                      <w:t>Educación secundaria alta</w:t>
                    </w:r>
                  </w:p>
                </w:txbxContent>
              </v:textbox>
              <w10:wrap type="none"/>
            </v:shape>
            <w10:wrap type="none"/>
          </v:group>
        </w:pict>
      </w:r>
      <w:r>
        <w:rPr/>
        <w:pict>
          <v:group style="position:absolute;margin-left:168.699997pt;margin-top:663.820007pt;width:110.1pt;height:42.5pt;mso-position-horizontal-relative:page;mso-position-vertical-relative:page;z-index:8656" coordorigin="3374,13276" coordsize="2202,850">
            <v:shape style="position:absolute;left:3391;top:13313;width:2184;height:814" type="#_x0000_t75" stroked="false">
              <v:imagedata r:id="rId224" o:title=""/>
            </v:shape>
            <v:shape style="position:absolute;left:3384;top:13286;width:2160;height:787" type="#_x0000_t75" stroked="false">
              <v:imagedata r:id="rId225" o:title=""/>
            </v:shape>
            <v:shape style="position:absolute;left:3384;top:13286;width:2160;height:787" coordorigin="3384,13286" coordsize="2160,787" path="m3384,13418l3394,13367,3422,13325,3464,13297,3515,13286,5413,13286,5464,13297,5506,13325,5534,13367,5544,13418,5544,13942,5534,13993,5506,14035,5464,14063,5413,14073,3515,14073,3464,14063,3422,14035,3394,13993,3384,13942,3384,13418xe" filled="false" stroked="true" strokeweight="1pt" strokecolor="#666666">
              <v:path arrowok="t"/>
            </v:shape>
            <v:shape style="position:absolute;left:3430;top:13406;width:2064;height:547" type="#_x0000_t75" stroked="false">
              <v:imagedata r:id="rId226" o:title=""/>
            </v:shape>
            <v:shape style="position:absolute;left:3374;top:13276;width:2202;height:850" type="#_x0000_t202" filled="false" stroked="false">
              <v:textbox inset="0,0,0,0">
                <w:txbxContent>
                  <w:p>
                    <w:pPr>
                      <w:spacing w:line="276" w:lineRule="auto" w:before="129"/>
                      <w:ind w:left="310" w:right="318" w:firstLine="264"/>
                      <w:jc w:val="left"/>
                      <w:rPr>
                        <w:rFonts w:ascii="Arial" w:hAnsi="Arial"/>
                        <w:sz w:val="22"/>
                      </w:rPr>
                    </w:pPr>
                    <w:r>
                      <w:rPr>
                        <w:rFonts w:ascii="Arial" w:hAnsi="Arial"/>
                        <w:sz w:val="22"/>
                      </w:rPr>
                      <w:t>Educación secundaria baja</w:t>
                    </w:r>
                  </w:p>
                </w:txbxContent>
              </v:textbox>
              <w10:wrap type="none"/>
            </v:shape>
            <w10:wrap type="none"/>
          </v:group>
        </w:pict>
      </w:r>
    </w:p>
    <w:p>
      <w:pPr>
        <w:pStyle w:val="BodyText"/>
        <w:spacing w:before="4"/>
        <w:rPr>
          <w:sz w:val="28"/>
        </w:rPr>
      </w:pPr>
    </w:p>
    <w:tbl>
      <w:tblPr>
        <w:tblW w:w="0" w:type="auto"/>
        <w:jc w:val="left"/>
        <w:tblInd w:w="38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150"/>
      </w:tblGrid>
      <w:tr>
        <w:trPr>
          <w:trHeight w:val="2277" w:hRule="exact"/>
        </w:trPr>
        <w:tc>
          <w:tcPr>
            <w:tcW w:w="5150" w:type="dxa"/>
          </w:tcPr>
          <w:p>
            <w:pPr>
              <w:pStyle w:val="TableParagraph"/>
              <w:spacing w:line="245" w:lineRule="exact"/>
              <w:ind w:left="200"/>
              <w:jc w:val="both"/>
              <w:rPr>
                <w:sz w:val="24"/>
              </w:rPr>
            </w:pPr>
            <w:r>
              <w:rPr>
                <w:sz w:val="24"/>
              </w:rPr>
              <w:t>Estos    programas    se    caracterizan    por</w:t>
            </w:r>
            <w:r>
              <w:rPr>
                <w:spacing w:val="51"/>
                <w:sz w:val="24"/>
              </w:rPr>
              <w:t> </w:t>
            </w:r>
            <w:r>
              <w:rPr>
                <w:sz w:val="24"/>
              </w:rPr>
              <w:t>estar</w:t>
            </w:r>
          </w:p>
          <w:p>
            <w:pPr>
              <w:pStyle w:val="TableParagraph"/>
              <w:spacing w:line="360" w:lineRule="auto" w:before="139"/>
              <w:ind w:left="200" w:right="201"/>
              <w:jc w:val="both"/>
              <w:rPr>
                <w:sz w:val="24"/>
              </w:rPr>
            </w:pPr>
            <w:r>
              <w:rPr>
                <w:sz w:val="24"/>
              </w:rPr>
              <w:t>basados en un componente práctico, estar orientados a ocupaciones específicas y preparar al estudiante para el mercado de</w:t>
            </w:r>
            <w:r>
              <w:rPr>
                <w:spacing w:val="-4"/>
                <w:sz w:val="24"/>
              </w:rPr>
              <w:t> </w:t>
            </w:r>
            <w:r>
              <w:rPr>
                <w:sz w:val="24"/>
              </w:rPr>
              <w:t>trabajo.</w:t>
            </w:r>
          </w:p>
        </w:tc>
      </w:tr>
      <w:tr>
        <w:trPr>
          <w:trHeight w:val="4319" w:hRule="exact"/>
        </w:trPr>
        <w:tc>
          <w:tcPr>
            <w:tcW w:w="5150" w:type="dxa"/>
          </w:tcPr>
          <w:p>
            <w:pPr>
              <w:pStyle w:val="TableParagraph"/>
              <w:rPr>
                <w:sz w:val="24"/>
              </w:rPr>
            </w:pPr>
          </w:p>
          <w:p>
            <w:pPr>
              <w:pStyle w:val="TableParagraph"/>
              <w:rPr>
                <w:sz w:val="24"/>
              </w:rPr>
            </w:pPr>
          </w:p>
          <w:p>
            <w:pPr>
              <w:pStyle w:val="TableParagraph"/>
              <w:spacing w:line="360" w:lineRule="auto" w:before="210"/>
              <w:ind w:left="200" w:right="201"/>
              <w:jc w:val="both"/>
              <w:rPr>
                <w:sz w:val="24"/>
              </w:rPr>
            </w:pPr>
            <w:r>
              <w:rPr>
                <w:sz w:val="24"/>
              </w:rPr>
              <w:t>Los programas de este nivel están diseñados para proporcionar a las personas que han concluido el nivel ISCED 3 las certificaciones no terciarias requeridas para avanzar a la educación terciaria,  o bien para insertarse en el mercado de trabajo  en el caso que sus certificaciones de nivel  ISCED 3 no otorgaran acceso a este</w:t>
            </w:r>
            <w:r>
              <w:rPr>
                <w:spacing w:val="-9"/>
                <w:sz w:val="24"/>
              </w:rPr>
              <w:t> </w:t>
            </w:r>
            <w:r>
              <w:rPr>
                <w:sz w:val="24"/>
              </w:rPr>
              <w:t>nivel.</w:t>
            </w:r>
          </w:p>
        </w:tc>
      </w:tr>
      <w:tr>
        <w:trPr>
          <w:trHeight w:val="4327" w:hRule="exact"/>
        </w:trPr>
        <w:tc>
          <w:tcPr>
            <w:tcW w:w="5150" w:type="dxa"/>
          </w:tcPr>
          <w:p>
            <w:pPr>
              <w:pStyle w:val="TableParagraph"/>
              <w:rPr>
                <w:sz w:val="24"/>
              </w:rPr>
            </w:pPr>
          </w:p>
          <w:p>
            <w:pPr>
              <w:pStyle w:val="TableParagraph"/>
              <w:rPr>
                <w:sz w:val="24"/>
              </w:rPr>
            </w:pPr>
          </w:p>
          <w:p>
            <w:pPr>
              <w:pStyle w:val="TableParagraph"/>
              <w:rPr>
                <w:sz w:val="19"/>
              </w:rPr>
            </w:pPr>
          </w:p>
          <w:p>
            <w:pPr>
              <w:pStyle w:val="TableParagraph"/>
              <w:spacing w:line="360" w:lineRule="auto"/>
              <w:ind w:left="200" w:right="198"/>
              <w:jc w:val="both"/>
              <w:rPr>
                <w:sz w:val="24"/>
              </w:rPr>
            </w:pPr>
            <w:r>
              <w:rPr>
                <w:sz w:val="24"/>
              </w:rPr>
              <w:t>Los programas de este nivel se caracterizan por impartir a los estudiantes un tipo de instrucción más diversificada, especializada y avanzada que los programas del nivel ISCED 2. Al tiempo que presentan un mayor grado de diferenciación y ofrecen un espectro más amplio de opciones y ramificaciones dentro del mismo nivel.</w:t>
            </w:r>
          </w:p>
        </w:tc>
      </w:tr>
      <w:tr>
        <w:trPr>
          <w:trHeight w:val="1040" w:hRule="exact"/>
        </w:trPr>
        <w:tc>
          <w:tcPr>
            <w:tcW w:w="5150" w:type="dxa"/>
          </w:tcPr>
          <w:p>
            <w:pPr>
              <w:pStyle w:val="TableParagraph"/>
              <w:rPr>
                <w:sz w:val="24"/>
              </w:rPr>
            </w:pPr>
          </w:p>
          <w:p>
            <w:pPr>
              <w:pStyle w:val="TableParagraph"/>
              <w:rPr>
                <w:sz w:val="24"/>
              </w:rPr>
            </w:pPr>
          </w:p>
          <w:p>
            <w:pPr>
              <w:pStyle w:val="TableParagraph"/>
              <w:spacing w:before="10"/>
              <w:rPr>
                <w:sz w:val="18"/>
              </w:rPr>
            </w:pPr>
          </w:p>
          <w:p>
            <w:pPr>
              <w:pStyle w:val="TableParagraph"/>
              <w:ind w:left="200"/>
              <w:rPr>
                <w:sz w:val="24"/>
              </w:rPr>
            </w:pPr>
            <w:r>
              <w:rPr>
                <w:sz w:val="24"/>
              </w:rPr>
              <w:t>Los  programas  en  este  nivel  suelen  aplicar un</w:t>
            </w:r>
          </w:p>
        </w:tc>
      </w:tr>
    </w:tbl>
    <w:p>
      <w:pPr>
        <w:spacing w:after="0"/>
        <w:rPr>
          <w:sz w:val="24"/>
        </w:rPr>
        <w:sectPr>
          <w:footerReference w:type="default" r:id="rId214"/>
          <w:pgSz w:w="12240" w:h="15840"/>
          <w:pgMar w:footer="943" w:header="0" w:top="1500" w:bottom="1140" w:left="1680" w:right="1400"/>
          <w:pgNumType w:start="220"/>
        </w:sectPr>
      </w:pPr>
    </w:p>
    <w:p>
      <w:pPr>
        <w:pStyle w:val="BodyText"/>
        <w:rPr>
          <w:sz w:val="20"/>
        </w:rPr>
      </w:pPr>
      <w:r>
        <w:rPr/>
        <w:pict>
          <v:group style="position:absolute;margin-left:89.019997pt;margin-top:496.540009pt;width:60.5pt;height:24.5pt;mso-position-horizontal-relative:page;mso-position-vertical-relative:page;z-index:8800" coordorigin="1780,9931" coordsize="1210,490">
            <v:shape style="position:absolute;left:1798;top:9967;width:1193;height:454" type="#_x0000_t75" stroked="false">
              <v:imagedata r:id="rId199" o:title=""/>
            </v:shape>
            <v:shape style="position:absolute;left:1790;top:9941;width:1168;height:428" type="#_x0000_t75" stroked="false">
              <v:imagedata r:id="rId203" o:title=""/>
            </v:shape>
            <v:shape style="position:absolute;left:1790;top:9941;width:1168;height:428" coordorigin="1790,9941" coordsize="1168,428" path="m1790,10012l1796,9984,1811,9962,1834,9946,1862,9941,2887,9941,2915,9946,2937,9962,2953,9984,2958,10012,2958,10297,2953,10325,2937,10348,2915,10363,2887,10369,1862,10369,1834,10363,1811,10348,1796,10325,1790,10297,1790,10012xe" filled="false" stroked="true" strokeweight="1.0pt" strokecolor="#666666">
              <v:path arrowok="t"/>
            </v:shape>
            <v:shape style="position:absolute;left:1819;top:10042;width:1106;height:223" type="#_x0000_t75" stroked="false">
              <v:imagedata r:id="rId201" o:title=""/>
            </v:shape>
            <v:shape style="position:absolute;left:1780;top:9931;width:1210;height:490" type="#_x0000_t202" filled="false" stroked="false">
              <v:textbox inset="0,0,0,0">
                <w:txbxContent>
                  <w:p>
                    <w:pPr>
                      <w:spacing w:before="111"/>
                      <w:ind w:left="183" w:right="0" w:firstLine="0"/>
                      <w:jc w:val="left"/>
                      <w:rPr>
                        <w:rFonts w:ascii="Calibri"/>
                        <w:sz w:val="22"/>
                      </w:rPr>
                    </w:pPr>
                    <w:r>
                      <w:rPr>
                        <w:rFonts w:ascii="Calibri"/>
                        <w:sz w:val="22"/>
                      </w:rPr>
                      <w:t>ISCED 0</w:t>
                    </w:r>
                  </w:p>
                </w:txbxContent>
              </v:textbox>
              <w10:wrap type="none"/>
            </v:shape>
            <w10:wrap type="none"/>
          </v:group>
        </w:pict>
      </w:r>
      <w:r>
        <w:rPr/>
        <w:pict>
          <v:group style="position:absolute;margin-left:172.059998pt;margin-top:470.5pt;width:102.65pt;height:60.05pt;mso-position-horizontal-relative:page;mso-position-vertical-relative:page;z-index:8848" coordorigin="3441,9410" coordsize="2053,1201">
            <v:shape style="position:absolute;left:3458;top:9449;width:2035;height:1162" type="#_x0000_t75" stroked="false">
              <v:imagedata r:id="rId227" o:title=""/>
            </v:shape>
            <v:shape style="position:absolute;left:3451;top:9420;width:2010;height:1137" type="#_x0000_t75" stroked="false">
              <v:imagedata r:id="rId228" o:title=""/>
            </v:shape>
            <v:shape style="position:absolute;left:3451;top:9420;width:2010;height:1137" coordorigin="3451,9420" coordsize="2010,1137" path="m3451,9610l3466,9536,3507,9476,3567,9435,3641,9420,5272,9420,5345,9435,5406,9476,5446,9536,5461,9610,5461,10367,5446,10441,5406,10502,5345,10542,5272,10557,3641,10557,3567,10542,3507,10502,3466,10441,3451,10367,3451,9610xe" filled="false" stroked="true" strokeweight="1pt" strokecolor="#666666">
              <v:path arrowok="t"/>
            </v:shape>
            <v:shape style="position:absolute;left:3516;top:9557;width:1877;height:862" type="#_x0000_t75" stroked="false">
              <v:imagedata r:id="rId229" o:title=""/>
            </v:shape>
            <v:shape style="position:absolute;left:3441;top:9410;width:2053;height:1201" type="#_x0000_t202" filled="false" stroked="false">
              <v:textbox inset="0,0,0,0">
                <w:txbxContent>
                  <w:p>
                    <w:pPr>
                      <w:spacing w:line="278" w:lineRule="auto" w:before="146"/>
                      <w:ind w:left="231" w:right="236" w:firstLine="0"/>
                      <w:jc w:val="left"/>
                      <w:rPr>
                        <w:rFonts w:ascii="Arial" w:hAnsi="Arial"/>
                        <w:sz w:val="22"/>
                      </w:rPr>
                    </w:pPr>
                    <w:r>
                      <w:rPr>
                        <w:rFonts w:ascii="Arial" w:hAnsi="Arial"/>
                        <w:sz w:val="22"/>
                      </w:rPr>
                      <w:t>Educación de la primera infancia</w:t>
                    </w:r>
                  </w:p>
                </w:txbxContent>
              </v:textbox>
              <w10:wrap type="non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7"/>
        </w:rPr>
      </w:pPr>
    </w:p>
    <w:p>
      <w:pPr>
        <w:tabs>
          <w:tab w:pos="1821" w:val="left" w:leader="none"/>
        </w:tabs>
        <w:spacing w:line="240" w:lineRule="auto"/>
        <w:ind w:left="160" w:right="0" w:firstLine="0"/>
        <w:rPr>
          <w:sz w:val="20"/>
        </w:rPr>
      </w:pPr>
      <w:r>
        <w:rPr>
          <w:position w:val="18"/>
          <w:sz w:val="20"/>
        </w:rPr>
        <w:pict>
          <v:group style="width:60.5pt;height:24.5pt;mso-position-horizontal-relative:char;mso-position-vertical-relative:line" coordorigin="0,0" coordsize="1210,490">
            <v:shape style="position:absolute;left:17;top:36;width:1193;height:454" type="#_x0000_t75" stroked="false">
              <v:imagedata r:id="rId199" o:title=""/>
            </v:shape>
            <v:shape style="position:absolute;left:10;top:10;width:1168;height:428" type="#_x0000_t75" stroked="false">
              <v:imagedata r:id="rId203" o:title=""/>
            </v:shape>
            <v:shape style="position:absolute;left:10;top:10;width:1168;height:428" coordorigin="10,10" coordsize="1168,428" path="m10,81l16,54,31,31,54,16,81,10,1107,10,1134,16,1157,31,1172,54,1178,81,1178,367,1172,394,1157,417,1134,432,1107,438,81,438,54,432,31,417,16,394,10,367,10,81xe" filled="false" stroked="true" strokeweight="1.0pt" strokecolor="#666666">
              <v:path arrowok="t"/>
            </v:shape>
            <v:shape style="position:absolute;left:39;top:111;width:1106;height:223" type="#_x0000_t75" stroked="false">
              <v:imagedata r:id="rId201" o:title=""/>
            </v:shape>
            <v:shape style="position:absolute;left:0;top:0;width:1210;height:490" type="#_x0000_t202" filled="false" stroked="false">
              <v:textbox inset="0,0,0,0">
                <w:txbxContent>
                  <w:p>
                    <w:pPr>
                      <w:spacing w:before="110"/>
                      <w:ind w:left="183" w:right="0" w:firstLine="0"/>
                      <w:jc w:val="left"/>
                      <w:rPr>
                        <w:rFonts w:ascii="Calibri"/>
                        <w:sz w:val="22"/>
                      </w:rPr>
                    </w:pPr>
                    <w:r>
                      <w:rPr>
                        <w:rFonts w:ascii="Calibri"/>
                        <w:sz w:val="22"/>
                      </w:rPr>
                      <w:t>ISCED 1</w:t>
                    </w:r>
                  </w:p>
                </w:txbxContent>
              </v:textbox>
              <w10:wrap type="none"/>
            </v:shape>
          </v:group>
        </w:pict>
      </w:r>
      <w:r>
        <w:rPr>
          <w:position w:val="18"/>
          <w:sz w:val="20"/>
        </w:rPr>
      </w:r>
      <w:r>
        <w:rPr>
          <w:position w:val="18"/>
          <w:sz w:val="20"/>
        </w:rPr>
        <w:tab/>
      </w:r>
      <w:r>
        <w:rPr>
          <w:sz w:val="20"/>
        </w:rPr>
        <w:pict>
          <v:group style="width:102.65pt;height:53.2pt;mso-position-horizontal-relative:char;mso-position-vertical-relative:line" coordorigin="0,0" coordsize="2053,1064">
            <v:shape style="position:absolute;left:17;top:36;width:2035;height:1027" type="#_x0000_t75" stroked="false">
              <v:imagedata r:id="rId230" o:title=""/>
            </v:shape>
            <v:shape style="position:absolute;left:10;top:10;width:2010;height:1001" type="#_x0000_t75" stroked="false">
              <v:imagedata r:id="rId231" o:title=""/>
            </v:shape>
            <v:shape style="position:absolute;left:10;top:10;width:2010;height:1001" coordorigin="10,10" coordsize="2010,1001" path="m10,177l23,112,59,59,112,23,177,10,1853,10,1918,23,1971,59,2007,112,2020,177,2020,844,2007,909,1971,962,1918,998,1853,1011,177,1011,112,998,59,962,23,909,10,844,10,177xe" filled="false" stroked="true" strokeweight="1pt" strokecolor="#666666">
              <v:path arrowok="t"/>
            </v:shape>
            <v:shape style="position:absolute;left:68;top:140;width:1891;height:739" type="#_x0000_t75" stroked="false">
              <v:imagedata r:id="rId232" o:title=""/>
            </v:shape>
            <v:shape style="position:absolute;left:0;top:0;width:2053;height:1064" type="#_x0000_t202" filled="false" stroked="false">
              <v:textbox inset="0,0,0,0">
                <w:txbxContent>
                  <w:p>
                    <w:pPr>
                      <w:spacing w:before="137"/>
                      <w:ind w:left="482" w:right="503" w:firstLine="0"/>
                      <w:jc w:val="center"/>
                      <w:rPr>
                        <w:rFonts w:ascii="Arial" w:hAnsi="Arial"/>
                        <w:sz w:val="22"/>
                      </w:rPr>
                    </w:pPr>
                    <w:r>
                      <w:rPr>
                        <w:rFonts w:ascii="Arial" w:hAnsi="Arial"/>
                        <w:sz w:val="22"/>
                      </w:rPr>
                      <w:t>Educación</w:t>
                    </w:r>
                  </w:p>
                  <w:p>
                    <w:pPr>
                      <w:spacing w:before="37"/>
                      <w:ind w:left="482" w:right="502" w:firstLine="0"/>
                      <w:jc w:val="center"/>
                      <w:rPr>
                        <w:rFonts w:ascii="Arial"/>
                        <w:sz w:val="22"/>
                      </w:rPr>
                    </w:pPr>
                    <w:r>
                      <w:rPr>
                        <w:rFonts w:ascii="Arial"/>
                        <w:sz w:val="22"/>
                      </w:rPr>
                      <w:t>primaria</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spacing w:before="74"/>
        <w:ind w:left="114" w:right="330" w:firstLine="0"/>
        <w:jc w:val="center"/>
        <w:rPr>
          <w:sz w:val="20"/>
        </w:rPr>
      </w:pPr>
      <w:r>
        <w:rPr/>
        <w:pict>
          <v:shape style="position:absolute;margin-left:278.890015pt;margin-top:-570.900146pt;width:257.3pt;height:526.8pt;mso-position-horizontal-relative:page;mso-position-vertical-relative:paragraph;z-index:88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146"/>
                  </w:tblGrid>
                  <w:tr>
                    <w:trPr>
                      <w:trHeight w:val="2070" w:hRule="exact"/>
                    </w:trPr>
                    <w:tc>
                      <w:tcPr>
                        <w:tcW w:w="5146" w:type="dxa"/>
                      </w:tcPr>
                      <w:p>
                        <w:pPr>
                          <w:pStyle w:val="TableParagraph"/>
                          <w:spacing w:line="245" w:lineRule="exact"/>
                          <w:ind w:left="200"/>
                          <w:rPr>
                            <w:sz w:val="24"/>
                          </w:rPr>
                        </w:pPr>
                        <w:r>
                          <w:rPr>
                            <w:sz w:val="24"/>
                          </w:rPr>
                          <w:t>modelo más orientado por asignaturas con el </w:t>
                        </w:r>
                        <w:r>
                          <w:rPr>
                            <w:spacing w:val="56"/>
                            <w:sz w:val="24"/>
                          </w:rPr>
                          <w:t> </w:t>
                        </w:r>
                        <w:r>
                          <w:rPr>
                            <w:sz w:val="24"/>
                          </w:rPr>
                          <w:t>fin</w:t>
                        </w:r>
                      </w:p>
                      <w:p>
                        <w:pPr>
                          <w:pStyle w:val="TableParagraph"/>
                          <w:spacing w:line="360" w:lineRule="auto" w:before="139"/>
                          <w:ind w:left="200" w:right="234"/>
                          <w:rPr>
                            <w:sz w:val="24"/>
                          </w:rPr>
                        </w:pPr>
                        <w:r>
                          <w:rPr>
                            <w:sz w:val="24"/>
                          </w:rPr>
                          <w:t>de introducir conceptos teóricos sobre una  amplia gama de</w:t>
                        </w:r>
                        <w:r>
                          <w:rPr>
                            <w:spacing w:val="-6"/>
                            <w:sz w:val="24"/>
                          </w:rPr>
                          <w:t> </w:t>
                        </w:r>
                        <w:r>
                          <w:rPr>
                            <w:sz w:val="24"/>
                          </w:rPr>
                          <w:t>temas.</w:t>
                        </w:r>
                      </w:p>
                    </w:tc>
                  </w:tr>
                  <w:tr>
                    <w:trPr>
                      <w:trHeight w:val="5354" w:hRule="exact"/>
                    </w:trPr>
                    <w:tc>
                      <w:tcPr>
                        <w:tcW w:w="5146" w:type="dxa"/>
                      </w:tcPr>
                      <w:p>
                        <w:pPr>
                          <w:pStyle w:val="TableParagraph"/>
                          <w:rPr>
                            <w:sz w:val="24"/>
                          </w:rPr>
                        </w:pPr>
                      </w:p>
                      <w:p>
                        <w:pPr>
                          <w:pStyle w:val="TableParagraph"/>
                          <w:rPr>
                            <w:sz w:val="24"/>
                          </w:rPr>
                        </w:pPr>
                      </w:p>
                      <w:p>
                        <w:pPr>
                          <w:pStyle w:val="TableParagraph"/>
                          <w:rPr>
                            <w:sz w:val="24"/>
                          </w:rPr>
                        </w:pPr>
                      </w:p>
                      <w:p>
                        <w:pPr>
                          <w:pStyle w:val="TableParagraph"/>
                          <w:spacing w:line="360" w:lineRule="auto" w:before="143"/>
                          <w:ind w:left="200" w:right="198"/>
                          <w:jc w:val="both"/>
                          <w:rPr>
                            <w:sz w:val="24"/>
                          </w:rPr>
                        </w:pPr>
                        <w:r>
                          <w:rPr>
                            <w:sz w:val="24"/>
                          </w:rPr>
                          <w:t>Los programas en este nivel están destinados a proporcionar a los estudiantes destrezas básicas en lectura, escritura y matemáticas (es decir alfabetismos y utilización de números) y sentar una sólida base para el aprendizaje y la comprensión de las áreas esenciales del conocimiento y el desarrollo personal y social como preparación para educación secundaria baja.</w:t>
                        </w:r>
                      </w:p>
                    </w:tc>
                  </w:tr>
                  <w:tr>
                    <w:trPr>
                      <w:trHeight w:val="3111" w:hRule="exact"/>
                    </w:trPr>
                    <w:tc>
                      <w:tcPr>
                        <w:tcW w:w="5146" w:type="dxa"/>
                      </w:tcPr>
                      <w:p>
                        <w:pPr>
                          <w:pStyle w:val="TableParagraph"/>
                          <w:rPr>
                            <w:sz w:val="24"/>
                          </w:rPr>
                        </w:pPr>
                      </w:p>
                      <w:p>
                        <w:pPr>
                          <w:pStyle w:val="TableParagraph"/>
                          <w:rPr>
                            <w:sz w:val="24"/>
                          </w:rPr>
                        </w:pPr>
                      </w:p>
                      <w:p>
                        <w:pPr>
                          <w:pStyle w:val="TableParagraph"/>
                          <w:rPr>
                            <w:sz w:val="19"/>
                          </w:rPr>
                        </w:pPr>
                      </w:p>
                      <w:p>
                        <w:pPr>
                          <w:pStyle w:val="TableParagraph"/>
                          <w:spacing w:line="360" w:lineRule="auto"/>
                          <w:ind w:left="200" w:right="198"/>
                          <w:jc w:val="both"/>
                          <w:rPr>
                            <w:sz w:val="24"/>
                          </w:rPr>
                        </w:pPr>
                        <w:r>
                          <w:rPr>
                            <w:sz w:val="24"/>
                          </w:rPr>
                          <w:t>Los programas en este nivel se caracterizan por privilegiar un enfoque holístico orientado a dar apoyo temprano al desarrollo cognitivo, físico, social y emocional del niño y familiarizar a los niños de corta edad con la instrucción organizada</w:t>
                        </w:r>
                      </w:p>
                      <w:p>
                        <w:pPr>
                          <w:pStyle w:val="TableParagraph"/>
                          <w:spacing w:before="4"/>
                          <w:ind w:left="200"/>
                          <w:jc w:val="both"/>
                          <w:rPr>
                            <w:sz w:val="24"/>
                          </w:rPr>
                        </w:pPr>
                        <w:r>
                          <w:rPr>
                            <w:sz w:val="24"/>
                          </w:rPr>
                          <w:t>fuera del entorno familiar.</w:t>
                        </w:r>
                      </w:p>
                    </w:tc>
                  </w:tr>
                </w:tbl>
                <w:p>
                  <w:pPr>
                    <w:pStyle w:val="BodyText"/>
                  </w:pPr>
                </w:p>
              </w:txbxContent>
            </v:textbox>
            <w10:wrap type="none"/>
          </v:shape>
        </w:pict>
      </w:r>
      <w:r>
        <w:rPr>
          <w:sz w:val="20"/>
        </w:rPr>
        <w:t>Fuente: elaboración propia con base en  la Clasificación Internacional Normalizada de la Educación (ISCED.</w:t>
      </w:r>
    </w:p>
    <w:p>
      <w:pPr>
        <w:spacing w:before="0"/>
        <w:ind w:left="113" w:right="330" w:firstLine="0"/>
        <w:jc w:val="center"/>
        <w:rPr>
          <w:sz w:val="20"/>
        </w:rPr>
      </w:pPr>
      <w:r>
        <w:rPr>
          <w:sz w:val="20"/>
        </w:rPr>
        <w:t>2011).</w:t>
      </w:r>
    </w:p>
    <w:p>
      <w:pPr>
        <w:spacing w:after="0"/>
        <w:jc w:val="center"/>
        <w:rPr>
          <w:sz w:val="20"/>
        </w:rPr>
        <w:sectPr>
          <w:pgSz w:w="12240" w:h="15840"/>
          <w:pgMar w:header="0" w:footer="943" w:top="1440" w:bottom="1200" w:left="1620" w:right="1400"/>
        </w:sectPr>
      </w:pPr>
    </w:p>
    <w:p>
      <w:pPr>
        <w:pStyle w:val="Heading3"/>
        <w:ind w:right="17"/>
        <w:jc w:val="center"/>
      </w:pPr>
      <w:bookmarkStart w:name="_bookmark94" w:id="168"/>
      <w:bookmarkEnd w:id="168"/>
      <w:r>
        <w:rPr>
          <w:b w:val="0"/>
        </w:rPr>
      </w:r>
      <w:r>
        <w:rPr/>
        <w:t>Anexo 2</w:t>
      </w:r>
    </w:p>
    <w:p>
      <w:pPr>
        <w:pStyle w:val="BodyText"/>
        <w:spacing w:before="5"/>
        <w:rPr>
          <w:b/>
        </w:rPr>
      </w:pPr>
    </w:p>
    <w:p>
      <w:pPr>
        <w:spacing w:before="69"/>
        <w:ind w:left="102" w:right="0" w:firstLine="0"/>
        <w:jc w:val="left"/>
        <w:rPr>
          <w:b/>
          <w:sz w:val="24"/>
        </w:rPr>
      </w:pPr>
      <w:r>
        <w:rPr>
          <w:b/>
          <w:sz w:val="24"/>
        </w:rPr>
        <w:t>Plan rígido 1992</w:t>
      </w:r>
    </w:p>
    <w:p>
      <w:pPr>
        <w:pStyle w:val="BodyText"/>
        <w:spacing w:before="2"/>
        <w:rPr>
          <w:b/>
          <w:sz w:val="20"/>
        </w:rPr>
      </w:pPr>
    </w:p>
    <w:tbl>
      <w:tblPr>
        <w:tblW w:w="0" w:type="auto"/>
        <w:jc w:val="left"/>
        <w:tblInd w:w="590"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3568"/>
        <w:gridCol w:w="843"/>
        <w:gridCol w:w="1025"/>
        <w:gridCol w:w="1195"/>
        <w:gridCol w:w="1188"/>
      </w:tblGrid>
      <w:tr>
        <w:trPr>
          <w:trHeight w:val="560" w:hRule="exact"/>
        </w:trPr>
        <w:tc>
          <w:tcPr>
            <w:tcW w:w="7819" w:type="dxa"/>
            <w:gridSpan w:val="5"/>
          </w:tcPr>
          <w:p>
            <w:pPr>
              <w:pStyle w:val="TableParagraph"/>
              <w:spacing w:line="252" w:lineRule="exact" w:before="1"/>
              <w:ind w:left="2168" w:right="2168"/>
              <w:jc w:val="center"/>
              <w:rPr>
                <w:b/>
                <w:sz w:val="22"/>
              </w:rPr>
            </w:pPr>
            <w:r>
              <w:rPr>
                <w:b/>
                <w:sz w:val="22"/>
              </w:rPr>
              <w:t>LICENCIATURA EN ECONOMÍA</w:t>
            </w:r>
          </w:p>
          <w:p>
            <w:pPr>
              <w:pStyle w:val="TableParagraph"/>
              <w:spacing w:line="252" w:lineRule="exact"/>
              <w:ind w:left="2167" w:right="2168"/>
              <w:jc w:val="center"/>
              <w:rPr>
                <w:b/>
                <w:sz w:val="22"/>
              </w:rPr>
            </w:pPr>
            <w:r>
              <w:rPr>
                <w:b/>
                <w:sz w:val="22"/>
              </w:rPr>
              <w:t>Plan 1992</w:t>
            </w:r>
          </w:p>
        </w:tc>
      </w:tr>
      <w:tr>
        <w:trPr>
          <w:trHeight w:val="408" w:hRule="exact"/>
        </w:trPr>
        <w:tc>
          <w:tcPr>
            <w:tcW w:w="7819" w:type="dxa"/>
            <w:gridSpan w:val="5"/>
            <w:tcBorders>
              <w:left w:val="nil"/>
              <w:bottom w:val="single" w:sz="8" w:space="0" w:color="000000"/>
              <w:right w:val="nil"/>
            </w:tcBorders>
          </w:tcPr>
          <w:p>
            <w:pPr>
              <w:pStyle w:val="TableParagraph"/>
              <w:spacing w:before="142"/>
              <w:ind w:left="70"/>
              <w:rPr>
                <w:sz w:val="20"/>
              </w:rPr>
            </w:pPr>
            <w:r>
              <w:rPr>
                <w:sz w:val="20"/>
              </w:rPr>
              <w:t>PRIMER SEMESTRE</w:t>
            </w:r>
          </w:p>
        </w:tc>
      </w:tr>
      <w:tr>
        <w:trPr>
          <w:trHeight w:val="475" w:hRule="exact"/>
        </w:trPr>
        <w:tc>
          <w:tcPr>
            <w:tcW w:w="3568" w:type="dxa"/>
            <w:vMerge w:val="restart"/>
            <w:tcBorders>
              <w:top w:val="single" w:sz="8" w:space="0" w:color="000000"/>
              <w:left w:val="single" w:sz="8" w:space="0" w:color="000000"/>
              <w:right w:val="single" w:sz="4" w:space="0" w:color="000000"/>
            </w:tcBorders>
          </w:tcPr>
          <w:p>
            <w:pPr/>
          </w:p>
        </w:tc>
        <w:tc>
          <w:tcPr>
            <w:tcW w:w="1868" w:type="dxa"/>
            <w:gridSpan w:val="2"/>
            <w:tcBorders>
              <w:top w:val="single" w:sz="8" w:space="0" w:color="000000"/>
              <w:left w:val="single" w:sz="4" w:space="0" w:color="000000"/>
              <w:bottom w:val="single" w:sz="4" w:space="0" w:color="000000"/>
              <w:right w:val="single" w:sz="4" w:space="0" w:color="000000"/>
            </w:tcBorders>
          </w:tcPr>
          <w:p>
            <w:pPr>
              <w:pStyle w:val="TableParagraph"/>
              <w:ind w:left="907" w:right="64"/>
              <w:rPr>
                <w:b/>
                <w:sz w:val="20"/>
              </w:rPr>
            </w:pPr>
            <w:r>
              <w:rPr>
                <w:b/>
                <w:sz w:val="20"/>
              </w:rPr>
              <w:t>HORAS SEMANA</w:t>
            </w:r>
          </w:p>
        </w:tc>
        <w:tc>
          <w:tcPr>
            <w:tcW w:w="1195" w:type="dxa"/>
            <w:tcBorders>
              <w:top w:val="single" w:sz="8" w:space="0" w:color="000000"/>
              <w:left w:val="single" w:sz="4" w:space="0" w:color="000000"/>
              <w:bottom w:val="single" w:sz="4" w:space="0" w:color="000000"/>
              <w:right w:val="single" w:sz="4" w:space="0" w:color="000000"/>
            </w:tcBorders>
          </w:tcPr>
          <w:p>
            <w:pPr/>
          </w:p>
        </w:tc>
        <w:tc>
          <w:tcPr>
            <w:tcW w:w="1188" w:type="dxa"/>
            <w:vMerge w:val="restart"/>
            <w:tcBorders>
              <w:top w:val="single" w:sz="8" w:space="0" w:color="000000"/>
              <w:left w:val="single" w:sz="4" w:space="0" w:color="000000"/>
              <w:right w:val="single" w:sz="8" w:space="0" w:color="000000"/>
            </w:tcBorders>
          </w:tcPr>
          <w:p>
            <w:pPr>
              <w:pStyle w:val="TableParagraph"/>
              <w:rPr>
                <w:b/>
                <w:sz w:val="20"/>
              </w:rPr>
            </w:pPr>
          </w:p>
          <w:p>
            <w:pPr>
              <w:pStyle w:val="TableParagraph"/>
              <w:rPr>
                <w:b/>
                <w:sz w:val="23"/>
              </w:rPr>
            </w:pPr>
          </w:p>
          <w:p>
            <w:pPr>
              <w:pStyle w:val="TableParagraph"/>
              <w:ind w:left="64"/>
              <w:rPr>
                <w:b/>
                <w:sz w:val="20"/>
              </w:rPr>
            </w:pPr>
            <w:r>
              <w:rPr>
                <w:b/>
                <w:sz w:val="20"/>
              </w:rPr>
              <w:t>CREDITOS</w:t>
            </w:r>
          </w:p>
        </w:tc>
      </w:tr>
      <w:tr>
        <w:trPr>
          <w:trHeight w:val="266" w:hRule="exact"/>
        </w:trPr>
        <w:tc>
          <w:tcPr>
            <w:tcW w:w="3568" w:type="dxa"/>
            <w:vMerge/>
            <w:tcBorders>
              <w:left w:val="single" w:sz="8" w:space="0" w:color="000000"/>
              <w:bottom w:val="single" w:sz="4" w:space="0" w:color="000000"/>
              <w:right w:val="single" w:sz="4" w:space="0" w:color="000000"/>
            </w:tcBorders>
          </w:tcPr>
          <w:p>
            <w:pP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24"/>
              <w:ind w:right="67"/>
              <w:jc w:val="right"/>
              <w:rPr>
                <w:b/>
                <w:sz w:val="20"/>
              </w:rPr>
            </w:pPr>
            <w:r>
              <w:rPr>
                <w:b/>
                <w:w w:val="95"/>
                <w:sz w:val="20"/>
              </w:rPr>
              <w:t>TOTAL</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24"/>
              <w:ind w:left="64"/>
              <w:rPr>
                <w:b/>
                <w:sz w:val="20"/>
              </w:rPr>
            </w:pPr>
            <w:r>
              <w:rPr>
                <w:b/>
                <w:sz w:val="20"/>
              </w:rPr>
              <w:t>TEORIA</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24"/>
              <w:ind w:right="66"/>
              <w:jc w:val="right"/>
              <w:rPr>
                <w:b/>
                <w:sz w:val="20"/>
              </w:rPr>
            </w:pPr>
            <w:r>
              <w:rPr>
                <w:b/>
                <w:w w:val="95"/>
                <w:sz w:val="20"/>
              </w:rPr>
              <w:t>PRACTICA</w:t>
            </w:r>
          </w:p>
        </w:tc>
        <w:tc>
          <w:tcPr>
            <w:tcW w:w="1188" w:type="dxa"/>
            <w:vMerge/>
            <w:tcBorders>
              <w:left w:val="single" w:sz="4" w:space="0" w:color="000000"/>
              <w:bottom w:val="single" w:sz="4" w:space="0" w:color="000000"/>
              <w:right w:val="single" w:sz="8" w:space="0" w:color="000000"/>
            </w:tcBorders>
          </w:tcPr>
          <w:p>
            <w:pPr/>
          </w:p>
        </w:tc>
      </w:tr>
      <w:tr>
        <w:trPr>
          <w:trHeight w:val="264"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17"/>
              <w:ind w:left="60" w:right="80"/>
              <w:rPr>
                <w:sz w:val="20"/>
              </w:rPr>
            </w:pPr>
            <w:r>
              <w:rPr>
                <w:sz w:val="20"/>
              </w:rPr>
              <w:t>INTRODUCCION A LA ECONOMIA</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7"/>
              <w:ind w:right="66"/>
              <w:jc w:val="right"/>
              <w:rPr>
                <w:sz w:val="20"/>
              </w:rPr>
            </w:pPr>
            <w:r>
              <w:rPr>
                <w:w w:val="99"/>
                <w:sz w:val="20"/>
              </w:rPr>
              <w:t>4</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7"/>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7"/>
              <w:ind w:right="65"/>
              <w:jc w:val="right"/>
              <w:rPr>
                <w:sz w:val="20"/>
              </w:rPr>
            </w:pPr>
            <w:r>
              <w:rPr>
                <w:w w:val="99"/>
                <w:sz w:val="20"/>
              </w:rPr>
              <w:t>0</w:t>
            </w:r>
          </w:p>
        </w:tc>
        <w:tc>
          <w:tcPr>
            <w:tcW w:w="1188" w:type="dxa"/>
            <w:tcBorders>
              <w:top w:val="single" w:sz="4" w:space="0" w:color="000000"/>
              <w:left w:val="single" w:sz="4" w:space="0" w:color="000000"/>
              <w:bottom w:val="single" w:sz="4" w:space="0" w:color="000000"/>
              <w:right w:val="single" w:sz="8" w:space="0" w:color="000000"/>
            </w:tcBorders>
          </w:tcPr>
          <w:p>
            <w:pPr>
              <w:pStyle w:val="TableParagraph"/>
              <w:spacing w:before="17"/>
              <w:ind w:right="62"/>
              <w:jc w:val="right"/>
              <w:rPr>
                <w:sz w:val="20"/>
              </w:rPr>
            </w:pPr>
            <w:r>
              <w:rPr>
                <w:w w:val="99"/>
                <w:sz w:val="20"/>
              </w:rPr>
              <w:t>8</w:t>
            </w:r>
          </w:p>
        </w:tc>
      </w:tr>
      <w:tr>
        <w:trPr>
          <w:trHeight w:val="266"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19"/>
              <w:ind w:left="60" w:right="80"/>
              <w:rPr>
                <w:sz w:val="20"/>
              </w:rPr>
            </w:pPr>
            <w:r>
              <w:rPr>
                <w:sz w:val="20"/>
              </w:rPr>
              <w:t>MATEMATICAS I</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9"/>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2</w:t>
            </w:r>
          </w:p>
        </w:tc>
        <w:tc>
          <w:tcPr>
            <w:tcW w:w="1188" w:type="dxa"/>
            <w:tcBorders>
              <w:top w:val="single" w:sz="4" w:space="0" w:color="000000"/>
              <w:left w:val="single" w:sz="4" w:space="0" w:color="000000"/>
              <w:bottom w:val="single" w:sz="4" w:space="0" w:color="000000"/>
              <w:right w:val="single" w:sz="8" w:space="0" w:color="000000"/>
            </w:tcBorders>
          </w:tcPr>
          <w:p>
            <w:pPr>
              <w:pStyle w:val="TableParagraph"/>
              <w:spacing w:before="19"/>
              <w:ind w:right="59"/>
              <w:jc w:val="right"/>
              <w:rPr>
                <w:sz w:val="20"/>
              </w:rPr>
            </w:pPr>
            <w:r>
              <w:rPr>
                <w:sz w:val="20"/>
              </w:rPr>
              <w:t>10</w:t>
            </w:r>
          </w:p>
        </w:tc>
      </w:tr>
      <w:tr>
        <w:trPr>
          <w:trHeight w:val="265"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18"/>
              <w:ind w:left="60" w:right="80"/>
              <w:rPr>
                <w:sz w:val="20"/>
              </w:rPr>
            </w:pPr>
            <w:r>
              <w:rPr>
                <w:sz w:val="20"/>
              </w:rPr>
              <w:t>HISTORIA ECONOMICA GENERAL I</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8"/>
              <w:ind w:right="66"/>
              <w:jc w:val="right"/>
              <w:rPr>
                <w:sz w:val="20"/>
              </w:rPr>
            </w:pPr>
            <w:r>
              <w:rPr>
                <w:w w:val="99"/>
                <w:sz w:val="20"/>
              </w:rPr>
              <w:t>4</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8"/>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8"/>
              <w:ind w:right="65"/>
              <w:jc w:val="right"/>
              <w:rPr>
                <w:sz w:val="20"/>
              </w:rPr>
            </w:pPr>
            <w:r>
              <w:rPr>
                <w:w w:val="99"/>
                <w:sz w:val="20"/>
              </w:rPr>
              <w:t>0</w:t>
            </w:r>
          </w:p>
        </w:tc>
        <w:tc>
          <w:tcPr>
            <w:tcW w:w="1188" w:type="dxa"/>
            <w:tcBorders>
              <w:top w:val="single" w:sz="4" w:space="0" w:color="000000"/>
              <w:left w:val="single" w:sz="4" w:space="0" w:color="000000"/>
              <w:bottom w:val="single" w:sz="4" w:space="0" w:color="000000"/>
              <w:right w:val="single" w:sz="8" w:space="0" w:color="000000"/>
            </w:tcBorders>
          </w:tcPr>
          <w:p>
            <w:pPr>
              <w:pStyle w:val="TableParagraph"/>
              <w:spacing w:before="18"/>
              <w:ind w:right="62"/>
              <w:jc w:val="right"/>
              <w:rPr>
                <w:sz w:val="20"/>
              </w:rPr>
            </w:pPr>
            <w:r>
              <w:rPr>
                <w:w w:val="99"/>
                <w:sz w:val="20"/>
              </w:rPr>
              <w:t>8</w:t>
            </w:r>
          </w:p>
        </w:tc>
      </w:tr>
      <w:tr>
        <w:trPr>
          <w:trHeight w:val="470"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ind w:left="60" w:right="1440"/>
              <w:rPr>
                <w:sz w:val="20"/>
              </w:rPr>
            </w:pPr>
            <w:r>
              <w:rPr>
                <w:sz w:val="20"/>
              </w:rPr>
              <w:t>INTRODUCCION A LA COMPUTACION</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6"/>
              <w:jc w:val="right"/>
              <w:rPr>
                <w:sz w:val="20"/>
              </w:rPr>
            </w:pPr>
            <w:r>
              <w:rPr>
                <w:w w:val="99"/>
                <w:sz w:val="20"/>
              </w:rPr>
              <w:t>4</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5"/>
              <w:jc w:val="right"/>
              <w:rPr>
                <w:sz w:val="20"/>
              </w:rPr>
            </w:pPr>
            <w:r>
              <w:rPr>
                <w:w w:val="99"/>
                <w:sz w:val="20"/>
              </w:rPr>
              <w:t>2</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5"/>
              <w:jc w:val="right"/>
              <w:rPr>
                <w:sz w:val="20"/>
              </w:rPr>
            </w:pPr>
            <w:r>
              <w:rPr>
                <w:w w:val="99"/>
                <w:sz w:val="20"/>
              </w:rPr>
              <w:t>2</w:t>
            </w:r>
          </w:p>
        </w:tc>
        <w:tc>
          <w:tcPr>
            <w:tcW w:w="1188" w:type="dxa"/>
            <w:tcBorders>
              <w:top w:val="single" w:sz="4" w:space="0" w:color="000000"/>
              <w:left w:val="single" w:sz="4" w:space="0" w:color="000000"/>
              <w:bottom w:val="single" w:sz="4" w:space="0" w:color="000000"/>
              <w:right w:val="single" w:sz="8" w:space="0" w:color="000000"/>
            </w:tcBorders>
          </w:tcPr>
          <w:p>
            <w:pPr>
              <w:pStyle w:val="TableParagraph"/>
              <w:spacing w:before="5"/>
              <w:rPr>
                <w:b/>
                <w:sz w:val="19"/>
              </w:rPr>
            </w:pPr>
          </w:p>
          <w:p>
            <w:pPr>
              <w:pStyle w:val="TableParagraph"/>
              <w:ind w:right="62"/>
              <w:jc w:val="right"/>
              <w:rPr>
                <w:sz w:val="20"/>
              </w:rPr>
            </w:pPr>
            <w:r>
              <w:rPr>
                <w:w w:val="99"/>
                <w:sz w:val="20"/>
              </w:rPr>
              <w:t>6</w:t>
            </w:r>
          </w:p>
        </w:tc>
      </w:tr>
      <w:tr>
        <w:trPr>
          <w:trHeight w:val="482" w:hRule="exact"/>
        </w:trPr>
        <w:tc>
          <w:tcPr>
            <w:tcW w:w="3568" w:type="dxa"/>
            <w:tcBorders>
              <w:top w:val="single" w:sz="4" w:space="0" w:color="000000"/>
              <w:left w:val="single" w:sz="8" w:space="0" w:color="000000"/>
              <w:bottom w:val="nil"/>
              <w:right w:val="single" w:sz="4" w:space="0" w:color="000000"/>
            </w:tcBorders>
          </w:tcPr>
          <w:p>
            <w:pPr>
              <w:pStyle w:val="TableParagraph"/>
              <w:ind w:left="60" w:right="80"/>
              <w:rPr>
                <w:sz w:val="20"/>
              </w:rPr>
            </w:pPr>
            <w:r>
              <w:rPr>
                <w:sz w:val="20"/>
              </w:rPr>
              <w:t>CONTABILIDAD EMPRESARIAL Y ANALISIS DE</w:t>
            </w:r>
          </w:p>
        </w:tc>
        <w:tc>
          <w:tcPr>
            <w:tcW w:w="843" w:type="dxa"/>
            <w:vMerge w:val="restart"/>
            <w:tcBorders>
              <w:top w:val="single" w:sz="4" w:space="0" w:color="000000"/>
              <w:left w:val="single" w:sz="4" w:space="0" w:color="000000"/>
              <w:right w:val="single" w:sz="4" w:space="0" w:color="000000"/>
            </w:tcBorders>
          </w:tcPr>
          <w:p>
            <w:pPr>
              <w:pStyle w:val="TableParagraph"/>
              <w:rPr>
                <w:b/>
                <w:sz w:val="20"/>
              </w:rPr>
            </w:pPr>
          </w:p>
          <w:p>
            <w:pPr>
              <w:pStyle w:val="TableParagraph"/>
              <w:spacing w:before="6"/>
              <w:rPr>
                <w:b/>
                <w:sz w:val="21"/>
              </w:rPr>
            </w:pPr>
          </w:p>
          <w:p>
            <w:pPr>
              <w:pStyle w:val="TableParagraph"/>
              <w:ind w:right="66"/>
              <w:jc w:val="right"/>
              <w:rPr>
                <w:sz w:val="20"/>
              </w:rPr>
            </w:pPr>
            <w:r>
              <w:rPr>
                <w:w w:val="99"/>
                <w:sz w:val="20"/>
              </w:rPr>
              <w:t>6</w:t>
            </w:r>
          </w:p>
        </w:tc>
        <w:tc>
          <w:tcPr>
            <w:tcW w:w="1025" w:type="dxa"/>
            <w:vMerge w:val="restart"/>
            <w:tcBorders>
              <w:top w:val="single" w:sz="4" w:space="0" w:color="000000"/>
              <w:left w:val="single" w:sz="4" w:space="0" w:color="000000"/>
              <w:right w:val="single" w:sz="4" w:space="0" w:color="000000"/>
            </w:tcBorders>
          </w:tcPr>
          <w:p>
            <w:pPr>
              <w:pStyle w:val="TableParagraph"/>
              <w:rPr>
                <w:b/>
                <w:sz w:val="20"/>
              </w:rPr>
            </w:pPr>
          </w:p>
          <w:p>
            <w:pPr>
              <w:pStyle w:val="TableParagraph"/>
              <w:spacing w:before="6"/>
              <w:rPr>
                <w:b/>
                <w:sz w:val="21"/>
              </w:rPr>
            </w:pPr>
          </w:p>
          <w:p>
            <w:pPr>
              <w:pStyle w:val="TableParagraph"/>
              <w:ind w:right="65"/>
              <w:jc w:val="right"/>
              <w:rPr>
                <w:sz w:val="20"/>
              </w:rPr>
            </w:pPr>
            <w:r>
              <w:rPr>
                <w:w w:val="99"/>
                <w:sz w:val="20"/>
              </w:rPr>
              <w:t>4</w:t>
            </w:r>
          </w:p>
        </w:tc>
        <w:tc>
          <w:tcPr>
            <w:tcW w:w="1195" w:type="dxa"/>
            <w:vMerge w:val="restart"/>
            <w:tcBorders>
              <w:top w:val="single" w:sz="4" w:space="0" w:color="000000"/>
              <w:left w:val="single" w:sz="4" w:space="0" w:color="000000"/>
              <w:right w:val="single" w:sz="4" w:space="0" w:color="000000"/>
            </w:tcBorders>
          </w:tcPr>
          <w:p>
            <w:pPr>
              <w:pStyle w:val="TableParagraph"/>
              <w:rPr>
                <w:b/>
                <w:sz w:val="20"/>
              </w:rPr>
            </w:pPr>
          </w:p>
          <w:p>
            <w:pPr>
              <w:pStyle w:val="TableParagraph"/>
              <w:spacing w:before="6"/>
              <w:rPr>
                <w:b/>
                <w:sz w:val="21"/>
              </w:rPr>
            </w:pPr>
          </w:p>
          <w:p>
            <w:pPr>
              <w:pStyle w:val="TableParagraph"/>
              <w:ind w:right="65"/>
              <w:jc w:val="right"/>
              <w:rPr>
                <w:sz w:val="20"/>
              </w:rPr>
            </w:pPr>
            <w:r>
              <w:rPr>
                <w:w w:val="99"/>
                <w:sz w:val="20"/>
              </w:rPr>
              <w:t>2</w:t>
            </w:r>
          </w:p>
        </w:tc>
        <w:tc>
          <w:tcPr>
            <w:tcW w:w="1188" w:type="dxa"/>
            <w:vMerge w:val="restart"/>
            <w:tcBorders>
              <w:top w:val="single" w:sz="4" w:space="0" w:color="000000"/>
              <w:left w:val="single" w:sz="4" w:space="0" w:color="000000"/>
              <w:right w:val="single" w:sz="8" w:space="0" w:color="000000"/>
            </w:tcBorders>
          </w:tcPr>
          <w:p>
            <w:pPr>
              <w:pStyle w:val="TableParagraph"/>
              <w:rPr>
                <w:b/>
                <w:sz w:val="20"/>
              </w:rPr>
            </w:pPr>
          </w:p>
          <w:p>
            <w:pPr>
              <w:pStyle w:val="TableParagraph"/>
              <w:spacing w:before="6"/>
              <w:rPr>
                <w:b/>
                <w:sz w:val="21"/>
              </w:rPr>
            </w:pPr>
          </w:p>
          <w:p>
            <w:pPr>
              <w:pStyle w:val="TableParagraph"/>
              <w:ind w:right="59"/>
              <w:jc w:val="right"/>
              <w:rPr>
                <w:sz w:val="20"/>
              </w:rPr>
            </w:pPr>
            <w:r>
              <w:rPr>
                <w:sz w:val="20"/>
              </w:rPr>
              <w:t>10</w:t>
            </w:r>
          </w:p>
        </w:tc>
      </w:tr>
      <w:tr>
        <w:trPr>
          <w:trHeight w:val="243" w:hRule="exact"/>
        </w:trPr>
        <w:tc>
          <w:tcPr>
            <w:tcW w:w="3568" w:type="dxa"/>
            <w:tcBorders>
              <w:top w:val="nil"/>
              <w:left w:val="single" w:sz="8" w:space="0" w:color="000000"/>
              <w:bottom w:val="single" w:sz="4" w:space="0" w:color="000000"/>
              <w:right w:val="single" w:sz="4" w:space="0" w:color="000000"/>
            </w:tcBorders>
          </w:tcPr>
          <w:p>
            <w:pPr>
              <w:pStyle w:val="TableParagraph"/>
              <w:spacing w:before="1"/>
              <w:ind w:left="60" w:right="80"/>
              <w:rPr>
                <w:sz w:val="20"/>
              </w:rPr>
            </w:pPr>
            <w:r>
              <w:rPr>
                <w:sz w:val="20"/>
              </w:rPr>
              <w:t>ESTADOS FINANCIEROS</w:t>
            </w:r>
          </w:p>
        </w:tc>
        <w:tc>
          <w:tcPr>
            <w:tcW w:w="843" w:type="dxa"/>
            <w:vMerge/>
            <w:tcBorders>
              <w:left w:val="single" w:sz="4" w:space="0" w:color="000000"/>
              <w:bottom w:val="single" w:sz="4" w:space="0" w:color="000000"/>
              <w:right w:val="single" w:sz="4" w:space="0" w:color="000000"/>
            </w:tcBorders>
          </w:tcPr>
          <w:p>
            <w:pPr/>
          </w:p>
        </w:tc>
        <w:tc>
          <w:tcPr>
            <w:tcW w:w="1025" w:type="dxa"/>
            <w:vMerge/>
            <w:tcBorders>
              <w:left w:val="single" w:sz="4" w:space="0" w:color="000000"/>
              <w:bottom w:val="single" w:sz="4" w:space="0" w:color="000000"/>
              <w:right w:val="single" w:sz="4" w:space="0" w:color="000000"/>
            </w:tcBorders>
          </w:tcPr>
          <w:p>
            <w:pPr/>
          </w:p>
        </w:tc>
        <w:tc>
          <w:tcPr>
            <w:tcW w:w="1195" w:type="dxa"/>
            <w:vMerge/>
            <w:tcBorders>
              <w:left w:val="single" w:sz="4" w:space="0" w:color="000000"/>
              <w:bottom w:val="single" w:sz="4" w:space="0" w:color="000000"/>
              <w:right w:val="single" w:sz="4" w:space="0" w:color="000000"/>
            </w:tcBorders>
          </w:tcPr>
          <w:p>
            <w:pPr/>
          </w:p>
        </w:tc>
        <w:tc>
          <w:tcPr>
            <w:tcW w:w="1188" w:type="dxa"/>
            <w:vMerge/>
            <w:tcBorders>
              <w:left w:val="single" w:sz="4" w:space="0" w:color="000000"/>
              <w:bottom w:val="single" w:sz="4" w:space="0" w:color="000000"/>
              <w:right w:val="single" w:sz="8" w:space="0" w:color="000000"/>
            </w:tcBorders>
          </w:tcPr>
          <w:p>
            <w:pPr/>
          </w:p>
        </w:tc>
      </w:tr>
      <w:tr>
        <w:trPr>
          <w:trHeight w:val="286" w:hRule="exact"/>
        </w:trPr>
        <w:tc>
          <w:tcPr>
            <w:tcW w:w="3568" w:type="dxa"/>
            <w:tcBorders>
              <w:top w:val="single" w:sz="4" w:space="0" w:color="000000"/>
              <w:left w:val="single" w:sz="8" w:space="0" w:color="000000"/>
              <w:bottom w:val="single" w:sz="8" w:space="0" w:color="000000"/>
              <w:right w:val="single" w:sz="4" w:space="0" w:color="000000"/>
            </w:tcBorders>
          </w:tcPr>
          <w:p>
            <w:pPr>
              <w:pStyle w:val="TableParagraph"/>
              <w:spacing w:before="34"/>
              <w:ind w:left="60" w:right="80"/>
              <w:rPr>
                <w:sz w:val="20"/>
              </w:rPr>
            </w:pPr>
            <w:r>
              <w:rPr>
                <w:sz w:val="20"/>
              </w:rPr>
              <w:t>INGLES I</w:t>
            </w:r>
          </w:p>
        </w:tc>
        <w:tc>
          <w:tcPr>
            <w:tcW w:w="843" w:type="dxa"/>
            <w:tcBorders>
              <w:top w:val="single" w:sz="4" w:space="0" w:color="000000"/>
              <w:left w:val="single" w:sz="4" w:space="0" w:color="000000"/>
              <w:bottom w:val="single" w:sz="8" w:space="0" w:color="000000"/>
              <w:right w:val="single" w:sz="4" w:space="0" w:color="000000"/>
            </w:tcBorders>
          </w:tcPr>
          <w:p>
            <w:pPr>
              <w:pStyle w:val="TableParagraph"/>
              <w:spacing w:before="34"/>
              <w:ind w:right="66"/>
              <w:jc w:val="right"/>
              <w:rPr>
                <w:sz w:val="20"/>
              </w:rPr>
            </w:pPr>
            <w:r>
              <w:rPr>
                <w:w w:val="99"/>
                <w:sz w:val="20"/>
              </w:rPr>
              <w:t>4</w:t>
            </w:r>
          </w:p>
        </w:tc>
        <w:tc>
          <w:tcPr>
            <w:tcW w:w="1025" w:type="dxa"/>
            <w:tcBorders>
              <w:top w:val="single" w:sz="4" w:space="0" w:color="000000"/>
              <w:left w:val="single" w:sz="4" w:space="0" w:color="000000"/>
              <w:bottom w:val="single" w:sz="8" w:space="0" w:color="000000"/>
              <w:right w:val="single" w:sz="4" w:space="0" w:color="000000"/>
            </w:tcBorders>
          </w:tcPr>
          <w:p>
            <w:pPr>
              <w:pStyle w:val="TableParagraph"/>
              <w:spacing w:before="34"/>
              <w:ind w:right="65"/>
              <w:jc w:val="right"/>
              <w:rPr>
                <w:sz w:val="20"/>
              </w:rPr>
            </w:pPr>
            <w:r>
              <w:rPr>
                <w:w w:val="99"/>
                <w:sz w:val="20"/>
              </w:rPr>
              <w:t>4</w:t>
            </w:r>
          </w:p>
        </w:tc>
        <w:tc>
          <w:tcPr>
            <w:tcW w:w="1195" w:type="dxa"/>
            <w:tcBorders>
              <w:top w:val="single" w:sz="4" w:space="0" w:color="000000"/>
              <w:left w:val="single" w:sz="4" w:space="0" w:color="000000"/>
              <w:bottom w:val="single" w:sz="8" w:space="0" w:color="000000"/>
              <w:right w:val="single" w:sz="4" w:space="0" w:color="000000"/>
            </w:tcBorders>
          </w:tcPr>
          <w:p>
            <w:pPr>
              <w:pStyle w:val="TableParagraph"/>
              <w:spacing w:before="34"/>
              <w:ind w:right="65"/>
              <w:jc w:val="right"/>
              <w:rPr>
                <w:sz w:val="20"/>
              </w:rPr>
            </w:pPr>
            <w:r>
              <w:rPr>
                <w:w w:val="99"/>
                <w:sz w:val="20"/>
              </w:rPr>
              <w:t>0</w:t>
            </w:r>
          </w:p>
        </w:tc>
        <w:tc>
          <w:tcPr>
            <w:tcW w:w="1188" w:type="dxa"/>
            <w:tcBorders>
              <w:top w:val="single" w:sz="4" w:space="0" w:color="000000"/>
              <w:left w:val="single" w:sz="4" w:space="0" w:color="000000"/>
              <w:bottom w:val="single" w:sz="8" w:space="0" w:color="000000"/>
              <w:right w:val="single" w:sz="8" w:space="0" w:color="000000"/>
            </w:tcBorders>
          </w:tcPr>
          <w:p>
            <w:pPr>
              <w:pStyle w:val="TableParagraph"/>
              <w:spacing w:before="34"/>
              <w:ind w:right="62"/>
              <w:jc w:val="right"/>
              <w:rPr>
                <w:sz w:val="20"/>
              </w:rPr>
            </w:pPr>
            <w:r>
              <w:rPr>
                <w:w w:val="99"/>
                <w:sz w:val="20"/>
              </w:rPr>
              <w:t>8</w:t>
            </w:r>
          </w:p>
        </w:tc>
      </w:tr>
      <w:tr>
        <w:trPr>
          <w:trHeight w:val="383" w:hRule="exact"/>
        </w:trPr>
        <w:tc>
          <w:tcPr>
            <w:tcW w:w="3568" w:type="dxa"/>
            <w:tcBorders>
              <w:top w:val="single" w:sz="8" w:space="0" w:color="000000"/>
              <w:left w:val="nil"/>
              <w:bottom w:val="nil"/>
              <w:right w:val="nil"/>
            </w:tcBorders>
          </w:tcPr>
          <w:p>
            <w:pPr>
              <w:pStyle w:val="TableParagraph"/>
              <w:spacing w:before="17"/>
              <w:ind w:left="70"/>
              <w:rPr>
                <w:sz w:val="20"/>
              </w:rPr>
            </w:pPr>
            <w:r>
              <w:rPr>
                <w:sz w:val="20"/>
              </w:rPr>
              <w:t>TOTAL</w:t>
            </w:r>
          </w:p>
        </w:tc>
        <w:tc>
          <w:tcPr>
            <w:tcW w:w="843" w:type="dxa"/>
            <w:tcBorders>
              <w:top w:val="single" w:sz="8" w:space="0" w:color="000000"/>
              <w:left w:val="nil"/>
              <w:bottom w:val="nil"/>
              <w:right w:val="nil"/>
            </w:tcBorders>
          </w:tcPr>
          <w:p>
            <w:pPr>
              <w:pStyle w:val="TableParagraph"/>
              <w:spacing w:before="17"/>
              <w:ind w:right="69"/>
              <w:jc w:val="right"/>
              <w:rPr>
                <w:sz w:val="20"/>
              </w:rPr>
            </w:pPr>
            <w:r>
              <w:rPr>
                <w:sz w:val="20"/>
              </w:rPr>
              <w:t>28</w:t>
            </w:r>
          </w:p>
        </w:tc>
        <w:tc>
          <w:tcPr>
            <w:tcW w:w="1025" w:type="dxa"/>
            <w:tcBorders>
              <w:top w:val="single" w:sz="8" w:space="0" w:color="000000"/>
              <w:left w:val="nil"/>
              <w:bottom w:val="nil"/>
              <w:right w:val="nil"/>
            </w:tcBorders>
          </w:tcPr>
          <w:p>
            <w:pPr>
              <w:pStyle w:val="TableParagraph"/>
              <w:spacing w:before="17"/>
              <w:ind w:right="65"/>
              <w:jc w:val="right"/>
              <w:rPr>
                <w:sz w:val="20"/>
              </w:rPr>
            </w:pPr>
            <w:r>
              <w:rPr>
                <w:sz w:val="20"/>
              </w:rPr>
              <w:t>22</w:t>
            </w:r>
          </w:p>
        </w:tc>
        <w:tc>
          <w:tcPr>
            <w:tcW w:w="1195" w:type="dxa"/>
            <w:tcBorders>
              <w:top w:val="single" w:sz="8" w:space="0" w:color="000000"/>
              <w:left w:val="nil"/>
              <w:bottom w:val="nil"/>
              <w:right w:val="nil"/>
            </w:tcBorders>
          </w:tcPr>
          <w:p>
            <w:pPr>
              <w:pStyle w:val="TableParagraph"/>
              <w:spacing w:before="17"/>
              <w:ind w:right="68"/>
              <w:jc w:val="right"/>
              <w:rPr>
                <w:sz w:val="20"/>
              </w:rPr>
            </w:pPr>
            <w:r>
              <w:rPr>
                <w:w w:val="99"/>
                <w:sz w:val="20"/>
              </w:rPr>
              <w:t>6</w:t>
            </w:r>
          </w:p>
        </w:tc>
        <w:tc>
          <w:tcPr>
            <w:tcW w:w="1188" w:type="dxa"/>
            <w:tcBorders>
              <w:top w:val="single" w:sz="8" w:space="0" w:color="000000"/>
              <w:left w:val="nil"/>
              <w:bottom w:val="nil"/>
              <w:right w:val="nil"/>
            </w:tcBorders>
          </w:tcPr>
          <w:p>
            <w:pPr>
              <w:pStyle w:val="TableParagraph"/>
              <w:spacing w:before="17"/>
              <w:ind w:right="68"/>
              <w:jc w:val="right"/>
              <w:rPr>
                <w:sz w:val="20"/>
              </w:rPr>
            </w:pPr>
            <w:r>
              <w:rPr>
                <w:sz w:val="20"/>
              </w:rPr>
              <w:t>50</w:t>
            </w:r>
          </w:p>
        </w:tc>
      </w:tr>
      <w:tr>
        <w:trPr>
          <w:trHeight w:val="351" w:hRule="exact"/>
        </w:trPr>
        <w:tc>
          <w:tcPr>
            <w:tcW w:w="3568" w:type="dxa"/>
            <w:tcBorders>
              <w:top w:val="nil"/>
              <w:left w:val="nil"/>
              <w:bottom w:val="single" w:sz="8" w:space="0" w:color="000000"/>
              <w:right w:val="nil"/>
            </w:tcBorders>
          </w:tcPr>
          <w:p>
            <w:pPr>
              <w:pStyle w:val="TableParagraph"/>
              <w:spacing w:before="104"/>
              <w:ind w:left="70"/>
              <w:rPr>
                <w:sz w:val="20"/>
              </w:rPr>
            </w:pPr>
            <w:r>
              <w:rPr>
                <w:sz w:val="20"/>
              </w:rPr>
              <w:t>SEGUNDO SEMESTRE</w:t>
            </w:r>
          </w:p>
        </w:tc>
        <w:tc>
          <w:tcPr>
            <w:tcW w:w="843" w:type="dxa"/>
            <w:tcBorders>
              <w:top w:val="nil"/>
              <w:left w:val="nil"/>
              <w:bottom w:val="single" w:sz="8" w:space="0" w:color="000000"/>
              <w:right w:val="nil"/>
            </w:tcBorders>
          </w:tcPr>
          <w:p>
            <w:pPr/>
          </w:p>
        </w:tc>
        <w:tc>
          <w:tcPr>
            <w:tcW w:w="1025" w:type="dxa"/>
            <w:tcBorders>
              <w:top w:val="nil"/>
              <w:left w:val="nil"/>
              <w:bottom w:val="single" w:sz="8" w:space="0" w:color="000000"/>
              <w:right w:val="nil"/>
            </w:tcBorders>
          </w:tcPr>
          <w:p>
            <w:pPr/>
          </w:p>
        </w:tc>
        <w:tc>
          <w:tcPr>
            <w:tcW w:w="1195" w:type="dxa"/>
            <w:tcBorders>
              <w:top w:val="nil"/>
              <w:left w:val="nil"/>
              <w:bottom w:val="single" w:sz="8" w:space="0" w:color="000000"/>
              <w:right w:val="nil"/>
            </w:tcBorders>
          </w:tcPr>
          <w:p>
            <w:pPr/>
          </w:p>
        </w:tc>
        <w:tc>
          <w:tcPr>
            <w:tcW w:w="1188" w:type="dxa"/>
            <w:tcBorders>
              <w:top w:val="nil"/>
              <w:left w:val="nil"/>
              <w:bottom w:val="single" w:sz="8" w:space="0" w:color="000000"/>
              <w:right w:val="nil"/>
            </w:tcBorders>
          </w:tcPr>
          <w:p>
            <w:pPr/>
          </w:p>
        </w:tc>
      </w:tr>
      <w:tr>
        <w:trPr>
          <w:trHeight w:val="475" w:hRule="exact"/>
        </w:trPr>
        <w:tc>
          <w:tcPr>
            <w:tcW w:w="3568" w:type="dxa"/>
            <w:vMerge w:val="restart"/>
            <w:tcBorders>
              <w:top w:val="single" w:sz="8" w:space="0" w:color="000000"/>
              <w:left w:val="single" w:sz="8" w:space="0" w:color="000000"/>
              <w:right w:val="single" w:sz="4" w:space="0" w:color="000000"/>
            </w:tcBorders>
          </w:tcPr>
          <w:p>
            <w:pPr/>
          </w:p>
        </w:tc>
        <w:tc>
          <w:tcPr>
            <w:tcW w:w="1868" w:type="dxa"/>
            <w:gridSpan w:val="2"/>
            <w:tcBorders>
              <w:top w:val="single" w:sz="8" w:space="0" w:color="000000"/>
              <w:left w:val="single" w:sz="4" w:space="0" w:color="000000"/>
              <w:bottom w:val="single" w:sz="4" w:space="0" w:color="000000"/>
              <w:right w:val="single" w:sz="4" w:space="0" w:color="000000"/>
            </w:tcBorders>
          </w:tcPr>
          <w:p>
            <w:pPr>
              <w:pStyle w:val="TableParagraph"/>
              <w:ind w:left="907" w:right="64"/>
              <w:rPr>
                <w:b/>
                <w:sz w:val="20"/>
              </w:rPr>
            </w:pPr>
            <w:r>
              <w:rPr>
                <w:b/>
                <w:sz w:val="20"/>
              </w:rPr>
              <w:t>HORAS SEMANA</w:t>
            </w:r>
          </w:p>
        </w:tc>
        <w:tc>
          <w:tcPr>
            <w:tcW w:w="1195" w:type="dxa"/>
            <w:tcBorders>
              <w:top w:val="single" w:sz="8" w:space="0" w:color="000000"/>
              <w:left w:val="single" w:sz="4" w:space="0" w:color="000000"/>
              <w:bottom w:val="single" w:sz="4" w:space="0" w:color="000000"/>
              <w:right w:val="single" w:sz="4" w:space="0" w:color="000000"/>
            </w:tcBorders>
          </w:tcPr>
          <w:p>
            <w:pPr/>
          </w:p>
        </w:tc>
        <w:tc>
          <w:tcPr>
            <w:tcW w:w="1188" w:type="dxa"/>
            <w:vMerge w:val="restart"/>
            <w:tcBorders>
              <w:top w:val="single" w:sz="8" w:space="0" w:color="000000"/>
              <w:left w:val="single" w:sz="4" w:space="0" w:color="000000"/>
              <w:right w:val="single" w:sz="8" w:space="0" w:color="000000"/>
            </w:tcBorders>
          </w:tcPr>
          <w:p>
            <w:pPr>
              <w:pStyle w:val="TableParagraph"/>
              <w:rPr>
                <w:b/>
                <w:sz w:val="20"/>
              </w:rPr>
            </w:pPr>
          </w:p>
          <w:p>
            <w:pPr>
              <w:pStyle w:val="TableParagraph"/>
              <w:spacing w:before="9"/>
              <w:rPr>
                <w:b/>
                <w:sz w:val="22"/>
              </w:rPr>
            </w:pPr>
          </w:p>
          <w:p>
            <w:pPr>
              <w:pStyle w:val="TableParagraph"/>
              <w:ind w:left="64"/>
              <w:rPr>
                <w:b/>
                <w:sz w:val="20"/>
              </w:rPr>
            </w:pPr>
            <w:r>
              <w:rPr>
                <w:b/>
                <w:sz w:val="20"/>
              </w:rPr>
              <w:t>CREDITOS</w:t>
            </w:r>
          </w:p>
        </w:tc>
      </w:tr>
      <w:tr>
        <w:trPr>
          <w:trHeight w:val="264" w:hRule="exact"/>
        </w:trPr>
        <w:tc>
          <w:tcPr>
            <w:tcW w:w="3568" w:type="dxa"/>
            <w:vMerge/>
            <w:tcBorders>
              <w:left w:val="single" w:sz="8" w:space="0" w:color="000000"/>
              <w:bottom w:val="single" w:sz="4" w:space="0" w:color="000000"/>
              <w:right w:val="single" w:sz="4" w:space="0" w:color="000000"/>
            </w:tcBorders>
          </w:tcPr>
          <w:p>
            <w:pP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22"/>
              <w:ind w:right="67"/>
              <w:jc w:val="right"/>
              <w:rPr>
                <w:b/>
                <w:sz w:val="20"/>
              </w:rPr>
            </w:pPr>
            <w:r>
              <w:rPr>
                <w:b/>
                <w:w w:val="95"/>
                <w:sz w:val="20"/>
              </w:rPr>
              <w:t>TOTAL</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22"/>
              <w:ind w:left="64"/>
              <w:rPr>
                <w:b/>
                <w:sz w:val="20"/>
              </w:rPr>
            </w:pPr>
            <w:r>
              <w:rPr>
                <w:b/>
                <w:sz w:val="20"/>
              </w:rPr>
              <w:t>TEORIA</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22"/>
              <w:ind w:right="66"/>
              <w:jc w:val="right"/>
              <w:rPr>
                <w:b/>
                <w:sz w:val="20"/>
              </w:rPr>
            </w:pPr>
            <w:r>
              <w:rPr>
                <w:b/>
                <w:w w:val="95"/>
                <w:sz w:val="20"/>
              </w:rPr>
              <w:t>PRACTICA</w:t>
            </w:r>
          </w:p>
        </w:tc>
        <w:tc>
          <w:tcPr>
            <w:tcW w:w="1188" w:type="dxa"/>
            <w:vMerge/>
            <w:tcBorders>
              <w:left w:val="single" w:sz="4" w:space="0" w:color="000000"/>
              <w:bottom w:val="single" w:sz="4" w:space="0" w:color="000000"/>
              <w:right w:val="single" w:sz="8" w:space="0" w:color="000000"/>
            </w:tcBorders>
          </w:tcPr>
          <w:p>
            <w:pPr/>
          </w:p>
        </w:tc>
      </w:tr>
      <w:tr>
        <w:trPr>
          <w:trHeight w:val="267"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19"/>
              <w:ind w:left="60" w:right="80"/>
              <w:rPr>
                <w:sz w:val="20"/>
              </w:rPr>
            </w:pPr>
            <w:r>
              <w:rPr>
                <w:sz w:val="20"/>
              </w:rPr>
              <w:t>TEORIA ECONOMICA I</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9"/>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2</w:t>
            </w:r>
          </w:p>
        </w:tc>
        <w:tc>
          <w:tcPr>
            <w:tcW w:w="1188" w:type="dxa"/>
            <w:tcBorders>
              <w:top w:val="single" w:sz="4" w:space="0" w:color="000000"/>
              <w:left w:val="single" w:sz="4" w:space="0" w:color="000000"/>
              <w:bottom w:val="single" w:sz="4" w:space="0" w:color="000000"/>
              <w:right w:val="single" w:sz="8" w:space="0" w:color="000000"/>
            </w:tcBorders>
          </w:tcPr>
          <w:p>
            <w:pPr>
              <w:pStyle w:val="TableParagraph"/>
              <w:spacing w:before="19"/>
              <w:ind w:right="59"/>
              <w:jc w:val="right"/>
              <w:rPr>
                <w:sz w:val="20"/>
              </w:rPr>
            </w:pPr>
            <w:r>
              <w:rPr>
                <w:sz w:val="20"/>
              </w:rPr>
              <w:t>10</w:t>
            </w:r>
          </w:p>
        </w:tc>
      </w:tr>
      <w:tr>
        <w:trPr>
          <w:trHeight w:val="264"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17"/>
              <w:ind w:left="60" w:right="80"/>
              <w:rPr>
                <w:sz w:val="20"/>
              </w:rPr>
            </w:pPr>
            <w:r>
              <w:rPr>
                <w:sz w:val="20"/>
              </w:rPr>
              <w:t>MATEMATICAS II</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7"/>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7"/>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7"/>
              <w:ind w:right="65"/>
              <w:jc w:val="right"/>
              <w:rPr>
                <w:sz w:val="20"/>
              </w:rPr>
            </w:pPr>
            <w:r>
              <w:rPr>
                <w:w w:val="99"/>
                <w:sz w:val="20"/>
              </w:rPr>
              <w:t>2</w:t>
            </w:r>
          </w:p>
        </w:tc>
        <w:tc>
          <w:tcPr>
            <w:tcW w:w="1188" w:type="dxa"/>
            <w:tcBorders>
              <w:top w:val="single" w:sz="4" w:space="0" w:color="000000"/>
              <w:left w:val="single" w:sz="4" w:space="0" w:color="000000"/>
              <w:bottom w:val="single" w:sz="4" w:space="0" w:color="000000"/>
              <w:right w:val="single" w:sz="8" w:space="0" w:color="000000"/>
            </w:tcBorders>
          </w:tcPr>
          <w:p>
            <w:pPr>
              <w:pStyle w:val="TableParagraph"/>
              <w:spacing w:before="17"/>
              <w:ind w:right="59"/>
              <w:jc w:val="right"/>
              <w:rPr>
                <w:sz w:val="20"/>
              </w:rPr>
            </w:pPr>
            <w:r>
              <w:rPr>
                <w:sz w:val="20"/>
              </w:rPr>
              <w:t>10</w:t>
            </w:r>
          </w:p>
        </w:tc>
      </w:tr>
      <w:tr>
        <w:trPr>
          <w:trHeight w:val="266"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19"/>
              <w:ind w:left="60" w:right="80"/>
              <w:rPr>
                <w:sz w:val="20"/>
              </w:rPr>
            </w:pPr>
            <w:r>
              <w:rPr>
                <w:sz w:val="20"/>
              </w:rPr>
              <w:t>HISTORIA ECONOMICA GENERAL II</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9"/>
              <w:ind w:right="66"/>
              <w:jc w:val="right"/>
              <w:rPr>
                <w:sz w:val="20"/>
              </w:rPr>
            </w:pPr>
            <w:r>
              <w:rPr>
                <w:w w:val="99"/>
                <w:sz w:val="20"/>
              </w:rPr>
              <w:t>4</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0</w:t>
            </w:r>
          </w:p>
        </w:tc>
        <w:tc>
          <w:tcPr>
            <w:tcW w:w="1188" w:type="dxa"/>
            <w:tcBorders>
              <w:top w:val="single" w:sz="4" w:space="0" w:color="000000"/>
              <w:left w:val="single" w:sz="4" w:space="0" w:color="000000"/>
              <w:bottom w:val="single" w:sz="4" w:space="0" w:color="000000"/>
              <w:right w:val="single" w:sz="8" w:space="0" w:color="000000"/>
            </w:tcBorders>
          </w:tcPr>
          <w:p>
            <w:pPr>
              <w:pStyle w:val="TableParagraph"/>
              <w:spacing w:before="19"/>
              <w:ind w:right="62"/>
              <w:jc w:val="right"/>
              <w:rPr>
                <w:sz w:val="20"/>
              </w:rPr>
            </w:pPr>
            <w:r>
              <w:rPr>
                <w:w w:val="99"/>
                <w:sz w:val="20"/>
              </w:rPr>
              <w:t>8</w:t>
            </w:r>
          </w:p>
        </w:tc>
      </w:tr>
      <w:tr>
        <w:trPr>
          <w:trHeight w:val="468"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ind w:left="60" w:right="80"/>
              <w:rPr>
                <w:sz w:val="20"/>
              </w:rPr>
            </w:pPr>
            <w:r>
              <w:rPr>
                <w:sz w:val="20"/>
              </w:rPr>
              <w:t>ESTADISTICA DESCRIPTIVA Y DEMOGRAFICA</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6"/>
              <w:jc w:val="right"/>
              <w:rPr>
                <w:sz w:val="20"/>
              </w:rPr>
            </w:pPr>
            <w:r>
              <w:rPr>
                <w:w w:val="99"/>
                <w:sz w:val="20"/>
              </w:rPr>
              <w:t>4</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5"/>
              <w:jc w:val="right"/>
              <w:rPr>
                <w:sz w:val="20"/>
              </w:rPr>
            </w:pPr>
            <w:r>
              <w:rPr>
                <w:w w:val="99"/>
                <w:sz w:val="20"/>
              </w:rPr>
              <w:t>2</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5"/>
              <w:jc w:val="right"/>
              <w:rPr>
                <w:sz w:val="20"/>
              </w:rPr>
            </w:pPr>
            <w:r>
              <w:rPr>
                <w:w w:val="99"/>
                <w:sz w:val="20"/>
              </w:rPr>
              <w:t>2</w:t>
            </w:r>
          </w:p>
        </w:tc>
        <w:tc>
          <w:tcPr>
            <w:tcW w:w="1188" w:type="dxa"/>
            <w:tcBorders>
              <w:top w:val="single" w:sz="4" w:space="0" w:color="000000"/>
              <w:left w:val="single" w:sz="4" w:space="0" w:color="000000"/>
              <w:bottom w:val="single" w:sz="4" w:space="0" w:color="000000"/>
              <w:right w:val="single" w:sz="8" w:space="0" w:color="000000"/>
            </w:tcBorders>
          </w:tcPr>
          <w:p>
            <w:pPr>
              <w:pStyle w:val="TableParagraph"/>
              <w:spacing w:before="5"/>
              <w:rPr>
                <w:b/>
                <w:sz w:val="19"/>
              </w:rPr>
            </w:pPr>
          </w:p>
          <w:p>
            <w:pPr>
              <w:pStyle w:val="TableParagraph"/>
              <w:ind w:right="62"/>
              <w:jc w:val="right"/>
              <w:rPr>
                <w:sz w:val="20"/>
              </w:rPr>
            </w:pPr>
            <w:r>
              <w:rPr>
                <w:w w:val="99"/>
                <w:sz w:val="20"/>
              </w:rPr>
              <w:t>6</w:t>
            </w:r>
          </w:p>
        </w:tc>
      </w:tr>
      <w:tr>
        <w:trPr>
          <w:trHeight w:val="470"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line="228" w:lineRule="exact"/>
              <w:ind w:left="60" w:right="80"/>
              <w:rPr>
                <w:sz w:val="20"/>
              </w:rPr>
            </w:pPr>
            <w:r>
              <w:rPr>
                <w:sz w:val="20"/>
              </w:rPr>
              <w:t>LOGICA, METODOLOGIA Y TECNICAS DE LA INVESTIGACION</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6"/>
              <w:jc w:val="right"/>
              <w:rPr>
                <w:sz w:val="20"/>
              </w:rPr>
            </w:pPr>
            <w:r>
              <w:rPr>
                <w:w w:val="99"/>
                <w:sz w:val="20"/>
              </w:rPr>
              <w:t>4</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5"/>
              <w:jc w:val="right"/>
              <w:rPr>
                <w:sz w:val="20"/>
              </w:rPr>
            </w:pPr>
            <w:r>
              <w:rPr>
                <w:w w:val="99"/>
                <w:sz w:val="20"/>
              </w:rPr>
              <w:t>2</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5"/>
              <w:jc w:val="right"/>
              <w:rPr>
                <w:sz w:val="20"/>
              </w:rPr>
            </w:pPr>
            <w:r>
              <w:rPr>
                <w:w w:val="99"/>
                <w:sz w:val="20"/>
              </w:rPr>
              <w:t>2</w:t>
            </w:r>
          </w:p>
        </w:tc>
        <w:tc>
          <w:tcPr>
            <w:tcW w:w="1188" w:type="dxa"/>
            <w:tcBorders>
              <w:top w:val="single" w:sz="4" w:space="0" w:color="000000"/>
              <w:left w:val="single" w:sz="4" w:space="0" w:color="000000"/>
              <w:bottom w:val="single" w:sz="4" w:space="0" w:color="000000"/>
              <w:right w:val="single" w:sz="8" w:space="0" w:color="000000"/>
            </w:tcBorders>
          </w:tcPr>
          <w:p>
            <w:pPr>
              <w:pStyle w:val="TableParagraph"/>
              <w:spacing w:before="5"/>
              <w:rPr>
                <w:b/>
                <w:sz w:val="19"/>
              </w:rPr>
            </w:pPr>
          </w:p>
          <w:p>
            <w:pPr>
              <w:pStyle w:val="TableParagraph"/>
              <w:ind w:right="62"/>
              <w:jc w:val="right"/>
              <w:rPr>
                <w:sz w:val="20"/>
              </w:rPr>
            </w:pPr>
            <w:r>
              <w:rPr>
                <w:w w:val="99"/>
                <w:sz w:val="20"/>
              </w:rPr>
              <w:t>6</w:t>
            </w:r>
          </w:p>
        </w:tc>
      </w:tr>
      <w:tr>
        <w:trPr>
          <w:trHeight w:val="286" w:hRule="exact"/>
        </w:trPr>
        <w:tc>
          <w:tcPr>
            <w:tcW w:w="3568" w:type="dxa"/>
            <w:tcBorders>
              <w:top w:val="single" w:sz="4" w:space="0" w:color="000000"/>
              <w:left w:val="single" w:sz="8" w:space="0" w:color="000000"/>
              <w:bottom w:val="single" w:sz="8" w:space="0" w:color="000000"/>
              <w:right w:val="single" w:sz="4" w:space="0" w:color="000000"/>
            </w:tcBorders>
          </w:tcPr>
          <w:p>
            <w:pPr>
              <w:pStyle w:val="TableParagraph"/>
              <w:spacing w:before="34"/>
              <w:ind w:left="60" w:right="80"/>
              <w:rPr>
                <w:sz w:val="20"/>
              </w:rPr>
            </w:pPr>
            <w:r>
              <w:rPr>
                <w:sz w:val="20"/>
              </w:rPr>
              <w:t>INGLES II</w:t>
            </w:r>
          </w:p>
        </w:tc>
        <w:tc>
          <w:tcPr>
            <w:tcW w:w="843" w:type="dxa"/>
            <w:tcBorders>
              <w:top w:val="single" w:sz="4" w:space="0" w:color="000000"/>
              <w:left w:val="single" w:sz="4" w:space="0" w:color="000000"/>
              <w:bottom w:val="single" w:sz="8" w:space="0" w:color="000000"/>
              <w:right w:val="single" w:sz="4" w:space="0" w:color="000000"/>
            </w:tcBorders>
          </w:tcPr>
          <w:p>
            <w:pPr>
              <w:pStyle w:val="TableParagraph"/>
              <w:spacing w:before="34"/>
              <w:ind w:right="66"/>
              <w:jc w:val="right"/>
              <w:rPr>
                <w:sz w:val="20"/>
              </w:rPr>
            </w:pPr>
            <w:r>
              <w:rPr>
                <w:w w:val="99"/>
                <w:sz w:val="20"/>
              </w:rPr>
              <w:t>4</w:t>
            </w:r>
          </w:p>
        </w:tc>
        <w:tc>
          <w:tcPr>
            <w:tcW w:w="1025" w:type="dxa"/>
            <w:tcBorders>
              <w:top w:val="single" w:sz="4" w:space="0" w:color="000000"/>
              <w:left w:val="single" w:sz="4" w:space="0" w:color="000000"/>
              <w:bottom w:val="single" w:sz="8" w:space="0" w:color="000000"/>
              <w:right w:val="single" w:sz="4" w:space="0" w:color="000000"/>
            </w:tcBorders>
          </w:tcPr>
          <w:p>
            <w:pPr>
              <w:pStyle w:val="TableParagraph"/>
              <w:spacing w:before="34"/>
              <w:ind w:right="65"/>
              <w:jc w:val="right"/>
              <w:rPr>
                <w:sz w:val="20"/>
              </w:rPr>
            </w:pPr>
            <w:r>
              <w:rPr>
                <w:w w:val="99"/>
                <w:sz w:val="20"/>
              </w:rPr>
              <w:t>4</w:t>
            </w:r>
          </w:p>
        </w:tc>
        <w:tc>
          <w:tcPr>
            <w:tcW w:w="1195" w:type="dxa"/>
            <w:tcBorders>
              <w:top w:val="single" w:sz="4" w:space="0" w:color="000000"/>
              <w:left w:val="single" w:sz="4" w:space="0" w:color="000000"/>
              <w:bottom w:val="single" w:sz="8" w:space="0" w:color="000000"/>
              <w:right w:val="single" w:sz="4" w:space="0" w:color="000000"/>
            </w:tcBorders>
          </w:tcPr>
          <w:p>
            <w:pPr>
              <w:pStyle w:val="TableParagraph"/>
              <w:spacing w:before="34"/>
              <w:ind w:right="65"/>
              <w:jc w:val="right"/>
              <w:rPr>
                <w:sz w:val="20"/>
              </w:rPr>
            </w:pPr>
            <w:r>
              <w:rPr>
                <w:w w:val="99"/>
                <w:sz w:val="20"/>
              </w:rPr>
              <w:t>0</w:t>
            </w:r>
          </w:p>
        </w:tc>
        <w:tc>
          <w:tcPr>
            <w:tcW w:w="1188" w:type="dxa"/>
            <w:tcBorders>
              <w:top w:val="single" w:sz="4" w:space="0" w:color="000000"/>
              <w:left w:val="single" w:sz="4" w:space="0" w:color="000000"/>
              <w:bottom w:val="single" w:sz="8" w:space="0" w:color="000000"/>
              <w:right w:val="single" w:sz="8" w:space="0" w:color="000000"/>
            </w:tcBorders>
          </w:tcPr>
          <w:p>
            <w:pPr>
              <w:pStyle w:val="TableParagraph"/>
              <w:spacing w:before="34"/>
              <w:ind w:right="62"/>
              <w:jc w:val="right"/>
              <w:rPr>
                <w:sz w:val="20"/>
              </w:rPr>
            </w:pPr>
            <w:r>
              <w:rPr>
                <w:w w:val="99"/>
                <w:sz w:val="20"/>
              </w:rPr>
              <w:t>8</w:t>
            </w:r>
          </w:p>
        </w:tc>
      </w:tr>
      <w:tr>
        <w:trPr>
          <w:trHeight w:val="385" w:hRule="exact"/>
        </w:trPr>
        <w:tc>
          <w:tcPr>
            <w:tcW w:w="3568" w:type="dxa"/>
            <w:tcBorders>
              <w:top w:val="single" w:sz="8" w:space="0" w:color="000000"/>
              <w:left w:val="nil"/>
              <w:bottom w:val="nil"/>
              <w:right w:val="nil"/>
            </w:tcBorders>
          </w:tcPr>
          <w:p>
            <w:pPr>
              <w:pStyle w:val="TableParagraph"/>
              <w:spacing w:before="19"/>
              <w:ind w:left="70"/>
              <w:rPr>
                <w:sz w:val="20"/>
              </w:rPr>
            </w:pPr>
            <w:r>
              <w:rPr>
                <w:sz w:val="20"/>
              </w:rPr>
              <w:t>TOTAL</w:t>
            </w:r>
          </w:p>
        </w:tc>
        <w:tc>
          <w:tcPr>
            <w:tcW w:w="843" w:type="dxa"/>
            <w:tcBorders>
              <w:top w:val="single" w:sz="8" w:space="0" w:color="000000"/>
              <w:left w:val="nil"/>
              <w:bottom w:val="nil"/>
              <w:right w:val="nil"/>
            </w:tcBorders>
          </w:tcPr>
          <w:p>
            <w:pPr>
              <w:pStyle w:val="TableParagraph"/>
              <w:spacing w:before="19"/>
              <w:ind w:right="69"/>
              <w:jc w:val="right"/>
              <w:rPr>
                <w:sz w:val="20"/>
              </w:rPr>
            </w:pPr>
            <w:r>
              <w:rPr>
                <w:sz w:val="20"/>
              </w:rPr>
              <w:t>28</w:t>
            </w:r>
          </w:p>
        </w:tc>
        <w:tc>
          <w:tcPr>
            <w:tcW w:w="1025" w:type="dxa"/>
            <w:tcBorders>
              <w:top w:val="single" w:sz="8" w:space="0" w:color="000000"/>
              <w:left w:val="nil"/>
              <w:bottom w:val="nil"/>
              <w:right w:val="nil"/>
            </w:tcBorders>
          </w:tcPr>
          <w:p>
            <w:pPr>
              <w:pStyle w:val="TableParagraph"/>
              <w:spacing w:before="19"/>
              <w:ind w:right="65"/>
              <w:jc w:val="right"/>
              <w:rPr>
                <w:sz w:val="20"/>
              </w:rPr>
            </w:pPr>
            <w:r>
              <w:rPr>
                <w:sz w:val="20"/>
              </w:rPr>
              <w:t>20</w:t>
            </w:r>
          </w:p>
        </w:tc>
        <w:tc>
          <w:tcPr>
            <w:tcW w:w="1195" w:type="dxa"/>
            <w:tcBorders>
              <w:top w:val="single" w:sz="8" w:space="0" w:color="000000"/>
              <w:left w:val="nil"/>
              <w:bottom w:val="nil"/>
              <w:right w:val="nil"/>
            </w:tcBorders>
          </w:tcPr>
          <w:p>
            <w:pPr>
              <w:pStyle w:val="TableParagraph"/>
              <w:spacing w:before="19"/>
              <w:ind w:right="68"/>
              <w:jc w:val="right"/>
              <w:rPr>
                <w:sz w:val="20"/>
              </w:rPr>
            </w:pPr>
            <w:r>
              <w:rPr>
                <w:w w:val="99"/>
                <w:sz w:val="20"/>
              </w:rPr>
              <w:t>8</w:t>
            </w:r>
          </w:p>
        </w:tc>
        <w:tc>
          <w:tcPr>
            <w:tcW w:w="1188" w:type="dxa"/>
            <w:tcBorders>
              <w:top w:val="single" w:sz="8" w:space="0" w:color="000000"/>
              <w:left w:val="nil"/>
              <w:bottom w:val="nil"/>
              <w:right w:val="nil"/>
            </w:tcBorders>
          </w:tcPr>
          <w:p>
            <w:pPr>
              <w:pStyle w:val="TableParagraph"/>
              <w:spacing w:before="19"/>
              <w:ind w:right="68"/>
              <w:jc w:val="right"/>
              <w:rPr>
                <w:sz w:val="20"/>
              </w:rPr>
            </w:pPr>
            <w:r>
              <w:rPr>
                <w:sz w:val="20"/>
              </w:rPr>
              <w:t>48</w:t>
            </w:r>
          </w:p>
        </w:tc>
      </w:tr>
      <w:tr>
        <w:trPr>
          <w:trHeight w:val="350" w:hRule="exact"/>
        </w:trPr>
        <w:tc>
          <w:tcPr>
            <w:tcW w:w="3568" w:type="dxa"/>
            <w:tcBorders>
              <w:top w:val="nil"/>
              <w:left w:val="nil"/>
              <w:bottom w:val="single" w:sz="8" w:space="0" w:color="000000"/>
              <w:right w:val="nil"/>
            </w:tcBorders>
          </w:tcPr>
          <w:p>
            <w:pPr>
              <w:pStyle w:val="TableParagraph"/>
              <w:spacing w:before="103"/>
              <w:ind w:left="70"/>
              <w:rPr>
                <w:sz w:val="20"/>
              </w:rPr>
            </w:pPr>
            <w:r>
              <w:rPr>
                <w:sz w:val="20"/>
              </w:rPr>
              <w:t>TERCER SEMESTRE</w:t>
            </w:r>
          </w:p>
        </w:tc>
        <w:tc>
          <w:tcPr>
            <w:tcW w:w="843" w:type="dxa"/>
            <w:tcBorders>
              <w:top w:val="nil"/>
              <w:left w:val="nil"/>
              <w:bottom w:val="single" w:sz="8" w:space="0" w:color="000000"/>
              <w:right w:val="nil"/>
            </w:tcBorders>
          </w:tcPr>
          <w:p>
            <w:pPr/>
          </w:p>
        </w:tc>
        <w:tc>
          <w:tcPr>
            <w:tcW w:w="1025" w:type="dxa"/>
            <w:tcBorders>
              <w:top w:val="nil"/>
              <w:left w:val="nil"/>
              <w:bottom w:val="single" w:sz="8" w:space="0" w:color="000000"/>
              <w:right w:val="nil"/>
            </w:tcBorders>
          </w:tcPr>
          <w:p>
            <w:pPr/>
          </w:p>
        </w:tc>
        <w:tc>
          <w:tcPr>
            <w:tcW w:w="1195" w:type="dxa"/>
            <w:tcBorders>
              <w:top w:val="nil"/>
              <w:left w:val="nil"/>
              <w:bottom w:val="single" w:sz="8" w:space="0" w:color="000000"/>
              <w:right w:val="nil"/>
            </w:tcBorders>
          </w:tcPr>
          <w:p>
            <w:pPr/>
          </w:p>
        </w:tc>
        <w:tc>
          <w:tcPr>
            <w:tcW w:w="1188" w:type="dxa"/>
            <w:tcBorders>
              <w:top w:val="nil"/>
              <w:left w:val="nil"/>
              <w:bottom w:val="single" w:sz="8" w:space="0" w:color="000000"/>
              <w:right w:val="nil"/>
            </w:tcBorders>
          </w:tcPr>
          <w:p>
            <w:pPr/>
          </w:p>
        </w:tc>
      </w:tr>
      <w:tr>
        <w:trPr>
          <w:trHeight w:val="475" w:hRule="exact"/>
        </w:trPr>
        <w:tc>
          <w:tcPr>
            <w:tcW w:w="3568" w:type="dxa"/>
            <w:vMerge w:val="restart"/>
            <w:tcBorders>
              <w:top w:val="single" w:sz="8" w:space="0" w:color="000000"/>
              <w:left w:val="single" w:sz="8" w:space="0" w:color="000000"/>
              <w:right w:val="single" w:sz="4" w:space="0" w:color="000000"/>
            </w:tcBorders>
          </w:tcPr>
          <w:p>
            <w:pPr/>
          </w:p>
        </w:tc>
        <w:tc>
          <w:tcPr>
            <w:tcW w:w="1868" w:type="dxa"/>
            <w:gridSpan w:val="2"/>
            <w:tcBorders>
              <w:top w:val="single" w:sz="8" w:space="0" w:color="000000"/>
              <w:left w:val="single" w:sz="4" w:space="0" w:color="000000"/>
              <w:bottom w:val="single" w:sz="4" w:space="0" w:color="000000"/>
              <w:right w:val="single" w:sz="4" w:space="0" w:color="000000"/>
            </w:tcBorders>
          </w:tcPr>
          <w:p>
            <w:pPr>
              <w:pStyle w:val="TableParagraph"/>
              <w:ind w:left="907" w:right="64"/>
              <w:rPr>
                <w:b/>
                <w:sz w:val="20"/>
              </w:rPr>
            </w:pPr>
            <w:r>
              <w:rPr>
                <w:b/>
                <w:sz w:val="20"/>
              </w:rPr>
              <w:t>HORAS SEMANA</w:t>
            </w:r>
          </w:p>
        </w:tc>
        <w:tc>
          <w:tcPr>
            <w:tcW w:w="1195" w:type="dxa"/>
            <w:tcBorders>
              <w:top w:val="single" w:sz="8" w:space="0" w:color="000000"/>
              <w:left w:val="single" w:sz="4" w:space="0" w:color="000000"/>
              <w:bottom w:val="single" w:sz="4" w:space="0" w:color="000000"/>
              <w:right w:val="single" w:sz="4" w:space="0" w:color="000000"/>
            </w:tcBorders>
          </w:tcPr>
          <w:p>
            <w:pPr/>
          </w:p>
        </w:tc>
        <w:tc>
          <w:tcPr>
            <w:tcW w:w="1188" w:type="dxa"/>
            <w:vMerge w:val="restart"/>
            <w:tcBorders>
              <w:top w:val="single" w:sz="8" w:space="0" w:color="000000"/>
              <w:left w:val="single" w:sz="4" w:space="0" w:color="000000"/>
              <w:right w:val="single" w:sz="8" w:space="0" w:color="000000"/>
            </w:tcBorders>
          </w:tcPr>
          <w:p>
            <w:pPr>
              <w:pStyle w:val="TableParagraph"/>
              <w:rPr>
                <w:b/>
                <w:sz w:val="20"/>
              </w:rPr>
            </w:pPr>
          </w:p>
          <w:p>
            <w:pPr>
              <w:pStyle w:val="TableParagraph"/>
              <w:rPr>
                <w:b/>
                <w:sz w:val="23"/>
              </w:rPr>
            </w:pPr>
          </w:p>
          <w:p>
            <w:pPr>
              <w:pStyle w:val="TableParagraph"/>
              <w:ind w:left="64"/>
              <w:rPr>
                <w:b/>
                <w:sz w:val="20"/>
              </w:rPr>
            </w:pPr>
            <w:r>
              <w:rPr>
                <w:b/>
                <w:sz w:val="20"/>
              </w:rPr>
              <w:t>CREDITOS</w:t>
            </w:r>
          </w:p>
        </w:tc>
      </w:tr>
      <w:tr>
        <w:trPr>
          <w:trHeight w:val="264" w:hRule="exact"/>
        </w:trPr>
        <w:tc>
          <w:tcPr>
            <w:tcW w:w="3568" w:type="dxa"/>
            <w:vMerge/>
            <w:tcBorders>
              <w:left w:val="single" w:sz="8" w:space="0" w:color="000000"/>
              <w:bottom w:val="single" w:sz="4" w:space="0" w:color="000000"/>
              <w:right w:val="single" w:sz="4" w:space="0" w:color="000000"/>
            </w:tcBorders>
          </w:tcPr>
          <w:p>
            <w:pP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24"/>
              <w:ind w:right="67"/>
              <w:jc w:val="right"/>
              <w:rPr>
                <w:b/>
                <w:sz w:val="20"/>
              </w:rPr>
            </w:pPr>
            <w:r>
              <w:rPr>
                <w:b/>
                <w:w w:val="95"/>
                <w:sz w:val="20"/>
              </w:rPr>
              <w:t>TOTAL</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24"/>
              <w:ind w:left="64"/>
              <w:rPr>
                <w:b/>
                <w:sz w:val="20"/>
              </w:rPr>
            </w:pPr>
            <w:r>
              <w:rPr>
                <w:b/>
                <w:sz w:val="20"/>
              </w:rPr>
              <w:t>TEORIA</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24"/>
              <w:ind w:right="66"/>
              <w:jc w:val="right"/>
              <w:rPr>
                <w:b/>
                <w:sz w:val="20"/>
              </w:rPr>
            </w:pPr>
            <w:r>
              <w:rPr>
                <w:b/>
                <w:w w:val="95"/>
                <w:sz w:val="20"/>
              </w:rPr>
              <w:t>PRACTICA</w:t>
            </w:r>
          </w:p>
        </w:tc>
        <w:tc>
          <w:tcPr>
            <w:tcW w:w="1188" w:type="dxa"/>
            <w:vMerge/>
            <w:tcBorders>
              <w:left w:val="single" w:sz="4" w:space="0" w:color="000000"/>
              <w:bottom w:val="single" w:sz="4" w:space="0" w:color="000000"/>
              <w:right w:val="single" w:sz="8" w:space="0" w:color="000000"/>
            </w:tcBorders>
          </w:tcPr>
          <w:p>
            <w:pPr/>
          </w:p>
        </w:tc>
      </w:tr>
      <w:tr>
        <w:trPr>
          <w:trHeight w:val="267"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20"/>
              <w:ind w:left="60" w:right="80"/>
              <w:rPr>
                <w:sz w:val="20"/>
              </w:rPr>
            </w:pPr>
            <w:r>
              <w:rPr>
                <w:sz w:val="20"/>
              </w:rPr>
              <w:t>TEORIA ECONOMICA II</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20"/>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20"/>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20"/>
              <w:ind w:right="65"/>
              <w:jc w:val="right"/>
              <w:rPr>
                <w:sz w:val="20"/>
              </w:rPr>
            </w:pPr>
            <w:r>
              <w:rPr>
                <w:w w:val="99"/>
                <w:sz w:val="20"/>
              </w:rPr>
              <w:t>2</w:t>
            </w:r>
          </w:p>
        </w:tc>
        <w:tc>
          <w:tcPr>
            <w:tcW w:w="1188" w:type="dxa"/>
            <w:tcBorders>
              <w:top w:val="single" w:sz="4" w:space="0" w:color="000000"/>
              <w:left w:val="single" w:sz="4" w:space="0" w:color="000000"/>
              <w:bottom w:val="single" w:sz="4" w:space="0" w:color="000000"/>
              <w:right w:val="single" w:sz="8" w:space="0" w:color="000000"/>
            </w:tcBorders>
          </w:tcPr>
          <w:p>
            <w:pPr>
              <w:pStyle w:val="TableParagraph"/>
              <w:spacing w:before="20"/>
              <w:ind w:right="59"/>
              <w:jc w:val="right"/>
              <w:rPr>
                <w:sz w:val="20"/>
              </w:rPr>
            </w:pPr>
            <w:r>
              <w:rPr>
                <w:sz w:val="20"/>
              </w:rPr>
              <w:t>10</w:t>
            </w:r>
          </w:p>
        </w:tc>
      </w:tr>
      <w:tr>
        <w:trPr>
          <w:trHeight w:val="264"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19"/>
              <w:ind w:left="60" w:right="80"/>
              <w:rPr>
                <w:sz w:val="20"/>
              </w:rPr>
            </w:pPr>
            <w:r>
              <w:rPr>
                <w:sz w:val="20"/>
              </w:rPr>
              <w:t>MATEMATICAS III</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9"/>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2</w:t>
            </w:r>
          </w:p>
        </w:tc>
        <w:tc>
          <w:tcPr>
            <w:tcW w:w="1188" w:type="dxa"/>
            <w:tcBorders>
              <w:top w:val="single" w:sz="4" w:space="0" w:color="000000"/>
              <w:left w:val="single" w:sz="4" w:space="0" w:color="000000"/>
              <w:bottom w:val="single" w:sz="4" w:space="0" w:color="000000"/>
              <w:right w:val="single" w:sz="8" w:space="0" w:color="000000"/>
            </w:tcBorders>
          </w:tcPr>
          <w:p>
            <w:pPr>
              <w:pStyle w:val="TableParagraph"/>
              <w:spacing w:before="19"/>
              <w:ind w:right="59"/>
              <w:jc w:val="right"/>
              <w:rPr>
                <w:sz w:val="20"/>
              </w:rPr>
            </w:pPr>
            <w:r>
              <w:rPr>
                <w:sz w:val="20"/>
              </w:rPr>
              <w:t>10</w:t>
            </w:r>
          </w:p>
        </w:tc>
      </w:tr>
      <w:tr>
        <w:trPr>
          <w:trHeight w:val="470"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ind w:left="60" w:right="80"/>
              <w:rPr>
                <w:sz w:val="20"/>
              </w:rPr>
            </w:pPr>
            <w:r>
              <w:rPr>
                <w:sz w:val="20"/>
              </w:rPr>
              <w:t>HISTORIA ECONOMICA DE AMERICA LATINA</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6"/>
              <w:jc w:val="right"/>
              <w:rPr>
                <w:sz w:val="20"/>
              </w:rPr>
            </w:pPr>
            <w:r>
              <w:rPr>
                <w:w w:val="99"/>
                <w:sz w:val="20"/>
              </w:rPr>
              <w:t>4</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5"/>
              <w:rPr>
                <w:b/>
                <w:sz w:val="19"/>
              </w:rPr>
            </w:pPr>
          </w:p>
          <w:p>
            <w:pPr>
              <w:pStyle w:val="TableParagraph"/>
              <w:ind w:right="65"/>
              <w:jc w:val="right"/>
              <w:rPr>
                <w:sz w:val="20"/>
              </w:rPr>
            </w:pPr>
            <w:r>
              <w:rPr>
                <w:w w:val="99"/>
                <w:sz w:val="20"/>
              </w:rPr>
              <w:t>0</w:t>
            </w:r>
          </w:p>
        </w:tc>
        <w:tc>
          <w:tcPr>
            <w:tcW w:w="1188" w:type="dxa"/>
            <w:tcBorders>
              <w:top w:val="single" w:sz="4" w:space="0" w:color="000000"/>
              <w:left w:val="single" w:sz="4" w:space="0" w:color="000000"/>
              <w:bottom w:val="single" w:sz="4" w:space="0" w:color="000000"/>
              <w:right w:val="single" w:sz="8" w:space="0" w:color="000000"/>
            </w:tcBorders>
          </w:tcPr>
          <w:p>
            <w:pPr>
              <w:pStyle w:val="TableParagraph"/>
              <w:spacing w:before="5"/>
              <w:rPr>
                <w:b/>
                <w:sz w:val="19"/>
              </w:rPr>
            </w:pPr>
          </w:p>
          <w:p>
            <w:pPr>
              <w:pStyle w:val="TableParagraph"/>
              <w:ind w:right="62"/>
              <w:jc w:val="right"/>
              <w:rPr>
                <w:sz w:val="20"/>
              </w:rPr>
            </w:pPr>
            <w:r>
              <w:rPr>
                <w:w w:val="99"/>
                <w:sz w:val="20"/>
              </w:rPr>
              <w:t>8</w:t>
            </w:r>
          </w:p>
        </w:tc>
      </w:tr>
      <w:tr>
        <w:trPr>
          <w:trHeight w:val="482" w:hRule="exact"/>
        </w:trPr>
        <w:tc>
          <w:tcPr>
            <w:tcW w:w="3568" w:type="dxa"/>
            <w:tcBorders>
              <w:top w:val="single" w:sz="4" w:space="0" w:color="000000"/>
              <w:left w:val="single" w:sz="8" w:space="0" w:color="000000"/>
              <w:bottom w:val="nil"/>
              <w:right w:val="single" w:sz="4" w:space="0" w:color="000000"/>
            </w:tcBorders>
          </w:tcPr>
          <w:p>
            <w:pPr>
              <w:pStyle w:val="TableParagraph"/>
              <w:ind w:left="60"/>
              <w:rPr>
                <w:sz w:val="20"/>
              </w:rPr>
            </w:pPr>
            <w:r>
              <w:rPr>
                <w:sz w:val="20"/>
              </w:rPr>
              <w:t>TALLER DE INVESTIGACION SOBRE POBLACION</w:t>
            </w:r>
          </w:p>
        </w:tc>
        <w:tc>
          <w:tcPr>
            <w:tcW w:w="843" w:type="dxa"/>
            <w:vMerge w:val="restart"/>
            <w:tcBorders>
              <w:top w:val="single" w:sz="4" w:space="0" w:color="000000"/>
              <w:left w:val="single" w:sz="4" w:space="0" w:color="000000"/>
              <w:right w:val="single" w:sz="4" w:space="0" w:color="000000"/>
            </w:tcBorders>
          </w:tcPr>
          <w:p>
            <w:pPr>
              <w:pStyle w:val="TableParagraph"/>
              <w:rPr>
                <w:b/>
                <w:sz w:val="20"/>
              </w:rPr>
            </w:pPr>
          </w:p>
          <w:p>
            <w:pPr>
              <w:pStyle w:val="TableParagraph"/>
              <w:spacing w:before="6"/>
              <w:rPr>
                <w:b/>
                <w:sz w:val="21"/>
              </w:rPr>
            </w:pPr>
          </w:p>
          <w:p>
            <w:pPr>
              <w:pStyle w:val="TableParagraph"/>
              <w:ind w:right="66"/>
              <w:jc w:val="right"/>
              <w:rPr>
                <w:sz w:val="20"/>
              </w:rPr>
            </w:pPr>
            <w:r>
              <w:rPr>
                <w:w w:val="99"/>
                <w:sz w:val="20"/>
              </w:rPr>
              <w:t>4</w:t>
            </w:r>
          </w:p>
        </w:tc>
        <w:tc>
          <w:tcPr>
            <w:tcW w:w="1025" w:type="dxa"/>
            <w:vMerge w:val="restart"/>
            <w:tcBorders>
              <w:top w:val="single" w:sz="4" w:space="0" w:color="000000"/>
              <w:left w:val="single" w:sz="4" w:space="0" w:color="000000"/>
              <w:right w:val="single" w:sz="4" w:space="0" w:color="000000"/>
            </w:tcBorders>
          </w:tcPr>
          <w:p>
            <w:pPr>
              <w:pStyle w:val="TableParagraph"/>
              <w:rPr>
                <w:b/>
                <w:sz w:val="20"/>
              </w:rPr>
            </w:pPr>
          </w:p>
          <w:p>
            <w:pPr>
              <w:pStyle w:val="TableParagraph"/>
              <w:spacing w:before="6"/>
              <w:rPr>
                <w:b/>
                <w:sz w:val="21"/>
              </w:rPr>
            </w:pPr>
          </w:p>
          <w:p>
            <w:pPr>
              <w:pStyle w:val="TableParagraph"/>
              <w:ind w:right="65"/>
              <w:jc w:val="right"/>
              <w:rPr>
                <w:sz w:val="20"/>
              </w:rPr>
            </w:pPr>
            <w:r>
              <w:rPr>
                <w:w w:val="99"/>
                <w:sz w:val="20"/>
              </w:rPr>
              <w:t>2</w:t>
            </w:r>
          </w:p>
        </w:tc>
        <w:tc>
          <w:tcPr>
            <w:tcW w:w="1195" w:type="dxa"/>
            <w:vMerge w:val="restart"/>
            <w:tcBorders>
              <w:top w:val="single" w:sz="4" w:space="0" w:color="000000"/>
              <w:left w:val="single" w:sz="4" w:space="0" w:color="000000"/>
              <w:right w:val="single" w:sz="4" w:space="0" w:color="000000"/>
            </w:tcBorders>
          </w:tcPr>
          <w:p>
            <w:pPr>
              <w:pStyle w:val="TableParagraph"/>
              <w:rPr>
                <w:b/>
                <w:sz w:val="20"/>
              </w:rPr>
            </w:pPr>
          </w:p>
          <w:p>
            <w:pPr>
              <w:pStyle w:val="TableParagraph"/>
              <w:spacing w:before="6"/>
              <w:rPr>
                <w:b/>
                <w:sz w:val="21"/>
              </w:rPr>
            </w:pPr>
          </w:p>
          <w:p>
            <w:pPr>
              <w:pStyle w:val="TableParagraph"/>
              <w:ind w:right="65"/>
              <w:jc w:val="right"/>
              <w:rPr>
                <w:sz w:val="20"/>
              </w:rPr>
            </w:pPr>
            <w:r>
              <w:rPr>
                <w:w w:val="99"/>
                <w:sz w:val="20"/>
              </w:rPr>
              <w:t>2</w:t>
            </w:r>
          </w:p>
        </w:tc>
        <w:tc>
          <w:tcPr>
            <w:tcW w:w="1188" w:type="dxa"/>
            <w:vMerge w:val="restart"/>
            <w:tcBorders>
              <w:top w:val="single" w:sz="4" w:space="0" w:color="000000"/>
              <w:left w:val="single" w:sz="4" w:space="0" w:color="000000"/>
              <w:right w:val="single" w:sz="8" w:space="0" w:color="000000"/>
            </w:tcBorders>
          </w:tcPr>
          <w:p>
            <w:pPr>
              <w:pStyle w:val="TableParagraph"/>
              <w:rPr>
                <w:b/>
                <w:sz w:val="20"/>
              </w:rPr>
            </w:pPr>
          </w:p>
          <w:p>
            <w:pPr>
              <w:pStyle w:val="TableParagraph"/>
              <w:spacing w:before="6"/>
              <w:rPr>
                <w:b/>
                <w:sz w:val="21"/>
              </w:rPr>
            </w:pPr>
          </w:p>
          <w:p>
            <w:pPr>
              <w:pStyle w:val="TableParagraph"/>
              <w:ind w:right="62"/>
              <w:jc w:val="right"/>
              <w:rPr>
                <w:sz w:val="20"/>
              </w:rPr>
            </w:pPr>
            <w:r>
              <w:rPr>
                <w:w w:val="99"/>
                <w:sz w:val="20"/>
              </w:rPr>
              <w:t>6</w:t>
            </w:r>
          </w:p>
        </w:tc>
      </w:tr>
      <w:tr>
        <w:trPr>
          <w:trHeight w:val="243" w:hRule="exact"/>
        </w:trPr>
        <w:tc>
          <w:tcPr>
            <w:tcW w:w="3568" w:type="dxa"/>
            <w:tcBorders>
              <w:top w:val="nil"/>
              <w:left w:val="single" w:sz="8" w:space="0" w:color="000000"/>
              <w:bottom w:val="single" w:sz="4" w:space="0" w:color="000000"/>
              <w:right w:val="single" w:sz="4" w:space="0" w:color="000000"/>
            </w:tcBorders>
          </w:tcPr>
          <w:p>
            <w:pPr>
              <w:pStyle w:val="TableParagraph"/>
              <w:spacing w:before="1"/>
              <w:ind w:left="60" w:right="80"/>
              <w:rPr>
                <w:sz w:val="20"/>
              </w:rPr>
            </w:pPr>
            <w:r>
              <w:rPr>
                <w:sz w:val="20"/>
              </w:rPr>
              <w:t>Y CONDICIONES DE VIDA</w:t>
            </w:r>
          </w:p>
        </w:tc>
        <w:tc>
          <w:tcPr>
            <w:tcW w:w="843" w:type="dxa"/>
            <w:vMerge/>
            <w:tcBorders>
              <w:left w:val="single" w:sz="4" w:space="0" w:color="000000"/>
              <w:bottom w:val="single" w:sz="4" w:space="0" w:color="000000"/>
              <w:right w:val="single" w:sz="4" w:space="0" w:color="000000"/>
            </w:tcBorders>
          </w:tcPr>
          <w:p>
            <w:pPr/>
          </w:p>
        </w:tc>
        <w:tc>
          <w:tcPr>
            <w:tcW w:w="1025" w:type="dxa"/>
            <w:vMerge/>
            <w:tcBorders>
              <w:left w:val="single" w:sz="4" w:space="0" w:color="000000"/>
              <w:bottom w:val="single" w:sz="4" w:space="0" w:color="000000"/>
              <w:right w:val="single" w:sz="4" w:space="0" w:color="000000"/>
            </w:tcBorders>
          </w:tcPr>
          <w:p>
            <w:pPr/>
          </w:p>
        </w:tc>
        <w:tc>
          <w:tcPr>
            <w:tcW w:w="1195" w:type="dxa"/>
            <w:vMerge/>
            <w:tcBorders>
              <w:left w:val="single" w:sz="4" w:space="0" w:color="000000"/>
              <w:bottom w:val="single" w:sz="4" w:space="0" w:color="000000"/>
              <w:right w:val="single" w:sz="4" w:space="0" w:color="000000"/>
            </w:tcBorders>
          </w:tcPr>
          <w:p>
            <w:pPr/>
          </w:p>
        </w:tc>
        <w:tc>
          <w:tcPr>
            <w:tcW w:w="1188" w:type="dxa"/>
            <w:vMerge/>
            <w:tcBorders>
              <w:left w:val="single" w:sz="4" w:space="0" w:color="000000"/>
              <w:bottom w:val="single" w:sz="4" w:space="0" w:color="000000"/>
              <w:right w:val="single" w:sz="8" w:space="0" w:color="000000"/>
            </w:tcBorders>
          </w:tcPr>
          <w:p>
            <w:pPr/>
          </w:p>
        </w:tc>
      </w:tr>
      <w:tr>
        <w:trPr>
          <w:trHeight w:val="266"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19"/>
              <w:ind w:left="60" w:right="80"/>
              <w:rPr>
                <w:sz w:val="20"/>
              </w:rPr>
            </w:pPr>
            <w:r>
              <w:rPr>
                <w:sz w:val="20"/>
              </w:rPr>
              <w:t>CONTABILIDAD NACIONAL</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9"/>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2</w:t>
            </w:r>
          </w:p>
        </w:tc>
        <w:tc>
          <w:tcPr>
            <w:tcW w:w="1188" w:type="dxa"/>
            <w:tcBorders>
              <w:top w:val="single" w:sz="4" w:space="0" w:color="000000"/>
              <w:left w:val="single" w:sz="4" w:space="0" w:color="000000"/>
              <w:bottom w:val="single" w:sz="4" w:space="0" w:color="000000"/>
              <w:right w:val="single" w:sz="8" w:space="0" w:color="000000"/>
            </w:tcBorders>
          </w:tcPr>
          <w:p>
            <w:pPr>
              <w:pStyle w:val="TableParagraph"/>
              <w:spacing w:before="19"/>
              <w:ind w:right="59"/>
              <w:jc w:val="right"/>
              <w:rPr>
                <w:sz w:val="20"/>
              </w:rPr>
            </w:pPr>
            <w:r>
              <w:rPr>
                <w:sz w:val="20"/>
              </w:rPr>
              <w:t>10</w:t>
            </w:r>
          </w:p>
        </w:tc>
      </w:tr>
      <w:tr>
        <w:trPr>
          <w:trHeight w:val="264"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17"/>
              <w:ind w:left="60" w:right="80"/>
              <w:rPr>
                <w:sz w:val="20"/>
              </w:rPr>
            </w:pPr>
            <w:r>
              <w:rPr>
                <w:sz w:val="20"/>
              </w:rPr>
              <w:t>INGLES III</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7"/>
              <w:ind w:right="66"/>
              <w:jc w:val="right"/>
              <w:rPr>
                <w:sz w:val="20"/>
              </w:rPr>
            </w:pPr>
            <w:r>
              <w:rPr>
                <w:w w:val="99"/>
                <w:sz w:val="20"/>
              </w:rPr>
              <w:t>4</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7"/>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7"/>
              <w:ind w:right="65"/>
              <w:jc w:val="right"/>
              <w:rPr>
                <w:sz w:val="20"/>
              </w:rPr>
            </w:pPr>
            <w:r>
              <w:rPr>
                <w:w w:val="99"/>
                <w:sz w:val="20"/>
              </w:rPr>
              <w:t>0</w:t>
            </w:r>
          </w:p>
        </w:tc>
        <w:tc>
          <w:tcPr>
            <w:tcW w:w="1188" w:type="dxa"/>
            <w:tcBorders>
              <w:top w:val="single" w:sz="4" w:space="0" w:color="000000"/>
              <w:left w:val="single" w:sz="4" w:space="0" w:color="000000"/>
              <w:bottom w:val="single" w:sz="4" w:space="0" w:color="000000"/>
              <w:right w:val="single" w:sz="8" w:space="0" w:color="000000"/>
            </w:tcBorders>
          </w:tcPr>
          <w:p>
            <w:pPr>
              <w:pStyle w:val="TableParagraph"/>
              <w:spacing w:before="17"/>
              <w:ind w:right="62"/>
              <w:jc w:val="right"/>
              <w:rPr>
                <w:sz w:val="20"/>
              </w:rPr>
            </w:pPr>
            <w:r>
              <w:rPr>
                <w:w w:val="99"/>
                <w:sz w:val="20"/>
              </w:rPr>
              <w:t>8</w:t>
            </w:r>
          </w:p>
        </w:tc>
      </w:tr>
      <w:tr>
        <w:trPr>
          <w:trHeight w:val="286" w:hRule="exact"/>
        </w:trPr>
        <w:tc>
          <w:tcPr>
            <w:tcW w:w="3568" w:type="dxa"/>
            <w:tcBorders>
              <w:top w:val="single" w:sz="4" w:space="0" w:color="000000"/>
              <w:left w:val="single" w:sz="8" w:space="0" w:color="000000"/>
              <w:bottom w:val="single" w:sz="8" w:space="0" w:color="000000"/>
              <w:right w:val="single" w:sz="4" w:space="0" w:color="000000"/>
            </w:tcBorders>
          </w:tcPr>
          <w:p>
            <w:pPr>
              <w:pStyle w:val="TableParagraph"/>
              <w:spacing w:before="34"/>
              <w:ind w:left="60" w:right="80"/>
              <w:rPr>
                <w:sz w:val="20"/>
              </w:rPr>
            </w:pPr>
            <w:r>
              <w:rPr>
                <w:sz w:val="20"/>
              </w:rPr>
              <w:t>GEOGRAFIA ECONOMICA</w:t>
            </w:r>
          </w:p>
        </w:tc>
        <w:tc>
          <w:tcPr>
            <w:tcW w:w="843" w:type="dxa"/>
            <w:tcBorders>
              <w:top w:val="single" w:sz="4" w:space="0" w:color="000000"/>
              <w:left w:val="single" w:sz="4" w:space="0" w:color="000000"/>
              <w:bottom w:val="single" w:sz="8" w:space="0" w:color="000000"/>
              <w:right w:val="single" w:sz="4" w:space="0" w:color="000000"/>
            </w:tcBorders>
          </w:tcPr>
          <w:p>
            <w:pPr>
              <w:pStyle w:val="TableParagraph"/>
              <w:spacing w:before="34"/>
              <w:ind w:right="66"/>
              <w:jc w:val="right"/>
              <w:rPr>
                <w:sz w:val="20"/>
              </w:rPr>
            </w:pPr>
            <w:r>
              <w:rPr>
                <w:w w:val="99"/>
                <w:sz w:val="20"/>
              </w:rPr>
              <w:t>4</w:t>
            </w:r>
          </w:p>
        </w:tc>
        <w:tc>
          <w:tcPr>
            <w:tcW w:w="1025" w:type="dxa"/>
            <w:tcBorders>
              <w:top w:val="single" w:sz="4" w:space="0" w:color="000000"/>
              <w:left w:val="single" w:sz="4" w:space="0" w:color="000000"/>
              <w:bottom w:val="single" w:sz="8" w:space="0" w:color="000000"/>
              <w:right w:val="single" w:sz="4" w:space="0" w:color="000000"/>
            </w:tcBorders>
          </w:tcPr>
          <w:p>
            <w:pPr>
              <w:pStyle w:val="TableParagraph"/>
              <w:spacing w:before="34"/>
              <w:ind w:right="65"/>
              <w:jc w:val="right"/>
              <w:rPr>
                <w:sz w:val="20"/>
              </w:rPr>
            </w:pPr>
            <w:r>
              <w:rPr>
                <w:w w:val="99"/>
                <w:sz w:val="20"/>
              </w:rPr>
              <w:t>2</w:t>
            </w:r>
          </w:p>
        </w:tc>
        <w:tc>
          <w:tcPr>
            <w:tcW w:w="1195" w:type="dxa"/>
            <w:tcBorders>
              <w:top w:val="single" w:sz="4" w:space="0" w:color="000000"/>
              <w:left w:val="single" w:sz="4" w:space="0" w:color="000000"/>
              <w:bottom w:val="single" w:sz="8" w:space="0" w:color="000000"/>
              <w:right w:val="single" w:sz="4" w:space="0" w:color="000000"/>
            </w:tcBorders>
          </w:tcPr>
          <w:p>
            <w:pPr>
              <w:pStyle w:val="TableParagraph"/>
              <w:spacing w:before="34"/>
              <w:ind w:right="65"/>
              <w:jc w:val="right"/>
              <w:rPr>
                <w:sz w:val="20"/>
              </w:rPr>
            </w:pPr>
            <w:r>
              <w:rPr>
                <w:w w:val="99"/>
                <w:sz w:val="20"/>
              </w:rPr>
              <w:t>2</w:t>
            </w:r>
          </w:p>
        </w:tc>
        <w:tc>
          <w:tcPr>
            <w:tcW w:w="1188" w:type="dxa"/>
            <w:tcBorders>
              <w:top w:val="single" w:sz="4" w:space="0" w:color="000000"/>
              <w:left w:val="single" w:sz="4" w:space="0" w:color="000000"/>
              <w:bottom w:val="single" w:sz="8" w:space="0" w:color="000000"/>
              <w:right w:val="single" w:sz="8" w:space="0" w:color="000000"/>
            </w:tcBorders>
          </w:tcPr>
          <w:p>
            <w:pPr>
              <w:pStyle w:val="TableParagraph"/>
              <w:spacing w:before="34"/>
              <w:ind w:right="62"/>
              <w:jc w:val="right"/>
              <w:rPr>
                <w:sz w:val="20"/>
              </w:rPr>
            </w:pPr>
            <w:r>
              <w:rPr>
                <w:w w:val="99"/>
                <w:sz w:val="20"/>
              </w:rPr>
              <w:t>6</w:t>
            </w:r>
          </w:p>
        </w:tc>
      </w:tr>
      <w:tr>
        <w:trPr>
          <w:trHeight w:val="253" w:hRule="exact"/>
        </w:trPr>
        <w:tc>
          <w:tcPr>
            <w:tcW w:w="3568" w:type="dxa"/>
            <w:tcBorders>
              <w:top w:val="single" w:sz="8" w:space="0" w:color="000000"/>
              <w:left w:val="nil"/>
              <w:bottom w:val="nil"/>
              <w:right w:val="nil"/>
            </w:tcBorders>
          </w:tcPr>
          <w:p>
            <w:pPr>
              <w:pStyle w:val="TableParagraph"/>
              <w:spacing w:before="17"/>
              <w:ind w:left="70"/>
              <w:rPr>
                <w:sz w:val="20"/>
              </w:rPr>
            </w:pPr>
            <w:r>
              <w:rPr>
                <w:sz w:val="20"/>
              </w:rPr>
              <w:t>TOTAL</w:t>
            </w:r>
          </w:p>
        </w:tc>
        <w:tc>
          <w:tcPr>
            <w:tcW w:w="843" w:type="dxa"/>
            <w:tcBorders>
              <w:top w:val="single" w:sz="8" w:space="0" w:color="000000"/>
              <w:left w:val="nil"/>
              <w:bottom w:val="nil"/>
              <w:right w:val="nil"/>
            </w:tcBorders>
          </w:tcPr>
          <w:p>
            <w:pPr>
              <w:pStyle w:val="TableParagraph"/>
              <w:spacing w:before="17"/>
              <w:ind w:right="69"/>
              <w:jc w:val="right"/>
              <w:rPr>
                <w:sz w:val="20"/>
              </w:rPr>
            </w:pPr>
            <w:r>
              <w:rPr>
                <w:sz w:val="20"/>
              </w:rPr>
              <w:t>34</w:t>
            </w:r>
          </w:p>
        </w:tc>
        <w:tc>
          <w:tcPr>
            <w:tcW w:w="1025" w:type="dxa"/>
            <w:tcBorders>
              <w:top w:val="single" w:sz="8" w:space="0" w:color="000000"/>
              <w:left w:val="nil"/>
              <w:bottom w:val="nil"/>
              <w:right w:val="nil"/>
            </w:tcBorders>
          </w:tcPr>
          <w:p>
            <w:pPr>
              <w:pStyle w:val="TableParagraph"/>
              <w:spacing w:before="17"/>
              <w:ind w:right="65"/>
              <w:jc w:val="right"/>
              <w:rPr>
                <w:sz w:val="20"/>
              </w:rPr>
            </w:pPr>
            <w:r>
              <w:rPr>
                <w:sz w:val="20"/>
              </w:rPr>
              <w:t>24</w:t>
            </w:r>
          </w:p>
        </w:tc>
        <w:tc>
          <w:tcPr>
            <w:tcW w:w="1195" w:type="dxa"/>
            <w:tcBorders>
              <w:top w:val="single" w:sz="8" w:space="0" w:color="000000"/>
              <w:left w:val="nil"/>
              <w:bottom w:val="nil"/>
              <w:right w:val="nil"/>
            </w:tcBorders>
          </w:tcPr>
          <w:p>
            <w:pPr>
              <w:pStyle w:val="TableParagraph"/>
              <w:spacing w:before="17"/>
              <w:ind w:right="65"/>
              <w:jc w:val="right"/>
              <w:rPr>
                <w:sz w:val="20"/>
              </w:rPr>
            </w:pPr>
            <w:r>
              <w:rPr>
                <w:sz w:val="20"/>
              </w:rPr>
              <w:t>10</w:t>
            </w:r>
          </w:p>
        </w:tc>
        <w:tc>
          <w:tcPr>
            <w:tcW w:w="1188" w:type="dxa"/>
            <w:tcBorders>
              <w:top w:val="single" w:sz="8" w:space="0" w:color="000000"/>
              <w:left w:val="nil"/>
              <w:bottom w:val="nil"/>
              <w:right w:val="nil"/>
            </w:tcBorders>
          </w:tcPr>
          <w:p>
            <w:pPr>
              <w:pStyle w:val="TableParagraph"/>
              <w:spacing w:before="17"/>
              <w:ind w:right="68"/>
              <w:jc w:val="right"/>
              <w:rPr>
                <w:sz w:val="20"/>
              </w:rPr>
            </w:pPr>
            <w:r>
              <w:rPr>
                <w:sz w:val="20"/>
              </w:rPr>
              <w:t>58</w:t>
            </w:r>
          </w:p>
        </w:tc>
      </w:tr>
    </w:tbl>
    <w:p>
      <w:pPr>
        <w:spacing w:after="0"/>
        <w:jc w:val="right"/>
        <w:rPr>
          <w:sz w:val="20"/>
        </w:rPr>
        <w:sectPr>
          <w:pgSz w:w="12240" w:h="15840"/>
          <w:pgMar w:header="0" w:footer="943" w:top="1360" w:bottom="1200" w:left="1600" w:right="1580"/>
        </w:sectPr>
      </w:pPr>
    </w:p>
    <w:p>
      <w:pPr>
        <w:pStyle w:val="BodyText"/>
        <w:spacing w:before="5"/>
        <w:rPr>
          <w:sz w:val="14"/>
        </w:rPr>
      </w:pPr>
    </w:p>
    <w:tbl>
      <w:tblPr>
        <w:tblW w:w="0" w:type="auto"/>
        <w:jc w:val="left"/>
        <w:tblInd w:w="48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68"/>
        <w:gridCol w:w="843"/>
        <w:gridCol w:w="1025"/>
        <w:gridCol w:w="1195"/>
        <w:gridCol w:w="1187"/>
      </w:tblGrid>
      <w:tr>
        <w:trPr>
          <w:trHeight w:val="220" w:hRule="exact"/>
        </w:trPr>
        <w:tc>
          <w:tcPr>
            <w:tcW w:w="7818" w:type="dxa"/>
            <w:gridSpan w:val="5"/>
            <w:tcBorders>
              <w:bottom w:val="single" w:sz="8" w:space="0" w:color="000000"/>
            </w:tcBorders>
          </w:tcPr>
          <w:p>
            <w:pPr>
              <w:pStyle w:val="TableParagraph"/>
              <w:spacing w:line="204" w:lineRule="exact"/>
              <w:ind w:left="70"/>
              <w:rPr>
                <w:sz w:val="20"/>
              </w:rPr>
            </w:pPr>
            <w:r>
              <w:rPr>
                <w:sz w:val="20"/>
              </w:rPr>
              <w:t>CUARTO SEMESTRE</w:t>
            </w:r>
          </w:p>
        </w:tc>
      </w:tr>
      <w:tr>
        <w:trPr>
          <w:trHeight w:val="475" w:hRule="exact"/>
        </w:trPr>
        <w:tc>
          <w:tcPr>
            <w:tcW w:w="3568" w:type="dxa"/>
            <w:vMerge w:val="restart"/>
            <w:tcBorders>
              <w:top w:val="single" w:sz="8" w:space="0" w:color="000000"/>
              <w:left w:val="single" w:sz="8" w:space="0" w:color="000000"/>
              <w:right w:val="single" w:sz="4" w:space="0" w:color="000000"/>
            </w:tcBorders>
          </w:tcPr>
          <w:p>
            <w:pPr/>
          </w:p>
        </w:tc>
        <w:tc>
          <w:tcPr>
            <w:tcW w:w="1868" w:type="dxa"/>
            <w:gridSpan w:val="2"/>
            <w:tcBorders>
              <w:top w:val="single" w:sz="8" w:space="0" w:color="000000"/>
              <w:left w:val="single" w:sz="4" w:space="0" w:color="000000"/>
              <w:bottom w:val="single" w:sz="4" w:space="0" w:color="000000"/>
              <w:right w:val="single" w:sz="4" w:space="0" w:color="000000"/>
            </w:tcBorders>
          </w:tcPr>
          <w:p>
            <w:pPr>
              <w:pStyle w:val="TableParagraph"/>
              <w:ind w:left="907" w:right="64"/>
              <w:rPr>
                <w:b/>
                <w:sz w:val="20"/>
              </w:rPr>
            </w:pPr>
            <w:r>
              <w:rPr>
                <w:b/>
                <w:sz w:val="20"/>
              </w:rPr>
              <w:t>HORAS SEMANA</w:t>
            </w:r>
          </w:p>
        </w:tc>
        <w:tc>
          <w:tcPr>
            <w:tcW w:w="1195" w:type="dxa"/>
            <w:tcBorders>
              <w:top w:val="single" w:sz="8" w:space="0" w:color="000000"/>
              <w:left w:val="single" w:sz="4" w:space="0" w:color="000000"/>
              <w:bottom w:val="single" w:sz="4" w:space="0" w:color="000000"/>
              <w:right w:val="single" w:sz="4" w:space="0" w:color="000000"/>
            </w:tcBorders>
          </w:tcPr>
          <w:p>
            <w:pPr/>
          </w:p>
        </w:tc>
        <w:tc>
          <w:tcPr>
            <w:tcW w:w="1187" w:type="dxa"/>
            <w:vMerge w:val="restart"/>
            <w:tcBorders>
              <w:top w:val="single" w:sz="8" w:space="0" w:color="000000"/>
              <w:left w:val="single" w:sz="4" w:space="0" w:color="000000"/>
              <w:right w:val="single" w:sz="8" w:space="0" w:color="000000"/>
            </w:tcBorders>
          </w:tcPr>
          <w:p>
            <w:pPr>
              <w:pStyle w:val="TableParagraph"/>
              <w:rPr>
                <w:sz w:val="20"/>
              </w:rPr>
            </w:pPr>
          </w:p>
          <w:p>
            <w:pPr>
              <w:pStyle w:val="TableParagraph"/>
              <w:rPr>
                <w:sz w:val="23"/>
              </w:rPr>
            </w:pPr>
          </w:p>
          <w:p>
            <w:pPr>
              <w:pStyle w:val="TableParagraph"/>
              <w:ind w:left="64"/>
              <w:rPr>
                <w:b/>
                <w:sz w:val="20"/>
              </w:rPr>
            </w:pPr>
            <w:r>
              <w:rPr>
                <w:b/>
                <w:sz w:val="20"/>
              </w:rPr>
              <w:t>CREDITOS</w:t>
            </w:r>
          </w:p>
        </w:tc>
      </w:tr>
      <w:tr>
        <w:trPr>
          <w:trHeight w:val="264" w:hRule="exact"/>
        </w:trPr>
        <w:tc>
          <w:tcPr>
            <w:tcW w:w="3568" w:type="dxa"/>
            <w:vMerge/>
            <w:tcBorders>
              <w:left w:val="single" w:sz="8" w:space="0" w:color="000000"/>
              <w:bottom w:val="single" w:sz="4" w:space="0" w:color="000000"/>
              <w:right w:val="single" w:sz="4" w:space="0" w:color="000000"/>
            </w:tcBorders>
          </w:tcPr>
          <w:p>
            <w:pP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24"/>
              <w:ind w:right="67"/>
              <w:jc w:val="right"/>
              <w:rPr>
                <w:b/>
                <w:sz w:val="20"/>
              </w:rPr>
            </w:pPr>
            <w:r>
              <w:rPr>
                <w:b/>
                <w:w w:val="95"/>
                <w:sz w:val="20"/>
              </w:rPr>
              <w:t>TOTAL</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24"/>
              <w:ind w:left="64"/>
              <w:rPr>
                <w:b/>
                <w:sz w:val="20"/>
              </w:rPr>
            </w:pPr>
            <w:r>
              <w:rPr>
                <w:b/>
                <w:sz w:val="20"/>
              </w:rPr>
              <w:t>TEORIA</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24"/>
              <w:ind w:right="66"/>
              <w:jc w:val="right"/>
              <w:rPr>
                <w:b/>
                <w:sz w:val="20"/>
              </w:rPr>
            </w:pPr>
            <w:r>
              <w:rPr>
                <w:b/>
                <w:w w:val="95"/>
                <w:sz w:val="20"/>
              </w:rPr>
              <w:t>PRACTICA</w:t>
            </w:r>
          </w:p>
        </w:tc>
        <w:tc>
          <w:tcPr>
            <w:tcW w:w="1187" w:type="dxa"/>
            <w:vMerge/>
            <w:tcBorders>
              <w:left w:val="single" w:sz="4" w:space="0" w:color="000000"/>
              <w:bottom w:val="single" w:sz="4" w:space="0" w:color="000000"/>
              <w:right w:val="single" w:sz="8" w:space="0" w:color="000000"/>
            </w:tcBorders>
          </w:tcPr>
          <w:p>
            <w:pPr/>
          </w:p>
        </w:tc>
      </w:tr>
      <w:tr>
        <w:trPr>
          <w:trHeight w:val="266"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19"/>
              <w:ind w:left="60" w:right="30"/>
              <w:rPr>
                <w:sz w:val="20"/>
              </w:rPr>
            </w:pPr>
            <w:r>
              <w:rPr>
                <w:sz w:val="20"/>
              </w:rPr>
              <w:t>TEORIA ECONOMICA III</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9"/>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2</w:t>
            </w:r>
          </w:p>
        </w:tc>
        <w:tc>
          <w:tcPr>
            <w:tcW w:w="1187" w:type="dxa"/>
            <w:tcBorders>
              <w:top w:val="single" w:sz="4" w:space="0" w:color="000000"/>
              <w:left w:val="single" w:sz="4" w:space="0" w:color="000000"/>
              <w:bottom w:val="single" w:sz="4" w:space="0" w:color="000000"/>
              <w:right w:val="single" w:sz="8" w:space="0" w:color="000000"/>
            </w:tcBorders>
          </w:tcPr>
          <w:p>
            <w:pPr>
              <w:pStyle w:val="TableParagraph"/>
              <w:spacing w:before="19"/>
              <w:ind w:right="59"/>
              <w:jc w:val="right"/>
              <w:rPr>
                <w:sz w:val="20"/>
              </w:rPr>
            </w:pPr>
            <w:r>
              <w:rPr>
                <w:sz w:val="20"/>
              </w:rPr>
              <w:t>10</w:t>
            </w:r>
          </w:p>
        </w:tc>
      </w:tr>
      <w:tr>
        <w:trPr>
          <w:trHeight w:val="264"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17"/>
              <w:ind w:left="60" w:right="30"/>
              <w:rPr>
                <w:sz w:val="20"/>
              </w:rPr>
            </w:pPr>
            <w:r>
              <w:rPr>
                <w:sz w:val="20"/>
              </w:rPr>
              <w:t>ORGANIZACION INDUSTRIAL</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7"/>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7"/>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7"/>
              <w:ind w:right="65"/>
              <w:jc w:val="right"/>
              <w:rPr>
                <w:sz w:val="20"/>
              </w:rPr>
            </w:pPr>
            <w:r>
              <w:rPr>
                <w:w w:val="99"/>
                <w:sz w:val="20"/>
              </w:rPr>
              <w:t>2</w:t>
            </w:r>
          </w:p>
        </w:tc>
        <w:tc>
          <w:tcPr>
            <w:tcW w:w="1187" w:type="dxa"/>
            <w:tcBorders>
              <w:top w:val="single" w:sz="4" w:space="0" w:color="000000"/>
              <w:left w:val="single" w:sz="4" w:space="0" w:color="000000"/>
              <w:bottom w:val="single" w:sz="4" w:space="0" w:color="000000"/>
              <w:right w:val="single" w:sz="8" w:space="0" w:color="000000"/>
            </w:tcBorders>
          </w:tcPr>
          <w:p>
            <w:pPr>
              <w:pStyle w:val="TableParagraph"/>
              <w:spacing w:before="17"/>
              <w:ind w:right="59"/>
              <w:jc w:val="right"/>
              <w:rPr>
                <w:sz w:val="20"/>
              </w:rPr>
            </w:pPr>
            <w:r>
              <w:rPr>
                <w:sz w:val="20"/>
              </w:rPr>
              <w:t>10</w:t>
            </w:r>
          </w:p>
        </w:tc>
      </w:tr>
      <w:tr>
        <w:trPr>
          <w:trHeight w:val="266"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19"/>
              <w:ind w:left="60" w:right="30"/>
              <w:rPr>
                <w:sz w:val="20"/>
              </w:rPr>
            </w:pPr>
            <w:r>
              <w:rPr>
                <w:sz w:val="20"/>
              </w:rPr>
              <w:t>ESTADISTICA I</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9"/>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2</w:t>
            </w:r>
          </w:p>
        </w:tc>
        <w:tc>
          <w:tcPr>
            <w:tcW w:w="1187" w:type="dxa"/>
            <w:tcBorders>
              <w:top w:val="single" w:sz="4" w:space="0" w:color="000000"/>
              <w:left w:val="single" w:sz="4" w:space="0" w:color="000000"/>
              <w:bottom w:val="single" w:sz="4" w:space="0" w:color="000000"/>
              <w:right w:val="single" w:sz="8" w:space="0" w:color="000000"/>
            </w:tcBorders>
          </w:tcPr>
          <w:p>
            <w:pPr>
              <w:pStyle w:val="TableParagraph"/>
              <w:spacing w:before="19"/>
              <w:ind w:right="59"/>
              <w:jc w:val="right"/>
              <w:rPr>
                <w:sz w:val="20"/>
              </w:rPr>
            </w:pPr>
            <w:r>
              <w:rPr>
                <w:sz w:val="20"/>
              </w:rPr>
              <w:t>10</w:t>
            </w:r>
          </w:p>
        </w:tc>
      </w:tr>
      <w:tr>
        <w:trPr>
          <w:trHeight w:val="470"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ind w:left="60" w:right="30"/>
              <w:rPr>
                <w:sz w:val="20"/>
              </w:rPr>
            </w:pPr>
            <w:r>
              <w:rPr>
                <w:sz w:val="20"/>
              </w:rPr>
              <w:t>HISTORIA ECONOMICA DE LAS INTEGRACIONES REGIONALES</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6"/>
              <w:jc w:val="right"/>
              <w:rPr>
                <w:sz w:val="20"/>
              </w:rPr>
            </w:pPr>
            <w:r>
              <w:rPr>
                <w:w w:val="99"/>
                <w:sz w:val="20"/>
              </w:rPr>
              <w:t>4</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0</w:t>
            </w:r>
          </w:p>
        </w:tc>
        <w:tc>
          <w:tcPr>
            <w:tcW w:w="1187" w:type="dxa"/>
            <w:tcBorders>
              <w:top w:val="single" w:sz="4" w:space="0" w:color="000000"/>
              <w:left w:val="single" w:sz="4" w:space="0" w:color="000000"/>
              <w:bottom w:val="single" w:sz="4" w:space="0" w:color="000000"/>
              <w:right w:val="single" w:sz="8" w:space="0" w:color="000000"/>
            </w:tcBorders>
          </w:tcPr>
          <w:p>
            <w:pPr>
              <w:pStyle w:val="TableParagraph"/>
              <w:spacing w:before="5"/>
              <w:rPr>
                <w:sz w:val="19"/>
              </w:rPr>
            </w:pPr>
          </w:p>
          <w:p>
            <w:pPr>
              <w:pStyle w:val="TableParagraph"/>
              <w:ind w:right="62"/>
              <w:jc w:val="right"/>
              <w:rPr>
                <w:sz w:val="20"/>
              </w:rPr>
            </w:pPr>
            <w:r>
              <w:rPr>
                <w:w w:val="99"/>
                <w:sz w:val="20"/>
              </w:rPr>
              <w:t>8</w:t>
            </w:r>
          </w:p>
        </w:tc>
      </w:tr>
      <w:tr>
        <w:trPr>
          <w:trHeight w:val="468"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ind w:left="60" w:right="30"/>
              <w:rPr>
                <w:sz w:val="20"/>
              </w:rPr>
            </w:pPr>
            <w:r>
              <w:rPr>
                <w:sz w:val="20"/>
              </w:rPr>
              <w:t>TALLER DE INVESTIGACION SOBRE MERCADOS</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6"/>
              <w:jc w:val="right"/>
              <w:rPr>
                <w:sz w:val="20"/>
              </w:rPr>
            </w:pPr>
            <w:r>
              <w:rPr>
                <w:w w:val="99"/>
                <w:sz w:val="20"/>
              </w:rPr>
              <w:t>4</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2</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2</w:t>
            </w:r>
          </w:p>
        </w:tc>
        <w:tc>
          <w:tcPr>
            <w:tcW w:w="1187" w:type="dxa"/>
            <w:tcBorders>
              <w:top w:val="single" w:sz="4" w:space="0" w:color="000000"/>
              <w:left w:val="single" w:sz="4" w:space="0" w:color="000000"/>
              <w:bottom w:val="single" w:sz="4" w:space="0" w:color="000000"/>
              <w:right w:val="single" w:sz="8" w:space="0" w:color="000000"/>
            </w:tcBorders>
          </w:tcPr>
          <w:p>
            <w:pPr>
              <w:pStyle w:val="TableParagraph"/>
              <w:spacing w:before="5"/>
              <w:rPr>
                <w:sz w:val="19"/>
              </w:rPr>
            </w:pPr>
          </w:p>
          <w:p>
            <w:pPr>
              <w:pStyle w:val="TableParagraph"/>
              <w:ind w:right="62"/>
              <w:jc w:val="right"/>
              <w:rPr>
                <w:sz w:val="20"/>
              </w:rPr>
            </w:pPr>
            <w:r>
              <w:rPr>
                <w:w w:val="99"/>
                <w:sz w:val="20"/>
              </w:rPr>
              <w:t>6</w:t>
            </w:r>
          </w:p>
        </w:tc>
      </w:tr>
      <w:tr>
        <w:trPr>
          <w:trHeight w:val="286" w:hRule="exact"/>
        </w:trPr>
        <w:tc>
          <w:tcPr>
            <w:tcW w:w="3568" w:type="dxa"/>
            <w:tcBorders>
              <w:top w:val="single" w:sz="4" w:space="0" w:color="000000"/>
              <w:left w:val="single" w:sz="8" w:space="0" w:color="000000"/>
              <w:bottom w:val="single" w:sz="8" w:space="0" w:color="000000"/>
              <w:right w:val="single" w:sz="4" w:space="0" w:color="000000"/>
            </w:tcBorders>
          </w:tcPr>
          <w:p>
            <w:pPr>
              <w:pStyle w:val="TableParagraph"/>
              <w:spacing w:before="34"/>
              <w:ind w:left="60" w:right="30"/>
              <w:rPr>
                <w:sz w:val="20"/>
              </w:rPr>
            </w:pPr>
            <w:r>
              <w:rPr>
                <w:sz w:val="20"/>
              </w:rPr>
              <w:t>INGLES IV</w:t>
            </w:r>
          </w:p>
        </w:tc>
        <w:tc>
          <w:tcPr>
            <w:tcW w:w="843" w:type="dxa"/>
            <w:tcBorders>
              <w:top w:val="single" w:sz="4" w:space="0" w:color="000000"/>
              <w:left w:val="single" w:sz="4" w:space="0" w:color="000000"/>
              <w:bottom w:val="single" w:sz="8" w:space="0" w:color="000000"/>
              <w:right w:val="single" w:sz="4" w:space="0" w:color="000000"/>
            </w:tcBorders>
          </w:tcPr>
          <w:p>
            <w:pPr>
              <w:pStyle w:val="TableParagraph"/>
              <w:spacing w:before="34"/>
              <w:ind w:right="66"/>
              <w:jc w:val="right"/>
              <w:rPr>
                <w:sz w:val="20"/>
              </w:rPr>
            </w:pPr>
            <w:r>
              <w:rPr>
                <w:w w:val="99"/>
                <w:sz w:val="20"/>
              </w:rPr>
              <w:t>4</w:t>
            </w:r>
          </w:p>
        </w:tc>
        <w:tc>
          <w:tcPr>
            <w:tcW w:w="1025" w:type="dxa"/>
            <w:tcBorders>
              <w:top w:val="single" w:sz="4" w:space="0" w:color="000000"/>
              <w:left w:val="single" w:sz="4" w:space="0" w:color="000000"/>
              <w:bottom w:val="single" w:sz="8" w:space="0" w:color="000000"/>
              <w:right w:val="single" w:sz="4" w:space="0" w:color="000000"/>
            </w:tcBorders>
          </w:tcPr>
          <w:p>
            <w:pPr>
              <w:pStyle w:val="TableParagraph"/>
              <w:spacing w:before="34"/>
              <w:ind w:right="65"/>
              <w:jc w:val="right"/>
              <w:rPr>
                <w:sz w:val="20"/>
              </w:rPr>
            </w:pPr>
            <w:r>
              <w:rPr>
                <w:w w:val="99"/>
                <w:sz w:val="20"/>
              </w:rPr>
              <w:t>4</w:t>
            </w:r>
          </w:p>
        </w:tc>
        <w:tc>
          <w:tcPr>
            <w:tcW w:w="1195" w:type="dxa"/>
            <w:tcBorders>
              <w:top w:val="single" w:sz="4" w:space="0" w:color="000000"/>
              <w:left w:val="single" w:sz="4" w:space="0" w:color="000000"/>
              <w:bottom w:val="single" w:sz="8" w:space="0" w:color="000000"/>
              <w:right w:val="single" w:sz="4" w:space="0" w:color="000000"/>
            </w:tcBorders>
          </w:tcPr>
          <w:p>
            <w:pPr>
              <w:pStyle w:val="TableParagraph"/>
              <w:spacing w:before="34"/>
              <w:ind w:right="65"/>
              <w:jc w:val="right"/>
              <w:rPr>
                <w:sz w:val="20"/>
              </w:rPr>
            </w:pPr>
            <w:r>
              <w:rPr>
                <w:w w:val="99"/>
                <w:sz w:val="20"/>
              </w:rPr>
              <w:t>0</w:t>
            </w:r>
          </w:p>
        </w:tc>
        <w:tc>
          <w:tcPr>
            <w:tcW w:w="1187" w:type="dxa"/>
            <w:tcBorders>
              <w:top w:val="single" w:sz="4" w:space="0" w:color="000000"/>
              <w:left w:val="single" w:sz="4" w:space="0" w:color="000000"/>
              <w:bottom w:val="single" w:sz="8" w:space="0" w:color="000000"/>
              <w:right w:val="single" w:sz="8" w:space="0" w:color="000000"/>
            </w:tcBorders>
          </w:tcPr>
          <w:p>
            <w:pPr>
              <w:pStyle w:val="TableParagraph"/>
              <w:spacing w:before="34"/>
              <w:ind w:right="62"/>
              <w:jc w:val="right"/>
              <w:rPr>
                <w:sz w:val="20"/>
              </w:rPr>
            </w:pPr>
            <w:r>
              <w:rPr>
                <w:w w:val="99"/>
                <w:sz w:val="20"/>
              </w:rPr>
              <w:t>8</w:t>
            </w:r>
          </w:p>
        </w:tc>
      </w:tr>
      <w:tr>
        <w:trPr>
          <w:trHeight w:val="385" w:hRule="exact"/>
        </w:trPr>
        <w:tc>
          <w:tcPr>
            <w:tcW w:w="3568" w:type="dxa"/>
            <w:tcBorders>
              <w:top w:val="single" w:sz="8" w:space="0" w:color="000000"/>
            </w:tcBorders>
          </w:tcPr>
          <w:p>
            <w:pPr>
              <w:pStyle w:val="TableParagraph"/>
              <w:spacing w:before="19"/>
              <w:ind w:left="70"/>
              <w:rPr>
                <w:sz w:val="20"/>
              </w:rPr>
            </w:pPr>
            <w:r>
              <w:rPr>
                <w:sz w:val="20"/>
              </w:rPr>
              <w:t>TOTAL</w:t>
            </w:r>
          </w:p>
        </w:tc>
        <w:tc>
          <w:tcPr>
            <w:tcW w:w="843" w:type="dxa"/>
            <w:tcBorders>
              <w:top w:val="single" w:sz="8" w:space="0" w:color="000000"/>
            </w:tcBorders>
          </w:tcPr>
          <w:p>
            <w:pPr>
              <w:pStyle w:val="TableParagraph"/>
              <w:spacing w:before="19"/>
              <w:ind w:right="69"/>
              <w:jc w:val="right"/>
              <w:rPr>
                <w:sz w:val="20"/>
              </w:rPr>
            </w:pPr>
            <w:r>
              <w:rPr>
                <w:sz w:val="20"/>
              </w:rPr>
              <w:t>30</w:t>
            </w:r>
          </w:p>
        </w:tc>
        <w:tc>
          <w:tcPr>
            <w:tcW w:w="1025" w:type="dxa"/>
            <w:tcBorders>
              <w:top w:val="single" w:sz="8" w:space="0" w:color="000000"/>
            </w:tcBorders>
          </w:tcPr>
          <w:p>
            <w:pPr>
              <w:pStyle w:val="TableParagraph"/>
              <w:spacing w:before="19"/>
              <w:ind w:right="65"/>
              <w:jc w:val="right"/>
              <w:rPr>
                <w:sz w:val="20"/>
              </w:rPr>
            </w:pPr>
            <w:r>
              <w:rPr>
                <w:sz w:val="20"/>
              </w:rPr>
              <w:t>22</w:t>
            </w:r>
          </w:p>
        </w:tc>
        <w:tc>
          <w:tcPr>
            <w:tcW w:w="1195" w:type="dxa"/>
            <w:tcBorders>
              <w:top w:val="single" w:sz="8" w:space="0" w:color="000000"/>
            </w:tcBorders>
          </w:tcPr>
          <w:p>
            <w:pPr>
              <w:pStyle w:val="TableParagraph"/>
              <w:spacing w:before="19"/>
              <w:ind w:right="68"/>
              <w:jc w:val="right"/>
              <w:rPr>
                <w:sz w:val="20"/>
              </w:rPr>
            </w:pPr>
            <w:r>
              <w:rPr>
                <w:w w:val="99"/>
                <w:sz w:val="20"/>
              </w:rPr>
              <w:t>8</w:t>
            </w:r>
          </w:p>
        </w:tc>
        <w:tc>
          <w:tcPr>
            <w:tcW w:w="1187" w:type="dxa"/>
            <w:tcBorders>
              <w:top w:val="single" w:sz="8" w:space="0" w:color="000000"/>
            </w:tcBorders>
          </w:tcPr>
          <w:p>
            <w:pPr>
              <w:pStyle w:val="TableParagraph"/>
              <w:spacing w:before="19"/>
              <w:ind w:right="68"/>
              <w:jc w:val="right"/>
              <w:rPr>
                <w:sz w:val="20"/>
              </w:rPr>
            </w:pPr>
            <w:r>
              <w:rPr>
                <w:sz w:val="20"/>
              </w:rPr>
              <w:t>52</w:t>
            </w:r>
          </w:p>
        </w:tc>
      </w:tr>
      <w:tr>
        <w:trPr>
          <w:trHeight w:val="350" w:hRule="exact"/>
        </w:trPr>
        <w:tc>
          <w:tcPr>
            <w:tcW w:w="3568" w:type="dxa"/>
            <w:tcBorders>
              <w:bottom w:val="single" w:sz="8" w:space="0" w:color="000000"/>
            </w:tcBorders>
          </w:tcPr>
          <w:p>
            <w:pPr>
              <w:pStyle w:val="TableParagraph"/>
              <w:spacing w:before="103"/>
              <w:ind w:left="70"/>
              <w:rPr>
                <w:sz w:val="20"/>
              </w:rPr>
            </w:pPr>
            <w:r>
              <w:rPr>
                <w:sz w:val="20"/>
              </w:rPr>
              <w:t>QUINTO SEMESTRE</w:t>
            </w:r>
          </w:p>
        </w:tc>
        <w:tc>
          <w:tcPr>
            <w:tcW w:w="843" w:type="dxa"/>
            <w:tcBorders>
              <w:bottom w:val="single" w:sz="8" w:space="0" w:color="000000"/>
            </w:tcBorders>
          </w:tcPr>
          <w:p>
            <w:pPr/>
          </w:p>
        </w:tc>
        <w:tc>
          <w:tcPr>
            <w:tcW w:w="1025" w:type="dxa"/>
            <w:tcBorders>
              <w:bottom w:val="single" w:sz="8" w:space="0" w:color="000000"/>
            </w:tcBorders>
          </w:tcPr>
          <w:p>
            <w:pPr/>
          </w:p>
        </w:tc>
        <w:tc>
          <w:tcPr>
            <w:tcW w:w="1195" w:type="dxa"/>
            <w:tcBorders>
              <w:bottom w:val="single" w:sz="8" w:space="0" w:color="000000"/>
            </w:tcBorders>
          </w:tcPr>
          <w:p>
            <w:pPr/>
          </w:p>
        </w:tc>
        <w:tc>
          <w:tcPr>
            <w:tcW w:w="1187" w:type="dxa"/>
            <w:tcBorders>
              <w:bottom w:val="single" w:sz="8" w:space="0" w:color="000000"/>
            </w:tcBorders>
          </w:tcPr>
          <w:p>
            <w:pPr/>
          </w:p>
        </w:tc>
      </w:tr>
      <w:tr>
        <w:trPr>
          <w:trHeight w:val="475" w:hRule="exact"/>
        </w:trPr>
        <w:tc>
          <w:tcPr>
            <w:tcW w:w="3568" w:type="dxa"/>
            <w:vMerge w:val="restart"/>
            <w:tcBorders>
              <w:top w:val="single" w:sz="8" w:space="0" w:color="000000"/>
              <w:left w:val="single" w:sz="8" w:space="0" w:color="000000"/>
              <w:right w:val="single" w:sz="4" w:space="0" w:color="000000"/>
            </w:tcBorders>
          </w:tcPr>
          <w:p>
            <w:pPr/>
          </w:p>
        </w:tc>
        <w:tc>
          <w:tcPr>
            <w:tcW w:w="1868" w:type="dxa"/>
            <w:gridSpan w:val="2"/>
            <w:tcBorders>
              <w:top w:val="single" w:sz="8" w:space="0" w:color="000000"/>
              <w:left w:val="single" w:sz="4" w:space="0" w:color="000000"/>
              <w:bottom w:val="single" w:sz="4" w:space="0" w:color="000000"/>
              <w:right w:val="single" w:sz="4" w:space="0" w:color="000000"/>
            </w:tcBorders>
          </w:tcPr>
          <w:p>
            <w:pPr>
              <w:pStyle w:val="TableParagraph"/>
              <w:ind w:left="907" w:right="64"/>
              <w:rPr>
                <w:b/>
                <w:sz w:val="20"/>
              </w:rPr>
            </w:pPr>
            <w:r>
              <w:rPr>
                <w:b/>
                <w:sz w:val="20"/>
              </w:rPr>
              <w:t>HORAS SEMANA</w:t>
            </w:r>
          </w:p>
        </w:tc>
        <w:tc>
          <w:tcPr>
            <w:tcW w:w="1195" w:type="dxa"/>
            <w:tcBorders>
              <w:top w:val="single" w:sz="8" w:space="0" w:color="000000"/>
              <w:left w:val="single" w:sz="4" w:space="0" w:color="000000"/>
              <w:bottom w:val="single" w:sz="4" w:space="0" w:color="000000"/>
              <w:right w:val="single" w:sz="4" w:space="0" w:color="000000"/>
            </w:tcBorders>
          </w:tcPr>
          <w:p>
            <w:pPr/>
          </w:p>
        </w:tc>
        <w:tc>
          <w:tcPr>
            <w:tcW w:w="1187" w:type="dxa"/>
            <w:vMerge w:val="restart"/>
            <w:tcBorders>
              <w:top w:val="single" w:sz="8" w:space="0" w:color="000000"/>
              <w:left w:val="single" w:sz="4" w:space="0" w:color="000000"/>
              <w:right w:val="single" w:sz="8" w:space="0" w:color="000000"/>
            </w:tcBorders>
          </w:tcPr>
          <w:p>
            <w:pPr>
              <w:pStyle w:val="TableParagraph"/>
              <w:rPr>
                <w:sz w:val="20"/>
              </w:rPr>
            </w:pPr>
          </w:p>
          <w:p>
            <w:pPr>
              <w:pStyle w:val="TableParagraph"/>
              <w:rPr>
                <w:sz w:val="23"/>
              </w:rPr>
            </w:pPr>
          </w:p>
          <w:p>
            <w:pPr>
              <w:pStyle w:val="TableParagraph"/>
              <w:ind w:left="64"/>
              <w:rPr>
                <w:b/>
                <w:sz w:val="20"/>
              </w:rPr>
            </w:pPr>
            <w:r>
              <w:rPr>
                <w:b/>
                <w:sz w:val="20"/>
              </w:rPr>
              <w:t>CREDITOS</w:t>
            </w:r>
          </w:p>
        </w:tc>
      </w:tr>
      <w:tr>
        <w:trPr>
          <w:trHeight w:val="266" w:hRule="exact"/>
        </w:trPr>
        <w:tc>
          <w:tcPr>
            <w:tcW w:w="3568" w:type="dxa"/>
            <w:vMerge/>
            <w:tcBorders>
              <w:left w:val="single" w:sz="8" w:space="0" w:color="000000"/>
              <w:bottom w:val="single" w:sz="4" w:space="0" w:color="000000"/>
              <w:right w:val="single" w:sz="4" w:space="0" w:color="000000"/>
            </w:tcBorders>
          </w:tcPr>
          <w:p>
            <w:pP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24"/>
              <w:ind w:right="67"/>
              <w:jc w:val="right"/>
              <w:rPr>
                <w:b/>
                <w:sz w:val="20"/>
              </w:rPr>
            </w:pPr>
            <w:r>
              <w:rPr>
                <w:b/>
                <w:w w:val="95"/>
                <w:sz w:val="20"/>
              </w:rPr>
              <w:t>TOTAL</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24"/>
              <w:ind w:left="64"/>
              <w:rPr>
                <w:b/>
                <w:sz w:val="20"/>
              </w:rPr>
            </w:pPr>
            <w:r>
              <w:rPr>
                <w:b/>
                <w:sz w:val="20"/>
              </w:rPr>
              <w:t>TEORIA</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24"/>
              <w:ind w:right="66"/>
              <w:jc w:val="right"/>
              <w:rPr>
                <w:b/>
                <w:sz w:val="20"/>
              </w:rPr>
            </w:pPr>
            <w:r>
              <w:rPr>
                <w:b/>
                <w:w w:val="95"/>
                <w:sz w:val="20"/>
              </w:rPr>
              <w:t>PRACTICA</w:t>
            </w:r>
          </w:p>
        </w:tc>
        <w:tc>
          <w:tcPr>
            <w:tcW w:w="1187" w:type="dxa"/>
            <w:vMerge/>
            <w:tcBorders>
              <w:left w:val="single" w:sz="4" w:space="0" w:color="000000"/>
              <w:bottom w:val="single" w:sz="4" w:space="0" w:color="000000"/>
              <w:right w:val="single" w:sz="8" w:space="0" w:color="000000"/>
            </w:tcBorders>
          </w:tcPr>
          <w:p>
            <w:pPr/>
          </w:p>
        </w:tc>
      </w:tr>
      <w:tr>
        <w:trPr>
          <w:trHeight w:val="264"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17"/>
              <w:ind w:left="60" w:right="30"/>
              <w:rPr>
                <w:sz w:val="20"/>
              </w:rPr>
            </w:pPr>
            <w:r>
              <w:rPr>
                <w:sz w:val="20"/>
              </w:rPr>
              <w:t>TEORIA ECONOMICA IV</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7"/>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7"/>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7"/>
              <w:ind w:right="65"/>
              <w:jc w:val="right"/>
              <w:rPr>
                <w:sz w:val="20"/>
              </w:rPr>
            </w:pPr>
            <w:r>
              <w:rPr>
                <w:w w:val="99"/>
                <w:sz w:val="20"/>
              </w:rPr>
              <w:t>2</w:t>
            </w:r>
          </w:p>
        </w:tc>
        <w:tc>
          <w:tcPr>
            <w:tcW w:w="1187" w:type="dxa"/>
            <w:tcBorders>
              <w:top w:val="single" w:sz="4" w:space="0" w:color="000000"/>
              <w:left w:val="single" w:sz="4" w:space="0" w:color="000000"/>
              <w:bottom w:val="single" w:sz="4" w:space="0" w:color="000000"/>
              <w:right w:val="single" w:sz="8" w:space="0" w:color="000000"/>
            </w:tcBorders>
          </w:tcPr>
          <w:p>
            <w:pPr>
              <w:pStyle w:val="TableParagraph"/>
              <w:spacing w:before="17"/>
              <w:ind w:right="59"/>
              <w:jc w:val="right"/>
              <w:rPr>
                <w:sz w:val="20"/>
              </w:rPr>
            </w:pPr>
            <w:r>
              <w:rPr>
                <w:sz w:val="20"/>
              </w:rPr>
              <w:t>10</w:t>
            </w:r>
          </w:p>
        </w:tc>
      </w:tr>
      <w:tr>
        <w:trPr>
          <w:trHeight w:val="264"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19"/>
              <w:ind w:left="60" w:right="30"/>
              <w:rPr>
                <w:sz w:val="20"/>
              </w:rPr>
            </w:pPr>
            <w:r>
              <w:rPr>
                <w:sz w:val="20"/>
              </w:rPr>
              <w:t>COMERCIO INTERNACIONAL</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9"/>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2</w:t>
            </w:r>
          </w:p>
        </w:tc>
        <w:tc>
          <w:tcPr>
            <w:tcW w:w="1187" w:type="dxa"/>
            <w:tcBorders>
              <w:top w:val="single" w:sz="4" w:space="0" w:color="000000"/>
              <w:left w:val="single" w:sz="4" w:space="0" w:color="000000"/>
              <w:bottom w:val="single" w:sz="4" w:space="0" w:color="000000"/>
              <w:right w:val="single" w:sz="8" w:space="0" w:color="000000"/>
            </w:tcBorders>
          </w:tcPr>
          <w:p>
            <w:pPr>
              <w:pStyle w:val="TableParagraph"/>
              <w:spacing w:before="19"/>
              <w:ind w:right="59"/>
              <w:jc w:val="right"/>
              <w:rPr>
                <w:sz w:val="20"/>
              </w:rPr>
            </w:pPr>
            <w:r>
              <w:rPr>
                <w:sz w:val="20"/>
              </w:rPr>
              <w:t>10</w:t>
            </w:r>
          </w:p>
        </w:tc>
      </w:tr>
      <w:tr>
        <w:trPr>
          <w:trHeight w:val="266"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19"/>
              <w:ind w:left="60" w:right="30"/>
              <w:rPr>
                <w:sz w:val="20"/>
              </w:rPr>
            </w:pPr>
            <w:r>
              <w:rPr>
                <w:sz w:val="20"/>
              </w:rPr>
              <w:t>ESTADISTICA II</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9"/>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2</w:t>
            </w:r>
          </w:p>
        </w:tc>
        <w:tc>
          <w:tcPr>
            <w:tcW w:w="1187" w:type="dxa"/>
            <w:tcBorders>
              <w:top w:val="single" w:sz="4" w:space="0" w:color="000000"/>
              <w:left w:val="single" w:sz="4" w:space="0" w:color="000000"/>
              <w:bottom w:val="single" w:sz="4" w:space="0" w:color="000000"/>
              <w:right w:val="single" w:sz="8" w:space="0" w:color="000000"/>
            </w:tcBorders>
          </w:tcPr>
          <w:p>
            <w:pPr>
              <w:pStyle w:val="TableParagraph"/>
              <w:spacing w:before="19"/>
              <w:ind w:right="59"/>
              <w:jc w:val="right"/>
              <w:rPr>
                <w:sz w:val="20"/>
              </w:rPr>
            </w:pPr>
            <w:r>
              <w:rPr>
                <w:sz w:val="20"/>
              </w:rPr>
              <w:t>10</w:t>
            </w:r>
          </w:p>
        </w:tc>
      </w:tr>
      <w:tr>
        <w:trPr>
          <w:trHeight w:val="470"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ind w:left="60" w:right="96"/>
              <w:rPr>
                <w:sz w:val="20"/>
              </w:rPr>
            </w:pPr>
            <w:r>
              <w:rPr>
                <w:sz w:val="20"/>
              </w:rPr>
              <w:t>HISTORIA ECONOMICA DE MEXICO I</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6"/>
              <w:jc w:val="right"/>
              <w:rPr>
                <w:sz w:val="20"/>
              </w:rPr>
            </w:pPr>
            <w:r>
              <w:rPr>
                <w:w w:val="99"/>
                <w:sz w:val="20"/>
              </w:rPr>
              <w:t>4</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0</w:t>
            </w:r>
          </w:p>
        </w:tc>
        <w:tc>
          <w:tcPr>
            <w:tcW w:w="1187" w:type="dxa"/>
            <w:tcBorders>
              <w:top w:val="single" w:sz="4" w:space="0" w:color="000000"/>
              <w:left w:val="single" w:sz="4" w:space="0" w:color="000000"/>
              <w:bottom w:val="single" w:sz="4" w:space="0" w:color="000000"/>
              <w:right w:val="single" w:sz="8" w:space="0" w:color="000000"/>
            </w:tcBorders>
          </w:tcPr>
          <w:p>
            <w:pPr>
              <w:pStyle w:val="TableParagraph"/>
              <w:spacing w:before="5"/>
              <w:rPr>
                <w:sz w:val="19"/>
              </w:rPr>
            </w:pPr>
          </w:p>
          <w:p>
            <w:pPr>
              <w:pStyle w:val="TableParagraph"/>
              <w:ind w:right="62"/>
              <w:jc w:val="right"/>
              <w:rPr>
                <w:sz w:val="20"/>
              </w:rPr>
            </w:pPr>
            <w:r>
              <w:rPr>
                <w:w w:val="99"/>
                <w:sz w:val="20"/>
              </w:rPr>
              <w:t>8</w:t>
            </w:r>
          </w:p>
        </w:tc>
      </w:tr>
      <w:tr>
        <w:trPr>
          <w:trHeight w:val="482" w:hRule="exact"/>
        </w:trPr>
        <w:tc>
          <w:tcPr>
            <w:tcW w:w="3568" w:type="dxa"/>
            <w:tcBorders>
              <w:top w:val="single" w:sz="4" w:space="0" w:color="000000"/>
              <w:left w:val="single" w:sz="8" w:space="0" w:color="000000"/>
              <w:right w:val="single" w:sz="4" w:space="0" w:color="000000"/>
            </w:tcBorders>
          </w:tcPr>
          <w:p>
            <w:pPr>
              <w:pStyle w:val="TableParagraph"/>
              <w:ind w:left="60" w:right="30"/>
              <w:rPr>
                <w:sz w:val="20"/>
              </w:rPr>
            </w:pPr>
            <w:r>
              <w:rPr>
                <w:sz w:val="20"/>
              </w:rPr>
              <w:t>TALLER DE INVESTIGACION SOBRE CONDICIONES</w:t>
            </w:r>
          </w:p>
        </w:tc>
        <w:tc>
          <w:tcPr>
            <w:tcW w:w="843" w:type="dxa"/>
            <w:vMerge w:val="restart"/>
            <w:tcBorders>
              <w:top w:val="single" w:sz="4" w:space="0" w:color="000000"/>
              <w:left w:val="single" w:sz="4" w:space="0" w:color="000000"/>
              <w:right w:val="single" w:sz="4" w:space="0" w:color="000000"/>
            </w:tcBorders>
          </w:tcPr>
          <w:p>
            <w:pPr>
              <w:pStyle w:val="TableParagraph"/>
              <w:rPr>
                <w:sz w:val="20"/>
              </w:rPr>
            </w:pPr>
          </w:p>
          <w:p>
            <w:pPr>
              <w:pStyle w:val="TableParagraph"/>
              <w:spacing w:before="6"/>
              <w:rPr>
                <w:sz w:val="21"/>
              </w:rPr>
            </w:pPr>
          </w:p>
          <w:p>
            <w:pPr>
              <w:pStyle w:val="TableParagraph"/>
              <w:ind w:right="66"/>
              <w:jc w:val="right"/>
              <w:rPr>
                <w:sz w:val="20"/>
              </w:rPr>
            </w:pPr>
            <w:r>
              <w:rPr>
                <w:w w:val="99"/>
                <w:sz w:val="20"/>
              </w:rPr>
              <w:t>4</w:t>
            </w:r>
          </w:p>
        </w:tc>
        <w:tc>
          <w:tcPr>
            <w:tcW w:w="1025" w:type="dxa"/>
            <w:vMerge w:val="restart"/>
            <w:tcBorders>
              <w:top w:val="single" w:sz="4" w:space="0" w:color="000000"/>
              <w:left w:val="single" w:sz="4" w:space="0" w:color="000000"/>
              <w:right w:val="single" w:sz="4" w:space="0" w:color="000000"/>
            </w:tcBorders>
          </w:tcPr>
          <w:p>
            <w:pPr>
              <w:pStyle w:val="TableParagraph"/>
              <w:rPr>
                <w:sz w:val="20"/>
              </w:rPr>
            </w:pPr>
          </w:p>
          <w:p>
            <w:pPr>
              <w:pStyle w:val="TableParagraph"/>
              <w:spacing w:before="6"/>
              <w:rPr>
                <w:sz w:val="21"/>
              </w:rPr>
            </w:pPr>
          </w:p>
          <w:p>
            <w:pPr>
              <w:pStyle w:val="TableParagraph"/>
              <w:ind w:right="65"/>
              <w:jc w:val="right"/>
              <w:rPr>
                <w:sz w:val="20"/>
              </w:rPr>
            </w:pPr>
            <w:r>
              <w:rPr>
                <w:w w:val="99"/>
                <w:sz w:val="20"/>
              </w:rPr>
              <w:t>2</w:t>
            </w:r>
          </w:p>
        </w:tc>
        <w:tc>
          <w:tcPr>
            <w:tcW w:w="1195" w:type="dxa"/>
            <w:vMerge w:val="restart"/>
            <w:tcBorders>
              <w:top w:val="single" w:sz="4" w:space="0" w:color="000000"/>
              <w:left w:val="single" w:sz="4" w:space="0" w:color="000000"/>
              <w:right w:val="single" w:sz="4" w:space="0" w:color="000000"/>
            </w:tcBorders>
          </w:tcPr>
          <w:p>
            <w:pPr>
              <w:pStyle w:val="TableParagraph"/>
              <w:rPr>
                <w:sz w:val="20"/>
              </w:rPr>
            </w:pPr>
          </w:p>
          <w:p>
            <w:pPr>
              <w:pStyle w:val="TableParagraph"/>
              <w:spacing w:before="6"/>
              <w:rPr>
                <w:sz w:val="21"/>
              </w:rPr>
            </w:pPr>
          </w:p>
          <w:p>
            <w:pPr>
              <w:pStyle w:val="TableParagraph"/>
              <w:ind w:right="65"/>
              <w:jc w:val="right"/>
              <w:rPr>
                <w:sz w:val="20"/>
              </w:rPr>
            </w:pPr>
            <w:r>
              <w:rPr>
                <w:w w:val="99"/>
                <w:sz w:val="20"/>
              </w:rPr>
              <w:t>2</w:t>
            </w:r>
          </w:p>
        </w:tc>
        <w:tc>
          <w:tcPr>
            <w:tcW w:w="1187" w:type="dxa"/>
            <w:vMerge w:val="restart"/>
            <w:tcBorders>
              <w:top w:val="single" w:sz="4" w:space="0" w:color="000000"/>
              <w:left w:val="single" w:sz="4" w:space="0" w:color="000000"/>
              <w:right w:val="single" w:sz="8" w:space="0" w:color="000000"/>
            </w:tcBorders>
          </w:tcPr>
          <w:p>
            <w:pPr>
              <w:pStyle w:val="TableParagraph"/>
              <w:rPr>
                <w:sz w:val="20"/>
              </w:rPr>
            </w:pPr>
          </w:p>
          <w:p>
            <w:pPr>
              <w:pStyle w:val="TableParagraph"/>
              <w:spacing w:before="6"/>
              <w:rPr>
                <w:sz w:val="21"/>
              </w:rPr>
            </w:pPr>
          </w:p>
          <w:p>
            <w:pPr>
              <w:pStyle w:val="TableParagraph"/>
              <w:ind w:right="62"/>
              <w:jc w:val="right"/>
              <w:rPr>
                <w:sz w:val="20"/>
              </w:rPr>
            </w:pPr>
            <w:r>
              <w:rPr>
                <w:w w:val="99"/>
                <w:sz w:val="20"/>
              </w:rPr>
              <w:t>6</w:t>
            </w:r>
          </w:p>
        </w:tc>
      </w:tr>
      <w:tr>
        <w:trPr>
          <w:trHeight w:val="243" w:hRule="exact"/>
        </w:trPr>
        <w:tc>
          <w:tcPr>
            <w:tcW w:w="3568" w:type="dxa"/>
            <w:tcBorders>
              <w:left w:val="single" w:sz="8" w:space="0" w:color="000000"/>
              <w:bottom w:val="single" w:sz="4" w:space="0" w:color="000000"/>
              <w:right w:val="single" w:sz="4" w:space="0" w:color="000000"/>
            </w:tcBorders>
          </w:tcPr>
          <w:p>
            <w:pPr>
              <w:pStyle w:val="TableParagraph"/>
              <w:spacing w:before="1"/>
              <w:ind w:left="60" w:right="30"/>
              <w:rPr>
                <w:sz w:val="20"/>
              </w:rPr>
            </w:pPr>
            <w:r>
              <w:rPr>
                <w:sz w:val="20"/>
              </w:rPr>
              <w:t>DE PRODUCCION Y TECNOLOGIA</w:t>
            </w:r>
          </w:p>
        </w:tc>
        <w:tc>
          <w:tcPr>
            <w:tcW w:w="843" w:type="dxa"/>
            <w:vMerge/>
            <w:tcBorders>
              <w:left w:val="single" w:sz="4" w:space="0" w:color="000000"/>
              <w:bottom w:val="single" w:sz="4" w:space="0" w:color="000000"/>
              <w:right w:val="single" w:sz="4" w:space="0" w:color="000000"/>
            </w:tcBorders>
          </w:tcPr>
          <w:p>
            <w:pPr/>
          </w:p>
        </w:tc>
        <w:tc>
          <w:tcPr>
            <w:tcW w:w="1025" w:type="dxa"/>
            <w:vMerge/>
            <w:tcBorders>
              <w:left w:val="single" w:sz="4" w:space="0" w:color="000000"/>
              <w:bottom w:val="single" w:sz="4" w:space="0" w:color="000000"/>
              <w:right w:val="single" w:sz="4" w:space="0" w:color="000000"/>
            </w:tcBorders>
          </w:tcPr>
          <w:p>
            <w:pPr/>
          </w:p>
        </w:tc>
        <w:tc>
          <w:tcPr>
            <w:tcW w:w="1195" w:type="dxa"/>
            <w:vMerge/>
            <w:tcBorders>
              <w:left w:val="single" w:sz="4" w:space="0" w:color="000000"/>
              <w:bottom w:val="single" w:sz="4" w:space="0" w:color="000000"/>
              <w:right w:val="single" w:sz="4" w:space="0" w:color="000000"/>
            </w:tcBorders>
          </w:tcPr>
          <w:p>
            <w:pPr/>
          </w:p>
        </w:tc>
        <w:tc>
          <w:tcPr>
            <w:tcW w:w="1187" w:type="dxa"/>
            <w:vMerge/>
            <w:tcBorders>
              <w:left w:val="single" w:sz="4" w:space="0" w:color="000000"/>
              <w:bottom w:val="single" w:sz="4" w:space="0" w:color="000000"/>
              <w:right w:val="single" w:sz="8" w:space="0" w:color="000000"/>
            </w:tcBorders>
          </w:tcPr>
          <w:p>
            <w:pPr/>
          </w:p>
        </w:tc>
      </w:tr>
      <w:tr>
        <w:trPr>
          <w:trHeight w:val="284" w:hRule="exact"/>
        </w:trPr>
        <w:tc>
          <w:tcPr>
            <w:tcW w:w="3568" w:type="dxa"/>
            <w:tcBorders>
              <w:top w:val="single" w:sz="4" w:space="0" w:color="000000"/>
              <w:left w:val="single" w:sz="8" w:space="0" w:color="000000"/>
              <w:bottom w:val="single" w:sz="8" w:space="0" w:color="000000"/>
              <w:right w:val="single" w:sz="4" w:space="0" w:color="000000"/>
            </w:tcBorders>
          </w:tcPr>
          <w:p>
            <w:pPr>
              <w:pStyle w:val="TableParagraph"/>
              <w:spacing w:before="34"/>
              <w:ind w:left="60" w:right="30"/>
              <w:rPr>
                <w:sz w:val="20"/>
              </w:rPr>
            </w:pPr>
            <w:r>
              <w:rPr>
                <w:sz w:val="20"/>
              </w:rPr>
              <w:t>ECONOMIA DEL MEDIO AMBIENTE</w:t>
            </w:r>
          </w:p>
        </w:tc>
        <w:tc>
          <w:tcPr>
            <w:tcW w:w="843" w:type="dxa"/>
            <w:tcBorders>
              <w:top w:val="single" w:sz="4" w:space="0" w:color="000000"/>
              <w:left w:val="single" w:sz="4" w:space="0" w:color="000000"/>
              <w:bottom w:val="single" w:sz="8" w:space="0" w:color="000000"/>
              <w:right w:val="single" w:sz="4" w:space="0" w:color="000000"/>
            </w:tcBorders>
          </w:tcPr>
          <w:p>
            <w:pPr>
              <w:pStyle w:val="TableParagraph"/>
              <w:spacing w:before="34"/>
              <w:ind w:right="66"/>
              <w:jc w:val="right"/>
              <w:rPr>
                <w:sz w:val="20"/>
              </w:rPr>
            </w:pPr>
            <w:r>
              <w:rPr>
                <w:w w:val="99"/>
                <w:sz w:val="20"/>
              </w:rPr>
              <w:t>4</w:t>
            </w:r>
          </w:p>
        </w:tc>
        <w:tc>
          <w:tcPr>
            <w:tcW w:w="1025" w:type="dxa"/>
            <w:tcBorders>
              <w:top w:val="single" w:sz="4" w:space="0" w:color="000000"/>
              <w:left w:val="single" w:sz="4" w:space="0" w:color="000000"/>
              <w:bottom w:val="single" w:sz="8" w:space="0" w:color="000000"/>
              <w:right w:val="single" w:sz="4" w:space="0" w:color="000000"/>
            </w:tcBorders>
          </w:tcPr>
          <w:p>
            <w:pPr>
              <w:pStyle w:val="TableParagraph"/>
              <w:spacing w:before="34"/>
              <w:ind w:right="65"/>
              <w:jc w:val="right"/>
              <w:rPr>
                <w:sz w:val="20"/>
              </w:rPr>
            </w:pPr>
            <w:r>
              <w:rPr>
                <w:w w:val="99"/>
                <w:sz w:val="20"/>
              </w:rPr>
              <w:t>2</w:t>
            </w:r>
          </w:p>
        </w:tc>
        <w:tc>
          <w:tcPr>
            <w:tcW w:w="1195" w:type="dxa"/>
            <w:tcBorders>
              <w:top w:val="single" w:sz="4" w:space="0" w:color="000000"/>
              <w:left w:val="single" w:sz="4" w:space="0" w:color="000000"/>
              <w:bottom w:val="single" w:sz="8" w:space="0" w:color="000000"/>
              <w:right w:val="single" w:sz="4" w:space="0" w:color="000000"/>
            </w:tcBorders>
          </w:tcPr>
          <w:p>
            <w:pPr>
              <w:pStyle w:val="TableParagraph"/>
              <w:spacing w:before="34"/>
              <w:ind w:right="65"/>
              <w:jc w:val="right"/>
              <w:rPr>
                <w:sz w:val="20"/>
              </w:rPr>
            </w:pPr>
            <w:r>
              <w:rPr>
                <w:w w:val="99"/>
                <w:sz w:val="20"/>
              </w:rPr>
              <w:t>2</w:t>
            </w:r>
          </w:p>
        </w:tc>
        <w:tc>
          <w:tcPr>
            <w:tcW w:w="1187" w:type="dxa"/>
            <w:tcBorders>
              <w:top w:val="single" w:sz="4" w:space="0" w:color="000000"/>
              <w:left w:val="single" w:sz="4" w:space="0" w:color="000000"/>
              <w:bottom w:val="single" w:sz="8" w:space="0" w:color="000000"/>
              <w:right w:val="single" w:sz="8" w:space="0" w:color="000000"/>
            </w:tcBorders>
          </w:tcPr>
          <w:p>
            <w:pPr>
              <w:pStyle w:val="TableParagraph"/>
              <w:spacing w:before="34"/>
              <w:ind w:right="62"/>
              <w:jc w:val="right"/>
              <w:rPr>
                <w:sz w:val="20"/>
              </w:rPr>
            </w:pPr>
            <w:r>
              <w:rPr>
                <w:w w:val="99"/>
                <w:sz w:val="20"/>
              </w:rPr>
              <w:t>6</w:t>
            </w:r>
          </w:p>
        </w:tc>
      </w:tr>
      <w:tr>
        <w:trPr>
          <w:trHeight w:val="386" w:hRule="exact"/>
        </w:trPr>
        <w:tc>
          <w:tcPr>
            <w:tcW w:w="3568" w:type="dxa"/>
            <w:tcBorders>
              <w:top w:val="single" w:sz="8" w:space="0" w:color="000000"/>
            </w:tcBorders>
          </w:tcPr>
          <w:p>
            <w:pPr>
              <w:pStyle w:val="TableParagraph"/>
              <w:spacing w:before="19"/>
              <w:ind w:left="70"/>
              <w:rPr>
                <w:sz w:val="20"/>
              </w:rPr>
            </w:pPr>
            <w:r>
              <w:rPr>
                <w:sz w:val="20"/>
              </w:rPr>
              <w:t>TOTAL</w:t>
            </w:r>
          </w:p>
        </w:tc>
        <w:tc>
          <w:tcPr>
            <w:tcW w:w="843" w:type="dxa"/>
            <w:tcBorders>
              <w:top w:val="single" w:sz="8" w:space="0" w:color="000000"/>
            </w:tcBorders>
          </w:tcPr>
          <w:p>
            <w:pPr>
              <w:pStyle w:val="TableParagraph"/>
              <w:spacing w:before="19"/>
              <w:ind w:right="69"/>
              <w:jc w:val="right"/>
              <w:rPr>
                <w:sz w:val="20"/>
              </w:rPr>
            </w:pPr>
            <w:r>
              <w:rPr>
                <w:sz w:val="20"/>
              </w:rPr>
              <w:t>30</w:t>
            </w:r>
          </w:p>
        </w:tc>
        <w:tc>
          <w:tcPr>
            <w:tcW w:w="1025" w:type="dxa"/>
            <w:tcBorders>
              <w:top w:val="single" w:sz="8" w:space="0" w:color="000000"/>
            </w:tcBorders>
          </w:tcPr>
          <w:p>
            <w:pPr>
              <w:pStyle w:val="TableParagraph"/>
              <w:spacing w:before="19"/>
              <w:ind w:right="65"/>
              <w:jc w:val="right"/>
              <w:rPr>
                <w:sz w:val="20"/>
              </w:rPr>
            </w:pPr>
            <w:r>
              <w:rPr>
                <w:sz w:val="20"/>
              </w:rPr>
              <w:t>20</w:t>
            </w:r>
          </w:p>
        </w:tc>
        <w:tc>
          <w:tcPr>
            <w:tcW w:w="1195" w:type="dxa"/>
            <w:tcBorders>
              <w:top w:val="single" w:sz="8" w:space="0" w:color="000000"/>
            </w:tcBorders>
          </w:tcPr>
          <w:p>
            <w:pPr>
              <w:pStyle w:val="TableParagraph"/>
              <w:spacing w:before="19"/>
              <w:ind w:right="65"/>
              <w:jc w:val="right"/>
              <w:rPr>
                <w:sz w:val="20"/>
              </w:rPr>
            </w:pPr>
            <w:r>
              <w:rPr>
                <w:sz w:val="20"/>
              </w:rPr>
              <w:t>10</w:t>
            </w:r>
          </w:p>
        </w:tc>
        <w:tc>
          <w:tcPr>
            <w:tcW w:w="1187" w:type="dxa"/>
            <w:tcBorders>
              <w:top w:val="single" w:sz="8" w:space="0" w:color="000000"/>
            </w:tcBorders>
          </w:tcPr>
          <w:p>
            <w:pPr>
              <w:pStyle w:val="TableParagraph"/>
              <w:spacing w:before="19"/>
              <w:ind w:right="68"/>
              <w:jc w:val="right"/>
              <w:rPr>
                <w:sz w:val="20"/>
              </w:rPr>
            </w:pPr>
            <w:r>
              <w:rPr>
                <w:sz w:val="20"/>
              </w:rPr>
              <w:t>50</w:t>
            </w:r>
          </w:p>
        </w:tc>
      </w:tr>
      <w:tr>
        <w:trPr>
          <w:trHeight w:val="351" w:hRule="exact"/>
        </w:trPr>
        <w:tc>
          <w:tcPr>
            <w:tcW w:w="3568" w:type="dxa"/>
            <w:tcBorders>
              <w:bottom w:val="single" w:sz="8" w:space="0" w:color="000000"/>
            </w:tcBorders>
          </w:tcPr>
          <w:p>
            <w:pPr>
              <w:pStyle w:val="TableParagraph"/>
              <w:spacing w:before="104"/>
              <w:ind w:left="70"/>
              <w:rPr>
                <w:sz w:val="20"/>
              </w:rPr>
            </w:pPr>
            <w:r>
              <w:rPr>
                <w:sz w:val="20"/>
              </w:rPr>
              <w:t>SEXTO SEMESTRE</w:t>
            </w:r>
          </w:p>
        </w:tc>
        <w:tc>
          <w:tcPr>
            <w:tcW w:w="843" w:type="dxa"/>
            <w:tcBorders>
              <w:bottom w:val="single" w:sz="8" w:space="0" w:color="000000"/>
            </w:tcBorders>
          </w:tcPr>
          <w:p>
            <w:pPr/>
          </w:p>
        </w:tc>
        <w:tc>
          <w:tcPr>
            <w:tcW w:w="1025" w:type="dxa"/>
            <w:tcBorders>
              <w:bottom w:val="single" w:sz="8" w:space="0" w:color="000000"/>
            </w:tcBorders>
          </w:tcPr>
          <w:p>
            <w:pPr/>
          </w:p>
        </w:tc>
        <w:tc>
          <w:tcPr>
            <w:tcW w:w="1195" w:type="dxa"/>
            <w:tcBorders>
              <w:bottom w:val="single" w:sz="8" w:space="0" w:color="000000"/>
            </w:tcBorders>
          </w:tcPr>
          <w:p>
            <w:pPr/>
          </w:p>
        </w:tc>
        <w:tc>
          <w:tcPr>
            <w:tcW w:w="1187" w:type="dxa"/>
            <w:tcBorders>
              <w:bottom w:val="single" w:sz="8" w:space="0" w:color="000000"/>
            </w:tcBorders>
          </w:tcPr>
          <w:p>
            <w:pPr/>
          </w:p>
        </w:tc>
      </w:tr>
      <w:tr>
        <w:trPr>
          <w:trHeight w:val="475" w:hRule="exact"/>
        </w:trPr>
        <w:tc>
          <w:tcPr>
            <w:tcW w:w="3568" w:type="dxa"/>
            <w:vMerge w:val="restart"/>
            <w:tcBorders>
              <w:top w:val="single" w:sz="8" w:space="0" w:color="000000"/>
              <w:left w:val="single" w:sz="8" w:space="0" w:color="000000"/>
              <w:right w:val="single" w:sz="4" w:space="0" w:color="000000"/>
            </w:tcBorders>
          </w:tcPr>
          <w:p>
            <w:pPr/>
          </w:p>
        </w:tc>
        <w:tc>
          <w:tcPr>
            <w:tcW w:w="1868" w:type="dxa"/>
            <w:gridSpan w:val="2"/>
            <w:tcBorders>
              <w:top w:val="single" w:sz="8" w:space="0" w:color="000000"/>
              <w:left w:val="single" w:sz="4" w:space="0" w:color="000000"/>
              <w:bottom w:val="single" w:sz="4" w:space="0" w:color="000000"/>
              <w:right w:val="single" w:sz="4" w:space="0" w:color="000000"/>
            </w:tcBorders>
          </w:tcPr>
          <w:p>
            <w:pPr>
              <w:pStyle w:val="TableParagraph"/>
              <w:ind w:left="907" w:right="64"/>
              <w:rPr>
                <w:b/>
                <w:sz w:val="20"/>
              </w:rPr>
            </w:pPr>
            <w:r>
              <w:rPr>
                <w:b/>
                <w:sz w:val="20"/>
              </w:rPr>
              <w:t>HORAS SEMANA</w:t>
            </w:r>
          </w:p>
        </w:tc>
        <w:tc>
          <w:tcPr>
            <w:tcW w:w="1195" w:type="dxa"/>
            <w:tcBorders>
              <w:top w:val="single" w:sz="8" w:space="0" w:color="000000"/>
              <w:left w:val="single" w:sz="4" w:space="0" w:color="000000"/>
              <w:bottom w:val="single" w:sz="4" w:space="0" w:color="000000"/>
              <w:right w:val="single" w:sz="4" w:space="0" w:color="000000"/>
            </w:tcBorders>
          </w:tcPr>
          <w:p>
            <w:pPr/>
          </w:p>
        </w:tc>
        <w:tc>
          <w:tcPr>
            <w:tcW w:w="1187" w:type="dxa"/>
            <w:vMerge w:val="restart"/>
            <w:tcBorders>
              <w:top w:val="single" w:sz="8" w:space="0" w:color="000000"/>
              <w:left w:val="single" w:sz="4" w:space="0" w:color="000000"/>
              <w:right w:val="single" w:sz="8" w:space="0" w:color="000000"/>
            </w:tcBorders>
          </w:tcPr>
          <w:p>
            <w:pPr>
              <w:pStyle w:val="TableParagraph"/>
              <w:rPr>
                <w:sz w:val="20"/>
              </w:rPr>
            </w:pPr>
          </w:p>
          <w:p>
            <w:pPr>
              <w:pStyle w:val="TableParagraph"/>
              <w:spacing w:before="9"/>
              <w:rPr>
                <w:sz w:val="22"/>
              </w:rPr>
            </w:pPr>
          </w:p>
          <w:p>
            <w:pPr>
              <w:pStyle w:val="TableParagraph"/>
              <w:ind w:left="64"/>
              <w:rPr>
                <w:b/>
                <w:sz w:val="20"/>
              </w:rPr>
            </w:pPr>
            <w:r>
              <w:rPr>
                <w:b/>
                <w:sz w:val="20"/>
              </w:rPr>
              <w:t>CREDITOS</w:t>
            </w:r>
          </w:p>
        </w:tc>
      </w:tr>
      <w:tr>
        <w:trPr>
          <w:trHeight w:val="264" w:hRule="exact"/>
        </w:trPr>
        <w:tc>
          <w:tcPr>
            <w:tcW w:w="3568" w:type="dxa"/>
            <w:vMerge/>
            <w:tcBorders>
              <w:left w:val="single" w:sz="8" w:space="0" w:color="000000"/>
              <w:bottom w:val="single" w:sz="4" w:space="0" w:color="000000"/>
              <w:right w:val="single" w:sz="4" w:space="0" w:color="000000"/>
            </w:tcBorders>
          </w:tcPr>
          <w:p>
            <w:pP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22"/>
              <w:ind w:right="67"/>
              <w:jc w:val="right"/>
              <w:rPr>
                <w:b/>
                <w:sz w:val="20"/>
              </w:rPr>
            </w:pPr>
            <w:r>
              <w:rPr>
                <w:b/>
                <w:w w:val="95"/>
                <w:sz w:val="20"/>
              </w:rPr>
              <w:t>TOTAL</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22"/>
              <w:ind w:left="64"/>
              <w:rPr>
                <w:b/>
                <w:sz w:val="20"/>
              </w:rPr>
            </w:pPr>
            <w:r>
              <w:rPr>
                <w:b/>
                <w:sz w:val="20"/>
              </w:rPr>
              <w:t>TEORIA</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22"/>
              <w:ind w:right="66"/>
              <w:jc w:val="right"/>
              <w:rPr>
                <w:b/>
                <w:sz w:val="20"/>
              </w:rPr>
            </w:pPr>
            <w:r>
              <w:rPr>
                <w:b/>
                <w:w w:val="95"/>
                <w:sz w:val="20"/>
              </w:rPr>
              <w:t>PRACTICA</w:t>
            </w:r>
          </w:p>
        </w:tc>
        <w:tc>
          <w:tcPr>
            <w:tcW w:w="1187" w:type="dxa"/>
            <w:vMerge/>
            <w:tcBorders>
              <w:left w:val="single" w:sz="4" w:space="0" w:color="000000"/>
              <w:bottom w:val="single" w:sz="4" w:space="0" w:color="000000"/>
              <w:right w:val="single" w:sz="8" w:space="0" w:color="000000"/>
            </w:tcBorders>
          </w:tcPr>
          <w:p>
            <w:pPr/>
          </w:p>
        </w:tc>
      </w:tr>
      <w:tr>
        <w:trPr>
          <w:trHeight w:val="266"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19"/>
              <w:ind w:left="60" w:right="30"/>
              <w:rPr>
                <w:sz w:val="20"/>
              </w:rPr>
            </w:pPr>
            <w:r>
              <w:rPr>
                <w:sz w:val="20"/>
              </w:rPr>
              <w:t>TEORIA ECONOMICA V</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9"/>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2</w:t>
            </w:r>
          </w:p>
        </w:tc>
        <w:tc>
          <w:tcPr>
            <w:tcW w:w="1187" w:type="dxa"/>
            <w:tcBorders>
              <w:top w:val="single" w:sz="4" w:space="0" w:color="000000"/>
              <w:left w:val="single" w:sz="4" w:space="0" w:color="000000"/>
              <w:bottom w:val="single" w:sz="4" w:space="0" w:color="000000"/>
              <w:right w:val="single" w:sz="8" w:space="0" w:color="000000"/>
            </w:tcBorders>
          </w:tcPr>
          <w:p>
            <w:pPr>
              <w:pStyle w:val="TableParagraph"/>
              <w:spacing w:before="19"/>
              <w:ind w:right="59"/>
              <w:jc w:val="right"/>
              <w:rPr>
                <w:sz w:val="20"/>
              </w:rPr>
            </w:pPr>
            <w:r>
              <w:rPr>
                <w:sz w:val="20"/>
              </w:rPr>
              <w:t>10</w:t>
            </w:r>
          </w:p>
        </w:tc>
      </w:tr>
      <w:tr>
        <w:trPr>
          <w:trHeight w:val="468"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line="237" w:lineRule="auto"/>
              <w:ind w:left="60" w:right="951"/>
              <w:rPr>
                <w:sz w:val="20"/>
              </w:rPr>
            </w:pPr>
            <w:r>
              <w:rPr>
                <w:sz w:val="20"/>
              </w:rPr>
              <w:t>ECONOMIA MONETARIA Y FINANCIERA</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2"/>
              <w:rPr>
                <w:sz w:val="19"/>
              </w:rPr>
            </w:pPr>
          </w:p>
          <w:p>
            <w:pPr>
              <w:pStyle w:val="TableParagraph"/>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2"/>
              <w:rPr>
                <w:sz w:val="19"/>
              </w:rPr>
            </w:pPr>
          </w:p>
          <w:p>
            <w:pPr>
              <w:pStyle w:val="TableParagraph"/>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2"/>
              <w:rPr>
                <w:sz w:val="19"/>
              </w:rPr>
            </w:pPr>
          </w:p>
          <w:p>
            <w:pPr>
              <w:pStyle w:val="TableParagraph"/>
              <w:ind w:right="65"/>
              <w:jc w:val="right"/>
              <w:rPr>
                <w:sz w:val="20"/>
              </w:rPr>
            </w:pPr>
            <w:r>
              <w:rPr>
                <w:w w:val="99"/>
                <w:sz w:val="20"/>
              </w:rPr>
              <w:t>2</w:t>
            </w:r>
          </w:p>
        </w:tc>
        <w:tc>
          <w:tcPr>
            <w:tcW w:w="1187" w:type="dxa"/>
            <w:tcBorders>
              <w:top w:val="single" w:sz="4" w:space="0" w:color="000000"/>
              <w:left w:val="single" w:sz="4" w:space="0" w:color="000000"/>
              <w:bottom w:val="single" w:sz="4" w:space="0" w:color="000000"/>
              <w:right w:val="single" w:sz="8" w:space="0" w:color="000000"/>
            </w:tcBorders>
          </w:tcPr>
          <w:p>
            <w:pPr>
              <w:pStyle w:val="TableParagraph"/>
              <w:spacing w:before="2"/>
              <w:rPr>
                <w:sz w:val="19"/>
              </w:rPr>
            </w:pPr>
          </w:p>
          <w:p>
            <w:pPr>
              <w:pStyle w:val="TableParagraph"/>
              <w:ind w:right="59"/>
              <w:jc w:val="right"/>
              <w:rPr>
                <w:sz w:val="20"/>
              </w:rPr>
            </w:pPr>
            <w:r>
              <w:rPr>
                <w:sz w:val="20"/>
              </w:rPr>
              <w:t>10</w:t>
            </w:r>
          </w:p>
        </w:tc>
      </w:tr>
      <w:tr>
        <w:trPr>
          <w:trHeight w:val="266"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spacing w:before="19"/>
              <w:ind w:left="60" w:right="30"/>
              <w:rPr>
                <w:sz w:val="20"/>
              </w:rPr>
            </w:pPr>
            <w:r>
              <w:rPr>
                <w:sz w:val="20"/>
              </w:rPr>
              <w:t>ECONOMETRIA I</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9"/>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3</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3</w:t>
            </w:r>
          </w:p>
        </w:tc>
        <w:tc>
          <w:tcPr>
            <w:tcW w:w="1187" w:type="dxa"/>
            <w:tcBorders>
              <w:top w:val="single" w:sz="4" w:space="0" w:color="000000"/>
              <w:left w:val="single" w:sz="4" w:space="0" w:color="000000"/>
              <w:bottom w:val="single" w:sz="4" w:space="0" w:color="000000"/>
              <w:right w:val="single" w:sz="8" w:space="0" w:color="000000"/>
            </w:tcBorders>
          </w:tcPr>
          <w:p>
            <w:pPr>
              <w:pStyle w:val="TableParagraph"/>
              <w:spacing w:before="19"/>
              <w:ind w:right="62"/>
              <w:jc w:val="right"/>
              <w:rPr>
                <w:sz w:val="20"/>
              </w:rPr>
            </w:pPr>
            <w:r>
              <w:rPr>
                <w:w w:val="99"/>
                <w:sz w:val="20"/>
              </w:rPr>
              <w:t>9</w:t>
            </w:r>
          </w:p>
        </w:tc>
      </w:tr>
      <w:tr>
        <w:trPr>
          <w:trHeight w:val="470" w:hRule="exact"/>
        </w:trPr>
        <w:tc>
          <w:tcPr>
            <w:tcW w:w="3568" w:type="dxa"/>
            <w:tcBorders>
              <w:top w:val="single" w:sz="4" w:space="0" w:color="000000"/>
              <w:left w:val="single" w:sz="8" w:space="0" w:color="000000"/>
              <w:bottom w:val="single" w:sz="4" w:space="0" w:color="000000"/>
              <w:right w:val="single" w:sz="4" w:space="0" w:color="000000"/>
            </w:tcBorders>
          </w:tcPr>
          <w:p>
            <w:pPr>
              <w:pStyle w:val="TableParagraph"/>
              <w:ind w:left="60" w:right="30"/>
              <w:rPr>
                <w:sz w:val="20"/>
              </w:rPr>
            </w:pPr>
            <w:r>
              <w:rPr>
                <w:sz w:val="20"/>
              </w:rPr>
              <w:t>HISTORIA ECONOMICA DE MEXICO II</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6"/>
              <w:jc w:val="right"/>
              <w:rPr>
                <w:sz w:val="20"/>
              </w:rPr>
            </w:pPr>
            <w:r>
              <w:rPr>
                <w:w w:val="99"/>
                <w:sz w:val="20"/>
              </w:rPr>
              <w:t>4</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0</w:t>
            </w:r>
          </w:p>
        </w:tc>
        <w:tc>
          <w:tcPr>
            <w:tcW w:w="1187" w:type="dxa"/>
            <w:tcBorders>
              <w:top w:val="single" w:sz="4" w:space="0" w:color="000000"/>
              <w:left w:val="single" w:sz="4" w:space="0" w:color="000000"/>
              <w:bottom w:val="single" w:sz="4" w:space="0" w:color="000000"/>
              <w:right w:val="single" w:sz="8" w:space="0" w:color="000000"/>
            </w:tcBorders>
          </w:tcPr>
          <w:p>
            <w:pPr>
              <w:pStyle w:val="TableParagraph"/>
              <w:spacing w:before="5"/>
              <w:rPr>
                <w:sz w:val="19"/>
              </w:rPr>
            </w:pPr>
          </w:p>
          <w:p>
            <w:pPr>
              <w:pStyle w:val="TableParagraph"/>
              <w:ind w:right="62"/>
              <w:jc w:val="right"/>
              <w:rPr>
                <w:sz w:val="20"/>
              </w:rPr>
            </w:pPr>
            <w:r>
              <w:rPr>
                <w:w w:val="99"/>
                <w:sz w:val="20"/>
              </w:rPr>
              <w:t>8</w:t>
            </w:r>
          </w:p>
        </w:tc>
      </w:tr>
      <w:tr>
        <w:trPr>
          <w:trHeight w:val="259" w:hRule="exact"/>
        </w:trPr>
        <w:tc>
          <w:tcPr>
            <w:tcW w:w="3568" w:type="dxa"/>
            <w:tcBorders>
              <w:top w:val="single" w:sz="4" w:space="0" w:color="000000"/>
              <w:left w:val="single" w:sz="8" w:space="0" w:color="000000"/>
              <w:right w:val="single" w:sz="4" w:space="0" w:color="000000"/>
            </w:tcBorders>
          </w:tcPr>
          <w:p>
            <w:pPr>
              <w:pStyle w:val="TableParagraph"/>
              <w:spacing w:before="17"/>
              <w:ind w:left="60" w:right="30"/>
              <w:rPr>
                <w:sz w:val="20"/>
              </w:rPr>
            </w:pPr>
            <w:r>
              <w:rPr>
                <w:sz w:val="20"/>
              </w:rPr>
              <w:t>TALLER DE INVESTIGACION SOBRE</w:t>
            </w:r>
          </w:p>
        </w:tc>
        <w:tc>
          <w:tcPr>
            <w:tcW w:w="843" w:type="dxa"/>
            <w:tcBorders>
              <w:top w:val="single" w:sz="4" w:space="0" w:color="000000"/>
              <w:left w:val="single" w:sz="4" w:space="0" w:color="000000"/>
              <w:right w:val="single" w:sz="4" w:space="0" w:color="000000"/>
            </w:tcBorders>
          </w:tcPr>
          <w:p>
            <w:pPr/>
          </w:p>
        </w:tc>
        <w:tc>
          <w:tcPr>
            <w:tcW w:w="1025" w:type="dxa"/>
            <w:vMerge w:val="restart"/>
            <w:tcBorders>
              <w:top w:val="single" w:sz="4" w:space="0" w:color="000000"/>
              <w:left w:val="single" w:sz="4" w:space="0" w:color="000000"/>
              <w:right w:val="single" w:sz="4" w:space="0" w:color="000000"/>
            </w:tcBorders>
          </w:tcPr>
          <w:p>
            <w:pPr>
              <w:pStyle w:val="TableParagraph"/>
              <w:spacing w:before="1"/>
              <w:rPr>
                <w:sz w:val="25"/>
              </w:rPr>
            </w:pPr>
          </w:p>
          <w:p>
            <w:pPr>
              <w:pStyle w:val="TableParagraph"/>
              <w:ind w:right="65"/>
              <w:jc w:val="right"/>
              <w:rPr>
                <w:sz w:val="20"/>
              </w:rPr>
            </w:pPr>
            <w:r>
              <w:rPr>
                <w:w w:val="99"/>
                <w:sz w:val="20"/>
              </w:rPr>
              <w:t>2</w:t>
            </w:r>
          </w:p>
        </w:tc>
        <w:tc>
          <w:tcPr>
            <w:tcW w:w="1195" w:type="dxa"/>
            <w:vMerge w:val="restart"/>
            <w:tcBorders>
              <w:top w:val="single" w:sz="4" w:space="0" w:color="000000"/>
              <w:left w:val="single" w:sz="4" w:space="0" w:color="000000"/>
              <w:right w:val="single" w:sz="4" w:space="0" w:color="000000"/>
            </w:tcBorders>
          </w:tcPr>
          <w:p>
            <w:pPr>
              <w:pStyle w:val="TableParagraph"/>
              <w:spacing w:before="1"/>
              <w:rPr>
                <w:sz w:val="25"/>
              </w:rPr>
            </w:pPr>
          </w:p>
          <w:p>
            <w:pPr>
              <w:pStyle w:val="TableParagraph"/>
              <w:ind w:right="65"/>
              <w:jc w:val="right"/>
              <w:rPr>
                <w:sz w:val="20"/>
              </w:rPr>
            </w:pPr>
            <w:r>
              <w:rPr>
                <w:w w:val="99"/>
                <w:sz w:val="20"/>
              </w:rPr>
              <w:t>2</w:t>
            </w:r>
          </w:p>
        </w:tc>
        <w:tc>
          <w:tcPr>
            <w:tcW w:w="1187" w:type="dxa"/>
            <w:vMerge w:val="restart"/>
            <w:tcBorders>
              <w:top w:val="single" w:sz="4" w:space="0" w:color="000000"/>
              <w:left w:val="single" w:sz="4" w:space="0" w:color="000000"/>
              <w:right w:val="single" w:sz="8" w:space="0" w:color="000000"/>
            </w:tcBorders>
          </w:tcPr>
          <w:p>
            <w:pPr>
              <w:pStyle w:val="TableParagraph"/>
              <w:spacing w:before="1"/>
              <w:rPr>
                <w:sz w:val="25"/>
              </w:rPr>
            </w:pPr>
          </w:p>
          <w:p>
            <w:pPr>
              <w:pStyle w:val="TableParagraph"/>
              <w:ind w:right="62"/>
              <w:jc w:val="right"/>
              <w:rPr>
                <w:sz w:val="20"/>
              </w:rPr>
            </w:pPr>
            <w:r>
              <w:rPr>
                <w:w w:val="99"/>
                <w:sz w:val="20"/>
              </w:rPr>
              <w:t>6</w:t>
            </w:r>
          </w:p>
        </w:tc>
      </w:tr>
      <w:tr>
        <w:trPr>
          <w:trHeight w:val="279" w:hRule="exact"/>
        </w:trPr>
        <w:tc>
          <w:tcPr>
            <w:tcW w:w="3568" w:type="dxa"/>
            <w:tcBorders>
              <w:left w:val="single" w:sz="8" w:space="0" w:color="000000"/>
              <w:bottom w:val="single" w:sz="8" w:space="0" w:color="000000"/>
            </w:tcBorders>
          </w:tcPr>
          <w:p>
            <w:pPr>
              <w:pStyle w:val="TableParagraph"/>
              <w:spacing w:before="34"/>
              <w:ind w:left="60"/>
              <w:rPr>
                <w:sz w:val="20"/>
              </w:rPr>
            </w:pPr>
            <w:r>
              <w:rPr>
                <w:sz w:val="20"/>
              </w:rPr>
              <w:t>LA COYUNTURA ECONOMICA</w:t>
            </w:r>
          </w:p>
        </w:tc>
        <w:tc>
          <w:tcPr>
            <w:tcW w:w="843" w:type="dxa"/>
            <w:tcBorders>
              <w:bottom w:val="single" w:sz="8" w:space="0" w:color="000000"/>
              <w:right w:val="single" w:sz="4" w:space="0" w:color="000000"/>
            </w:tcBorders>
          </w:tcPr>
          <w:p>
            <w:pPr>
              <w:pStyle w:val="TableParagraph"/>
              <w:spacing w:before="34"/>
              <w:ind w:right="66"/>
              <w:jc w:val="right"/>
              <w:rPr>
                <w:sz w:val="20"/>
              </w:rPr>
            </w:pPr>
            <w:r>
              <w:rPr>
                <w:w w:val="99"/>
                <w:sz w:val="20"/>
              </w:rPr>
              <w:t>4</w:t>
            </w:r>
          </w:p>
        </w:tc>
        <w:tc>
          <w:tcPr>
            <w:tcW w:w="1025" w:type="dxa"/>
            <w:vMerge/>
            <w:tcBorders>
              <w:left w:val="single" w:sz="4" w:space="0" w:color="000000"/>
              <w:bottom w:val="single" w:sz="8" w:space="0" w:color="000000"/>
              <w:right w:val="single" w:sz="4" w:space="0" w:color="000000"/>
            </w:tcBorders>
          </w:tcPr>
          <w:p>
            <w:pPr/>
          </w:p>
        </w:tc>
        <w:tc>
          <w:tcPr>
            <w:tcW w:w="1195" w:type="dxa"/>
            <w:vMerge/>
            <w:tcBorders>
              <w:left w:val="single" w:sz="4" w:space="0" w:color="000000"/>
              <w:bottom w:val="single" w:sz="8" w:space="0" w:color="000000"/>
              <w:right w:val="single" w:sz="4" w:space="0" w:color="000000"/>
            </w:tcBorders>
          </w:tcPr>
          <w:p>
            <w:pPr/>
          </w:p>
        </w:tc>
        <w:tc>
          <w:tcPr>
            <w:tcW w:w="1187" w:type="dxa"/>
            <w:vMerge/>
            <w:tcBorders>
              <w:left w:val="single" w:sz="4" w:space="0" w:color="000000"/>
              <w:bottom w:val="single" w:sz="8" w:space="0" w:color="000000"/>
              <w:right w:val="single" w:sz="8" w:space="0" w:color="000000"/>
            </w:tcBorders>
          </w:tcPr>
          <w:p>
            <w:pPr/>
          </w:p>
        </w:tc>
      </w:tr>
      <w:tr>
        <w:trPr>
          <w:trHeight w:val="255" w:hRule="exact"/>
        </w:trPr>
        <w:tc>
          <w:tcPr>
            <w:tcW w:w="3568" w:type="dxa"/>
            <w:tcBorders>
              <w:top w:val="single" w:sz="8" w:space="0" w:color="000000"/>
            </w:tcBorders>
          </w:tcPr>
          <w:p>
            <w:pPr>
              <w:pStyle w:val="TableParagraph"/>
              <w:spacing w:before="19"/>
              <w:ind w:left="70"/>
              <w:rPr>
                <w:sz w:val="20"/>
              </w:rPr>
            </w:pPr>
            <w:r>
              <w:rPr>
                <w:sz w:val="20"/>
              </w:rPr>
              <w:t>TOTAL</w:t>
            </w:r>
          </w:p>
        </w:tc>
        <w:tc>
          <w:tcPr>
            <w:tcW w:w="843" w:type="dxa"/>
            <w:tcBorders>
              <w:top w:val="single" w:sz="8" w:space="0" w:color="000000"/>
            </w:tcBorders>
          </w:tcPr>
          <w:p>
            <w:pPr>
              <w:pStyle w:val="TableParagraph"/>
              <w:spacing w:before="19"/>
              <w:ind w:right="69"/>
              <w:jc w:val="right"/>
              <w:rPr>
                <w:sz w:val="20"/>
              </w:rPr>
            </w:pPr>
            <w:r>
              <w:rPr>
                <w:sz w:val="20"/>
              </w:rPr>
              <w:t>26</w:t>
            </w:r>
          </w:p>
        </w:tc>
        <w:tc>
          <w:tcPr>
            <w:tcW w:w="1025" w:type="dxa"/>
            <w:tcBorders>
              <w:top w:val="single" w:sz="8" w:space="0" w:color="000000"/>
            </w:tcBorders>
          </w:tcPr>
          <w:p>
            <w:pPr>
              <w:pStyle w:val="TableParagraph"/>
              <w:spacing w:before="19"/>
              <w:ind w:right="65"/>
              <w:jc w:val="right"/>
              <w:rPr>
                <w:sz w:val="20"/>
              </w:rPr>
            </w:pPr>
            <w:r>
              <w:rPr>
                <w:sz w:val="20"/>
              </w:rPr>
              <w:t>17</w:t>
            </w:r>
          </w:p>
        </w:tc>
        <w:tc>
          <w:tcPr>
            <w:tcW w:w="1195" w:type="dxa"/>
            <w:tcBorders>
              <w:top w:val="single" w:sz="8" w:space="0" w:color="000000"/>
            </w:tcBorders>
          </w:tcPr>
          <w:p>
            <w:pPr>
              <w:pStyle w:val="TableParagraph"/>
              <w:spacing w:before="19"/>
              <w:ind w:right="68"/>
              <w:jc w:val="right"/>
              <w:rPr>
                <w:sz w:val="20"/>
              </w:rPr>
            </w:pPr>
            <w:r>
              <w:rPr>
                <w:w w:val="99"/>
                <w:sz w:val="20"/>
              </w:rPr>
              <w:t>9</w:t>
            </w:r>
          </w:p>
        </w:tc>
        <w:tc>
          <w:tcPr>
            <w:tcW w:w="1187" w:type="dxa"/>
            <w:tcBorders>
              <w:top w:val="single" w:sz="8" w:space="0" w:color="000000"/>
            </w:tcBorders>
          </w:tcPr>
          <w:p>
            <w:pPr>
              <w:pStyle w:val="TableParagraph"/>
              <w:spacing w:before="19"/>
              <w:ind w:right="68"/>
              <w:jc w:val="right"/>
              <w:rPr>
                <w:sz w:val="20"/>
              </w:rPr>
            </w:pPr>
            <w:r>
              <w:rPr>
                <w:sz w:val="20"/>
              </w:rPr>
              <w:t>43</w:t>
            </w:r>
          </w:p>
        </w:tc>
      </w:tr>
    </w:tbl>
    <w:p>
      <w:pPr>
        <w:spacing w:after="0"/>
        <w:jc w:val="right"/>
        <w:rPr>
          <w:sz w:val="20"/>
        </w:rPr>
        <w:sectPr>
          <w:pgSz w:w="12240" w:h="15840"/>
          <w:pgMar w:header="0" w:footer="943" w:top="1500" w:bottom="1140" w:left="1720" w:right="1580"/>
        </w:sectPr>
      </w:pPr>
    </w:p>
    <w:p>
      <w:pPr>
        <w:spacing w:before="49" w:after="48"/>
        <w:ind w:left="562" w:right="0" w:firstLine="0"/>
        <w:jc w:val="left"/>
        <w:rPr>
          <w:sz w:val="20"/>
        </w:rPr>
      </w:pPr>
      <w:r>
        <w:rPr>
          <w:sz w:val="20"/>
        </w:rPr>
        <w:t>SEPTIMO SEMESTRE</w:t>
      </w:r>
    </w:p>
    <w:tbl>
      <w:tblPr>
        <w:tblW w:w="0" w:type="auto"/>
        <w:jc w:val="left"/>
        <w:tblInd w:w="4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567"/>
        <w:gridCol w:w="843"/>
        <w:gridCol w:w="1025"/>
        <w:gridCol w:w="1195"/>
        <w:gridCol w:w="1186"/>
      </w:tblGrid>
      <w:tr>
        <w:trPr>
          <w:trHeight w:val="480" w:hRule="exact"/>
        </w:trPr>
        <w:tc>
          <w:tcPr>
            <w:tcW w:w="3567" w:type="dxa"/>
            <w:tcBorders>
              <w:right w:val="single" w:sz="4" w:space="0" w:color="000000"/>
            </w:tcBorders>
          </w:tcPr>
          <w:p>
            <w:pPr/>
          </w:p>
        </w:tc>
        <w:tc>
          <w:tcPr>
            <w:tcW w:w="1868" w:type="dxa"/>
            <w:gridSpan w:val="2"/>
            <w:tcBorders>
              <w:left w:val="single" w:sz="4" w:space="0" w:color="000000"/>
              <w:right w:val="single" w:sz="4" w:space="0" w:color="000000"/>
            </w:tcBorders>
          </w:tcPr>
          <w:p>
            <w:pPr>
              <w:pStyle w:val="TableParagraph"/>
              <w:ind w:left="907" w:right="64"/>
              <w:rPr>
                <w:b/>
                <w:sz w:val="20"/>
              </w:rPr>
            </w:pPr>
            <w:r>
              <w:rPr>
                <w:b/>
                <w:sz w:val="20"/>
              </w:rPr>
              <w:t>HORAS SEMANA</w:t>
            </w:r>
          </w:p>
        </w:tc>
        <w:tc>
          <w:tcPr>
            <w:tcW w:w="1195" w:type="dxa"/>
            <w:tcBorders>
              <w:left w:val="single" w:sz="4" w:space="0" w:color="000000"/>
              <w:right w:val="single" w:sz="4" w:space="0" w:color="000000"/>
            </w:tcBorders>
          </w:tcPr>
          <w:p>
            <w:pPr/>
          </w:p>
        </w:tc>
        <w:tc>
          <w:tcPr>
            <w:tcW w:w="1186" w:type="dxa"/>
            <w:tcBorders>
              <w:left w:val="single" w:sz="4" w:space="0" w:color="000000"/>
            </w:tcBorders>
          </w:tcPr>
          <w:p>
            <w:pPr/>
          </w:p>
        </w:tc>
      </w:tr>
      <w:tr>
        <w:trPr>
          <w:trHeight w:val="269" w:hRule="exact"/>
        </w:trPr>
        <w:tc>
          <w:tcPr>
            <w:tcW w:w="3567" w:type="dxa"/>
            <w:tcBorders>
              <w:bottom w:val="single" w:sz="4" w:space="0" w:color="000000"/>
              <w:right w:val="single" w:sz="4" w:space="0" w:color="000000"/>
            </w:tcBorders>
          </w:tcPr>
          <w:p>
            <w:pPr/>
          </w:p>
        </w:tc>
        <w:tc>
          <w:tcPr>
            <w:tcW w:w="843" w:type="dxa"/>
            <w:tcBorders>
              <w:left w:val="single" w:sz="4" w:space="0" w:color="000000"/>
              <w:bottom w:val="single" w:sz="4" w:space="0" w:color="000000"/>
              <w:right w:val="single" w:sz="4" w:space="0" w:color="000000"/>
            </w:tcBorders>
          </w:tcPr>
          <w:p>
            <w:pPr>
              <w:pStyle w:val="TableParagraph"/>
              <w:spacing w:before="24"/>
              <w:ind w:right="67"/>
              <w:jc w:val="right"/>
              <w:rPr>
                <w:b/>
                <w:sz w:val="20"/>
              </w:rPr>
            </w:pPr>
            <w:r>
              <w:rPr>
                <w:b/>
                <w:w w:val="95"/>
                <w:sz w:val="20"/>
              </w:rPr>
              <w:t>TOTAL</w:t>
            </w:r>
          </w:p>
        </w:tc>
        <w:tc>
          <w:tcPr>
            <w:tcW w:w="1025" w:type="dxa"/>
            <w:tcBorders>
              <w:left w:val="single" w:sz="4" w:space="0" w:color="000000"/>
              <w:bottom w:val="single" w:sz="4" w:space="0" w:color="000000"/>
              <w:right w:val="single" w:sz="4" w:space="0" w:color="000000"/>
            </w:tcBorders>
          </w:tcPr>
          <w:p>
            <w:pPr>
              <w:pStyle w:val="TableParagraph"/>
              <w:spacing w:before="24"/>
              <w:ind w:left="64"/>
              <w:rPr>
                <w:b/>
                <w:sz w:val="20"/>
              </w:rPr>
            </w:pPr>
            <w:r>
              <w:rPr>
                <w:b/>
                <w:sz w:val="20"/>
              </w:rPr>
              <w:t>TEORIA</w:t>
            </w:r>
          </w:p>
        </w:tc>
        <w:tc>
          <w:tcPr>
            <w:tcW w:w="1195" w:type="dxa"/>
            <w:tcBorders>
              <w:left w:val="single" w:sz="4" w:space="0" w:color="000000"/>
              <w:bottom w:val="single" w:sz="4" w:space="0" w:color="000000"/>
              <w:right w:val="single" w:sz="4" w:space="0" w:color="000000"/>
            </w:tcBorders>
          </w:tcPr>
          <w:p>
            <w:pPr>
              <w:pStyle w:val="TableParagraph"/>
              <w:spacing w:before="24"/>
              <w:ind w:right="66"/>
              <w:jc w:val="right"/>
              <w:rPr>
                <w:b/>
                <w:sz w:val="20"/>
              </w:rPr>
            </w:pPr>
            <w:r>
              <w:rPr>
                <w:b/>
                <w:w w:val="95"/>
                <w:sz w:val="20"/>
              </w:rPr>
              <w:t>PRACTICA</w:t>
            </w:r>
          </w:p>
        </w:tc>
        <w:tc>
          <w:tcPr>
            <w:tcW w:w="1186" w:type="dxa"/>
            <w:tcBorders>
              <w:left w:val="single" w:sz="4" w:space="0" w:color="000000"/>
              <w:bottom w:val="single" w:sz="4" w:space="0" w:color="000000"/>
            </w:tcBorders>
          </w:tcPr>
          <w:p>
            <w:pPr>
              <w:pStyle w:val="TableParagraph"/>
              <w:spacing w:before="24"/>
              <w:ind w:right="63"/>
              <w:jc w:val="right"/>
              <w:rPr>
                <w:b/>
                <w:sz w:val="20"/>
              </w:rPr>
            </w:pPr>
            <w:r>
              <w:rPr>
                <w:b/>
                <w:sz w:val="20"/>
              </w:rPr>
              <w:t>CREDITOS</w:t>
            </w:r>
          </w:p>
        </w:tc>
      </w:tr>
      <w:tr>
        <w:trPr>
          <w:trHeight w:val="266" w:hRule="exact"/>
        </w:trPr>
        <w:tc>
          <w:tcPr>
            <w:tcW w:w="3567" w:type="dxa"/>
            <w:tcBorders>
              <w:top w:val="single" w:sz="4" w:space="0" w:color="000000"/>
              <w:bottom w:val="single" w:sz="4" w:space="0" w:color="000000"/>
              <w:right w:val="single" w:sz="4" w:space="0" w:color="000000"/>
            </w:tcBorders>
          </w:tcPr>
          <w:p>
            <w:pPr>
              <w:pStyle w:val="TableParagraph"/>
              <w:spacing w:before="19"/>
              <w:ind w:left="60"/>
              <w:rPr>
                <w:sz w:val="20"/>
              </w:rPr>
            </w:pPr>
            <w:r>
              <w:rPr>
                <w:sz w:val="20"/>
              </w:rPr>
              <w:t>TEORIA ECONOMICA VI</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9"/>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2</w:t>
            </w:r>
          </w:p>
        </w:tc>
        <w:tc>
          <w:tcPr>
            <w:tcW w:w="1186" w:type="dxa"/>
            <w:tcBorders>
              <w:top w:val="single" w:sz="4" w:space="0" w:color="000000"/>
              <w:left w:val="single" w:sz="4" w:space="0" w:color="000000"/>
              <w:bottom w:val="single" w:sz="4" w:space="0" w:color="000000"/>
            </w:tcBorders>
          </w:tcPr>
          <w:p>
            <w:pPr>
              <w:pStyle w:val="TableParagraph"/>
              <w:spacing w:before="19"/>
              <w:ind w:right="59"/>
              <w:jc w:val="right"/>
              <w:rPr>
                <w:sz w:val="20"/>
              </w:rPr>
            </w:pPr>
            <w:r>
              <w:rPr>
                <w:sz w:val="20"/>
              </w:rPr>
              <w:t>10</w:t>
            </w:r>
          </w:p>
        </w:tc>
      </w:tr>
      <w:tr>
        <w:trPr>
          <w:trHeight w:val="264" w:hRule="exact"/>
        </w:trPr>
        <w:tc>
          <w:tcPr>
            <w:tcW w:w="3567" w:type="dxa"/>
            <w:tcBorders>
              <w:top w:val="single" w:sz="4" w:space="0" w:color="000000"/>
              <w:bottom w:val="single" w:sz="4" w:space="0" w:color="000000"/>
              <w:right w:val="single" w:sz="4" w:space="0" w:color="000000"/>
            </w:tcBorders>
          </w:tcPr>
          <w:p>
            <w:pPr>
              <w:pStyle w:val="TableParagraph"/>
              <w:spacing w:before="17"/>
              <w:ind w:left="60"/>
              <w:rPr>
                <w:sz w:val="20"/>
              </w:rPr>
            </w:pPr>
            <w:r>
              <w:rPr>
                <w:sz w:val="20"/>
              </w:rPr>
              <w:t>ECONOMIA PUBLICA</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7"/>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7"/>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7"/>
              <w:ind w:right="65"/>
              <w:jc w:val="right"/>
              <w:rPr>
                <w:sz w:val="20"/>
              </w:rPr>
            </w:pPr>
            <w:r>
              <w:rPr>
                <w:w w:val="99"/>
                <w:sz w:val="20"/>
              </w:rPr>
              <w:t>2</w:t>
            </w:r>
          </w:p>
        </w:tc>
        <w:tc>
          <w:tcPr>
            <w:tcW w:w="1186" w:type="dxa"/>
            <w:tcBorders>
              <w:top w:val="single" w:sz="4" w:space="0" w:color="000000"/>
              <w:left w:val="single" w:sz="4" w:space="0" w:color="000000"/>
              <w:bottom w:val="single" w:sz="4" w:space="0" w:color="000000"/>
            </w:tcBorders>
          </w:tcPr>
          <w:p>
            <w:pPr>
              <w:pStyle w:val="TableParagraph"/>
              <w:spacing w:before="17"/>
              <w:ind w:right="59"/>
              <w:jc w:val="right"/>
              <w:rPr>
                <w:sz w:val="20"/>
              </w:rPr>
            </w:pPr>
            <w:r>
              <w:rPr>
                <w:sz w:val="20"/>
              </w:rPr>
              <w:t>10</w:t>
            </w:r>
          </w:p>
        </w:tc>
      </w:tr>
      <w:tr>
        <w:trPr>
          <w:trHeight w:val="266" w:hRule="exact"/>
        </w:trPr>
        <w:tc>
          <w:tcPr>
            <w:tcW w:w="3567" w:type="dxa"/>
            <w:tcBorders>
              <w:top w:val="single" w:sz="4" w:space="0" w:color="000000"/>
              <w:bottom w:val="single" w:sz="4" w:space="0" w:color="000000"/>
              <w:right w:val="single" w:sz="4" w:space="0" w:color="000000"/>
            </w:tcBorders>
          </w:tcPr>
          <w:p>
            <w:pPr>
              <w:pStyle w:val="TableParagraph"/>
              <w:spacing w:before="19"/>
              <w:ind w:left="60"/>
              <w:rPr>
                <w:sz w:val="20"/>
              </w:rPr>
            </w:pPr>
            <w:r>
              <w:rPr>
                <w:sz w:val="20"/>
              </w:rPr>
              <w:t>ECONOMETRIA II</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9"/>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3</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3</w:t>
            </w:r>
          </w:p>
        </w:tc>
        <w:tc>
          <w:tcPr>
            <w:tcW w:w="1186" w:type="dxa"/>
            <w:tcBorders>
              <w:top w:val="single" w:sz="4" w:space="0" w:color="000000"/>
              <w:left w:val="single" w:sz="4" w:space="0" w:color="000000"/>
              <w:bottom w:val="single" w:sz="4" w:space="0" w:color="000000"/>
            </w:tcBorders>
          </w:tcPr>
          <w:p>
            <w:pPr>
              <w:pStyle w:val="TableParagraph"/>
              <w:spacing w:before="19"/>
              <w:ind w:right="61"/>
              <w:jc w:val="right"/>
              <w:rPr>
                <w:sz w:val="20"/>
              </w:rPr>
            </w:pPr>
            <w:r>
              <w:rPr>
                <w:w w:val="99"/>
                <w:sz w:val="20"/>
              </w:rPr>
              <w:t>9</w:t>
            </w:r>
          </w:p>
        </w:tc>
      </w:tr>
      <w:tr>
        <w:trPr>
          <w:trHeight w:val="470" w:hRule="exact"/>
        </w:trPr>
        <w:tc>
          <w:tcPr>
            <w:tcW w:w="3567" w:type="dxa"/>
            <w:tcBorders>
              <w:top w:val="single" w:sz="4" w:space="0" w:color="000000"/>
              <w:bottom w:val="single" w:sz="4" w:space="0" w:color="000000"/>
              <w:right w:val="single" w:sz="4" w:space="0" w:color="000000"/>
            </w:tcBorders>
          </w:tcPr>
          <w:p>
            <w:pPr>
              <w:pStyle w:val="TableParagraph"/>
              <w:ind w:left="60"/>
              <w:rPr>
                <w:sz w:val="20"/>
              </w:rPr>
            </w:pPr>
            <w:r>
              <w:rPr>
                <w:sz w:val="20"/>
              </w:rPr>
              <w:t>(*)SISTEMAS DE INFORMACION APLICADOS A LA EMPRESA(a)**</w:t>
            </w:r>
          </w:p>
        </w:tc>
        <w:tc>
          <w:tcPr>
            <w:tcW w:w="843" w:type="dxa"/>
            <w:vMerge w:val="restart"/>
            <w:tcBorders>
              <w:top w:val="single" w:sz="4" w:space="0" w:color="000000"/>
              <w:left w:val="single" w:sz="4" w:space="0" w:color="000000"/>
              <w:right w:val="single" w:sz="4" w:space="0" w:color="000000"/>
            </w:tcBorders>
          </w:tcPr>
          <w:p>
            <w:pPr>
              <w:pStyle w:val="TableParagraph"/>
              <w:spacing w:before="5"/>
              <w:rPr>
                <w:sz w:val="19"/>
              </w:rPr>
            </w:pPr>
          </w:p>
          <w:p>
            <w:pPr>
              <w:pStyle w:val="TableParagraph"/>
              <w:ind w:right="66"/>
              <w:jc w:val="right"/>
              <w:rPr>
                <w:sz w:val="20"/>
              </w:rPr>
            </w:pPr>
            <w:r>
              <w:rPr>
                <w:w w:val="99"/>
                <w:sz w:val="20"/>
              </w:rPr>
              <w:t>4</w:t>
            </w:r>
          </w:p>
        </w:tc>
        <w:tc>
          <w:tcPr>
            <w:tcW w:w="1025" w:type="dxa"/>
            <w:vMerge w:val="restart"/>
            <w:tcBorders>
              <w:top w:val="single" w:sz="4" w:space="0" w:color="000000"/>
              <w:left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2</w:t>
            </w:r>
          </w:p>
        </w:tc>
        <w:tc>
          <w:tcPr>
            <w:tcW w:w="1195" w:type="dxa"/>
            <w:vMerge w:val="restart"/>
            <w:tcBorders>
              <w:top w:val="single" w:sz="4" w:space="0" w:color="000000"/>
              <w:left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2</w:t>
            </w:r>
          </w:p>
        </w:tc>
        <w:tc>
          <w:tcPr>
            <w:tcW w:w="1186" w:type="dxa"/>
            <w:vMerge w:val="restart"/>
            <w:tcBorders>
              <w:top w:val="single" w:sz="4" w:space="0" w:color="000000"/>
              <w:left w:val="single" w:sz="4" w:space="0" w:color="000000"/>
            </w:tcBorders>
          </w:tcPr>
          <w:p>
            <w:pPr>
              <w:pStyle w:val="TableParagraph"/>
              <w:spacing w:before="5"/>
              <w:rPr>
                <w:sz w:val="19"/>
              </w:rPr>
            </w:pPr>
          </w:p>
          <w:p>
            <w:pPr>
              <w:pStyle w:val="TableParagraph"/>
              <w:ind w:right="61"/>
              <w:jc w:val="right"/>
              <w:rPr>
                <w:sz w:val="20"/>
              </w:rPr>
            </w:pPr>
            <w:r>
              <w:rPr>
                <w:w w:val="99"/>
                <w:sz w:val="20"/>
              </w:rPr>
              <w:t>6</w:t>
            </w:r>
          </w:p>
        </w:tc>
      </w:tr>
      <w:tr>
        <w:trPr>
          <w:trHeight w:val="468" w:hRule="exact"/>
        </w:trPr>
        <w:tc>
          <w:tcPr>
            <w:tcW w:w="3567" w:type="dxa"/>
            <w:tcBorders>
              <w:top w:val="single" w:sz="4" w:space="0" w:color="000000"/>
              <w:bottom w:val="single" w:sz="4" w:space="0" w:color="000000"/>
              <w:right w:val="single" w:sz="4" w:space="0" w:color="000000"/>
            </w:tcBorders>
          </w:tcPr>
          <w:p>
            <w:pPr>
              <w:pStyle w:val="TableParagraph"/>
              <w:ind w:left="60"/>
              <w:rPr>
                <w:sz w:val="20"/>
              </w:rPr>
            </w:pPr>
            <w:r>
              <w:rPr>
                <w:sz w:val="20"/>
              </w:rPr>
              <w:t>(*)SISTEMAS DE INFORMACION APLICADOS AL GOBIERNO(b)**</w:t>
            </w:r>
          </w:p>
        </w:tc>
        <w:tc>
          <w:tcPr>
            <w:tcW w:w="843" w:type="dxa"/>
            <w:vMerge/>
            <w:tcBorders>
              <w:left w:val="single" w:sz="4" w:space="0" w:color="000000"/>
              <w:bottom w:val="single" w:sz="4" w:space="0" w:color="000000"/>
              <w:right w:val="single" w:sz="4" w:space="0" w:color="000000"/>
            </w:tcBorders>
          </w:tcPr>
          <w:p>
            <w:pPr/>
          </w:p>
        </w:tc>
        <w:tc>
          <w:tcPr>
            <w:tcW w:w="1025" w:type="dxa"/>
            <w:vMerge/>
            <w:tcBorders>
              <w:left w:val="single" w:sz="4" w:space="0" w:color="000000"/>
              <w:bottom w:val="single" w:sz="4" w:space="0" w:color="000000"/>
              <w:right w:val="single" w:sz="4" w:space="0" w:color="000000"/>
            </w:tcBorders>
          </w:tcPr>
          <w:p>
            <w:pPr/>
          </w:p>
        </w:tc>
        <w:tc>
          <w:tcPr>
            <w:tcW w:w="1195" w:type="dxa"/>
            <w:vMerge/>
            <w:tcBorders>
              <w:left w:val="single" w:sz="4" w:space="0" w:color="000000"/>
              <w:bottom w:val="single" w:sz="4" w:space="0" w:color="000000"/>
              <w:right w:val="single" w:sz="4" w:space="0" w:color="000000"/>
            </w:tcBorders>
          </w:tcPr>
          <w:p>
            <w:pPr/>
          </w:p>
        </w:tc>
        <w:tc>
          <w:tcPr>
            <w:tcW w:w="1186" w:type="dxa"/>
            <w:vMerge/>
            <w:tcBorders>
              <w:left w:val="single" w:sz="4" w:space="0" w:color="000000"/>
              <w:bottom w:val="single" w:sz="4" w:space="0" w:color="000000"/>
            </w:tcBorders>
          </w:tcPr>
          <w:p>
            <w:pPr/>
          </w:p>
        </w:tc>
      </w:tr>
      <w:tr>
        <w:trPr>
          <w:trHeight w:val="470" w:hRule="exact"/>
        </w:trPr>
        <w:tc>
          <w:tcPr>
            <w:tcW w:w="3567" w:type="dxa"/>
            <w:tcBorders>
              <w:top w:val="single" w:sz="4" w:space="0" w:color="000000"/>
              <w:bottom w:val="single" w:sz="4" w:space="0" w:color="000000"/>
              <w:right w:val="single" w:sz="4" w:space="0" w:color="000000"/>
            </w:tcBorders>
          </w:tcPr>
          <w:p>
            <w:pPr>
              <w:pStyle w:val="TableParagraph"/>
              <w:spacing w:line="228" w:lineRule="exact"/>
              <w:ind w:left="60" w:right="1722"/>
              <w:rPr>
                <w:sz w:val="20"/>
              </w:rPr>
            </w:pPr>
            <w:r>
              <w:rPr>
                <w:sz w:val="20"/>
              </w:rPr>
              <w:t>(*)ECONOMIA DEL </w:t>
            </w:r>
            <w:r>
              <w:rPr>
                <w:w w:val="95"/>
                <w:sz w:val="20"/>
              </w:rPr>
              <w:t>DESARROLLO(b)**</w:t>
            </w:r>
          </w:p>
        </w:tc>
        <w:tc>
          <w:tcPr>
            <w:tcW w:w="843" w:type="dxa"/>
            <w:vMerge w:val="restart"/>
            <w:tcBorders>
              <w:top w:val="single" w:sz="4" w:space="0" w:color="000000"/>
              <w:left w:val="single" w:sz="4" w:space="0" w:color="000000"/>
              <w:right w:val="single" w:sz="4" w:space="0" w:color="000000"/>
            </w:tcBorders>
          </w:tcPr>
          <w:p>
            <w:pPr>
              <w:pStyle w:val="TableParagraph"/>
              <w:spacing w:before="5"/>
              <w:rPr>
                <w:sz w:val="19"/>
              </w:rPr>
            </w:pPr>
          </w:p>
          <w:p>
            <w:pPr>
              <w:pStyle w:val="TableParagraph"/>
              <w:ind w:right="66"/>
              <w:jc w:val="right"/>
              <w:rPr>
                <w:sz w:val="20"/>
              </w:rPr>
            </w:pPr>
            <w:r>
              <w:rPr>
                <w:w w:val="99"/>
                <w:sz w:val="20"/>
              </w:rPr>
              <w:t>5</w:t>
            </w:r>
          </w:p>
        </w:tc>
        <w:tc>
          <w:tcPr>
            <w:tcW w:w="1025" w:type="dxa"/>
            <w:vMerge w:val="restart"/>
            <w:tcBorders>
              <w:top w:val="single" w:sz="4" w:space="0" w:color="000000"/>
              <w:left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3</w:t>
            </w:r>
          </w:p>
        </w:tc>
        <w:tc>
          <w:tcPr>
            <w:tcW w:w="1195" w:type="dxa"/>
            <w:vMerge w:val="restart"/>
            <w:tcBorders>
              <w:top w:val="single" w:sz="4" w:space="0" w:color="000000"/>
              <w:left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2</w:t>
            </w:r>
          </w:p>
        </w:tc>
        <w:tc>
          <w:tcPr>
            <w:tcW w:w="1186" w:type="dxa"/>
            <w:vMerge w:val="restart"/>
            <w:tcBorders>
              <w:top w:val="single" w:sz="4" w:space="0" w:color="000000"/>
              <w:left w:val="single" w:sz="4" w:space="0" w:color="000000"/>
            </w:tcBorders>
          </w:tcPr>
          <w:p>
            <w:pPr>
              <w:pStyle w:val="TableParagraph"/>
              <w:spacing w:before="5"/>
              <w:rPr>
                <w:sz w:val="19"/>
              </w:rPr>
            </w:pPr>
          </w:p>
          <w:p>
            <w:pPr>
              <w:pStyle w:val="TableParagraph"/>
              <w:ind w:right="61"/>
              <w:jc w:val="right"/>
              <w:rPr>
                <w:sz w:val="20"/>
              </w:rPr>
            </w:pPr>
            <w:r>
              <w:rPr>
                <w:w w:val="99"/>
                <w:sz w:val="20"/>
              </w:rPr>
              <w:t>8</w:t>
            </w:r>
          </w:p>
        </w:tc>
      </w:tr>
      <w:tr>
        <w:trPr>
          <w:trHeight w:val="286" w:hRule="exact"/>
        </w:trPr>
        <w:tc>
          <w:tcPr>
            <w:tcW w:w="3567" w:type="dxa"/>
            <w:tcBorders>
              <w:top w:val="single" w:sz="4" w:space="0" w:color="000000"/>
              <w:bottom w:val="single" w:sz="8" w:space="0" w:color="000000"/>
              <w:right w:val="single" w:sz="4" w:space="0" w:color="000000"/>
            </w:tcBorders>
          </w:tcPr>
          <w:p>
            <w:pPr>
              <w:pStyle w:val="TableParagraph"/>
              <w:spacing w:before="34"/>
              <w:ind w:left="60"/>
              <w:rPr>
                <w:sz w:val="20"/>
              </w:rPr>
            </w:pPr>
            <w:r>
              <w:rPr>
                <w:sz w:val="20"/>
              </w:rPr>
              <w:t>(*)ECONOMIA INTERNACIONAL(a)**</w:t>
            </w:r>
          </w:p>
        </w:tc>
        <w:tc>
          <w:tcPr>
            <w:tcW w:w="843" w:type="dxa"/>
            <w:vMerge/>
            <w:tcBorders>
              <w:left w:val="single" w:sz="4" w:space="0" w:color="000000"/>
              <w:bottom w:val="single" w:sz="8" w:space="0" w:color="000000"/>
              <w:right w:val="single" w:sz="4" w:space="0" w:color="000000"/>
            </w:tcBorders>
          </w:tcPr>
          <w:p>
            <w:pPr/>
          </w:p>
        </w:tc>
        <w:tc>
          <w:tcPr>
            <w:tcW w:w="1025" w:type="dxa"/>
            <w:vMerge/>
            <w:tcBorders>
              <w:left w:val="single" w:sz="4" w:space="0" w:color="000000"/>
              <w:bottom w:val="single" w:sz="8" w:space="0" w:color="000000"/>
              <w:right w:val="single" w:sz="4" w:space="0" w:color="000000"/>
            </w:tcBorders>
          </w:tcPr>
          <w:p>
            <w:pPr/>
          </w:p>
        </w:tc>
        <w:tc>
          <w:tcPr>
            <w:tcW w:w="1195" w:type="dxa"/>
            <w:vMerge/>
            <w:tcBorders>
              <w:left w:val="single" w:sz="4" w:space="0" w:color="000000"/>
              <w:bottom w:val="single" w:sz="8" w:space="0" w:color="000000"/>
              <w:right w:val="single" w:sz="4" w:space="0" w:color="000000"/>
            </w:tcBorders>
          </w:tcPr>
          <w:p>
            <w:pPr/>
          </w:p>
        </w:tc>
        <w:tc>
          <w:tcPr>
            <w:tcW w:w="1186" w:type="dxa"/>
            <w:vMerge/>
            <w:tcBorders>
              <w:left w:val="single" w:sz="4" w:space="0" w:color="000000"/>
              <w:bottom w:val="single" w:sz="8" w:space="0" w:color="000000"/>
            </w:tcBorders>
          </w:tcPr>
          <w:p>
            <w:pPr/>
          </w:p>
        </w:tc>
      </w:tr>
    </w:tbl>
    <w:p>
      <w:pPr>
        <w:tabs>
          <w:tab w:pos="4631" w:val="left" w:leader="none"/>
          <w:tab w:pos="5658" w:val="left" w:leader="none"/>
          <w:tab w:pos="6854" w:val="left" w:leader="none"/>
          <w:tab w:pos="8239" w:val="right" w:leader="none"/>
        </w:tabs>
        <w:spacing w:line="230" w:lineRule="exact" w:before="19"/>
        <w:ind w:left="562" w:right="0" w:firstLine="0"/>
        <w:jc w:val="left"/>
        <w:rPr>
          <w:sz w:val="20"/>
        </w:rPr>
      </w:pPr>
      <w:r>
        <w:rPr>
          <w:sz w:val="20"/>
        </w:rPr>
        <w:t>TOTAL</w:t>
        <w:tab/>
        <w:t>27</w:t>
        <w:tab/>
        <w:t>16</w:t>
        <w:tab/>
        <w:t>11</w:t>
        <w:tab/>
        <w:t>43</w:t>
      </w:r>
    </w:p>
    <w:p>
      <w:pPr>
        <w:spacing w:before="0"/>
        <w:ind w:left="562" w:right="2013" w:firstLine="0"/>
        <w:jc w:val="left"/>
        <w:rPr>
          <w:sz w:val="16"/>
        </w:rPr>
      </w:pPr>
      <w:r>
        <w:rPr>
          <w:sz w:val="16"/>
        </w:rPr>
        <w:t>(*) Se cursan dos de cuatro asignaturas, conservando la relación (*) Sistemas de Inf. Aplicados a la Empresa (a)**</w:t>
      </w:r>
    </w:p>
    <w:p>
      <w:pPr>
        <w:spacing w:before="1"/>
        <w:ind w:left="562" w:right="792" w:firstLine="0"/>
        <w:jc w:val="left"/>
        <w:rPr>
          <w:sz w:val="16"/>
        </w:rPr>
      </w:pPr>
      <w:r>
        <w:rPr>
          <w:sz w:val="16"/>
        </w:rPr>
        <w:t>con (*) Economía Internacional (a)** o bien (*)Sistemas de Inf. Aplicados al Gobierno (b)** con (*) Economía del Desarrollo (b)**</w:t>
      </w:r>
    </w:p>
    <w:p>
      <w:pPr>
        <w:pStyle w:val="BodyText"/>
        <w:spacing w:before="11"/>
        <w:rPr>
          <w:sz w:val="19"/>
        </w:rPr>
      </w:pPr>
    </w:p>
    <w:p>
      <w:pPr>
        <w:spacing w:before="0" w:after="7"/>
        <w:ind w:left="562" w:right="0" w:firstLine="0"/>
        <w:jc w:val="left"/>
        <w:rPr>
          <w:sz w:val="20"/>
        </w:rPr>
      </w:pPr>
      <w:r>
        <w:rPr>
          <w:sz w:val="20"/>
        </w:rPr>
        <w:t>OCTAVO SEMESTRE</w:t>
      </w:r>
    </w:p>
    <w:tbl>
      <w:tblPr>
        <w:tblW w:w="0" w:type="auto"/>
        <w:jc w:val="left"/>
        <w:tblInd w:w="4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567"/>
        <w:gridCol w:w="843"/>
        <w:gridCol w:w="1025"/>
        <w:gridCol w:w="1195"/>
        <w:gridCol w:w="1186"/>
      </w:tblGrid>
      <w:tr>
        <w:trPr>
          <w:trHeight w:val="475" w:hRule="exact"/>
        </w:trPr>
        <w:tc>
          <w:tcPr>
            <w:tcW w:w="3567" w:type="dxa"/>
            <w:vMerge w:val="restart"/>
            <w:tcBorders>
              <w:right w:val="single" w:sz="4" w:space="0" w:color="000000"/>
            </w:tcBorders>
          </w:tcPr>
          <w:p>
            <w:pPr/>
          </w:p>
        </w:tc>
        <w:tc>
          <w:tcPr>
            <w:tcW w:w="1868" w:type="dxa"/>
            <w:gridSpan w:val="2"/>
            <w:tcBorders>
              <w:left w:val="single" w:sz="4" w:space="0" w:color="000000"/>
              <w:bottom w:val="single" w:sz="4" w:space="0" w:color="000000"/>
              <w:right w:val="single" w:sz="4" w:space="0" w:color="000000"/>
            </w:tcBorders>
          </w:tcPr>
          <w:p>
            <w:pPr>
              <w:pStyle w:val="TableParagraph"/>
              <w:ind w:left="907" w:right="64"/>
              <w:rPr>
                <w:b/>
                <w:sz w:val="20"/>
              </w:rPr>
            </w:pPr>
            <w:r>
              <w:rPr>
                <w:b/>
                <w:sz w:val="20"/>
              </w:rPr>
              <w:t>HORAS SEMANA</w:t>
            </w:r>
          </w:p>
        </w:tc>
        <w:tc>
          <w:tcPr>
            <w:tcW w:w="1195" w:type="dxa"/>
            <w:tcBorders>
              <w:left w:val="single" w:sz="4" w:space="0" w:color="000000"/>
              <w:bottom w:val="single" w:sz="4" w:space="0" w:color="000000"/>
              <w:right w:val="single" w:sz="4" w:space="0" w:color="000000"/>
            </w:tcBorders>
          </w:tcPr>
          <w:p>
            <w:pPr/>
          </w:p>
        </w:tc>
        <w:tc>
          <w:tcPr>
            <w:tcW w:w="1186" w:type="dxa"/>
            <w:vMerge w:val="restart"/>
            <w:tcBorders>
              <w:left w:val="single" w:sz="4" w:space="0" w:color="000000"/>
            </w:tcBorders>
          </w:tcPr>
          <w:p>
            <w:pPr>
              <w:pStyle w:val="TableParagraph"/>
              <w:rPr>
                <w:sz w:val="20"/>
              </w:rPr>
            </w:pPr>
          </w:p>
          <w:p>
            <w:pPr>
              <w:pStyle w:val="TableParagraph"/>
              <w:spacing w:before="9"/>
              <w:rPr>
                <w:sz w:val="22"/>
              </w:rPr>
            </w:pPr>
          </w:p>
          <w:p>
            <w:pPr>
              <w:pStyle w:val="TableParagraph"/>
              <w:ind w:left="64"/>
              <w:rPr>
                <w:b/>
                <w:sz w:val="20"/>
              </w:rPr>
            </w:pPr>
            <w:r>
              <w:rPr>
                <w:b/>
                <w:sz w:val="20"/>
              </w:rPr>
              <w:t>CREDITOS</w:t>
            </w:r>
          </w:p>
        </w:tc>
      </w:tr>
      <w:tr>
        <w:trPr>
          <w:trHeight w:val="264" w:hRule="exact"/>
        </w:trPr>
        <w:tc>
          <w:tcPr>
            <w:tcW w:w="3567" w:type="dxa"/>
            <w:vMerge/>
            <w:tcBorders>
              <w:bottom w:val="single" w:sz="4" w:space="0" w:color="000000"/>
              <w:right w:val="single" w:sz="4" w:space="0" w:color="000000"/>
            </w:tcBorders>
          </w:tcPr>
          <w:p>
            <w:pP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22"/>
              <w:ind w:right="67"/>
              <w:jc w:val="right"/>
              <w:rPr>
                <w:b/>
                <w:sz w:val="20"/>
              </w:rPr>
            </w:pPr>
            <w:r>
              <w:rPr>
                <w:b/>
                <w:w w:val="95"/>
                <w:sz w:val="20"/>
              </w:rPr>
              <w:t>TOTAL</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22"/>
              <w:ind w:left="64"/>
              <w:rPr>
                <w:b/>
                <w:sz w:val="20"/>
              </w:rPr>
            </w:pPr>
            <w:r>
              <w:rPr>
                <w:b/>
                <w:sz w:val="20"/>
              </w:rPr>
              <w:t>TEORIA</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22"/>
              <w:ind w:right="66"/>
              <w:jc w:val="right"/>
              <w:rPr>
                <w:b/>
                <w:sz w:val="20"/>
              </w:rPr>
            </w:pPr>
            <w:r>
              <w:rPr>
                <w:b/>
                <w:w w:val="95"/>
                <w:sz w:val="20"/>
              </w:rPr>
              <w:t>PRACTICA</w:t>
            </w:r>
          </w:p>
        </w:tc>
        <w:tc>
          <w:tcPr>
            <w:tcW w:w="1186" w:type="dxa"/>
            <w:vMerge/>
            <w:tcBorders>
              <w:left w:val="single" w:sz="4" w:space="0" w:color="000000"/>
              <w:bottom w:val="single" w:sz="4" w:space="0" w:color="000000"/>
            </w:tcBorders>
          </w:tcPr>
          <w:p>
            <w:pPr/>
          </w:p>
        </w:tc>
      </w:tr>
      <w:tr>
        <w:trPr>
          <w:trHeight w:val="470" w:hRule="exact"/>
        </w:trPr>
        <w:tc>
          <w:tcPr>
            <w:tcW w:w="3567" w:type="dxa"/>
            <w:tcBorders>
              <w:top w:val="single" w:sz="4" w:space="0" w:color="000000"/>
              <w:bottom w:val="single" w:sz="4" w:space="0" w:color="000000"/>
              <w:right w:val="single" w:sz="4" w:space="0" w:color="000000"/>
            </w:tcBorders>
          </w:tcPr>
          <w:p>
            <w:pPr>
              <w:pStyle w:val="TableParagraph"/>
              <w:ind w:left="60"/>
              <w:rPr>
                <w:sz w:val="20"/>
              </w:rPr>
            </w:pPr>
            <w:r>
              <w:rPr>
                <w:sz w:val="20"/>
              </w:rPr>
              <w:t>MACROECONOMIA DE ECONOMIAS ABIERTAS</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2</w:t>
            </w:r>
          </w:p>
        </w:tc>
        <w:tc>
          <w:tcPr>
            <w:tcW w:w="1186" w:type="dxa"/>
            <w:tcBorders>
              <w:top w:val="single" w:sz="4" w:space="0" w:color="000000"/>
              <w:left w:val="single" w:sz="4" w:space="0" w:color="000000"/>
              <w:bottom w:val="single" w:sz="4" w:space="0" w:color="000000"/>
            </w:tcBorders>
          </w:tcPr>
          <w:p>
            <w:pPr>
              <w:pStyle w:val="TableParagraph"/>
              <w:spacing w:before="5"/>
              <w:rPr>
                <w:sz w:val="19"/>
              </w:rPr>
            </w:pPr>
          </w:p>
          <w:p>
            <w:pPr>
              <w:pStyle w:val="TableParagraph"/>
              <w:ind w:right="59"/>
              <w:jc w:val="right"/>
              <w:rPr>
                <w:sz w:val="20"/>
              </w:rPr>
            </w:pPr>
            <w:r>
              <w:rPr>
                <w:sz w:val="20"/>
              </w:rPr>
              <w:t>10</w:t>
            </w:r>
          </w:p>
        </w:tc>
      </w:tr>
      <w:tr>
        <w:trPr>
          <w:trHeight w:val="264" w:hRule="exact"/>
        </w:trPr>
        <w:tc>
          <w:tcPr>
            <w:tcW w:w="3567" w:type="dxa"/>
            <w:tcBorders>
              <w:top w:val="single" w:sz="4" w:space="0" w:color="000000"/>
              <w:bottom w:val="single" w:sz="4" w:space="0" w:color="000000"/>
              <w:right w:val="single" w:sz="4" w:space="0" w:color="000000"/>
            </w:tcBorders>
          </w:tcPr>
          <w:p>
            <w:pPr>
              <w:pStyle w:val="TableParagraph"/>
              <w:spacing w:before="19"/>
              <w:ind w:left="60"/>
              <w:rPr>
                <w:sz w:val="20"/>
              </w:rPr>
            </w:pPr>
            <w:r>
              <w:rPr>
                <w:sz w:val="20"/>
              </w:rPr>
              <w:t>TEORIAS DE DECISIONES</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9"/>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3</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3</w:t>
            </w:r>
          </w:p>
        </w:tc>
        <w:tc>
          <w:tcPr>
            <w:tcW w:w="1186" w:type="dxa"/>
            <w:tcBorders>
              <w:top w:val="single" w:sz="4" w:space="0" w:color="000000"/>
              <w:left w:val="single" w:sz="4" w:space="0" w:color="000000"/>
              <w:bottom w:val="single" w:sz="4" w:space="0" w:color="000000"/>
            </w:tcBorders>
          </w:tcPr>
          <w:p>
            <w:pPr>
              <w:pStyle w:val="TableParagraph"/>
              <w:spacing w:before="19"/>
              <w:ind w:right="61"/>
              <w:jc w:val="right"/>
              <w:rPr>
                <w:sz w:val="20"/>
              </w:rPr>
            </w:pPr>
            <w:r>
              <w:rPr>
                <w:w w:val="99"/>
                <w:sz w:val="20"/>
              </w:rPr>
              <w:t>9</w:t>
            </w:r>
          </w:p>
        </w:tc>
      </w:tr>
      <w:tr>
        <w:trPr>
          <w:trHeight w:val="471" w:hRule="exact"/>
        </w:trPr>
        <w:tc>
          <w:tcPr>
            <w:tcW w:w="3567" w:type="dxa"/>
            <w:tcBorders>
              <w:top w:val="single" w:sz="4" w:space="0" w:color="000000"/>
              <w:bottom w:val="single" w:sz="4" w:space="0" w:color="000000"/>
              <w:right w:val="single" w:sz="4" w:space="0" w:color="000000"/>
            </w:tcBorders>
          </w:tcPr>
          <w:p>
            <w:pPr>
              <w:pStyle w:val="TableParagraph"/>
              <w:spacing w:line="228" w:lineRule="exact"/>
              <w:ind w:left="60" w:right="900"/>
              <w:rPr>
                <w:sz w:val="20"/>
              </w:rPr>
            </w:pPr>
            <w:r>
              <w:rPr>
                <w:sz w:val="20"/>
              </w:rPr>
              <w:t>ESTRUCTURA ECONOMICA INTERNACIONAL</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6"/>
              <w:jc w:val="right"/>
              <w:rPr>
                <w:sz w:val="20"/>
              </w:rPr>
            </w:pPr>
            <w:r>
              <w:rPr>
                <w:w w:val="99"/>
                <w:sz w:val="20"/>
              </w:rPr>
              <w:t>4</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0</w:t>
            </w:r>
          </w:p>
        </w:tc>
        <w:tc>
          <w:tcPr>
            <w:tcW w:w="1186" w:type="dxa"/>
            <w:tcBorders>
              <w:top w:val="single" w:sz="4" w:space="0" w:color="000000"/>
              <w:left w:val="single" w:sz="4" w:space="0" w:color="000000"/>
              <w:bottom w:val="single" w:sz="4" w:space="0" w:color="000000"/>
            </w:tcBorders>
          </w:tcPr>
          <w:p>
            <w:pPr>
              <w:pStyle w:val="TableParagraph"/>
              <w:spacing w:before="5"/>
              <w:rPr>
                <w:sz w:val="19"/>
              </w:rPr>
            </w:pPr>
          </w:p>
          <w:p>
            <w:pPr>
              <w:pStyle w:val="TableParagraph"/>
              <w:ind w:right="61"/>
              <w:jc w:val="right"/>
              <w:rPr>
                <w:sz w:val="20"/>
              </w:rPr>
            </w:pPr>
            <w:r>
              <w:rPr>
                <w:w w:val="99"/>
                <w:sz w:val="20"/>
              </w:rPr>
              <w:t>8</w:t>
            </w:r>
          </w:p>
        </w:tc>
      </w:tr>
      <w:tr>
        <w:trPr>
          <w:trHeight w:val="470" w:hRule="exact"/>
        </w:trPr>
        <w:tc>
          <w:tcPr>
            <w:tcW w:w="3567" w:type="dxa"/>
            <w:tcBorders>
              <w:top w:val="single" w:sz="4" w:space="0" w:color="000000"/>
              <w:bottom w:val="single" w:sz="4" w:space="0" w:color="000000"/>
              <w:right w:val="single" w:sz="4" w:space="0" w:color="000000"/>
            </w:tcBorders>
          </w:tcPr>
          <w:p>
            <w:pPr>
              <w:pStyle w:val="TableParagraph"/>
              <w:ind w:left="60"/>
              <w:rPr>
                <w:sz w:val="20"/>
              </w:rPr>
            </w:pPr>
            <w:r>
              <w:rPr>
                <w:sz w:val="20"/>
              </w:rPr>
              <w:t>(*)TECNICAS DE GESTION APLICADAS A LA EMPRESA(a)**</w:t>
            </w:r>
          </w:p>
        </w:tc>
        <w:tc>
          <w:tcPr>
            <w:tcW w:w="843" w:type="dxa"/>
            <w:vMerge w:val="restart"/>
            <w:tcBorders>
              <w:top w:val="single" w:sz="4" w:space="0" w:color="000000"/>
              <w:left w:val="single" w:sz="4" w:space="0" w:color="000000"/>
              <w:right w:val="single" w:sz="4" w:space="0" w:color="000000"/>
            </w:tcBorders>
          </w:tcPr>
          <w:p>
            <w:pPr>
              <w:pStyle w:val="TableParagraph"/>
              <w:spacing w:before="5"/>
              <w:rPr>
                <w:sz w:val="19"/>
              </w:rPr>
            </w:pPr>
          </w:p>
          <w:p>
            <w:pPr>
              <w:pStyle w:val="TableParagraph"/>
              <w:ind w:right="66"/>
              <w:jc w:val="right"/>
              <w:rPr>
                <w:sz w:val="20"/>
              </w:rPr>
            </w:pPr>
            <w:r>
              <w:rPr>
                <w:w w:val="99"/>
                <w:sz w:val="20"/>
              </w:rPr>
              <w:t>4</w:t>
            </w:r>
          </w:p>
        </w:tc>
        <w:tc>
          <w:tcPr>
            <w:tcW w:w="1025" w:type="dxa"/>
            <w:vMerge w:val="restart"/>
            <w:tcBorders>
              <w:top w:val="single" w:sz="4" w:space="0" w:color="000000"/>
              <w:left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2</w:t>
            </w:r>
          </w:p>
        </w:tc>
        <w:tc>
          <w:tcPr>
            <w:tcW w:w="1195" w:type="dxa"/>
            <w:vMerge w:val="restart"/>
            <w:tcBorders>
              <w:top w:val="single" w:sz="4" w:space="0" w:color="000000"/>
              <w:left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2</w:t>
            </w:r>
          </w:p>
        </w:tc>
        <w:tc>
          <w:tcPr>
            <w:tcW w:w="1186" w:type="dxa"/>
            <w:vMerge w:val="restart"/>
            <w:tcBorders>
              <w:top w:val="single" w:sz="4" w:space="0" w:color="000000"/>
              <w:left w:val="single" w:sz="4" w:space="0" w:color="000000"/>
            </w:tcBorders>
          </w:tcPr>
          <w:p>
            <w:pPr>
              <w:pStyle w:val="TableParagraph"/>
              <w:spacing w:before="5"/>
              <w:rPr>
                <w:sz w:val="19"/>
              </w:rPr>
            </w:pPr>
          </w:p>
          <w:p>
            <w:pPr>
              <w:pStyle w:val="TableParagraph"/>
              <w:ind w:right="61"/>
              <w:jc w:val="right"/>
              <w:rPr>
                <w:sz w:val="20"/>
              </w:rPr>
            </w:pPr>
            <w:r>
              <w:rPr>
                <w:w w:val="99"/>
                <w:sz w:val="20"/>
              </w:rPr>
              <w:t>6</w:t>
            </w:r>
          </w:p>
        </w:tc>
      </w:tr>
      <w:tr>
        <w:trPr>
          <w:trHeight w:val="470" w:hRule="exact"/>
        </w:trPr>
        <w:tc>
          <w:tcPr>
            <w:tcW w:w="3567" w:type="dxa"/>
            <w:tcBorders>
              <w:top w:val="single" w:sz="4" w:space="0" w:color="000000"/>
              <w:bottom w:val="single" w:sz="4" w:space="0" w:color="000000"/>
              <w:right w:val="single" w:sz="4" w:space="0" w:color="000000"/>
            </w:tcBorders>
          </w:tcPr>
          <w:p>
            <w:pPr>
              <w:pStyle w:val="TableParagraph"/>
              <w:ind w:left="60"/>
              <w:rPr>
                <w:sz w:val="20"/>
              </w:rPr>
            </w:pPr>
            <w:r>
              <w:rPr>
                <w:sz w:val="20"/>
              </w:rPr>
              <w:t>(*)TECNICAS DE GESTION APLICADAS AL GOBIERNO(b)**</w:t>
            </w:r>
          </w:p>
        </w:tc>
        <w:tc>
          <w:tcPr>
            <w:tcW w:w="843" w:type="dxa"/>
            <w:vMerge/>
            <w:tcBorders>
              <w:left w:val="single" w:sz="4" w:space="0" w:color="000000"/>
              <w:bottom w:val="single" w:sz="4" w:space="0" w:color="000000"/>
              <w:right w:val="single" w:sz="4" w:space="0" w:color="000000"/>
            </w:tcBorders>
          </w:tcPr>
          <w:p>
            <w:pPr/>
          </w:p>
        </w:tc>
        <w:tc>
          <w:tcPr>
            <w:tcW w:w="1025" w:type="dxa"/>
            <w:vMerge/>
            <w:tcBorders>
              <w:left w:val="single" w:sz="4" w:space="0" w:color="000000"/>
              <w:bottom w:val="single" w:sz="4" w:space="0" w:color="000000"/>
              <w:right w:val="single" w:sz="4" w:space="0" w:color="000000"/>
            </w:tcBorders>
          </w:tcPr>
          <w:p>
            <w:pPr/>
          </w:p>
        </w:tc>
        <w:tc>
          <w:tcPr>
            <w:tcW w:w="1195" w:type="dxa"/>
            <w:vMerge/>
            <w:tcBorders>
              <w:left w:val="single" w:sz="4" w:space="0" w:color="000000"/>
              <w:bottom w:val="single" w:sz="4" w:space="0" w:color="000000"/>
              <w:right w:val="single" w:sz="4" w:space="0" w:color="000000"/>
            </w:tcBorders>
          </w:tcPr>
          <w:p>
            <w:pPr/>
          </w:p>
        </w:tc>
        <w:tc>
          <w:tcPr>
            <w:tcW w:w="1186" w:type="dxa"/>
            <w:vMerge/>
            <w:tcBorders>
              <w:left w:val="single" w:sz="4" w:space="0" w:color="000000"/>
              <w:bottom w:val="single" w:sz="4" w:space="0" w:color="000000"/>
            </w:tcBorders>
          </w:tcPr>
          <w:p>
            <w:pPr/>
          </w:p>
        </w:tc>
      </w:tr>
      <w:tr>
        <w:trPr>
          <w:trHeight w:val="264" w:hRule="exact"/>
        </w:trPr>
        <w:tc>
          <w:tcPr>
            <w:tcW w:w="3567" w:type="dxa"/>
            <w:tcBorders>
              <w:top w:val="single" w:sz="4" w:space="0" w:color="000000"/>
              <w:bottom w:val="single" w:sz="4" w:space="0" w:color="000000"/>
              <w:right w:val="single" w:sz="4" w:space="0" w:color="000000"/>
            </w:tcBorders>
          </w:tcPr>
          <w:p>
            <w:pPr>
              <w:pStyle w:val="TableParagraph"/>
              <w:spacing w:before="17"/>
              <w:ind w:left="60"/>
              <w:rPr>
                <w:sz w:val="20"/>
              </w:rPr>
            </w:pPr>
            <w:r>
              <w:rPr>
                <w:sz w:val="20"/>
              </w:rPr>
              <w:t>(*)DESARROLLO REGIONAL(b)**</w:t>
            </w:r>
          </w:p>
        </w:tc>
        <w:tc>
          <w:tcPr>
            <w:tcW w:w="843" w:type="dxa"/>
            <w:vMerge w:val="restart"/>
            <w:tcBorders>
              <w:top w:val="single" w:sz="4" w:space="0" w:color="000000"/>
              <w:left w:val="single" w:sz="4" w:space="0" w:color="000000"/>
              <w:right w:val="single" w:sz="4" w:space="0" w:color="000000"/>
            </w:tcBorders>
          </w:tcPr>
          <w:p>
            <w:pPr>
              <w:pStyle w:val="TableParagraph"/>
              <w:spacing w:before="17"/>
              <w:ind w:right="66"/>
              <w:jc w:val="right"/>
              <w:rPr>
                <w:sz w:val="20"/>
              </w:rPr>
            </w:pPr>
            <w:r>
              <w:rPr>
                <w:w w:val="99"/>
                <w:sz w:val="20"/>
              </w:rPr>
              <w:t>5</w:t>
            </w:r>
          </w:p>
        </w:tc>
        <w:tc>
          <w:tcPr>
            <w:tcW w:w="1025" w:type="dxa"/>
            <w:vMerge w:val="restart"/>
            <w:tcBorders>
              <w:top w:val="single" w:sz="4" w:space="0" w:color="000000"/>
              <w:left w:val="single" w:sz="4" w:space="0" w:color="000000"/>
              <w:right w:val="single" w:sz="4" w:space="0" w:color="000000"/>
            </w:tcBorders>
          </w:tcPr>
          <w:p>
            <w:pPr>
              <w:pStyle w:val="TableParagraph"/>
              <w:spacing w:before="17"/>
              <w:ind w:right="65"/>
              <w:jc w:val="right"/>
              <w:rPr>
                <w:sz w:val="20"/>
              </w:rPr>
            </w:pPr>
            <w:r>
              <w:rPr>
                <w:w w:val="99"/>
                <w:sz w:val="20"/>
              </w:rPr>
              <w:t>3</w:t>
            </w:r>
          </w:p>
        </w:tc>
        <w:tc>
          <w:tcPr>
            <w:tcW w:w="1195" w:type="dxa"/>
            <w:vMerge w:val="restart"/>
            <w:tcBorders>
              <w:top w:val="single" w:sz="4" w:space="0" w:color="000000"/>
              <w:left w:val="single" w:sz="4" w:space="0" w:color="000000"/>
              <w:right w:val="single" w:sz="4" w:space="0" w:color="000000"/>
            </w:tcBorders>
          </w:tcPr>
          <w:p>
            <w:pPr>
              <w:pStyle w:val="TableParagraph"/>
              <w:spacing w:before="17"/>
              <w:ind w:right="65"/>
              <w:jc w:val="right"/>
              <w:rPr>
                <w:sz w:val="20"/>
              </w:rPr>
            </w:pPr>
            <w:r>
              <w:rPr>
                <w:w w:val="99"/>
                <w:sz w:val="20"/>
              </w:rPr>
              <w:t>2</w:t>
            </w:r>
          </w:p>
        </w:tc>
        <w:tc>
          <w:tcPr>
            <w:tcW w:w="1186" w:type="dxa"/>
            <w:vMerge w:val="restart"/>
            <w:tcBorders>
              <w:top w:val="single" w:sz="4" w:space="0" w:color="000000"/>
              <w:left w:val="single" w:sz="4" w:space="0" w:color="000000"/>
            </w:tcBorders>
          </w:tcPr>
          <w:p>
            <w:pPr>
              <w:pStyle w:val="TableParagraph"/>
              <w:spacing w:before="17"/>
              <w:ind w:right="61"/>
              <w:jc w:val="right"/>
              <w:rPr>
                <w:sz w:val="20"/>
              </w:rPr>
            </w:pPr>
            <w:r>
              <w:rPr>
                <w:w w:val="99"/>
                <w:sz w:val="20"/>
              </w:rPr>
              <w:t>8</w:t>
            </w:r>
          </w:p>
        </w:tc>
      </w:tr>
      <w:tr>
        <w:trPr>
          <w:trHeight w:val="475" w:hRule="exact"/>
        </w:trPr>
        <w:tc>
          <w:tcPr>
            <w:tcW w:w="3567" w:type="dxa"/>
            <w:tcBorders>
              <w:top w:val="single" w:sz="4" w:space="0" w:color="000000"/>
              <w:right w:val="single" w:sz="4" w:space="0" w:color="000000"/>
            </w:tcBorders>
          </w:tcPr>
          <w:p>
            <w:pPr>
              <w:pStyle w:val="TableParagraph"/>
              <w:ind w:left="60" w:right="900"/>
              <w:rPr>
                <w:sz w:val="20"/>
              </w:rPr>
            </w:pPr>
            <w:r>
              <w:rPr>
                <w:sz w:val="20"/>
              </w:rPr>
              <w:t>(*)FINANZAS </w:t>
            </w:r>
            <w:r>
              <w:rPr>
                <w:w w:val="95"/>
                <w:sz w:val="20"/>
              </w:rPr>
              <w:t>INTERNACIONALES(a)**</w:t>
            </w:r>
          </w:p>
        </w:tc>
        <w:tc>
          <w:tcPr>
            <w:tcW w:w="843" w:type="dxa"/>
            <w:vMerge/>
            <w:tcBorders>
              <w:left w:val="single" w:sz="4" w:space="0" w:color="000000"/>
              <w:right w:val="single" w:sz="4" w:space="0" w:color="000000"/>
            </w:tcBorders>
          </w:tcPr>
          <w:p>
            <w:pPr/>
          </w:p>
        </w:tc>
        <w:tc>
          <w:tcPr>
            <w:tcW w:w="1025" w:type="dxa"/>
            <w:vMerge/>
            <w:tcBorders>
              <w:left w:val="single" w:sz="4" w:space="0" w:color="000000"/>
              <w:right w:val="single" w:sz="4" w:space="0" w:color="000000"/>
            </w:tcBorders>
          </w:tcPr>
          <w:p>
            <w:pPr/>
          </w:p>
        </w:tc>
        <w:tc>
          <w:tcPr>
            <w:tcW w:w="1195" w:type="dxa"/>
            <w:vMerge/>
            <w:tcBorders>
              <w:left w:val="single" w:sz="4" w:space="0" w:color="000000"/>
              <w:right w:val="single" w:sz="4" w:space="0" w:color="000000"/>
            </w:tcBorders>
          </w:tcPr>
          <w:p>
            <w:pPr/>
          </w:p>
        </w:tc>
        <w:tc>
          <w:tcPr>
            <w:tcW w:w="1186" w:type="dxa"/>
            <w:vMerge/>
            <w:tcBorders>
              <w:left w:val="single" w:sz="4" w:space="0" w:color="000000"/>
            </w:tcBorders>
          </w:tcPr>
          <w:p>
            <w:pPr/>
          </w:p>
        </w:tc>
      </w:tr>
    </w:tbl>
    <w:p>
      <w:pPr>
        <w:tabs>
          <w:tab w:pos="4631" w:val="left" w:leader="none"/>
          <w:tab w:pos="5658" w:val="left" w:leader="none"/>
          <w:tab w:pos="6952" w:val="left" w:leader="none"/>
          <w:tab w:pos="8239" w:val="right" w:leader="none"/>
        </w:tabs>
        <w:spacing w:before="19"/>
        <w:ind w:left="562" w:right="0" w:firstLine="0"/>
        <w:jc w:val="left"/>
        <w:rPr>
          <w:sz w:val="20"/>
        </w:rPr>
      </w:pPr>
      <w:r>
        <w:rPr>
          <w:sz w:val="20"/>
        </w:rPr>
        <w:t>TOTAL</w:t>
        <w:tab/>
        <w:t>25</w:t>
        <w:tab/>
        <w:t>16</w:t>
        <w:tab/>
        <w:t>9</w:t>
        <w:tab/>
        <w:t>41</w:t>
      </w:r>
    </w:p>
    <w:p>
      <w:pPr>
        <w:spacing w:before="71"/>
        <w:ind w:left="562" w:right="792" w:firstLine="0"/>
        <w:jc w:val="left"/>
        <w:rPr>
          <w:sz w:val="16"/>
        </w:rPr>
      </w:pPr>
      <w:r>
        <w:rPr>
          <w:sz w:val="16"/>
        </w:rPr>
        <w:t>(*) Se cursan dos de cuatro asignaturas, conservando la relación (*)Técnicas de Gestión Aplicadas a la Empresa (a)** con (*)Finanzas Internacionales (a)** o bien (*)Técnicas de Gestión Aplicadas al Gobierno (b)** con (*) Desarrollo Regional (b)**</w:t>
      </w:r>
    </w:p>
    <w:p>
      <w:pPr>
        <w:spacing w:before="227" w:after="7"/>
        <w:ind w:left="562" w:right="0" w:firstLine="0"/>
        <w:jc w:val="left"/>
        <w:rPr>
          <w:sz w:val="20"/>
        </w:rPr>
      </w:pPr>
      <w:r>
        <w:rPr>
          <w:sz w:val="20"/>
        </w:rPr>
        <w:t>NOVENO SEMESTRE</w:t>
      </w:r>
    </w:p>
    <w:tbl>
      <w:tblPr>
        <w:tblW w:w="0" w:type="auto"/>
        <w:jc w:val="left"/>
        <w:tblInd w:w="4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567"/>
        <w:gridCol w:w="843"/>
        <w:gridCol w:w="1025"/>
        <w:gridCol w:w="1195"/>
        <w:gridCol w:w="1186"/>
      </w:tblGrid>
      <w:tr>
        <w:trPr>
          <w:trHeight w:val="476" w:hRule="exact"/>
        </w:trPr>
        <w:tc>
          <w:tcPr>
            <w:tcW w:w="3567" w:type="dxa"/>
            <w:vMerge w:val="restart"/>
            <w:tcBorders>
              <w:right w:val="single" w:sz="4" w:space="0" w:color="000000"/>
            </w:tcBorders>
          </w:tcPr>
          <w:p>
            <w:pPr/>
          </w:p>
        </w:tc>
        <w:tc>
          <w:tcPr>
            <w:tcW w:w="1868" w:type="dxa"/>
            <w:gridSpan w:val="2"/>
            <w:tcBorders>
              <w:left w:val="single" w:sz="4" w:space="0" w:color="000000"/>
              <w:bottom w:val="single" w:sz="4" w:space="0" w:color="000000"/>
              <w:right w:val="single" w:sz="4" w:space="0" w:color="000000"/>
            </w:tcBorders>
          </w:tcPr>
          <w:p>
            <w:pPr>
              <w:pStyle w:val="TableParagraph"/>
              <w:ind w:left="907" w:right="64"/>
              <w:rPr>
                <w:b/>
                <w:sz w:val="20"/>
              </w:rPr>
            </w:pPr>
            <w:r>
              <w:rPr>
                <w:b/>
                <w:sz w:val="20"/>
              </w:rPr>
              <w:t>HORAS SEMANA</w:t>
            </w:r>
          </w:p>
        </w:tc>
        <w:tc>
          <w:tcPr>
            <w:tcW w:w="1195" w:type="dxa"/>
            <w:tcBorders>
              <w:left w:val="single" w:sz="4" w:space="0" w:color="000000"/>
              <w:bottom w:val="single" w:sz="4" w:space="0" w:color="000000"/>
              <w:right w:val="single" w:sz="4" w:space="0" w:color="000000"/>
            </w:tcBorders>
          </w:tcPr>
          <w:p>
            <w:pPr/>
          </w:p>
        </w:tc>
        <w:tc>
          <w:tcPr>
            <w:tcW w:w="1186" w:type="dxa"/>
            <w:vMerge w:val="restart"/>
            <w:tcBorders>
              <w:left w:val="single" w:sz="4" w:space="0" w:color="000000"/>
            </w:tcBorders>
          </w:tcPr>
          <w:p>
            <w:pPr>
              <w:pStyle w:val="TableParagraph"/>
              <w:rPr>
                <w:sz w:val="20"/>
              </w:rPr>
            </w:pPr>
          </w:p>
          <w:p>
            <w:pPr>
              <w:pStyle w:val="TableParagraph"/>
              <w:spacing w:before="10"/>
              <w:rPr>
                <w:sz w:val="22"/>
              </w:rPr>
            </w:pPr>
          </w:p>
          <w:p>
            <w:pPr>
              <w:pStyle w:val="TableParagraph"/>
              <w:ind w:left="64"/>
              <w:rPr>
                <w:b/>
                <w:sz w:val="20"/>
              </w:rPr>
            </w:pPr>
            <w:r>
              <w:rPr>
                <w:b/>
                <w:sz w:val="20"/>
              </w:rPr>
              <w:t>CREDITOS</w:t>
            </w:r>
          </w:p>
        </w:tc>
      </w:tr>
      <w:tr>
        <w:trPr>
          <w:trHeight w:val="264" w:hRule="exact"/>
        </w:trPr>
        <w:tc>
          <w:tcPr>
            <w:tcW w:w="3567" w:type="dxa"/>
            <w:vMerge/>
            <w:tcBorders>
              <w:bottom w:val="single" w:sz="4" w:space="0" w:color="000000"/>
              <w:right w:val="single" w:sz="4" w:space="0" w:color="000000"/>
            </w:tcBorders>
          </w:tcPr>
          <w:p>
            <w:pP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22"/>
              <w:ind w:right="67"/>
              <w:jc w:val="right"/>
              <w:rPr>
                <w:b/>
                <w:sz w:val="20"/>
              </w:rPr>
            </w:pPr>
            <w:r>
              <w:rPr>
                <w:b/>
                <w:w w:val="95"/>
                <w:sz w:val="20"/>
              </w:rPr>
              <w:t>TOTAL</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22"/>
              <w:ind w:left="64"/>
              <w:rPr>
                <w:b/>
                <w:sz w:val="20"/>
              </w:rPr>
            </w:pPr>
            <w:r>
              <w:rPr>
                <w:b/>
                <w:sz w:val="20"/>
              </w:rPr>
              <w:t>TEORIA</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22"/>
              <w:ind w:right="66"/>
              <w:jc w:val="right"/>
              <w:rPr>
                <w:b/>
                <w:sz w:val="20"/>
              </w:rPr>
            </w:pPr>
            <w:r>
              <w:rPr>
                <w:b/>
                <w:w w:val="95"/>
                <w:sz w:val="20"/>
              </w:rPr>
              <w:t>PRACTICA</w:t>
            </w:r>
          </w:p>
        </w:tc>
        <w:tc>
          <w:tcPr>
            <w:tcW w:w="1186" w:type="dxa"/>
            <w:vMerge/>
            <w:tcBorders>
              <w:left w:val="single" w:sz="4" w:space="0" w:color="000000"/>
              <w:bottom w:val="single" w:sz="4" w:space="0" w:color="000000"/>
            </w:tcBorders>
          </w:tcPr>
          <w:p>
            <w:pPr/>
          </w:p>
        </w:tc>
      </w:tr>
      <w:tr>
        <w:trPr>
          <w:trHeight w:val="266" w:hRule="exact"/>
        </w:trPr>
        <w:tc>
          <w:tcPr>
            <w:tcW w:w="3567" w:type="dxa"/>
            <w:tcBorders>
              <w:top w:val="single" w:sz="4" w:space="0" w:color="000000"/>
              <w:bottom w:val="single" w:sz="4" w:space="0" w:color="000000"/>
              <w:right w:val="single" w:sz="4" w:space="0" w:color="000000"/>
            </w:tcBorders>
          </w:tcPr>
          <w:p>
            <w:pPr>
              <w:pStyle w:val="TableParagraph"/>
              <w:spacing w:before="19"/>
              <w:ind w:left="60"/>
              <w:rPr>
                <w:sz w:val="20"/>
              </w:rPr>
            </w:pPr>
            <w:r>
              <w:rPr>
                <w:sz w:val="20"/>
              </w:rPr>
              <w:t>POLITICA ECONOMICA</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9"/>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2</w:t>
            </w:r>
          </w:p>
        </w:tc>
        <w:tc>
          <w:tcPr>
            <w:tcW w:w="1186" w:type="dxa"/>
            <w:tcBorders>
              <w:top w:val="single" w:sz="4" w:space="0" w:color="000000"/>
              <w:left w:val="single" w:sz="4" w:space="0" w:color="000000"/>
              <w:bottom w:val="single" w:sz="4" w:space="0" w:color="000000"/>
            </w:tcBorders>
          </w:tcPr>
          <w:p>
            <w:pPr>
              <w:pStyle w:val="TableParagraph"/>
              <w:spacing w:before="19"/>
              <w:ind w:right="59"/>
              <w:jc w:val="right"/>
              <w:rPr>
                <w:sz w:val="20"/>
              </w:rPr>
            </w:pPr>
            <w:r>
              <w:rPr>
                <w:sz w:val="20"/>
              </w:rPr>
              <w:t>10</w:t>
            </w:r>
          </w:p>
        </w:tc>
      </w:tr>
      <w:tr>
        <w:trPr>
          <w:trHeight w:val="264" w:hRule="exact"/>
        </w:trPr>
        <w:tc>
          <w:tcPr>
            <w:tcW w:w="3567" w:type="dxa"/>
            <w:tcBorders>
              <w:top w:val="single" w:sz="4" w:space="0" w:color="000000"/>
              <w:bottom w:val="single" w:sz="4" w:space="0" w:color="000000"/>
              <w:right w:val="single" w:sz="4" w:space="0" w:color="000000"/>
            </w:tcBorders>
          </w:tcPr>
          <w:p>
            <w:pPr>
              <w:pStyle w:val="TableParagraph"/>
              <w:spacing w:before="17"/>
              <w:ind w:left="60"/>
              <w:rPr>
                <w:sz w:val="20"/>
              </w:rPr>
            </w:pPr>
            <w:r>
              <w:rPr>
                <w:sz w:val="20"/>
              </w:rPr>
              <w:t>ECONOMIA MEXICANA</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7"/>
              <w:ind w:right="66"/>
              <w:jc w:val="right"/>
              <w:rPr>
                <w:sz w:val="20"/>
              </w:rPr>
            </w:pPr>
            <w:r>
              <w:rPr>
                <w:w w:val="99"/>
                <w:sz w:val="20"/>
              </w:rPr>
              <w:t>4</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7"/>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7"/>
              <w:ind w:right="65"/>
              <w:jc w:val="right"/>
              <w:rPr>
                <w:sz w:val="20"/>
              </w:rPr>
            </w:pPr>
            <w:r>
              <w:rPr>
                <w:w w:val="99"/>
                <w:sz w:val="20"/>
              </w:rPr>
              <w:t>0</w:t>
            </w:r>
          </w:p>
        </w:tc>
        <w:tc>
          <w:tcPr>
            <w:tcW w:w="1186" w:type="dxa"/>
            <w:tcBorders>
              <w:top w:val="single" w:sz="4" w:space="0" w:color="000000"/>
              <w:left w:val="single" w:sz="4" w:space="0" w:color="000000"/>
              <w:bottom w:val="single" w:sz="4" w:space="0" w:color="000000"/>
            </w:tcBorders>
          </w:tcPr>
          <w:p>
            <w:pPr>
              <w:pStyle w:val="TableParagraph"/>
              <w:spacing w:before="17"/>
              <w:ind w:right="61"/>
              <w:jc w:val="right"/>
              <w:rPr>
                <w:sz w:val="20"/>
              </w:rPr>
            </w:pPr>
            <w:r>
              <w:rPr>
                <w:w w:val="99"/>
                <w:sz w:val="20"/>
              </w:rPr>
              <w:t>8</w:t>
            </w:r>
          </w:p>
        </w:tc>
      </w:tr>
      <w:tr>
        <w:trPr>
          <w:trHeight w:val="470" w:hRule="exact"/>
        </w:trPr>
        <w:tc>
          <w:tcPr>
            <w:tcW w:w="3567" w:type="dxa"/>
            <w:tcBorders>
              <w:top w:val="single" w:sz="4" w:space="0" w:color="000000"/>
              <w:bottom w:val="single" w:sz="4" w:space="0" w:color="000000"/>
              <w:right w:val="single" w:sz="4" w:space="0" w:color="000000"/>
            </w:tcBorders>
          </w:tcPr>
          <w:p>
            <w:pPr>
              <w:pStyle w:val="TableParagraph"/>
              <w:ind w:left="60"/>
              <w:rPr>
                <w:sz w:val="20"/>
              </w:rPr>
            </w:pPr>
            <w:r>
              <w:rPr>
                <w:sz w:val="20"/>
              </w:rPr>
              <w:t>FORMULACION Y EVALUACION DE PROYECTOS</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6"/>
              <w:jc w:val="right"/>
              <w:rPr>
                <w:sz w:val="20"/>
              </w:rPr>
            </w:pPr>
            <w:r>
              <w:rPr>
                <w:w w:val="99"/>
                <w:sz w:val="20"/>
              </w:rPr>
              <w:t>6</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2</w:t>
            </w:r>
          </w:p>
        </w:tc>
        <w:tc>
          <w:tcPr>
            <w:tcW w:w="1186" w:type="dxa"/>
            <w:tcBorders>
              <w:top w:val="single" w:sz="4" w:space="0" w:color="000000"/>
              <w:left w:val="single" w:sz="4" w:space="0" w:color="000000"/>
              <w:bottom w:val="single" w:sz="4" w:space="0" w:color="000000"/>
            </w:tcBorders>
          </w:tcPr>
          <w:p>
            <w:pPr>
              <w:pStyle w:val="TableParagraph"/>
              <w:spacing w:before="5"/>
              <w:rPr>
                <w:sz w:val="19"/>
              </w:rPr>
            </w:pPr>
          </w:p>
          <w:p>
            <w:pPr>
              <w:pStyle w:val="TableParagraph"/>
              <w:ind w:right="59"/>
              <w:jc w:val="right"/>
              <w:rPr>
                <w:sz w:val="20"/>
              </w:rPr>
            </w:pPr>
            <w:r>
              <w:rPr>
                <w:sz w:val="20"/>
              </w:rPr>
              <w:t>10</w:t>
            </w:r>
          </w:p>
        </w:tc>
      </w:tr>
      <w:tr>
        <w:trPr>
          <w:trHeight w:val="264" w:hRule="exact"/>
        </w:trPr>
        <w:tc>
          <w:tcPr>
            <w:tcW w:w="3567" w:type="dxa"/>
            <w:tcBorders>
              <w:top w:val="single" w:sz="4" w:space="0" w:color="000000"/>
              <w:bottom w:val="single" w:sz="4" w:space="0" w:color="000000"/>
              <w:right w:val="single" w:sz="4" w:space="0" w:color="000000"/>
            </w:tcBorders>
          </w:tcPr>
          <w:p>
            <w:pPr>
              <w:pStyle w:val="TableParagraph"/>
              <w:spacing w:before="17"/>
              <w:ind w:left="60"/>
              <w:rPr>
                <w:sz w:val="20"/>
              </w:rPr>
            </w:pPr>
            <w:r>
              <w:rPr>
                <w:sz w:val="20"/>
              </w:rPr>
              <w:t>(*)PLANEACION REGIONAL(b)**</w:t>
            </w:r>
          </w:p>
        </w:tc>
        <w:tc>
          <w:tcPr>
            <w:tcW w:w="843" w:type="dxa"/>
            <w:vMerge w:val="restart"/>
            <w:tcBorders>
              <w:top w:val="single" w:sz="4" w:space="0" w:color="000000"/>
              <w:left w:val="single" w:sz="4" w:space="0" w:color="000000"/>
              <w:right w:val="single" w:sz="4" w:space="0" w:color="000000"/>
            </w:tcBorders>
          </w:tcPr>
          <w:p>
            <w:pPr>
              <w:pStyle w:val="TableParagraph"/>
              <w:spacing w:before="17"/>
              <w:ind w:right="66"/>
              <w:jc w:val="right"/>
              <w:rPr>
                <w:sz w:val="20"/>
              </w:rPr>
            </w:pPr>
            <w:r>
              <w:rPr>
                <w:w w:val="99"/>
                <w:sz w:val="20"/>
              </w:rPr>
              <w:t>5</w:t>
            </w:r>
          </w:p>
        </w:tc>
        <w:tc>
          <w:tcPr>
            <w:tcW w:w="1025" w:type="dxa"/>
            <w:vMerge w:val="restart"/>
            <w:tcBorders>
              <w:top w:val="single" w:sz="4" w:space="0" w:color="000000"/>
              <w:left w:val="single" w:sz="4" w:space="0" w:color="000000"/>
              <w:right w:val="single" w:sz="4" w:space="0" w:color="000000"/>
            </w:tcBorders>
          </w:tcPr>
          <w:p>
            <w:pPr>
              <w:pStyle w:val="TableParagraph"/>
              <w:spacing w:before="17"/>
              <w:ind w:right="65"/>
              <w:jc w:val="right"/>
              <w:rPr>
                <w:sz w:val="20"/>
              </w:rPr>
            </w:pPr>
            <w:r>
              <w:rPr>
                <w:w w:val="99"/>
                <w:sz w:val="20"/>
              </w:rPr>
              <w:t>3</w:t>
            </w:r>
          </w:p>
        </w:tc>
        <w:tc>
          <w:tcPr>
            <w:tcW w:w="1195" w:type="dxa"/>
            <w:vMerge w:val="restart"/>
            <w:tcBorders>
              <w:top w:val="single" w:sz="4" w:space="0" w:color="000000"/>
              <w:left w:val="single" w:sz="4" w:space="0" w:color="000000"/>
              <w:right w:val="single" w:sz="4" w:space="0" w:color="000000"/>
            </w:tcBorders>
          </w:tcPr>
          <w:p>
            <w:pPr>
              <w:pStyle w:val="TableParagraph"/>
              <w:spacing w:before="17"/>
              <w:ind w:right="65"/>
              <w:jc w:val="right"/>
              <w:rPr>
                <w:sz w:val="20"/>
              </w:rPr>
            </w:pPr>
            <w:r>
              <w:rPr>
                <w:w w:val="99"/>
                <w:sz w:val="20"/>
              </w:rPr>
              <w:t>2</w:t>
            </w:r>
          </w:p>
        </w:tc>
        <w:tc>
          <w:tcPr>
            <w:tcW w:w="1186" w:type="dxa"/>
            <w:vMerge w:val="restart"/>
            <w:tcBorders>
              <w:top w:val="single" w:sz="4" w:space="0" w:color="000000"/>
              <w:left w:val="single" w:sz="4" w:space="0" w:color="000000"/>
            </w:tcBorders>
          </w:tcPr>
          <w:p>
            <w:pPr>
              <w:pStyle w:val="TableParagraph"/>
              <w:spacing w:before="17"/>
              <w:ind w:right="61"/>
              <w:jc w:val="right"/>
              <w:rPr>
                <w:sz w:val="20"/>
              </w:rPr>
            </w:pPr>
            <w:r>
              <w:rPr>
                <w:w w:val="99"/>
                <w:sz w:val="20"/>
              </w:rPr>
              <w:t>8</w:t>
            </w:r>
          </w:p>
        </w:tc>
      </w:tr>
      <w:tr>
        <w:trPr>
          <w:trHeight w:val="475" w:hRule="exact"/>
        </w:trPr>
        <w:tc>
          <w:tcPr>
            <w:tcW w:w="3567" w:type="dxa"/>
            <w:tcBorders>
              <w:top w:val="single" w:sz="4" w:space="0" w:color="000000"/>
              <w:right w:val="single" w:sz="4" w:space="0" w:color="000000"/>
            </w:tcBorders>
          </w:tcPr>
          <w:p>
            <w:pPr>
              <w:pStyle w:val="TableParagraph"/>
              <w:ind w:left="60"/>
              <w:rPr>
                <w:sz w:val="20"/>
              </w:rPr>
            </w:pPr>
            <w:r>
              <w:rPr>
                <w:sz w:val="20"/>
              </w:rPr>
              <w:t>(*)POLITICA Y TECNICAS DE COMERCIO EXTERIOR(a)**</w:t>
            </w:r>
          </w:p>
        </w:tc>
        <w:tc>
          <w:tcPr>
            <w:tcW w:w="843" w:type="dxa"/>
            <w:vMerge/>
            <w:tcBorders>
              <w:left w:val="single" w:sz="4" w:space="0" w:color="000000"/>
              <w:right w:val="single" w:sz="4" w:space="0" w:color="000000"/>
            </w:tcBorders>
          </w:tcPr>
          <w:p>
            <w:pPr/>
          </w:p>
        </w:tc>
        <w:tc>
          <w:tcPr>
            <w:tcW w:w="1025" w:type="dxa"/>
            <w:vMerge/>
            <w:tcBorders>
              <w:left w:val="single" w:sz="4" w:space="0" w:color="000000"/>
              <w:right w:val="single" w:sz="4" w:space="0" w:color="000000"/>
            </w:tcBorders>
          </w:tcPr>
          <w:p>
            <w:pPr/>
          </w:p>
        </w:tc>
        <w:tc>
          <w:tcPr>
            <w:tcW w:w="1195" w:type="dxa"/>
            <w:vMerge/>
            <w:tcBorders>
              <w:left w:val="single" w:sz="4" w:space="0" w:color="000000"/>
              <w:right w:val="single" w:sz="4" w:space="0" w:color="000000"/>
            </w:tcBorders>
          </w:tcPr>
          <w:p>
            <w:pPr/>
          </w:p>
        </w:tc>
        <w:tc>
          <w:tcPr>
            <w:tcW w:w="1186" w:type="dxa"/>
            <w:vMerge/>
            <w:tcBorders>
              <w:left w:val="single" w:sz="4" w:space="0" w:color="000000"/>
            </w:tcBorders>
          </w:tcPr>
          <w:p>
            <w:pPr/>
          </w:p>
        </w:tc>
      </w:tr>
    </w:tbl>
    <w:p>
      <w:pPr>
        <w:tabs>
          <w:tab w:pos="4631" w:val="left" w:leader="none"/>
          <w:tab w:pos="5658" w:val="left" w:leader="none"/>
          <w:tab w:pos="6952" w:val="left" w:leader="none"/>
          <w:tab w:pos="8239" w:val="right" w:leader="none"/>
        </w:tabs>
        <w:spacing w:before="19"/>
        <w:ind w:left="562" w:right="0" w:firstLine="0"/>
        <w:jc w:val="left"/>
        <w:rPr>
          <w:sz w:val="20"/>
        </w:rPr>
      </w:pPr>
      <w:r>
        <w:rPr>
          <w:sz w:val="20"/>
        </w:rPr>
        <w:t>TOTAL</w:t>
        <w:tab/>
        <w:t>21</w:t>
        <w:tab/>
        <w:t>15</w:t>
        <w:tab/>
        <w:t>6</w:t>
        <w:tab/>
        <w:t>36</w:t>
      </w:r>
    </w:p>
    <w:p>
      <w:pPr>
        <w:spacing w:before="71"/>
        <w:ind w:left="562" w:right="0" w:firstLine="0"/>
        <w:jc w:val="left"/>
        <w:rPr>
          <w:sz w:val="16"/>
        </w:rPr>
      </w:pPr>
      <w:r>
        <w:rPr>
          <w:sz w:val="16"/>
        </w:rPr>
        <w:t>(*) Se cursa una de dos asignaturas conservando la relación (a)** con (a)** o bien (b)** con (b)**</w:t>
      </w:r>
    </w:p>
    <w:p>
      <w:pPr>
        <w:spacing w:after="0"/>
        <w:jc w:val="left"/>
        <w:rPr>
          <w:sz w:val="16"/>
        </w:rPr>
        <w:sectPr>
          <w:pgSz w:w="12240" w:h="15840"/>
          <w:pgMar w:header="0" w:footer="943" w:top="1360" w:bottom="1140" w:left="1720" w:right="1580"/>
        </w:sectPr>
      </w:pPr>
    </w:p>
    <w:p>
      <w:pPr>
        <w:spacing w:before="50" w:after="7"/>
        <w:ind w:left="562" w:right="0" w:firstLine="0"/>
        <w:jc w:val="left"/>
        <w:rPr>
          <w:sz w:val="20"/>
        </w:rPr>
      </w:pPr>
      <w:r>
        <w:rPr>
          <w:sz w:val="20"/>
        </w:rPr>
        <w:t>DECIMO SEMESTRE</w:t>
      </w:r>
    </w:p>
    <w:tbl>
      <w:tblPr>
        <w:tblW w:w="0" w:type="auto"/>
        <w:jc w:val="left"/>
        <w:tblInd w:w="4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567"/>
        <w:gridCol w:w="843"/>
        <w:gridCol w:w="1025"/>
        <w:gridCol w:w="1195"/>
        <w:gridCol w:w="1186"/>
      </w:tblGrid>
      <w:tr>
        <w:trPr>
          <w:trHeight w:val="475" w:hRule="exact"/>
        </w:trPr>
        <w:tc>
          <w:tcPr>
            <w:tcW w:w="3567" w:type="dxa"/>
            <w:vMerge w:val="restart"/>
            <w:tcBorders>
              <w:right w:val="single" w:sz="4" w:space="0" w:color="000000"/>
            </w:tcBorders>
          </w:tcPr>
          <w:p>
            <w:pPr/>
          </w:p>
        </w:tc>
        <w:tc>
          <w:tcPr>
            <w:tcW w:w="1868" w:type="dxa"/>
            <w:gridSpan w:val="2"/>
            <w:tcBorders>
              <w:left w:val="single" w:sz="4" w:space="0" w:color="000000"/>
              <w:bottom w:val="single" w:sz="4" w:space="0" w:color="000000"/>
              <w:right w:val="single" w:sz="4" w:space="0" w:color="000000"/>
            </w:tcBorders>
          </w:tcPr>
          <w:p>
            <w:pPr>
              <w:pStyle w:val="TableParagraph"/>
              <w:ind w:left="907" w:right="64"/>
              <w:rPr>
                <w:b/>
                <w:sz w:val="20"/>
              </w:rPr>
            </w:pPr>
            <w:r>
              <w:rPr>
                <w:b/>
                <w:sz w:val="20"/>
              </w:rPr>
              <w:t>HORAS SEMANA</w:t>
            </w:r>
          </w:p>
        </w:tc>
        <w:tc>
          <w:tcPr>
            <w:tcW w:w="1195" w:type="dxa"/>
            <w:tcBorders>
              <w:left w:val="single" w:sz="4" w:space="0" w:color="000000"/>
              <w:bottom w:val="single" w:sz="4" w:space="0" w:color="000000"/>
              <w:right w:val="single" w:sz="4" w:space="0" w:color="000000"/>
            </w:tcBorders>
          </w:tcPr>
          <w:p>
            <w:pPr/>
          </w:p>
        </w:tc>
        <w:tc>
          <w:tcPr>
            <w:tcW w:w="1186" w:type="dxa"/>
            <w:vMerge w:val="restart"/>
            <w:tcBorders>
              <w:left w:val="single" w:sz="4" w:space="0" w:color="000000"/>
            </w:tcBorders>
          </w:tcPr>
          <w:p>
            <w:pPr>
              <w:pStyle w:val="TableParagraph"/>
              <w:rPr>
                <w:sz w:val="20"/>
              </w:rPr>
            </w:pPr>
          </w:p>
          <w:p>
            <w:pPr>
              <w:pStyle w:val="TableParagraph"/>
              <w:spacing w:before="9"/>
              <w:rPr>
                <w:sz w:val="22"/>
              </w:rPr>
            </w:pPr>
          </w:p>
          <w:p>
            <w:pPr>
              <w:pStyle w:val="TableParagraph"/>
              <w:ind w:left="64"/>
              <w:rPr>
                <w:b/>
                <w:sz w:val="20"/>
              </w:rPr>
            </w:pPr>
            <w:r>
              <w:rPr>
                <w:b/>
                <w:sz w:val="20"/>
              </w:rPr>
              <w:t>CREDITOS</w:t>
            </w:r>
          </w:p>
        </w:tc>
      </w:tr>
      <w:tr>
        <w:trPr>
          <w:trHeight w:val="264" w:hRule="exact"/>
        </w:trPr>
        <w:tc>
          <w:tcPr>
            <w:tcW w:w="3567" w:type="dxa"/>
            <w:vMerge/>
            <w:tcBorders>
              <w:bottom w:val="single" w:sz="4" w:space="0" w:color="000000"/>
              <w:right w:val="single" w:sz="4" w:space="0" w:color="000000"/>
            </w:tcBorders>
          </w:tcPr>
          <w:p>
            <w:pP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22"/>
              <w:ind w:right="67"/>
              <w:jc w:val="right"/>
              <w:rPr>
                <w:b/>
                <w:sz w:val="20"/>
              </w:rPr>
            </w:pPr>
            <w:r>
              <w:rPr>
                <w:b/>
                <w:w w:val="95"/>
                <w:sz w:val="20"/>
              </w:rPr>
              <w:t>TOTAL</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22"/>
              <w:ind w:left="64"/>
              <w:rPr>
                <w:b/>
                <w:sz w:val="20"/>
              </w:rPr>
            </w:pPr>
            <w:r>
              <w:rPr>
                <w:b/>
                <w:sz w:val="20"/>
              </w:rPr>
              <w:t>TEORIA</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22"/>
              <w:ind w:right="66"/>
              <w:jc w:val="right"/>
              <w:rPr>
                <w:b/>
                <w:sz w:val="20"/>
              </w:rPr>
            </w:pPr>
            <w:r>
              <w:rPr>
                <w:b/>
                <w:w w:val="95"/>
                <w:sz w:val="20"/>
              </w:rPr>
              <w:t>PRACTICA</w:t>
            </w:r>
          </w:p>
        </w:tc>
        <w:tc>
          <w:tcPr>
            <w:tcW w:w="1186" w:type="dxa"/>
            <w:vMerge/>
            <w:tcBorders>
              <w:left w:val="single" w:sz="4" w:space="0" w:color="000000"/>
              <w:bottom w:val="single" w:sz="4" w:space="0" w:color="000000"/>
            </w:tcBorders>
          </w:tcPr>
          <w:p>
            <w:pPr/>
          </w:p>
        </w:tc>
      </w:tr>
      <w:tr>
        <w:trPr>
          <w:trHeight w:val="470" w:hRule="exact"/>
        </w:trPr>
        <w:tc>
          <w:tcPr>
            <w:tcW w:w="3567" w:type="dxa"/>
            <w:tcBorders>
              <w:top w:val="single" w:sz="4" w:space="0" w:color="000000"/>
              <w:bottom w:val="single" w:sz="4" w:space="0" w:color="000000"/>
              <w:right w:val="single" w:sz="4" w:space="0" w:color="000000"/>
            </w:tcBorders>
          </w:tcPr>
          <w:p>
            <w:pPr>
              <w:pStyle w:val="TableParagraph"/>
              <w:ind w:left="60" w:right="900"/>
              <w:rPr>
                <w:sz w:val="20"/>
              </w:rPr>
            </w:pPr>
            <w:r>
              <w:rPr>
                <w:sz w:val="20"/>
              </w:rPr>
              <w:t>ESTRUCTURA ECONOMICA REGIONAL</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6"/>
              <w:jc w:val="right"/>
              <w:rPr>
                <w:sz w:val="20"/>
              </w:rPr>
            </w:pPr>
            <w:r>
              <w:rPr>
                <w:w w:val="99"/>
                <w:sz w:val="20"/>
              </w:rPr>
              <w:t>4</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4</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0</w:t>
            </w:r>
          </w:p>
        </w:tc>
        <w:tc>
          <w:tcPr>
            <w:tcW w:w="1186" w:type="dxa"/>
            <w:tcBorders>
              <w:top w:val="single" w:sz="4" w:space="0" w:color="000000"/>
              <w:left w:val="single" w:sz="4" w:space="0" w:color="000000"/>
              <w:bottom w:val="single" w:sz="4" w:space="0" w:color="000000"/>
            </w:tcBorders>
          </w:tcPr>
          <w:p>
            <w:pPr>
              <w:pStyle w:val="TableParagraph"/>
              <w:spacing w:before="5"/>
              <w:rPr>
                <w:sz w:val="19"/>
              </w:rPr>
            </w:pPr>
          </w:p>
          <w:p>
            <w:pPr>
              <w:pStyle w:val="TableParagraph"/>
              <w:ind w:right="61"/>
              <w:jc w:val="right"/>
              <w:rPr>
                <w:sz w:val="20"/>
              </w:rPr>
            </w:pPr>
            <w:r>
              <w:rPr>
                <w:w w:val="99"/>
                <w:sz w:val="20"/>
              </w:rPr>
              <w:t>8</w:t>
            </w:r>
          </w:p>
        </w:tc>
      </w:tr>
      <w:tr>
        <w:trPr>
          <w:trHeight w:val="266" w:hRule="exact"/>
        </w:trPr>
        <w:tc>
          <w:tcPr>
            <w:tcW w:w="3567" w:type="dxa"/>
            <w:tcBorders>
              <w:top w:val="single" w:sz="4" w:space="0" w:color="000000"/>
              <w:bottom w:val="single" w:sz="4" w:space="0" w:color="000000"/>
              <w:right w:val="single" w:sz="4" w:space="0" w:color="000000"/>
            </w:tcBorders>
          </w:tcPr>
          <w:p>
            <w:pPr>
              <w:pStyle w:val="TableParagraph"/>
              <w:spacing w:before="19"/>
              <w:ind w:left="60"/>
              <w:rPr>
                <w:sz w:val="20"/>
              </w:rPr>
            </w:pPr>
            <w:r>
              <w:rPr>
                <w:sz w:val="20"/>
              </w:rPr>
              <w:t>SEMINARIO DE TITULACION</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19"/>
              <w:ind w:right="66"/>
              <w:jc w:val="right"/>
              <w:rPr>
                <w:sz w:val="20"/>
              </w:rPr>
            </w:pPr>
            <w:r>
              <w:rPr>
                <w:w w:val="99"/>
                <w:sz w:val="20"/>
              </w:rPr>
              <w:t>4</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0</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19"/>
              <w:ind w:right="65"/>
              <w:jc w:val="right"/>
              <w:rPr>
                <w:sz w:val="20"/>
              </w:rPr>
            </w:pPr>
            <w:r>
              <w:rPr>
                <w:w w:val="99"/>
                <w:sz w:val="20"/>
              </w:rPr>
              <w:t>4</w:t>
            </w:r>
          </w:p>
        </w:tc>
        <w:tc>
          <w:tcPr>
            <w:tcW w:w="1186" w:type="dxa"/>
            <w:tcBorders>
              <w:top w:val="single" w:sz="4" w:space="0" w:color="000000"/>
              <w:left w:val="single" w:sz="4" w:space="0" w:color="000000"/>
              <w:bottom w:val="single" w:sz="4" w:space="0" w:color="000000"/>
            </w:tcBorders>
          </w:tcPr>
          <w:p>
            <w:pPr>
              <w:pStyle w:val="TableParagraph"/>
              <w:spacing w:before="19"/>
              <w:ind w:right="61"/>
              <w:jc w:val="right"/>
              <w:rPr>
                <w:sz w:val="20"/>
              </w:rPr>
            </w:pPr>
            <w:r>
              <w:rPr>
                <w:w w:val="99"/>
                <w:sz w:val="20"/>
              </w:rPr>
              <w:t>4</w:t>
            </w:r>
          </w:p>
        </w:tc>
      </w:tr>
      <w:tr>
        <w:trPr>
          <w:trHeight w:val="468" w:hRule="exact"/>
        </w:trPr>
        <w:tc>
          <w:tcPr>
            <w:tcW w:w="3567" w:type="dxa"/>
            <w:tcBorders>
              <w:top w:val="single" w:sz="4" w:space="0" w:color="000000"/>
              <w:bottom w:val="single" w:sz="4" w:space="0" w:color="000000"/>
              <w:right w:val="single" w:sz="4" w:space="0" w:color="000000"/>
            </w:tcBorders>
          </w:tcPr>
          <w:p>
            <w:pPr>
              <w:pStyle w:val="TableParagraph"/>
              <w:spacing w:line="223" w:lineRule="exact"/>
              <w:ind w:left="60"/>
              <w:rPr>
                <w:sz w:val="20"/>
              </w:rPr>
            </w:pPr>
            <w:r>
              <w:rPr>
                <w:sz w:val="20"/>
              </w:rPr>
              <w:t>*MERCADOS FINANCIEROS</w:t>
            </w:r>
          </w:p>
          <w:p>
            <w:pPr>
              <w:pStyle w:val="TableParagraph"/>
              <w:ind w:left="60"/>
              <w:rPr>
                <w:sz w:val="20"/>
              </w:rPr>
            </w:pPr>
            <w:r>
              <w:rPr>
                <w:sz w:val="20"/>
              </w:rPr>
              <w:t>(optativa)</w:t>
            </w:r>
          </w:p>
        </w:tc>
        <w:tc>
          <w:tcPr>
            <w:tcW w:w="843"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6"/>
              <w:jc w:val="right"/>
              <w:rPr>
                <w:sz w:val="20"/>
              </w:rPr>
            </w:pPr>
            <w:r>
              <w:rPr>
                <w:w w:val="99"/>
                <w:sz w:val="20"/>
              </w:rPr>
              <w:t>4</w:t>
            </w:r>
          </w:p>
        </w:tc>
        <w:tc>
          <w:tcPr>
            <w:tcW w:w="102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0</w:t>
            </w:r>
          </w:p>
        </w:tc>
        <w:tc>
          <w:tcPr>
            <w:tcW w:w="1195" w:type="dxa"/>
            <w:tcBorders>
              <w:top w:val="single" w:sz="4" w:space="0" w:color="000000"/>
              <w:left w:val="single" w:sz="4" w:space="0" w:color="000000"/>
              <w:bottom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4</w:t>
            </w:r>
          </w:p>
        </w:tc>
        <w:tc>
          <w:tcPr>
            <w:tcW w:w="1186" w:type="dxa"/>
            <w:tcBorders>
              <w:top w:val="single" w:sz="4" w:space="0" w:color="000000"/>
              <w:left w:val="single" w:sz="4" w:space="0" w:color="000000"/>
              <w:bottom w:val="single" w:sz="4" w:space="0" w:color="000000"/>
            </w:tcBorders>
          </w:tcPr>
          <w:p>
            <w:pPr>
              <w:pStyle w:val="TableParagraph"/>
              <w:spacing w:before="5"/>
              <w:rPr>
                <w:sz w:val="19"/>
              </w:rPr>
            </w:pPr>
          </w:p>
          <w:p>
            <w:pPr>
              <w:pStyle w:val="TableParagraph"/>
              <w:ind w:right="61"/>
              <w:jc w:val="right"/>
              <w:rPr>
                <w:sz w:val="20"/>
              </w:rPr>
            </w:pPr>
            <w:r>
              <w:rPr>
                <w:w w:val="99"/>
                <w:sz w:val="20"/>
              </w:rPr>
              <w:t>4</w:t>
            </w:r>
          </w:p>
        </w:tc>
      </w:tr>
      <w:tr>
        <w:trPr>
          <w:trHeight w:val="470" w:hRule="exact"/>
        </w:trPr>
        <w:tc>
          <w:tcPr>
            <w:tcW w:w="3567" w:type="dxa"/>
            <w:tcBorders>
              <w:top w:val="single" w:sz="4" w:space="0" w:color="000000"/>
              <w:bottom w:val="single" w:sz="4" w:space="0" w:color="000000"/>
              <w:right w:val="single" w:sz="4" w:space="0" w:color="000000"/>
            </w:tcBorders>
          </w:tcPr>
          <w:p>
            <w:pPr>
              <w:pStyle w:val="TableParagraph"/>
              <w:spacing w:line="225" w:lineRule="exact"/>
              <w:ind w:left="60"/>
              <w:rPr>
                <w:sz w:val="20"/>
              </w:rPr>
            </w:pPr>
            <w:r>
              <w:rPr>
                <w:sz w:val="20"/>
              </w:rPr>
              <w:t>*TOPICOS AVANZADOS DE</w:t>
            </w:r>
          </w:p>
          <w:p>
            <w:pPr>
              <w:pStyle w:val="TableParagraph"/>
              <w:spacing w:line="229" w:lineRule="exact"/>
              <w:ind w:left="60"/>
              <w:rPr>
                <w:sz w:val="20"/>
              </w:rPr>
            </w:pPr>
            <w:r>
              <w:rPr>
                <w:sz w:val="20"/>
              </w:rPr>
              <w:t>ECONOMETRIA (optativa)</w:t>
            </w:r>
          </w:p>
        </w:tc>
        <w:tc>
          <w:tcPr>
            <w:tcW w:w="843" w:type="dxa"/>
            <w:vMerge w:val="restart"/>
            <w:tcBorders>
              <w:top w:val="single" w:sz="4" w:space="0" w:color="000000"/>
              <w:left w:val="single" w:sz="4" w:space="0" w:color="000000"/>
              <w:right w:val="single" w:sz="4" w:space="0" w:color="000000"/>
            </w:tcBorders>
          </w:tcPr>
          <w:p>
            <w:pPr>
              <w:pStyle w:val="TableParagraph"/>
              <w:spacing w:before="5"/>
              <w:rPr>
                <w:sz w:val="19"/>
              </w:rPr>
            </w:pPr>
          </w:p>
          <w:p>
            <w:pPr>
              <w:pStyle w:val="TableParagraph"/>
              <w:ind w:right="66"/>
              <w:jc w:val="right"/>
              <w:rPr>
                <w:sz w:val="20"/>
              </w:rPr>
            </w:pPr>
            <w:r>
              <w:rPr>
                <w:w w:val="99"/>
                <w:sz w:val="20"/>
              </w:rPr>
              <w:t>4</w:t>
            </w:r>
          </w:p>
        </w:tc>
        <w:tc>
          <w:tcPr>
            <w:tcW w:w="1025" w:type="dxa"/>
            <w:vMerge w:val="restart"/>
            <w:tcBorders>
              <w:top w:val="single" w:sz="4" w:space="0" w:color="000000"/>
              <w:left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0</w:t>
            </w:r>
          </w:p>
        </w:tc>
        <w:tc>
          <w:tcPr>
            <w:tcW w:w="1195" w:type="dxa"/>
            <w:vMerge w:val="restart"/>
            <w:tcBorders>
              <w:top w:val="single" w:sz="4" w:space="0" w:color="000000"/>
              <w:left w:val="single" w:sz="4" w:space="0" w:color="000000"/>
              <w:right w:val="single" w:sz="4" w:space="0" w:color="000000"/>
            </w:tcBorders>
          </w:tcPr>
          <w:p>
            <w:pPr>
              <w:pStyle w:val="TableParagraph"/>
              <w:spacing w:before="5"/>
              <w:rPr>
                <w:sz w:val="19"/>
              </w:rPr>
            </w:pPr>
          </w:p>
          <w:p>
            <w:pPr>
              <w:pStyle w:val="TableParagraph"/>
              <w:ind w:right="65"/>
              <w:jc w:val="right"/>
              <w:rPr>
                <w:sz w:val="20"/>
              </w:rPr>
            </w:pPr>
            <w:r>
              <w:rPr>
                <w:w w:val="99"/>
                <w:sz w:val="20"/>
              </w:rPr>
              <w:t>4</w:t>
            </w:r>
          </w:p>
        </w:tc>
        <w:tc>
          <w:tcPr>
            <w:tcW w:w="1186" w:type="dxa"/>
            <w:vMerge w:val="restart"/>
            <w:tcBorders>
              <w:top w:val="single" w:sz="4" w:space="0" w:color="000000"/>
              <w:left w:val="single" w:sz="4" w:space="0" w:color="000000"/>
            </w:tcBorders>
          </w:tcPr>
          <w:p>
            <w:pPr>
              <w:pStyle w:val="TableParagraph"/>
              <w:spacing w:before="5"/>
              <w:rPr>
                <w:sz w:val="19"/>
              </w:rPr>
            </w:pPr>
          </w:p>
          <w:p>
            <w:pPr>
              <w:pStyle w:val="TableParagraph"/>
              <w:ind w:right="61"/>
              <w:jc w:val="right"/>
              <w:rPr>
                <w:sz w:val="20"/>
              </w:rPr>
            </w:pPr>
            <w:r>
              <w:rPr>
                <w:w w:val="99"/>
                <w:sz w:val="20"/>
              </w:rPr>
              <w:t>4</w:t>
            </w:r>
          </w:p>
        </w:tc>
      </w:tr>
      <w:tr>
        <w:trPr>
          <w:trHeight w:val="475" w:hRule="exact"/>
        </w:trPr>
        <w:tc>
          <w:tcPr>
            <w:tcW w:w="3567" w:type="dxa"/>
            <w:tcBorders>
              <w:top w:val="single" w:sz="4" w:space="0" w:color="000000"/>
              <w:right w:val="single" w:sz="4" w:space="0" w:color="000000"/>
            </w:tcBorders>
          </w:tcPr>
          <w:p>
            <w:pPr>
              <w:pStyle w:val="TableParagraph"/>
              <w:spacing w:line="223" w:lineRule="exact"/>
              <w:ind w:left="60"/>
              <w:rPr>
                <w:sz w:val="20"/>
              </w:rPr>
            </w:pPr>
            <w:r>
              <w:rPr>
                <w:sz w:val="20"/>
              </w:rPr>
              <w:t>*POLITICA COMERCIAL Y ANALISIS</w:t>
            </w:r>
          </w:p>
          <w:p>
            <w:pPr>
              <w:pStyle w:val="TableParagraph"/>
              <w:ind w:left="60"/>
              <w:rPr>
                <w:sz w:val="20"/>
              </w:rPr>
            </w:pPr>
            <w:r>
              <w:rPr>
                <w:sz w:val="20"/>
              </w:rPr>
              <w:t>ARANCELARIO (optativa)</w:t>
            </w:r>
          </w:p>
        </w:tc>
        <w:tc>
          <w:tcPr>
            <w:tcW w:w="843" w:type="dxa"/>
            <w:vMerge/>
            <w:tcBorders>
              <w:left w:val="single" w:sz="4" w:space="0" w:color="000000"/>
              <w:right w:val="single" w:sz="4" w:space="0" w:color="000000"/>
            </w:tcBorders>
          </w:tcPr>
          <w:p>
            <w:pPr/>
          </w:p>
        </w:tc>
        <w:tc>
          <w:tcPr>
            <w:tcW w:w="1025" w:type="dxa"/>
            <w:vMerge/>
            <w:tcBorders>
              <w:left w:val="single" w:sz="4" w:space="0" w:color="000000"/>
              <w:right w:val="single" w:sz="4" w:space="0" w:color="000000"/>
            </w:tcBorders>
          </w:tcPr>
          <w:p>
            <w:pPr/>
          </w:p>
        </w:tc>
        <w:tc>
          <w:tcPr>
            <w:tcW w:w="1195" w:type="dxa"/>
            <w:vMerge/>
            <w:tcBorders>
              <w:left w:val="single" w:sz="4" w:space="0" w:color="000000"/>
              <w:right w:val="single" w:sz="4" w:space="0" w:color="000000"/>
            </w:tcBorders>
          </w:tcPr>
          <w:p>
            <w:pPr/>
          </w:p>
        </w:tc>
        <w:tc>
          <w:tcPr>
            <w:tcW w:w="1186" w:type="dxa"/>
            <w:vMerge/>
            <w:tcBorders>
              <w:left w:val="single" w:sz="4" w:space="0" w:color="000000"/>
            </w:tcBorders>
          </w:tcPr>
          <w:p>
            <w:pPr/>
          </w:p>
        </w:tc>
      </w:tr>
    </w:tbl>
    <w:p>
      <w:pPr>
        <w:tabs>
          <w:tab w:pos="4631" w:val="left" w:leader="none"/>
          <w:tab w:pos="5757" w:val="left" w:leader="none"/>
          <w:tab w:pos="6854" w:val="left" w:leader="none"/>
          <w:tab w:pos="8239" w:val="right" w:leader="none"/>
        </w:tabs>
        <w:spacing w:before="19"/>
        <w:ind w:left="562" w:right="0" w:firstLine="0"/>
        <w:jc w:val="left"/>
        <w:rPr>
          <w:sz w:val="20"/>
        </w:rPr>
      </w:pPr>
      <w:r>
        <w:rPr>
          <w:sz w:val="20"/>
        </w:rPr>
        <w:t>TOTAL</w:t>
        <w:tab/>
        <w:t>16</w:t>
        <w:tab/>
        <w:t>4</w:t>
        <w:tab/>
        <w:t>12</w:t>
        <w:tab/>
        <w:t>20</w:t>
      </w:r>
    </w:p>
    <w:p>
      <w:pPr>
        <w:spacing w:before="2"/>
        <w:ind w:left="562" w:right="5665" w:firstLine="0"/>
        <w:jc w:val="left"/>
        <w:rPr>
          <w:sz w:val="16"/>
        </w:rPr>
      </w:pPr>
      <w:r>
        <w:rPr>
          <w:b/>
          <w:sz w:val="16"/>
        </w:rPr>
        <w:t>*</w:t>
      </w:r>
      <w:r>
        <w:rPr>
          <w:sz w:val="16"/>
        </w:rPr>
        <w:t>Optativas, se deberá de elegir dos de tres asignaturas</w:t>
      </w:r>
    </w:p>
    <w:p>
      <w:pPr>
        <w:spacing w:line="182" w:lineRule="exact" w:before="75"/>
        <w:ind w:left="562" w:right="0" w:firstLine="0"/>
        <w:jc w:val="left"/>
        <w:rPr>
          <w:b/>
          <w:i/>
          <w:sz w:val="16"/>
        </w:rPr>
      </w:pPr>
      <w:r>
        <w:rPr>
          <w:b/>
          <w:i/>
          <w:sz w:val="16"/>
        </w:rPr>
        <w:t>NOTA:</w:t>
      </w:r>
    </w:p>
    <w:p>
      <w:pPr>
        <w:spacing w:before="0"/>
        <w:ind w:left="562" w:right="792" w:firstLine="0"/>
        <w:jc w:val="left"/>
        <w:rPr>
          <w:sz w:val="16"/>
        </w:rPr>
      </w:pPr>
      <w:r>
        <w:rPr>
          <w:sz w:val="16"/>
        </w:rPr>
        <w:t>Al cursar las asignaturas optativas se debe respetar la línea de seriación establecida en el diagrama, es decir (a)** con (a)** o bien (b)** con (b)**.</w:t>
      </w:r>
    </w:p>
    <w:p>
      <w:pPr>
        <w:spacing w:after="0"/>
        <w:jc w:val="left"/>
        <w:rPr>
          <w:sz w:val="16"/>
        </w:rPr>
        <w:sectPr>
          <w:pgSz w:w="12240" w:h="15840"/>
          <w:pgMar w:header="0" w:footer="943" w:top="1400" w:bottom="1200" w:left="1720" w:right="1580"/>
        </w:sectPr>
      </w:pPr>
    </w:p>
    <w:p>
      <w:pPr>
        <w:pStyle w:val="Heading3"/>
        <w:ind w:right="17"/>
        <w:jc w:val="center"/>
      </w:pPr>
      <w:bookmarkStart w:name="_bookmark95" w:id="169"/>
      <w:bookmarkEnd w:id="169"/>
      <w:r>
        <w:rPr>
          <w:b w:val="0"/>
        </w:rPr>
      </w:r>
      <w:r>
        <w:rPr/>
        <w:t>Anexo 3</w:t>
      </w:r>
    </w:p>
    <w:p>
      <w:pPr>
        <w:spacing w:before="43"/>
        <w:ind w:left="102" w:right="0" w:firstLine="0"/>
        <w:jc w:val="left"/>
        <w:rPr>
          <w:b/>
          <w:sz w:val="24"/>
        </w:rPr>
      </w:pPr>
      <w:r>
        <w:rPr>
          <w:b/>
          <w:sz w:val="24"/>
        </w:rPr>
        <w:t>Plan flexible 2004</w:t>
      </w:r>
    </w:p>
    <w:p>
      <w:pPr>
        <w:pStyle w:val="BodyText"/>
        <w:spacing w:before="5"/>
        <w:rPr>
          <w:b/>
          <w:sz w:val="14"/>
        </w:rPr>
      </w:pPr>
    </w:p>
    <w:p>
      <w:pPr>
        <w:pStyle w:val="BodyText"/>
        <w:spacing w:before="69"/>
        <w:ind w:left="102"/>
      </w:pPr>
      <w:r>
        <w:rPr/>
        <w:t>Créditos Licenciatura de Economía de la UAEMéx.</w:t>
      </w:r>
    </w:p>
    <w:p>
      <w:pPr>
        <w:pStyle w:val="BodyText"/>
        <w:spacing w:before="9"/>
        <w:rPr>
          <w:sz w:val="29"/>
        </w:rPr>
      </w:pPr>
    </w:p>
    <w:p>
      <w:pPr>
        <w:pStyle w:val="Heading3"/>
        <w:spacing w:before="0"/>
        <w:ind w:left="102"/>
        <w:jc w:val="left"/>
      </w:pPr>
      <w:r>
        <w:rPr/>
        <w:t>Núcleo básico</w:t>
      </w:r>
    </w:p>
    <w:p>
      <w:pPr>
        <w:pStyle w:val="BodyText"/>
        <w:spacing w:before="3"/>
        <w:rPr>
          <w:b/>
          <w:sz w:val="29"/>
        </w:rPr>
      </w:pPr>
    </w:p>
    <w:p>
      <w:pPr>
        <w:spacing w:before="1" w:after="2"/>
        <w:ind w:left="807" w:right="0" w:firstLine="0"/>
        <w:jc w:val="left"/>
        <w:rPr>
          <w:b/>
          <w:sz w:val="20"/>
        </w:rPr>
      </w:pPr>
      <w:r>
        <w:rPr>
          <w:b/>
          <w:sz w:val="20"/>
        </w:rPr>
        <w:t>Obligatorias</w:t>
      </w:r>
    </w:p>
    <w:tbl>
      <w:tblPr>
        <w:tblW w:w="0" w:type="auto"/>
        <w:jc w:val="left"/>
        <w:tblInd w:w="7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2936"/>
        <w:gridCol w:w="406"/>
        <w:gridCol w:w="396"/>
        <w:gridCol w:w="408"/>
        <w:gridCol w:w="406"/>
        <w:gridCol w:w="2578"/>
      </w:tblGrid>
      <w:tr>
        <w:trPr>
          <w:trHeight w:val="310" w:hRule="exact"/>
        </w:trPr>
        <w:tc>
          <w:tcPr>
            <w:tcW w:w="437" w:type="dxa"/>
          </w:tcPr>
          <w:p>
            <w:pPr>
              <w:pStyle w:val="TableParagraph"/>
              <w:spacing w:before="63"/>
              <w:ind w:right="67"/>
              <w:jc w:val="right"/>
              <w:rPr>
                <w:sz w:val="20"/>
              </w:rPr>
            </w:pPr>
            <w:r>
              <w:rPr>
                <w:w w:val="95"/>
                <w:sz w:val="20"/>
              </w:rPr>
              <w:t>No.</w:t>
            </w:r>
          </w:p>
        </w:tc>
        <w:tc>
          <w:tcPr>
            <w:tcW w:w="2936" w:type="dxa"/>
          </w:tcPr>
          <w:p>
            <w:pPr>
              <w:pStyle w:val="TableParagraph"/>
              <w:spacing w:before="63"/>
              <w:ind w:left="64"/>
              <w:rPr>
                <w:sz w:val="20"/>
              </w:rPr>
            </w:pPr>
            <w:r>
              <w:rPr>
                <w:sz w:val="20"/>
              </w:rPr>
              <w:t>Unidad de aprendizaje (UA)</w:t>
            </w:r>
          </w:p>
        </w:tc>
        <w:tc>
          <w:tcPr>
            <w:tcW w:w="406" w:type="dxa"/>
          </w:tcPr>
          <w:p>
            <w:pPr>
              <w:pStyle w:val="TableParagraph"/>
              <w:spacing w:before="63"/>
              <w:ind w:right="63"/>
              <w:jc w:val="right"/>
              <w:rPr>
                <w:sz w:val="20"/>
              </w:rPr>
            </w:pPr>
            <w:r>
              <w:rPr>
                <w:w w:val="95"/>
                <w:sz w:val="20"/>
              </w:rPr>
              <w:t>HT</w:t>
            </w:r>
          </w:p>
        </w:tc>
        <w:tc>
          <w:tcPr>
            <w:tcW w:w="396" w:type="dxa"/>
          </w:tcPr>
          <w:p>
            <w:pPr>
              <w:pStyle w:val="TableParagraph"/>
              <w:spacing w:before="63"/>
              <w:ind w:right="65"/>
              <w:jc w:val="right"/>
              <w:rPr>
                <w:sz w:val="20"/>
              </w:rPr>
            </w:pPr>
            <w:r>
              <w:rPr>
                <w:w w:val="95"/>
                <w:sz w:val="20"/>
              </w:rPr>
              <w:t>HP</w:t>
            </w:r>
          </w:p>
        </w:tc>
        <w:tc>
          <w:tcPr>
            <w:tcW w:w="408" w:type="dxa"/>
          </w:tcPr>
          <w:p>
            <w:pPr>
              <w:pStyle w:val="TableParagraph"/>
              <w:spacing w:before="63"/>
              <w:ind w:left="44" w:right="42"/>
              <w:jc w:val="center"/>
              <w:rPr>
                <w:sz w:val="20"/>
              </w:rPr>
            </w:pPr>
            <w:r>
              <w:rPr>
                <w:sz w:val="20"/>
              </w:rPr>
              <w:t>TH</w:t>
            </w:r>
          </w:p>
        </w:tc>
        <w:tc>
          <w:tcPr>
            <w:tcW w:w="406" w:type="dxa"/>
          </w:tcPr>
          <w:p>
            <w:pPr>
              <w:pStyle w:val="TableParagraph"/>
              <w:spacing w:before="63"/>
              <w:ind w:right="65"/>
              <w:jc w:val="right"/>
              <w:rPr>
                <w:sz w:val="20"/>
              </w:rPr>
            </w:pPr>
            <w:r>
              <w:rPr>
                <w:sz w:val="20"/>
              </w:rPr>
              <w:t>CR</w:t>
            </w:r>
          </w:p>
        </w:tc>
        <w:tc>
          <w:tcPr>
            <w:tcW w:w="2578" w:type="dxa"/>
          </w:tcPr>
          <w:p>
            <w:pPr>
              <w:pStyle w:val="TableParagraph"/>
              <w:spacing w:before="63"/>
              <w:ind w:left="64" w:right="562"/>
              <w:rPr>
                <w:sz w:val="20"/>
              </w:rPr>
            </w:pPr>
            <w:r>
              <w:rPr>
                <w:sz w:val="20"/>
              </w:rPr>
              <w:t>Área curricular</w:t>
            </w:r>
          </w:p>
        </w:tc>
      </w:tr>
      <w:tr>
        <w:trPr>
          <w:trHeight w:val="535" w:hRule="exact"/>
        </w:trPr>
        <w:tc>
          <w:tcPr>
            <w:tcW w:w="437" w:type="dxa"/>
          </w:tcPr>
          <w:p>
            <w:pPr>
              <w:pStyle w:val="TableParagraph"/>
              <w:spacing w:before="1"/>
              <w:rPr>
                <w:b/>
                <w:sz w:val="25"/>
              </w:rPr>
            </w:pPr>
          </w:p>
          <w:p>
            <w:pPr>
              <w:pStyle w:val="TableParagraph"/>
              <w:ind w:right="66"/>
              <w:jc w:val="right"/>
              <w:rPr>
                <w:sz w:val="20"/>
              </w:rPr>
            </w:pPr>
            <w:r>
              <w:rPr>
                <w:w w:val="99"/>
                <w:sz w:val="20"/>
              </w:rPr>
              <w:t>1</w:t>
            </w:r>
          </w:p>
        </w:tc>
        <w:tc>
          <w:tcPr>
            <w:tcW w:w="2936" w:type="dxa"/>
          </w:tcPr>
          <w:p>
            <w:pPr>
              <w:pStyle w:val="TableParagraph"/>
              <w:spacing w:before="58"/>
              <w:ind w:left="64" w:right="670"/>
              <w:rPr>
                <w:sz w:val="20"/>
              </w:rPr>
            </w:pPr>
            <w:r>
              <w:rPr>
                <w:sz w:val="20"/>
              </w:rPr>
              <w:t>Introducción a los métodos cuantitativos</w:t>
            </w:r>
          </w:p>
        </w:tc>
        <w:tc>
          <w:tcPr>
            <w:tcW w:w="406" w:type="dxa"/>
          </w:tcPr>
          <w:p>
            <w:pPr>
              <w:pStyle w:val="TableParagraph"/>
              <w:spacing w:before="139"/>
              <w:ind w:right="1"/>
              <w:jc w:val="center"/>
              <w:rPr>
                <w:sz w:val="20"/>
              </w:rPr>
            </w:pPr>
            <w:r>
              <w:rPr>
                <w:w w:val="99"/>
                <w:sz w:val="20"/>
              </w:rPr>
              <w:t>4</w:t>
            </w:r>
          </w:p>
        </w:tc>
        <w:tc>
          <w:tcPr>
            <w:tcW w:w="396" w:type="dxa"/>
          </w:tcPr>
          <w:p>
            <w:pPr>
              <w:pStyle w:val="TableParagraph"/>
              <w:spacing w:before="139"/>
              <w:ind w:right="2"/>
              <w:jc w:val="center"/>
              <w:rPr>
                <w:sz w:val="20"/>
              </w:rPr>
            </w:pPr>
            <w:r>
              <w:rPr>
                <w:w w:val="99"/>
                <w:sz w:val="20"/>
              </w:rPr>
              <w:t>2</w:t>
            </w:r>
          </w:p>
        </w:tc>
        <w:tc>
          <w:tcPr>
            <w:tcW w:w="408" w:type="dxa"/>
          </w:tcPr>
          <w:p>
            <w:pPr>
              <w:pStyle w:val="TableParagraph"/>
              <w:spacing w:before="139"/>
              <w:ind w:right="4"/>
              <w:jc w:val="center"/>
              <w:rPr>
                <w:sz w:val="20"/>
              </w:rPr>
            </w:pPr>
            <w:r>
              <w:rPr>
                <w:w w:val="99"/>
                <w:sz w:val="20"/>
              </w:rPr>
              <w:t>6</w:t>
            </w:r>
          </w:p>
        </w:tc>
        <w:tc>
          <w:tcPr>
            <w:tcW w:w="406" w:type="dxa"/>
          </w:tcPr>
          <w:p>
            <w:pPr>
              <w:pStyle w:val="TableParagraph"/>
              <w:spacing w:before="139"/>
              <w:ind w:right="95"/>
              <w:jc w:val="right"/>
              <w:rPr>
                <w:sz w:val="20"/>
              </w:rPr>
            </w:pPr>
            <w:r>
              <w:rPr>
                <w:sz w:val="20"/>
              </w:rPr>
              <w:t>10</w:t>
            </w:r>
          </w:p>
        </w:tc>
        <w:tc>
          <w:tcPr>
            <w:tcW w:w="2578" w:type="dxa"/>
          </w:tcPr>
          <w:p>
            <w:pPr>
              <w:pStyle w:val="TableParagraph"/>
              <w:spacing w:before="58"/>
              <w:ind w:left="64" w:right="562"/>
              <w:rPr>
                <w:sz w:val="20"/>
              </w:rPr>
            </w:pPr>
            <w:r>
              <w:rPr>
                <w:sz w:val="20"/>
              </w:rPr>
              <w:t>Métodos cuantitativos y estadísticos</w:t>
            </w:r>
          </w:p>
        </w:tc>
      </w:tr>
      <w:tr>
        <w:trPr>
          <w:trHeight w:val="536" w:hRule="exact"/>
        </w:trPr>
        <w:tc>
          <w:tcPr>
            <w:tcW w:w="437" w:type="dxa"/>
          </w:tcPr>
          <w:p>
            <w:pPr>
              <w:pStyle w:val="TableParagraph"/>
              <w:spacing w:before="1"/>
              <w:rPr>
                <w:b/>
                <w:sz w:val="25"/>
              </w:rPr>
            </w:pPr>
          </w:p>
          <w:p>
            <w:pPr>
              <w:pStyle w:val="TableParagraph"/>
              <w:ind w:right="66"/>
              <w:jc w:val="right"/>
              <w:rPr>
                <w:sz w:val="20"/>
              </w:rPr>
            </w:pPr>
            <w:r>
              <w:rPr>
                <w:w w:val="99"/>
                <w:sz w:val="20"/>
              </w:rPr>
              <w:t>2</w:t>
            </w:r>
          </w:p>
        </w:tc>
        <w:tc>
          <w:tcPr>
            <w:tcW w:w="2936" w:type="dxa"/>
          </w:tcPr>
          <w:p>
            <w:pPr>
              <w:pStyle w:val="TableParagraph"/>
              <w:spacing w:before="1"/>
              <w:rPr>
                <w:b/>
                <w:sz w:val="25"/>
              </w:rPr>
            </w:pPr>
          </w:p>
          <w:p>
            <w:pPr>
              <w:pStyle w:val="TableParagraph"/>
              <w:ind w:left="64"/>
              <w:rPr>
                <w:sz w:val="20"/>
              </w:rPr>
            </w:pPr>
            <w:r>
              <w:rPr>
                <w:sz w:val="20"/>
              </w:rPr>
              <w:t>Cálculo diferencial e integral</w:t>
            </w:r>
          </w:p>
        </w:tc>
        <w:tc>
          <w:tcPr>
            <w:tcW w:w="406" w:type="dxa"/>
          </w:tcPr>
          <w:p>
            <w:pPr>
              <w:pStyle w:val="TableParagraph"/>
              <w:spacing w:before="139"/>
              <w:ind w:right="1"/>
              <w:jc w:val="center"/>
              <w:rPr>
                <w:sz w:val="20"/>
              </w:rPr>
            </w:pPr>
            <w:r>
              <w:rPr>
                <w:w w:val="99"/>
                <w:sz w:val="20"/>
              </w:rPr>
              <w:t>4</w:t>
            </w:r>
          </w:p>
        </w:tc>
        <w:tc>
          <w:tcPr>
            <w:tcW w:w="396" w:type="dxa"/>
          </w:tcPr>
          <w:p>
            <w:pPr>
              <w:pStyle w:val="TableParagraph"/>
              <w:spacing w:before="139"/>
              <w:ind w:right="2"/>
              <w:jc w:val="center"/>
              <w:rPr>
                <w:sz w:val="20"/>
              </w:rPr>
            </w:pPr>
            <w:r>
              <w:rPr>
                <w:w w:val="99"/>
                <w:sz w:val="20"/>
              </w:rPr>
              <w:t>2</w:t>
            </w:r>
          </w:p>
        </w:tc>
        <w:tc>
          <w:tcPr>
            <w:tcW w:w="408" w:type="dxa"/>
          </w:tcPr>
          <w:p>
            <w:pPr>
              <w:pStyle w:val="TableParagraph"/>
              <w:spacing w:before="139"/>
              <w:ind w:right="4"/>
              <w:jc w:val="center"/>
              <w:rPr>
                <w:sz w:val="20"/>
              </w:rPr>
            </w:pPr>
            <w:r>
              <w:rPr>
                <w:w w:val="99"/>
                <w:sz w:val="20"/>
              </w:rPr>
              <w:t>6</w:t>
            </w:r>
          </w:p>
        </w:tc>
        <w:tc>
          <w:tcPr>
            <w:tcW w:w="406" w:type="dxa"/>
          </w:tcPr>
          <w:p>
            <w:pPr>
              <w:pStyle w:val="TableParagraph"/>
              <w:spacing w:before="139"/>
              <w:ind w:right="95"/>
              <w:jc w:val="right"/>
              <w:rPr>
                <w:sz w:val="20"/>
              </w:rPr>
            </w:pPr>
            <w:r>
              <w:rPr>
                <w:sz w:val="20"/>
              </w:rPr>
              <w:t>10</w:t>
            </w:r>
          </w:p>
        </w:tc>
        <w:tc>
          <w:tcPr>
            <w:tcW w:w="2578" w:type="dxa"/>
          </w:tcPr>
          <w:p>
            <w:pPr>
              <w:pStyle w:val="TableParagraph"/>
              <w:spacing w:before="58"/>
              <w:ind w:left="64" w:right="562"/>
              <w:rPr>
                <w:sz w:val="20"/>
              </w:rPr>
            </w:pPr>
            <w:r>
              <w:rPr>
                <w:sz w:val="20"/>
              </w:rPr>
              <w:t>Métodos cuantitativos y estadísticos</w:t>
            </w:r>
          </w:p>
        </w:tc>
      </w:tr>
      <w:tr>
        <w:trPr>
          <w:trHeight w:val="535" w:hRule="exact"/>
        </w:trPr>
        <w:tc>
          <w:tcPr>
            <w:tcW w:w="437" w:type="dxa"/>
          </w:tcPr>
          <w:p>
            <w:pPr>
              <w:pStyle w:val="TableParagraph"/>
              <w:spacing w:before="1"/>
              <w:rPr>
                <w:b/>
                <w:sz w:val="25"/>
              </w:rPr>
            </w:pPr>
          </w:p>
          <w:p>
            <w:pPr>
              <w:pStyle w:val="TableParagraph"/>
              <w:ind w:right="66"/>
              <w:jc w:val="right"/>
              <w:rPr>
                <w:sz w:val="20"/>
              </w:rPr>
            </w:pPr>
            <w:r>
              <w:rPr>
                <w:w w:val="99"/>
                <w:sz w:val="20"/>
              </w:rPr>
              <w:t>3</w:t>
            </w:r>
          </w:p>
        </w:tc>
        <w:tc>
          <w:tcPr>
            <w:tcW w:w="2936" w:type="dxa"/>
          </w:tcPr>
          <w:p>
            <w:pPr>
              <w:pStyle w:val="TableParagraph"/>
              <w:spacing w:before="1"/>
              <w:rPr>
                <w:b/>
                <w:sz w:val="25"/>
              </w:rPr>
            </w:pPr>
          </w:p>
          <w:p>
            <w:pPr>
              <w:pStyle w:val="TableParagraph"/>
              <w:ind w:left="64"/>
              <w:rPr>
                <w:sz w:val="20"/>
              </w:rPr>
            </w:pPr>
            <w:r>
              <w:rPr>
                <w:sz w:val="20"/>
              </w:rPr>
              <w:t>Probabilidad y estadística</w:t>
            </w:r>
          </w:p>
        </w:tc>
        <w:tc>
          <w:tcPr>
            <w:tcW w:w="406" w:type="dxa"/>
          </w:tcPr>
          <w:p>
            <w:pPr>
              <w:pStyle w:val="TableParagraph"/>
              <w:spacing w:before="139"/>
              <w:ind w:right="1"/>
              <w:jc w:val="center"/>
              <w:rPr>
                <w:sz w:val="20"/>
              </w:rPr>
            </w:pPr>
            <w:r>
              <w:rPr>
                <w:w w:val="99"/>
                <w:sz w:val="20"/>
              </w:rPr>
              <w:t>4</w:t>
            </w:r>
          </w:p>
        </w:tc>
        <w:tc>
          <w:tcPr>
            <w:tcW w:w="396" w:type="dxa"/>
          </w:tcPr>
          <w:p>
            <w:pPr>
              <w:pStyle w:val="TableParagraph"/>
              <w:spacing w:before="139"/>
              <w:ind w:right="2"/>
              <w:jc w:val="center"/>
              <w:rPr>
                <w:sz w:val="20"/>
              </w:rPr>
            </w:pPr>
            <w:r>
              <w:rPr>
                <w:w w:val="99"/>
                <w:sz w:val="20"/>
              </w:rPr>
              <w:t>2</w:t>
            </w:r>
          </w:p>
        </w:tc>
        <w:tc>
          <w:tcPr>
            <w:tcW w:w="408" w:type="dxa"/>
          </w:tcPr>
          <w:p>
            <w:pPr>
              <w:pStyle w:val="TableParagraph"/>
              <w:spacing w:before="139"/>
              <w:ind w:right="4"/>
              <w:jc w:val="center"/>
              <w:rPr>
                <w:sz w:val="20"/>
              </w:rPr>
            </w:pPr>
            <w:r>
              <w:rPr>
                <w:w w:val="99"/>
                <w:sz w:val="20"/>
              </w:rPr>
              <w:t>6</w:t>
            </w:r>
          </w:p>
        </w:tc>
        <w:tc>
          <w:tcPr>
            <w:tcW w:w="406" w:type="dxa"/>
          </w:tcPr>
          <w:p>
            <w:pPr>
              <w:pStyle w:val="TableParagraph"/>
              <w:spacing w:before="139"/>
              <w:ind w:right="95"/>
              <w:jc w:val="right"/>
              <w:rPr>
                <w:sz w:val="20"/>
              </w:rPr>
            </w:pPr>
            <w:r>
              <w:rPr>
                <w:sz w:val="20"/>
              </w:rPr>
              <w:t>10</w:t>
            </w:r>
          </w:p>
        </w:tc>
        <w:tc>
          <w:tcPr>
            <w:tcW w:w="2578" w:type="dxa"/>
          </w:tcPr>
          <w:p>
            <w:pPr>
              <w:pStyle w:val="TableParagraph"/>
              <w:spacing w:before="58"/>
              <w:ind w:left="64" w:right="562"/>
              <w:rPr>
                <w:sz w:val="20"/>
              </w:rPr>
            </w:pPr>
            <w:r>
              <w:rPr>
                <w:sz w:val="20"/>
              </w:rPr>
              <w:t>Métodos cuantitativos y estadísticos</w:t>
            </w:r>
          </w:p>
        </w:tc>
      </w:tr>
      <w:tr>
        <w:trPr>
          <w:trHeight w:val="535" w:hRule="exact"/>
        </w:trPr>
        <w:tc>
          <w:tcPr>
            <w:tcW w:w="437" w:type="dxa"/>
          </w:tcPr>
          <w:p>
            <w:pPr>
              <w:pStyle w:val="TableParagraph"/>
              <w:spacing w:before="1"/>
              <w:rPr>
                <w:b/>
                <w:sz w:val="25"/>
              </w:rPr>
            </w:pPr>
          </w:p>
          <w:p>
            <w:pPr>
              <w:pStyle w:val="TableParagraph"/>
              <w:ind w:right="66"/>
              <w:jc w:val="right"/>
              <w:rPr>
                <w:sz w:val="20"/>
              </w:rPr>
            </w:pPr>
            <w:r>
              <w:rPr>
                <w:w w:val="99"/>
                <w:sz w:val="20"/>
              </w:rPr>
              <w:t>4</w:t>
            </w:r>
          </w:p>
        </w:tc>
        <w:tc>
          <w:tcPr>
            <w:tcW w:w="2936" w:type="dxa"/>
          </w:tcPr>
          <w:p>
            <w:pPr>
              <w:pStyle w:val="TableParagraph"/>
              <w:spacing w:before="1"/>
              <w:rPr>
                <w:b/>
                <w:sz w:val="25"/>
              </w:rPr>
            </w:pPr>
          </w:p>
          <w:p>
            <w:pPr>
              <w:pStyle w:val="TableParagraph"/>
              <w:ind w:left="64"/>
              <w:rPr>
                <w:sz w:val="20"/>
              </w:rPr>
            </w:pPr>
            <w:r>
              <w:rPr>
                <w:sz w:val="20"/>
              </w:rPr>
              <w:t>Historia económica general</w:t>
            </w:r>
          </w:p>
        </w:tc>
        <w:tc>
          <w:tcPr>
            <w:tcW w:w="406" w:type="dxa"/>
          </w:tcPr>
          <w:p>
            <w:pPr>
              <w:pStyle w:val="TableParagraph"/>
              <w:spacing w:before="139"/>
              <w:ind w:right="1"/>
              <w:jc w:val="center"/>
              <w:rPr>
                <w:sz w:val="20"/>
              </w:rPr>
            </w:pPr>
            <w:r>
              <w:rPr>
                <w:w w:val="99"/>
                <w:sz w:val="20"/>
              </w:rPr>
              <w:t>4</w:t>
            </w:r>
          </w:p>
        </w:tc>
        <w:tc>
          <w:tcPr>
            <w:tcW w:w="396" w:type="dxa"/>
          </w:tcPr>
          <w:p>
            <w:pPr>
              <w:pStyle w:val="TableParagraph"/>
              <w:spacing w:before="139"/>
              <w:ind w:right="2"/>
              <w:jc w:val="center"/>
              <w:rPr>
                <w:sz w:val="20"/>
              </w:rPr>
            </w:pPr>
            <w:r>
              <w:rPr>
                <w:w w:val="99"/>
                <w:sz w:val="20"/>
              </w:rPr>
              <w:t>0</w:t>
            </w:r>
          </w:p>
        </w:tc>
        <w:tc>
          <w:tcPr>
            <w:tcW w:w="408" w:type="dxa"/>
          </w:tcPr>
          <w:p>
            <w:pPr>
              <w:pStyle w:val="TableParagraph"/>
              <w:spacing w:before="139"/>
              <w:ind w:right="4"/>
              <w:jc w:val="center"/>
              <w:rPr>
                <w:sz w:val="20"/>
              </w:rPr>
            </w:pPr>
            <w:r>
              <w:rPr>
                <w:w w:val="99"/>
                <w:sz w:val="20"/>
              </w:rPr>
              <w:t>4</w:t>
            </w:r>
          </w:p>
        </w:tc>
        <w:tc>
          <w:tcPr>
            <w:tcW w:w="406" w:type="dxa"/>
          </w:tcPr>
          <w:p>
            <w:pPr>
              <w:pStyle w:val="TableParagraph"/>
              <w:spacing w:before="139"/>
              <w:ind w:right="149"/>
              <w:jc w:val="right"/>
              <w:rPr>
                <w:sz w:val="20"/>
              </w:rPr>
            </w:pPr>
            <w:r>
              <w:rPr>
                <w:w w:val="99"/>
                <w:sz w:val="20"/>
              </w:rPr>
              <w:t>8</w:t>
            </w:r>
          </w:p>
        </w:tc>
        <w:tc>
          <w:tcPr>
            <w:tcW w:w="2578" w:type="dxa"/>
          </w:tcPr>
          <w:p>
            <w:pPr>
              <w:pStyle w:val="TableParagraph"/>
              <w:spacing w:before="58"/>
              <w:ind w:left="64" w:right="479"/>
              <w:rPr>
                <w:sz w:val="20"/>
              </w:rPr>
            </w:pPr>
            <w:r>
              <w:rPr>
                <w:sz w:val="20"/>
              </w:rPr>
              <w:t>Historia económica y del pensamiento económico</w:t>
            </w:r>
          </w:p>
        </w:tc>
      </w:tr>
      <w:tr>
        <w:trPr>
          <w:trHeight w:val="533" w:hRule="exact"/>
        </w:trPr>
        <w:tc>
          <w:tcPr>
            <w:tcW w:w="437" w:type="dxa"/>
          </w:tcPr>
          <w:p>
            <w:pPr>
              <w:pStyle w:val="TableParagraph"/>
              <w:spacing w:before="1"/>
              <w:rPr>
                <w:b/>
                <w:sz w:val="25"/>
              </w:rPr>
            </w:pPr>
          </w:p>
          <w:p>
            <w:pPr>
              <w:pStyle w:val="TableParagraph"/>
              <w:ind w:right="66"/>
              <w:jc w:val="right"/>
              <w:rPr>
                <w:sz w:val="20"/>
              </w:rPr>
            </w:pPr>
            <w:r>
              <w:rPr>
                <w:w w:val="99"/>
                <w:sz w:val="20"/>
              </w:rPr>
              <w:t>5</w:t>
            </w:r>
          </w:p>
        </w:tc>
        <w:tc>
          <w:tcPr>
            <w:tcW w:w="2936" w:type="dxa"/>
          </w:tcPr>
          <w:p>
            <w:pPr>
              <w:pStyle w:val="TableParagraph"/>
              <w:spacing w:before="58"/>
              <w:ind w:left="64" w:right="842"/>
              <w:rPr>
                <w:sz w:val="20"/>
              </w:rPr>
            </w:pPr>
            <w:r>
              <w:rPr>
                <w:sz w:val="20"/>
              </w:rPr>
              <w:t>Historia del pensamiento económico</w:t>
            </w:r>
          </w:p>
        </w:tc>
        <w:tc>
          <w:tcPr>
            <w:tcW w:w="406" w:type="dxa"/>
          </w:tcPr>
          <w:p>
            <w:pPr>
              <w:pStyle w:val="TableParagraph"/>
              <w:spacing w:before="139"/>
              <w:ind w:right="1"/>
              <w:jc w:val="center"/>
              <w:rPr>
                <w:sz w:val="20"/>
              </w:rPr>
            </w:pPr>
            <w:r>
              <w:rPr>
                <w:w w:val="99"/>
                <w:sz w:val="20"/>
              </w:rPr>
              <w:t>4</w:t>
            </w:r>
          </w:p>
        </w:tc>
        <w:tc>
          <w:tcPr>
            <w:tcW w:w="396" w:type="dxa"/>
          </w:tcPr>
          <w:p>
            <w:pPr>
              <w:pStyle w:val="TableParagraph"/>
              <w:spacing w:before="139"/>
              <w:ind w:right="2"/>
              <w:jc w:val="center"/>
              <w:rPr>
                <w:sz w:val="20"/>
              </w:rPr>
            </w:pPr>
            <w:r>
              <w:rPr>
                <w:w w:val="99"/>
                <w:sz w:val="20"/>
              </w:rPr>
              <w:t>0</w:t>
            </w:r>
          </w:p>
        </w:tc>
        <w:tc>
          <w:tcPr>
            <w:tcW w:w="408" w:type="dxa"/>
          </w:tcPr>
          <w:p>
            <w:pPr>
              <w:pStyle w:val="TableParagraph"/>
              <w:spacing w:before="139"/>
              <w:ind w:right="4"/>
              <w:jc w:val="center"/>
              <w:rPr>
                <w:sz w:val="20"/>
              </w:rPr>
            </w:pPr>
            <w:r>
              <w:rPr>
                <w:w w:val="99"/>
                <w:sz w:val="20"/>
              </w:rPr>
              <w:t>4</w:t>
            </w:r>
          </w:p>
        </w:tc>
        <w:tc>
          <w:tcPr>
            <w:tcW w:w="406" w:type="dxa"/>
          </w:tcPr>
          <w:p>
            <w:pPr>
              <w:pStyle w:val="TableParagraph"/>
              <w:spacing w:before="139"/>
              <w:ind w:right="149"/>
              <w:jc w:val="right"/>
              <w:rPr>
                <w:sz w:val="20"/>
              </w:rPr>
            </w:pPr>
            <w:r>
              <w:rPr>
                <w:w w:val="99"/>
                <w:sz w:val="20"/>
              </w:rPr>
              <w:t>8</w:t>
            </w:r>
          </w:p>
        </w:tc>
        <w:tc>
          <w:tcPr>
            <w:tcW w:w="2578" w:type="dxa"/>
          </w:tcPr>
          <w:p>
            <w:pPr>
              <w:pStyle w:val="TableParagraph"/>
              <w:spacing w:before="58"/>
              <w:ind w:left="64" w:right="479"/>
              <w:rPr>
                <w:sz w:val="20"/>
              </w:rPr>
            </w:pPr>
            <w:r>
              <w:rPr>
                <w:sz w:val="20"/>
              </w:rPr>
              <w:t>Historia económica y del pensamiento económico</w:t>
            </w:r>
          </w:p>
        </w:tc>
      </w:tr>
      <w:tr>
        <w:trPr>
          <w:trHeight w:val="535" w:hRule="exact"/>
        </w:trPr>
        <w:tc>
          <w:tcPr>
            <w:tcW w:w="437" w:type="dxa"/>
          </w:tcPr>
          <w:p>
            <w:pPr>
              <w:pStyle w:val="TableParagraph"/>
              <w:spacing w:before="3"/>
              <w:rPr>
                <w:b/>
                <w:sz w:val="25"/>
              </w:rPr>
            </w:pPr>
          </w:p>
          <w:p>
            <w:pPr>
              <w:pStyle w:val="TableParagraph"/>
              <w:ind w:right="66"/>
              <w:jc w:val="right"/>
              <w:rPr>
                <w:sz w:val="20"/>
              </w:rPr>
            </w:pPr>
            <w:r>
              <w:rPr>
                <w:w w:val="99"/>
                <w:sz w:val="20"/>
              </w:rPr>
              <w:t>6</w:t>
            </w:r>
          </w:p>
        </w:tc>
        <w:tc>
          <w:tcPr>
            <w:tcW w:w="2936" w:type="dxa"/>
          </w:tcPr>
          <w:p>
            <w:pPr>
              <w:pStyle w:val="TableParagraph"/>
              <w:spacing w:before="3"/>
              <w:rPr>
                <w:b/>
                <w:sz w:val="25"/>
              </w:rPr>
            </w:pPr>
          </w:p>
          <w:p>
            <w:pPr>
              <w:pStyle w:val="TableParagraph"/>
              <w:ind w:left="64"/>
              <w:rPr>
                <w:sz w:val="20"/>
              </w:rPr>
            </w:pPr>
            <w:r>
              <w:rPr>
                <w:sz w:val="20"/>
              </w:rPr>
              <w:t>Matemáticas financieras</w:t>
            </w:r>
          </w:p>
        </w:tc>
        <w:tc>
          <w:tcPr>
            <w:tcW w:w="406" w:type="dxa"/>
          </w:tcPr>
          <w:p>
            <w:pPr>
              <w:pStyle w:val="TableParagraph"/>
              <w:spacing w:before="142"/>
              <w:ind w:right="1"/>
              <w:jc w:val="center"/>
              <w:rPr>
                <w:sz w:val="20"/>
              </w:rPr>
            </w:pPr>
            <w:r>
              <w:rPr>
                <w:w w:val="99"/>
                <w:sz w:val="20"/>
              </w:rPr>
              <w:t>4</w:t>
            </w:r>
          </w:p>
        </w:tc>
        <w:tc>
          <w:tcPr>
            <w:tcW w:w="396" w:type="dxa"/>
          </w:tcPr>
          <w:p>
            <w:pPr>
              <w:pStyle w:val="TableParagraph"/>
              <w:spacing w:before="142"/>
              <w:ind w:right="2"/>
              <w:jc w:val="center"/>
              <w:rPr>
                <w:sz w:val="20"/>
              </w:rPr>
            </w:pPr>
            <w:r>
              <w:rPr>
                <w:w w:val="99"/>
                <w:sz w:val="20"/>
              </w:rPr>
              <w:t>2</w:t>
            </w:r>
          </w:p>
        </w:tc>
        <w:tc>
          <w:tcPr>
            <w:tcW w:w="408" w:type="dxa"/>
          </w:tcPr>
          <w:p>
            <w:pPr>
              <w:pStyle w:val="TableParagraph"/>
              <w:spacing w:before="142"/>
              <w:ind w:right="4"/>
              <w:jc w:val="center"/>
              <w:rPr>
                <w:sz w:val="20"/>
              </w:rPr>
            </w:pPr>
            <w:r>
              <w:rPr>
                <w:w w:val="99"/>
                <w:sz w:val="20"/>
              </w:rPr>
              <w:t>6</w:t>
            </w:r>
          </w:p>
        </w:tc>
        <w:tc>
          <w:tcPr>
            <w:tcW w:w="406" w:type="dxa"/>
          </w:tcPr>
          <w:p>
            <w:pPr>
              <w:pStyle w:val="TableParagraph"/>
              <w:spacing w:before="142"/>
              <w:ind w:right="95"/>
              <w:jc w:val="right"/>
              <w:rPr>
                <w:sz w:val="20"/>
              </w:rPr>
            </w:pPr>
            <w:r>
              <w:rPr>
                <w:sz w:val="20"/>
              </w:rPr>
              <w:t>10</w:t>
            </w:r>
          </w:p>
        </w:tc>
        <w:tc>
          <w:tcPr>
            <w:tcW w:w="2578" w:type="dxa"/>
          </w:tcPr>
          <w:p>
            <w:pPr>
              <w:pStyle w:val="TableParagraph"/>
              <w:spacing w:before="60"/>
              <w:ind w:left="64" w:right="818"/>
              <w:rPr>
                <w:sz w:val="20"/>
              </w:rPr>
            </w:pPr>
            <w:r>
              <w:rPr>
                <w:sz w:val="20"/>
              </w:rPr>
              <w:t>Economía aplicada e instrumentales</w:t>
            </w:r>
          </w:p>
        </w:tc>
      </w:tr>
      <w:tr>
        <w:trPr>
          <w:trHeight w:val="535" w:hRule="exact"/>
        </w:trPr>
        <w:tc>
          <w:tcPr>
            <w:tcW w:w="437" w:type="dxa"/>
          </w:tcPr>
          <w:p>
            <w:pPr>
              <w:pStyle w:val="TableParagraph"/>
              <w:spacing w:before="1"/>
              <w:rPr>
                <w:b/>
                <w:sz w:val="25"/>
              </w:rPr>
            </w:pPr>
          </w:p>
          <w:p>
            <w:pPr>
              <w:pStyle w:val="TableParagraph"/>
              <w:ind w:right="66"/>
              <w:jc w:val="right"/>
              <w:rPr>
                <w:sz w:val="20"/>
              </w:rPr>
            </w:pPr>
            <w:r>
              <w:rPr>
                <w:w w:val="99"/>
                <w:sz w:val="20"/>
              </w:rPr>
              <w:t>7</w:t>
            </w:r>
          </w:p>
        </w:tc>
        <w:tc>
          <w:tcPr>
            <w:tcW w:w="2936" w:type="dxa"/>
          </w:tcPr>
          <w:p>
            <w:pPr>
              <w:pStyle w:val="TableParagraph"/>
              <w:spacing w:before="60"/>
              <w:ind w:left="64" w:right="520"/>
              <w:rPr>
                <w:sz w:val="20"/>
              </w:rPr>
            </w:pPr>
            <w:r>
              <w:rPr>
                <w:sz w:val="20"/>
              </w:rPr>
              <w:t>Metodología y filosofía de la economía</w:t>
            </w:r>
          </w:p>
        </w:tc>
        <w:tc>
          <w:tcPr>
            <w:tcW w:w="406" w:type="dxa"/>
          </w:tcPr>
          <w:p>
            <w:pPr>
              <w:pStyle w:val="TableParagraph"/>
              <w:spacing w:before="142"/>
              <w:ind w:right="1"/>
              <w:jc w:val="center"/>
              <w:rPr>
                <w:sz w:val="20"/>
              </w:rPr>
            </w:pPr>
            <w:r>
              <w:rPr>
                <w:w w:val="99"/>
                <w:sz w:val="20"/>
              </w:rPr>
              <w:t>2</w:t>
            </w:r>
          </w:p>
        </w:tc>
        <w:tc>
          <w:tcPr>
            <w:tcW w:w="396" w:type="dxa"/>
          </w:tcPr>
          <w:p>
            <w:pPr>
              <w:pStyle w:val="TableParagraph"/>
              <w:spacing w:before="142"/>
              <w:ind w:right="2"/>
              <w:jc w:val="center"/>
              <w:rPr>
                <w:sz w:val="20"/>
              </w:rPr>
            </w:pPr>
            <w:r>
              <w:rPr>
                <w:w w:val="99"/>
                <w:sz w:val="20"/>
              </w:rPr>
              <w:t>2</w:t>
            </w:r>
          </w:p>
        </w:tc>
        <w:tc>
          <w:tcPr>
            <w:tcW w:w="408" w:type="dxa"/>
          </w:tcPr>
          <w:p>
            <w:pPr>
              <w:pStyle w:val="TableParagraph"/>
              <w:spacing w:before="142"/>
              <w:ind w:right="4"/>
              <w:jc w:val="center"/>
              <w:rPr>
                <w:sz w:val="20"/>
              </w:rPr>
            </w:pPr>
            <w:r>
              <w:rPr>
                <w:w w:val="99"/>
                <w:sz w:val="20"/>
              </w:rPr>
              <w:t>4</w:t>
            </w:r>
          </w:p>
        </w:tc>
        <w:tc>
          <w:tcPr>
            <w:tcW w:w="406" w:type="dxa"/>
          </w:tcPr>
          <w:p>
            <w:pPr>
              <w:pStyle w:val="TableParagraph"/>
              <w:spacing w:before="142"/>
              <w:ind w:right="149"/>
              <w:jc w:val="right"/>
              <w:rPr>
                <w:sz w:val="20"/>
              </w:rPr>
            </w:pPr>
            <w:r>
              <w:rPr>
                <w:w w:val="99"/>
                <w:sz w:val="20"/>
              </w:rPr>
              <w:t>6</w:t>
            </w:r>
          </w:p>
        </w:tc>
        <w:tc>
          <w:tcPr>
            <w:tcW w:w="2578" w:type="dxa"/>
          </w:tcPr>
          <w:p>
            <w:pPr>
              <w:pStyle w:val="TableParagraph"/>
              <w:spacing w:before="60"/>
              <w:ind w:left="64" w:right="818"/>
              <w:rPr>
                <w:sz w:val="20"/>
              </w:rPr>
            </w:pPr>
            <w:r>
              <w:rPr>
                <w:sz w:val="20"/>
              </w:rPr>
              <w:t>Economía aplicada e instrumentales</w:t>
            </w:r>
          </w:p>
        </w:tc>
      </w:tr>
      <w:tr>
        <w:trPr>
          <w:trHeight w:val="536" w:hRule="exact"/>
        </w:trPr>
        <w:tc>
          <w:tcPr>
            <w:tcW w:w="437" w:type="dxa"/>
          </w:tcPr>
          <w:p>
            <w:pPr>
              <w:pStyle w:val="TableParagraph"/>
              <w:spacing w:before="1"/>
              <w:rPr>
                <w:b/>
                <w:sz w:val="25"/>
              </w:rPr>
            </w:pPr>
          </w:p>
          <w:p>
            <w:pPr>
              <w:pStyle w:val="TableParagraph"/>
              <w:ind w:right="66"/>
              <w:jc w:val="right"/>
              <w:rPr>
                <w:sz w:val="20"/>
              </w:rPr>
            </w:pPr>
            <w:r>
              <w:rPr>
                <w:w w:val="99"/>
                <w:sz w:val="20"/>
              </w:rPr>
              <w:t>8</w:t>
            </w:r>
          </w:p>
        </w:tc>
        <w:tc>
          <w:tcPr>
            <w:tcW w:w="2936" w:type="dxa"/>
          </w:tcPr>
          <w:p>
            <w:pPr>
              <w:pStyle w:val="TableParagraph"/>
              <w:spacing w:before="1"/>
              <w:rPr>
                <w:b/>
                <w:sz w:val="25"/>
              </w:rPr>
            </w:pPr>
          </w:p>
          <w:p>
            <w:pPr>
              <w:pStyle w:val="TableParagraph"/>
              <w:ind w:left="64"/>
              <w:rPr>
                <w:sz w:val="20"/>
              </w:rPr>
            </w:pPr>
            <w:r>
              <w:rPr>
                <w:sz w:val="20"/>
              </w:rPr>
              <w:t>Inglés C1</w:t>
            </w:r>
          </w:p>
        </w:tc>
        <w:tc>
          <w:tcPr>
            <w:tcW w:w="406" w:type="dxa"/>
          </w:tcPr>
          <w:p>
            <w:pPr>
              <w:pStyle w:val="TableParagraph"/>
              <w:spacing w:before="142"/>
              <w:ind w:right="1"/>
              <w:jc w:val="center"/>
              <w:rPr>
                <w:sz w:val="20"/>
              </w:rPr>
            </w:pPr>
            <w:r>
              <w:rPr>
                <w:w w:val="99"/>
                <w:sz w:val="20"/>
              </w:rPr>
              <w:t>2</w:t>
            </w:r>
          </w:p>
        </w:tc>
        <w:tc>
          <w:tcPr>
            <w:tcW w:w="396" w:type="dxa"/>
          </w:tcPr>
          <w:p>
            <w:pPr>
              <w:pStyle w:val="TableParagraph"/>
              <w:spacing w:before="142"/>
              <w:ind w:right="2"/>
              <w:jc w:val="center"/>
              <w:rPr>
                <w:sz w:val="20"/>
              </w:rPr>
            </w:pPr>
            <w:r>
              <w:rPr>
                <w:w w:val="99"/>
                <w:sz w:val="20"/>
              </w:rPr>
              <w:t>2</w:t>
            </w:r>
          </w:p>
        </w:tc>
        <w:tc>
          <w:tcPr>
            <w:tcW w:w="408" w:type="dxa"/>
          </w:tcPr>
          <w:p>
            <w:pPr>
              <w:pStyle w:val="TableParagraph"/>
              <w:spacing w:before="142"/>
              <w:ind w:right="4"/>
              <w:jc w:val="center"/>
              <w:rPr>
                <w:sz w:val="20"/>
              </w:rPr>
            </w:pPr>
            <w:r>
              <w:rPr>
                <w:w w:val="99"/>
                <w:sz w:val="20"/>
              </w:rPr>
              <w:t>4</w:t>
            </w:r>
          </w:p>
        </w:tc>
        <w:tc>
          <w:tcPr>
            <w:tcW w:w="406" w:type="dxa"/>
          </w:tcPr>
          <w:p>
            <w:pPr>
              <w:pStyle w:val="TableParagraph"/>
              <w:spacing w:before="142"/>
              <w:ind w:right="149"/>
              <w:jc w:val="right"/>
              <w:rPr>
                <w:sz w:val="20"/>
              </w:rPr>
            </w:pPr>
            <w:r>
              <w:rPr>
                <w:w w:val="99"/>
                <w:sz w:val="20"/>
              </w:rPr>
              <w:t>6</w:t>
            </w:r>
          </w:p>
        </w:tc>
        <w:tc>
          <w:tcPr>
            <w:tcW w:w="2578" w:type="dxa"/>
          </w:tcPr>
          <w:p>
            <w:pPr>
              <w:pStyle w:val="TableParagraph"/>
              <w:spacing w:before="60"/>
              <w:ind w:left="64" w:right="818"/>
              <w:rPr>
                <w:sz w:val="20"/>
              </w:rPr>
            </w:pPr>
            <w:r>
              <w:rPr>
                <w:sz w:val="20"/>
              </w:rPr>
              <w:t>Economía aplicada e instrumentales</w:t>
            </w:r>
          </w:p>
        </w:tc>
      </w:tr>
      <w:tr>
        <w:trPr>
          <w:trHeight w:val="535" w:hRule="exact"/>
        </w:trPr>
        <w:tc>
          <w:tcPr>
            <w:tcW w:w="437" w:type="dxa"/>
          </w:tcPr>
          <w:p>
            <w:pPr>
              <w:pStyle w:val="TableParagraph"/>
              <w:spacing w:before="1"/>
              <w:rPr>
                <w:b/>
                <w:sz w:val="25"/>
              </w:rPr>
            </w:pPr>
          </w:p>
          <w:p>
            <w:pPr>
              <w:pStyle w:val="TableParagraph"/>
              <w:ind w:right="66"/>
              <w:jc w:val="right"/>
              <w:rPr>
                <w:sz w:val="20"/>
              </w:rPr>
            </w:pPr>
            <w:r>
              <w:rPr>
                <w:w w:val="99"/>
                <w:sz w:val="20"/>
              </w:rPr>
              <w:t>9</w:t>
            </w:r>
          </w:p>
        </w:tc>
        <w:tc>
          <w:tcPr>
            <w:tcW w:w="2936" w:type="dxa"/>
          </w:tcPr>
          <w:p>
            <w:pPr>
              <w:pStyle w:val="TableParagraph"/>
              <w:spacing w:before="1"/>
              <w:rPr>
                <w:b/>
                <w:sz w:val="25"/>
              </w:rPr>
            </w:pPr>
          </w:p>
          <w:p>
            <w:pPr>
              <w:pStyle w:val="TableParagraph"/>
              <w:ind w:left="64"/>
              <w:rPr>
                <w:sz w:val="20"/>
              </w:rPr>
            </w:pPr>
            <w:r>
              <w:rPr>
                <w:sz w:val="20"/>
              </w:rPr>
              <w:t>Inglés C2</w:t>
            </w:r>
          </w:p>
        </w:tc>
        <w:tc>
          <w:tcPr>
            <w:tcW w:w="406" w:type="dxa"/>
          </w:tcPr>
          <w:p>
            <w:pPr>
              <w:pStyle w:val="TableParagraph"/>
              <w:spacing w:before="142"/>
              <w:ind w:right="1"/>
              <w:jc w:val="center"/>
              <w:rPr>
                <w:sz w:val="20"/>
              </w:rPr>
            </w:pPr>
            <w:r>
              <w:rPr>
                <w:w w:val="99"/>
                <w:sz w:val="20"/>
              </w:rPr>
              <w:t>2</w:t>
            </w:r>
          </w:p>
        </w:tc>
        <w:tc>
          <w:tcPr>
            <w:tcW w:w="396" w:type="dxa"/>
          </w:tcPr>
          <w:p>
            <w:pPr>
              <w:pStyle w:val="TableParagraph"/>
              <w:spacing w:before="142"/>
              <w:ind w:right="2"/>
              <w:jc w:val="center"/>
              <w:rPr>
                <w:sz w:val="20"/>
              </w:rPr>
            </w:pPr>
            <w:r>
              <w:rPr>
                <w:w w:val="99"/>
                <w:sz w:val="20"/>
              </w:rPr>
              <w:t>2</w:t>
            </w:r>
          </w:p>
        </w:tc>
        <w:tc>
          <w:tcPr>
            <w:tcW w:w="408" w:type="dxa"/>
          </w:tcPr>
          <w:p>
            <w:pPr>
              <w:pStyle w:val="TableParagraph"/>
              <w:spacing w:before="142"/>
              <w:ind w:right="4"/>
              <w:jc w:val="center"/>
              <w:rPr>
                <w:sz w:val="20"/>
              </w:rPr>
            </w:pPr>
            <w:r>
              <w:rPr>
                <w:w w:val="99"/>
                <w:sz w:val="20"/>
              </w:rPr>
              <w:t>4</w:t>
            </w:r>
          </w:p>
        </w:tc>
        <w:tc>
          <w:tcPr>
            <w:tcW w:w="406" w:type="dxa"/>
          </w:tcPr>
          <w:p>
            <w:pPr>
              <w:pStyle w:val="TableParagraph"/>
              <w:spacing w:before="142"/>
              <w:ind w:right="149"/>
              <w:jc w:val="right"/>
              <w:rPr>
                <w:sz w:val="20"/>
              </w:rPr>
            </w:pPr>
            <w:r>
              <w:rPr>
                <w:w w:val="99"/>
                <w:sz w:val="20"/>
              </w:rPr>
              <w:t>6</w:t>
            </w:r>
          </w:p>
        </w:tc>
        <w:tc>
          <w:tcPr>
            <w:tcW w:w="2578" w:type="dxa"/>
          </w:tcPr>
          <w:p>
            <w:pPr>
              <w:pStyle w:val="TableParagraph"/>
              <w:spacing w:before="58"/>
              <w:ind w:left="64" w:right="818"/>
              <w:rPr>
                <w:sz w:val="20"/>
              </w:rPr>
            </w:pPr>
            <w:r>
              <w:rPr>
                <w:sz w:val="20"/>
              </w:rPr>
              <w:t>Economía aplicada e instrumentales</w:t>
            </w:r>
          </w:p>
        </w:tc>
      </w:tr>
      <w:tr>
        <w:trPr>
          <w:trHeight w:val="310" w:hRule="exact"/>
        </w:trPr>
        <w:tc>
          <w:tcPr>
            <w:tcW w:w="3373" w:type="dxa"/>
            <w:gridSpan w:val="2"/>
          </w:tcPr>
          <w:p>
            <w:pPr>
              <w:pStyle w:val="TableParagraph"/>
              <w:spacing w:before="63"/>
              <w:ind w:right="67"/>
              <w:jc w:val="right"/>
              <w:rPr>
                <w:sz w:val="20"/>
              </w:rPr>
            </w:pPr>
            <w:r>
              <w:rPr>
                <w:sz w:val="20"/>
              </w:rPr>
              <w:t>Subtotales</w:t>
            </w:r>
          </w:p>
        </w:tc>
        <w:tc>
          <w:tcPr>
            <w:tcW w:w="406" w:type="dxa"/>
          </w:tcPr>
          <w:p>
            <w:pPr>
              <w:pStyle w:val="TableParagraph"/>
              <w:spacing w:before="63"/>
              <w:ind w:right="60"/>
              <w:jc w:val="right"/>
              <w:rPr>
                <w:sz w:val="20"/>
              </w:rPr>
            </w:pPr>
            <w:r>
              <w:rPr>
                <w:sz w:val="20"/>
              </w:rPr>
              <w:t>30</w:t>
            </w:r>
          </w:p>
        </w:tc>
        <w:tc>
          <w:tcPr>
            <w:tcW w:w="396" w:type="dxa"/>
          </w:tcPr>
          <w:p>
            <w:pPr>
              <w:pStyle w:val="TableParagraph"/>
              <w:spacing w:before="63"/>
              <w:ind w:right="60"/>
              <w:jc w:val="right"/>
              <w:rPr>
                <w:sz w:val="20"/>
              </w:rPr>
            </w:pPr>
            <w:r>
              <w:rPr>
                <w:sz w:val="20"/>
              </w:rPr>
              <w:t>14</w:t>
            </w:r>
          </w:p>
        </w:tc>
        <w:tc>
          <w:tcPr>
            <w:tcW w:w="408" w:type="dxa"/>
          </w:tcPr>
          <w:p>
            <w:pPr>
              <w:pStyle w:val="TableParagraph"/>
              <w:spacing w:before="63"/>
              <w:ind w:left="111" w:right="44"/>
              <w:jc w:val="center"/>
              <w:rPr>
                <w:sz w:val="20"/>
              </w:rPr>
            </w:pPr>
            <w:r>
              <w:rPr>
                <w:sz w:val="20"/>
              </w:rPr>
              <w:t>44</w:t>
            </w:r>
          </w:p>
        </w:tc>
        <w:tc>
          <w:tcPr>
            <w:tcW w:w="406" w:type="dxa"/>
          </w:tcPr>
          <w:p>
            <w:pPr>
              <w:pStyle w:val="TableParagraph"/>
              <w:spacing w:before="63"/>
              <w:ind w:right="60"/>
              <w:jc w:val="right"/>
              <w:rPr>
                <w:sz w:val="20"/>
              </w:rPr>
            </w:pPr>
            <w:r>
              <w:rPr>
                <w:sz w:val="20"/>
              </w:rPr>
              <w:t>74</w:t>
            </w:r>
          </w:p>
        </w:tc>
        <w:tc>
          <w:tcPr>
            <w:tcW w:w="2578" w:type="dxa"/>
          </w:tcPr>
          <w:p>
            <w:pPr/>
          </w:p>
        </w:tc>
      </w:tr>
    </w:tbl>
    <w:p>
      <w:pPr>
        <w:pStyle w:val="BodyText"/>
        <w:spacing w:before="4"/>
        <w:rPr>
          <w:b/>
          <w:sz w:val="15"/>
        </w:rPr>
      </w:pPr>
    </w:p>
    <w:p>
      <w:pPr>
        <w:spacing w:before="73"/>
        <w:ind w:left="807" w:right="0" w:firstLine="0"/>
        <w:jc w:val="left"/>
        <w:rPr>
          <w:b/>
          <w:sz w:val="20"/>
        </w:rPr>
      </w:pPr>
      <w:r>
        <w:rPr>
          <w:b/>
          <w:sz w:val="20"/>
        </w:rPr>
        <w:t>Optativas</w:t>
      </w:r>
    </w:p>
    <w:p>
      <w:pPr>
        <w:spacing w:before="65" w:after="5"/>
        <w:ind w:left="807" w:right="0" w:firstLine="0"/>
        <w:jc w:val="left"/>
        <w:rPr>
          <w:sz w:val="20"/>
        </w:rPr>
      </w:pPr>
      <w:r>
        <w:rPr>
          <w:sz w:val="20"/>
        </w:rPr>
        <w:t>Bloque "A": Acreditar 1 UA para cubrir 6 créditos</w:t>
      </w:r>
    </w:p>
    <w:tbl>
      <w:tblPr>
        <w:tblW w:w="0" w:type="auto"/>
        <w:jc w:val="left"/>
        <w:tblInd w:w="7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2936"/>
        <w:gridCol w:w="406"/>
        <w:gridCol w:w="396"/>
        <w:gridCol w:w="408"/>
        <w:gridCol w:w="406"/>
        <w:gridCol w:w="2578"/>
      </w:tblGrid>
      <w:tr>
        <w:trPr>
          <w:trHeight w:val="312" w:hRule="exact"/>
        </w:trPr>
        <w:tc>
          <w:tcPr>
            <w:tcW w:w="437" w:type="dxa"/>
          </w:tcPr>
          <w:p>
            <w:pPr>
              <w:pStyle w:val="TableParagraph"/>
              <w:spacing w:before="65"/>
              <w:ind w:right="67"/>
              <w:jc w:val="right"/>
              <w:rPr>
                <w:sz w:val="20"/>
              </w:rPr>
            </w:pPr>
            <w:r>
              <w:rPr>
                <w:w w:val="95"/>
                <w:sz w:val="20"/>
              </w:rPr>
              <w:t>No.</w:t>
            </w:r>
          </w:p>
        </w:tc>
        <w:tc>
          <w:tcPr>
            <w:tcW w:w="2936" w:type="dxa"/>
          </w:tcPr>
          <w:p>
            <w:pPr>
              <w:pStyle w:val="TableParagraph"/>
              <w:spacing w:before="65"/>
              <w:ind w:left="64"/>
              <w:rPr>
                <w:sz w:val="20"/>
              </w:rPr>
            </w:pPr>
            <w:r>
              <w:rPr>
                <w:sz w:val="20"/>
              </w:rPr>
              <w:t>Unidad de aprendizaje (UA)</w:t>
            </w:r>
          </w:p>
        </w:tc>
        <w:tc>
          <w:tcPr>
            <w:tcW w:w="406" w:type="dxa"/>
          </w:tcPr>
          <w:p>
            <w:pPr>
              <w:pStyle w:val="TableParagraph"/>
              <w:spacing w:before="65"/>
              <w:ind w:right="63"/>
              <w:jc w:val="right"/>
              <w:rPr>
                <w:sz w:val="20"/>
              </w:rPr>
            </w:pPr>
            <w:r>
              <w:rPr>
                <w:w w:val="95"/>
                <w:sz w:val="20"/>
              </w:rPr>
              <w:t>HT</w:t>
            </w:r>
          </w:p>
        </w:tc>
        <w:tc>
          <w:tcPr>
            <w:tcW w:w="396" w:type="dxa"/>
          </w:tcPr>
          <w:p>
            <w:pPr>
              <w:pStyle w:val="TableParagraph"/>
              <w:spacing w:before="65"/>
              <w:ind w:right="65"/>
              <w:jc w:val="right"/>
              <w:rPr>
                <w:sz w:val="20"/>
              </w:rPr>
            </w:pPr>
            <w:r>
              <w:rPr>
                <w:w w:val="95"/>
                <w:sz w:val="20"/>
              </w:rPr>
              <w:t>HP</w:t>
            </w:r>
          </w:p>
        </w:tc>
        <w:tc>
          <w:tcPr>
            <w:tcW w:w="408" w:type="dxa"/>
          </w:tcPr>
          <w:p>
            <w:pPr>
              <w:pStyle w:val="TableParagraph"/>
              <w:spacing w:before="65"/>
              <w:ind w:right="59"/>
              <w:jc w:val="right"/>
              <w:rPr>
                <w:sz w:val="20"/>
              </w:rPr>
            </w:pPr>
            <w:r>
              <w:rPr>
                <w:sz w:val="20"/>
              </w:rPr>
              <w:t>TH</w:t>
            </w:r>
          </w:p>
        </w:tc>
        <w:tc>
          <w:tcPr>
            <w:tcW w:w="406" w:type="dxa"/>
          </w:tcPr>
          <w:p>
            <w:pPr>
              <w:pStyle w:val="TableParagraph"/>
              <w:spacing w:before="65"/>
              <w:ind w:right="65"/>
              <w:jc w:val="right"/>
              <w:rPr>
                <w:sz w:val="20"/>
              </w:rPr>
            </w:pPr>
            <w:r>
              <w:rPr>
                <w:sz w:val="20"/>
              </w:rPr>
              <w:t>CR</w:t>
            </w:r>
          </w:p>
        </w:tc>
        <w:tc>
          <w:tcPr>
            <w:tcW w:w="2578" w:type="dxa"/>
          </w:tcPr>
          <w:p>
            <w:pPr>
              <w:pStyle w:val="TableParagraph"/>
              <w:spacing w:before="65"/>
              <w:ind w:left="64" w:right="562"/>
              <w:rPr>
                <w:sz w:val="20"/>
              </w:rPr>
            </w:pPr>
            <w:r>
              <w:rPr>
                <w:sz w:val="20"/>
              </w:rPr>
              <w:t>Área curricular</w:t>
            </w:r>
          </w:p>
        </w:tc>
      </w:tr>
      <w:tr>
        <w:trPr>
          <w:trHeight w:val="535" w:hRule="exact"/>
        </w:trPr>
        <w:tc>
          <w:tcPr>
            <w:tcW w:w="437" w:type="dxa"/>
          </w:tcPr>
          <w:p>
            <w:pPr>
              <w:pStyle w:val="TableParagraph"/>
              <w:spacing w:before="1"/>
              <w:rPr>
                <w:sz w:val="25"/>
              </w:rPr>
            </w:pPr>
          </w:p>
          <w:p>
            <w:pPr>
              <w:pStyle w:val="TableParagraph"/>
              <w:ind w:right="66"/>
              <w:jc w:val="right"/>
              <w:rPr>
                <w:sz w:val="20"/>
              </w:rPr>
            </w:pPr>
            <w:r>
              <w:rPr>
                <w:w w:val="99"/>
                <w:sz w:val="20"/>
              </w:rPr>
              <w:t>1</w:t>
            </w:r>
          </w:p>
        </w:tc>
        <w:tc>
          <w:tcPr>
            <w:tcW w:w="2936" w:type="dxa"/>
          </w:tcPr>
          <w:p>
            <w:pPr>
              <w:pStyle w:val="TableParagraph"/>
              <w:spacing w:before="1"/>
              <w:rPr>
                <w:sz w:val="25"/>
              </w:rPr>
            </w:pPr>
          </w:p>
          <w:p>
            <w:pPr>
              <w:pStyle w:val="TableParagraph"/>
              <w:ind w:left="64"/>
              <w:rPr>
                <w:sz w:val="20"/>
              </w:rPr>
            </w:pPr>
            <w:r>
              <w:rPr>
                <w:sz w:val="20"/>
              </w:rPr>
              <w:t>Ética y valores</w:t>
            </w:r>
          </w:p>
        </w:tc>
        <w:tc>
          <w:tcPr>
            <w:tcW w:w="406" w:type="dxa"/>
          </w:tcPr>
          <w:p>
            <w:pPr>
              <w:pStyle w:val="TableParagraph"/>
              <w:spacing w:before="1"/>
              <w:rPr>
                <w:sz w:val="25"/>
              </w:rPr>
            </w:pPr>
          </w:p>
          <w:p>
            <w:pPr>
              <w:pStyle w:val="TableParagraph"/>
              <w:ind w:right="65"/>
              <w:jc w:val="right"/>
              <w:rPr>
                <w:sz w:val="20"/>
              </w:rPr>
            </w:pPr>
            <w:r>
              <w:rPr>
                <w:w w:val="99"/>
                <w:sz w:val="20"/>
              </w:rPr>
              <w:t>2</w:t>
            </w:r>
          </w:p>
        </w:tc>
        <w:tc>
          <w:tcPr>
            <w:tcW w:w="396" w:type="dxa"/>
          </w:tcPr>
          <w:p>
            <w:pPr>
              <w:pStyle w:val="TableParagraph"/>
              <w:spacing w:before="1"/>
              <w:rPr>
                <w:sz w:val="25"/>
              </w:rPr>
            </w:pPr>
          </w:p>
          <w:p>
            <w:pPr>
              <w:pStyle w:val="TableParagraph"/>
              <w:ind w:right="64"/>
              <w:jc w:val="right"/>
              <w:rPr>
                <w:sz w:val="20"/>
              </w:rPr>
            </w:pPr>
            <w:r>
              <w:rPr>
                <w:w w:val="99"/>
                <w:sz w:val="20"/>
              </w:rPr>
              <w:t>2</w:t>
            </w:r>
          </w:p>
        </w:tc>
        <w:tc>
          <w:tcPr>
            <w:tcW w:w="408" w:type="dxa"/>
          </w:tcPr>
          <w:p>
            <w:pPr>
              <w:pStyle w:val="TableParagraph"/>
              <w:spacing w:before="1"/>
              <w:rPr>
                <w:sz w:val="25"/>
              </w:rPr>
            </w:pPr>
          </w:p>
          <w:p>
            <w:pPr>
              <w:pStyle w:val="TableParagraph"/>
              <w:ind w:right="66"/>
              <w:jc w:val="right"/>
              <w:rPr>
                <w:sz w:val="20"/>
              </w:rPr>
            </w:pPr>
            <w:r>
              <w:rPr>
                <w:w w:val="99"/>
                <w:sz w:val="20"/>
              </w:rPr>
              <w:t>4</w:t>
            </w:r>
          </w:p>
        </w:tc>
        <w:tc>
          <w:tcPr>
            <w:tcW w:w="406" w:type="dxa"/>
          </w:tcPr>
          <w:p>
            <w:pPr>
              <w:pStyle w:val="TableParagraph"/>
              <w:spacing w:before="1"/>
              <w:rPr>
                <w:sz w:val="25"/>
              </w:rPr>
            </w:pPr>
          </w:p>
          <w:p>
            <w:pPr>
              <w:pStyle w:val="TableParagraph"/>
              <w:ind w:right="65"/>
              <w:jc w:val="right"/>
              <w:rPr>
                <w:sz w:val="20"/>
              </w:rPr>
            </w:pPr>
            <w:r>
              <w:rPr>
                <w:w w:val="99"/>
                <w:sz w:val="20"/>
              </w:rPr>
              <w:t>6</w:t>
            </w:r>
          </w:p>
        </w:tc>
        <w:tc>
          <w:tcPr>
            <w:tcW w:w="2578" w:type="dxa"/>
          </w:tcPr>
          <w:p>
            <w:pPr>
              <w:pStyle w:val="TableParagraph"/>
              <w:spacing w:before="58"/>
              <w:ind w:left="64" w:right="818"/>
              <w:rPr>
                <w:sz w:val="20"/>
              </w:rPr>
            </w:pPr>
            <w:r>
              <w:rPr>
                <w:sz w:val="20"/>
              </w:rPr>
              <w:t>Economía aplicada e instrumentales</w:t>
            </w:r>
          </w:p>
        </w:tc>
      </w:tr>
      <w:tr>
        <w:trPr>
          <w:trHeight w:val="533" w:hRule="exact"/>
        </w:trPr>
        <w:tc>
          <w:tcPr>
            <w:tcW w:w="437" w:type="dxa"/>
          </w:tcPr>
          <w:p>
            <w:pPr>
              <w:pStyle w:val="TableParagraph"/>
              <w:spacing w:before="1"/>
              <w:rPr>
                <w:sz w:val="25"/>
              </w:rPr>
            </w:pPr>
          </w:p>
          <w:p>
            <w:pPr>
              <w:pStyle w:val="TableParagraph"/>
              <w:ind w:right="66"/>
              <w:jc w:val="right"/>
              <w:rPr>
                <w:sz w:val="20"/>
              </w:rPr>
            </w:pPr>
            <w:r>
              <w:rPr>
                <w:w w:val="99"/>
                <w:sz w:val="20"/>
              </w:rPr>
              <w:t>2</w:t>
            </w:r>
          </w:p>
        </w:tc>
        <w:tc>
          <w:tcPr>
            <w:tcW w:w="2936" w:type="dxa"/>
          </w:tcPr>
          <w:p>
            <w:pPr>
              <w:pStyle w:val="TableParagraph"/>
              <w:spacing w:before="1"/>
              <w:rPr>
                <w:sz w:val="25"/>
              </w:rPr>
            </w:pPr>
          </w:p>
          <w:p>
            <w:pPr>
              <w:pStyle w:val="TableParagraph"/>
              <w:ind w:left="64"/>
              <w:rPr>
                <w:sz w:val="20"/>
              </w:rPr>
            </w:pPr>
            <w:r>
              <w:rPr>
                <w:sz w:val="20"/>
              </w:rPr>
              <w:t>Expresión oral y escrita</w:t>
            </w:r>
          </w:p>
        </w:tc>
        <w:tc>
          <w:tcPr>
            <w:tcW w:w="406" w:type="dxa"/>
          </w:tcPr>
          <w:p>
            <w:pPr>
              <w:pStyle w:val="TableParagraph"/>
              <w:spacing w:before="1"/>
              <w:rPr>
                <w:sz w:val="25"/>
              </w:rPr>
            </w:pPr>
          </w:p>
          <w:p>
            <w:pPr>
              <w:pStyle w:val="TableParagraph"/>
              <w:ind w:right="65"/>
              <w:jc w:val="right"/>
              <w:rPr>
                <w:sz w:val="20"/>
              </w:rPr>
            </w:pPr>
            <w:r>
              <w:rPr>
                <w:w w:val="99"/>
                <w:sz w:val="20"/>
              </w:rPr>
              <w:t>2</w:t>
            </w:r>
          </w:p>
        </w:tc>
        <w:tc>
          <w:tcPr>
            <w:tcW w:w="396" w:type="dxa"/>
          </w:tcPr>
          <w:p>
            <w:pPr>
              <w:pStyle w:val="TableParagraph"/>
              <w:spacing w:before="1"/>
              <w:rPr>
                <w:sz w:val="25"/>
              </w:rPr>
            </w:pPr>
          </w:p>
          <w:p>
            <w:pPr>
              <w:pStyle w:val="TableParagraph"/>
              <w:ind w:right="64"/>
              <w:jc w:val="right"/>
              <w:rPr>
                <w:sz w:val="20"/>
              </w:rPr>
            </w:pPr>
            <w:r>
              <w:rPr>
                <w:w w:val="99"/>
                <w:sz w:val="20"/>
              </w:rPr>
              <w:t>2</w:t>
            </w:r>
          </w:p>
        </w:tc>
        <w:tc>
          <w:tcPr>
            <w:tcW w:w="408" w:type="dxa"/>
          </w:tcPr>
          <w:p>
            <w:pPr>
              <w:pStyle w:val="TableParagraph"/>
              <w:spacing w:before="1"/>
              <w:rPr>
                <w:sz w:val="25"/>
              </w:rPr>
            </w:pPr>
          </w:p>
          <w:p>
            <w:pPr>
              <w:pStyle w:val="TableParagraph"/>
              <w:ind w:right="66"/>
              <w:jc w:val="right"/>
              <w:rPr>
                <w:sz w:val="20"/>
              </w:rPr>
            </w:pPr>
            <w:r>
              <w:rPr>
                <w:w w:val="99"/>
                <w:sz w:val="20"/>
              </w:rPr>
              <w:t>4</w:t>
            </w:r>
          </w:p>
        </w:tc>
        <w:tc>
          <w:tcPr>
            <w:tcW w:w="406" w:type="dxa"/>
          </w:tcPr>
          <w:p>
            <w:pPr>
              <w:pStyle w:val="TableParagraph"/>
              <w:spacing w:before="1"/>
              <w:rPr>
                <w:sz w:val="25"/>
              </w:rPr>
            </w:pPr>
          </w:p>
          <w:p>
            <w:pPr>
              <w:pStyle w:val="TableParagraph"/>
              <w:ind w:right="65"/>
              <w:jc w:val="right"/>
              <w:rPr>
                <w:sz w:val="20"/>
              </w:rPr>
            </w:pPr>
            <w:r>
              <w:rPr>
                <w:w w:val="99"/>
                <w:sz w:val="20"/>
              </w:rPr>
              <w:t>6</w:t>
            </w:r>
          </w:p>
        </w:tc>
        <w:tc>
          <w:tcPr>
            <w:tcW w:w="2578" w:type="dxa"/>
          </w:tcPr>
          <w:p>
            <w:pPr>
              <w:pStyle w:val="TableParagraph"/>
              <w:spacing w:before="58"/>
              <w:ind w:left="64" w:right="818"/>
              <w:rPr>
                <w:sz w:val="20"/>
              </w:rPr>
            </w:pPr>
            <w:r>
              <w:rPr>
                <w:sz w:val="20"/>
              </w:rPr>
              <w:t>Economía aplicada e instrumentales</w:t>
            </w:r>
          </w:p>
        </w:tc>
      </w:tr>
      <w:tr>
        <w:trPr>
          <w:trHeight w:val="536" w:hRule="exact"/>
        </w:trPr>
        <w:tc>
          <w:tcPr>
            <w:tcW w:w="437" w:type="dxa"/>
          </w:tcPr>
          <w:p>
            <w:pPr>
              <w:pStyle w:val="TableParagraph"/>
              <w:spacing w:before="4"/>
              <w:rPr>
                <w:sz w:val="25"/>
              </w:rPr>
            </w:pPr>
          </w:p>
          <w:p>
            <w:pPr>
              <w:pStyle w:val="TableParagraph"/>
              <w:ind w:right="66"/>
              <w:jc w:val="right"/>
              <w:rPr>
                <w:sz w:val="20"/>
              </w:rPr>
            </w:pPr>
            <w:r>
              <w:rPr>
                <w:w w:val="99"/>
                <w:sz w:val="20"/>
              </w:rPr>
              <w:t>3</w:t>
            </w:r>
          </w:p>
        </w:tc>
        <w:tc>
          <w:tcPr>
            <w:tcW w:w="2936" w:type="dxa"/>
          </w:tcPr>
          <w:p>
            <w:pPr>
              <w:pStyle w:val="TableParagraph"/>
              <w:spacing w:before="4"/>
              <w:rPr>
                <w:sz w:val="25"/>
              </w:rPr>
            </w:pPr>
          </w:p>
          <w:p>
            <w:pPr>
              <w:pStyle w:val="TableParagraph"/>
              <w:ind w:left="64"/>
              <w:rPr>
                <w:sz w:val="20"/>
              </w:rPr>
            </w:pPr>
            <w:r>
              <w:rPr>
                <w:sz w:val="20"/>
              </w:rPr>
              <w:t>Computación</w:t>
            </w:r>
          </w:p>
        </w:tc>
        <w:tc>
          <w:tcPr>
            <w:tcW w:w="406" w:type="dxa"/>
          </w:tcPr>
          <w:p>
            <w:pPr>
              <w:pStyle w:val="TableParagraph"/>
              <w:spacing w:before="4"/>
              <w:rPr>
                <w:sz w:val="25"/>
              </w:rPr>
            </w:pPr>
          </w:p>
          <w:p>
            <w:pPr>
              <w:pStyle w:val="TableParagraph"/>
              <w:ind w:right="65"/>
              <w:jc w:val="right"/>
              <w:rPr>
                <w:sz w:val="20"/>
              </w:rPr>
            </w:pPr>
            <w:r>
              <w:rPr>
                <w:w w:val="99"/>
                <w:sz w:val="20"/>
              </w:rPr>
              <w:t>2</w:t>
            </w:r>
          </w:p>
        </w:tc>
        <w:tc>
          <w:tcPr>
            <w:tcW w:w="396" w:type="dxa"/>
          </w:tcPr>
          <w:p>
            <w:pPr>
              <w:pStyle w:val="TableParagraph"/>
              <w:spacing w:before="4"/>
              <w:rPr>
                <w:sz w:val="25"/>
              </w:rPr>
            </w:pPr>
          </w:p>
          <w:p>
            <w:pPr>
              <w:pStyle w:val="TableParagraph"/>
              <w:ind w:right="64"/>
              <w:jc w:val="right"/>
              <w:rPr>
                <w:sz w:val="20"/>
              </w:rPr>
            </w:pPr>
            <w:r>
              <w:rPr>
                <w:w w:val="99"/>
                <w:sz w:val="20"/>
              </w:rPr>
              <w:t>2</w:t>
            </w:r>
          </w:p>
        </w:tc>
        <w:tc>
          <w:tcPr>
            <w:tcW w:w="408" w:type="dxa"/>
          </w:tcPr>
          <w:p>
            <w:pPr>
              <w:pStyle w:val="TableParagraph"/>
              <w:spacing w:before="4"/>
              <w:rPr>
                <w:sz w:val="25"/>
              </w:rPr>
            </w:pPr>
          </w:p>
          <w:p>
            <w:pPr>
              <w:pStyle w:val="TableParagraph"/>
              <w:ind w:right="66"/>
              <w:jc w:val="right"/>
              <w:rPr>
                <w:sz w:val="20"/>
              </w:rPr>
            </w:pPr>
            <w:r>
              <w:rPr>
                <w:w w:val="99"/>
                <w:sz w:val="20"/>
              </w:rPr>
              <w:t>4</w:t>
            </w:r>
          </w:p>
        </w:tc>
        <w:tc>
          <w:tcPr>
            <w:tcW w:w="406" w:type="dxa"/>
          </w:tcPr>
          <w:p>
            <w:pPr>
              <w:pStyle w:val="TableParagraph"/>
              <w:spacing w:before="4"/>
              <w:rPr>
                <w:sz w:val="25"/>
              </w:rPr>
            </w:pPr>
          </w:p>
          <w:p>
            <w:pPr>
              <w:pStyle w:val="TableParagraph"/>
              <w:ind w:right="65"/>
              <w:jc w:val="right"/>
              <w:rPr>
                <w:sz w:val="20"/>
              </w:rPr>
            </w:pPr>
            <w:r>
              <w:rPr>
                <w:w w:val="99"/>
                <w:sz w:val="20"/>
              </w:rPr>
              <w:t>6</w:t>
            </w:r>
          </w:p>
        </w:tc>
        <w:tc>
          <w:tcPr>
            <w:tcW w:w="2578" w:type="dxa"/>
          </w:tcPr>
          <w:p>
            <w:pPr>
              <w:pStyle w:val="TableParagraph"/>
              <w:spacing w:before="60"/>
              <w:ind w:left="64" w:right="818"/>
              <w:rPr>
                <w:sz w:val="20"/>
              </w:rPr>
            </w:pPr>
            <w:r>
              <w:rPr>
                <w:sz w:val="20"/>
              </w:rPr>
              <w:t>Economía aplicada e instrumentales</w:t>
            </w:r>
          </w:p>
        </w:tc>
      </w:tr>
      <w:tr>
        <w:trPr>
          <w:trHeight w:val="535" w:hRule="exact"/>
        </w:trPr>
        <w:tc>
          <w:tcPr>
            <w:tcW w:w="437" w:type="dxa"/>
          </w:tcPr>
          <w:p>
            <w:pPr>
              <w:pStyle w:val="TableParagraph"/>
              <w:spacing w:before="1"/>
              <w:rPr>
                <w:sz w:val="25"/>
              </w:rPr>
            </w:pPr>
          </w:p>
          <w:p>
            <w:pPr>
              <w:pStyle w:val="TableParagraph"/>
              <w:ind w:right="66"/>
              <w:jc w:val="right"/>
              <w:rPr>
                <w:sz w:val="20"/>
              </w:rPr>
            </w:pPr>
            <w:r>
              <w:rPr>
                <w:w w:val="99"/>
                <w:sz w:val="20"/>
              </w:rPr>
              <w:t>4</w:t>
            </w:r>
          </w:p>
        </w:tc>
        <w:tc>
          <w:tcPr>
            <w:tcW w:w="2936" w:type="dxa"/>
          </w:tcPr>
          <w:p>
            <w:pPr>
              <w:pStyle w:val="TableParagraph"/>
              <w:spacing w:before="1"/>
              <w:rPr>
                <w:sz w:val="25"/>
              </w:rPr>
            </w:pPr>
          </w:p>
          <w:p>
            <w:pPr>
              <w:pStyle w:val="TableParagraph"/>
              <w:ind w:left="64"/>
              <w:rPr>
                <w:sz w:val="20"/>
              </w:rPr>
            </w:pPr>
            <w:r>
              <w:rPr>
                <w:sz w:val="20"/>
              </w:rPr>
              <w:t>Introducción a la economía</w:t>
            </w:r>
          </w:p>
        </w:tc>
        <w:tc>
          <w:tcPr>
            <w:tcW w:w="406" w:type="dxa"/>
          </w:tcPr>
          <w:p>
            <w:pPr>
              <w:pStyle w:val="TableParagraph"/>
              <w:spacing w:before="1"/>
              <w:rPr>
                <w:sz w:val="25"/>
              </w:rPr>
            </w:pPr>
          </w:p>
          <w:p>
            <w:pPr>
              <w:pStyle w:val="TableParagraph"/>
              <w:ind w:right="65"/>
              <w:jc w:val="right"/>
              <w:rPr>
                <w:sz w:val="20"/>
              </w:rPr>
            </w:pPr>
            <w:r>
              <w:rPr>
                <w:w w:val="99"/>
                <w:sz w:val="20"/>
              </w:rPr>
              <w:t>2</w:t>
            </w:r>
          </w:p>
        </w:tc>
        <w:tc>
          <w:tcPr>
            <w:tcW w:w="396" w:type="dxa"/>
          </w:tcPr>
          <w:p>
            <w:pPr>
              <w:pStyle w:val="TableParagraph"/>
              <w:spacing w:before="1"/>
              <w:rPr>
                <w:sz w:val="25"/>
              </w:rPr>
            </w:pPr>
          </w:p>
          <w:p>
            <w:pPr>
              <w:pStyle w:val="TableParagraph"/>
              <w:ind w:right="64"/>
              <w:jc w:val="right"/>
              <w:rPr>
                <w:sz w:val="20"/>
              </w:rPr>
            </w:pPr>
            <w:r>
              <w:rPr>
                <w:w w:val="99"/>
                <w:sz w:val="20"/>
              </w:rPr>
              <w:t>2</w:t>
            </w:r>
          </w:p>
        </w:tc>
        <w:tc>
          <w:tcPr>
            <w:tcW w:w="408" w:type="dxa"/>
          </w:tcPr>
          <w:p>
            <w:pPr>
              <w:pStyle w:val="TableParagraph"/>
              <w:spacing w:before="1"/>
              <w:rPr>
                <w:sz w:val="25"/>
              </w:rPr>
            </w:pPr>
          </w:p>
          <w:p>
            <w:pPr>
              <w:pStyle w:val="TableParagraph"/>
              <w:ind w:right="66"/>
              <w:jc w:val="right"/>
              <w:rPr>
                <w:sz w:val="20"/>
              </w:rPr>
            </w:pPr>
            <w:r>
              <w:rPr>
                <w:w w:val="99"/>
                <w:sz w:val="20"/>
              </w:rPr>
              <w:t>4</w:t>
            </w:r>
          </w:p>
        </w:tc>
        <w:tc>
          <w:tcPr>
            <w:tcW w:w="406" w:type="dxa"/>
          </w:tcPr>
          <w:p>
            <w:pPr>
              <w:pStyle w:val="TableParagraph"/>
              <w:spacing w:before="1"/>
              <w:rPr>
                <w:sz w:val="25"/>
              </w:rPr>
            </w:pPr>
          </w:p>
          <w:p>
            <w:pPr>
              <w:pStyle w:val="TableParagraph"/>
              <w:ind w:right="65"/>
              <w:jc w:val="right"/>
              <w:rPr>
                <w:sz w:val="20"/>
              </w:rPr>
            </w:pPr>
            <w:r>
              <w:rPr>
                <w:w w:val="99"/>
                <w:sz w:val="20"/>
              </w:rPr>
              <w:t>6</w:t>
            </w:r>
          </w:p>
        </w:tc>
        <w:tc>
          <w:tcPr>
            <w:tcW w:w="2578" w:type="dxa"/>
          </w:tcPr>
          <w:p>
            <w:pPr>
              <w:pStyle w:val="TableParagraph"/>
              <w:spacing w:before="60"/>
              <w:ind w:left="64" w:right="818"/>
              <w:rPr>
                <w:sz w:val="20"/>
              </w:rPr>
            </w:pPr>
            <w:r>
              <w:rPr>
                <w:sz w:val="20"/>
              </w:rPr>
              <w:t>Economía aplicada e instrumentales</w:t>
            </w:r>
          </w:p>
        </w:tc>
      </w:tr>
      <w:tr>
        <w:trPr>
          <w:trHeight w:val="310" w:hRule="exact"/>
        </w:trPr>
        <w:tc>
          <w:tcPr>
            <w:tcW w:w="3373" w:type="dxa"/>
            <w:gridSpan w:val="2"/>
          </w:tcPr>
          <w:p>
            <w:pPr>
              <w:pStyle w:val="TableParagraph"/>
              <w:spacing w:before="65"/>
              <w:ind w:right="68"/>
              <w:jc w:val="right"/>
              <w:rPr>
                <w:sz w:val="20"/>
              </w:rPr>
            </w:pPr>
            <w:r>
              <w:rPr>
                <w:sz w:val="20"/>
              </w:rPr>
              <w:t>Subtotal</w:t>
            </w:r>
          </w:p>
        </w:tc>
        <w:tc>
          <w:tcPr>
            <w:tcW w:w="406" w:type="dxa"/>
          </w:tcPr>
          <w:p>
            <w:pPr>
              <w:pStyle w:val="TableParagraph"/>
              <w:spacing w:before="65"/>
              <w:ind w:right="65"/>
              <w:jc w:val="right"/>
              <w:rPr>
                <w:sz w:val="20"/>
              </w:rPr>
            </w:pPr>
            <w:r>
              <w:rPr>
                <w:w w:val="99"/>
                <w:sz w:val="20"/>
              </w:rPr>
              <w:t>2</w:t>
            </w:r>
          </w:p>
        </w:tc>
        <w:tc>
          <w:tcPr>
            <w:tcW w:w="396" w:type="dxa"/>
          </w:tcPr>
          <w:p>
            <w:pPr>
              <w:pStyle w:val="TableParagraph"/>
              <w:spacing w:before="65"/>
              <w:ind w:right="64"/>
              <w:jc w:val="right"/>
              <w:rPr>
                <w:sz w:val="20"/>
              </w:rPr>
            </w:pPr>
            <w:r>
              <w:rPr>
                <w:w w:val="99"/>
                <w:sz w:val="20"/>
              </w:rPr>
              <w:t>2</w:t>
            </w:r>
          </w:p>
        </w:tc>
        <w:tc>
          <w:tcPr>
            <w:tcW w:w="408" w:type="dxa"/>
          </w:tcPr>
          <w:p>
            <w:pPr>
              <w:pStyle w:val="TableParagraph"/>
              <w:spacing w:before="65"/>
              <w:ind w:right="66"/>
              <w:jc w:val="right"/>
              <w:rPr>
                <w:sz w:val="20"/>
              </w:rPr>
            </w:pPr>
            <w:r>
              <w:rPr>
                <w:w w:val="99"/>
                <w:sz w:val="20"/>
              </w:rPr>
              <w:t>4</w:t>
            </w:r>
          </w:p>
        </w:tc>
        <w:tc>
          <w:tcPr>
            <w:tcW w:w="406" w:type="dxa"/>
          </w:tcPr>
          <w:p>
            <w:pPr>
              <w:pStyle w:val="TableParagraph"/>
              <w:spacing w:before="65"/>
              <w:ind w:right="65"/>
              <w:jc w:val="right"/>
              <w:rPr>
                <w:sz w:val="20"/>
              </w:rPr>
            </w:pPr>
            <w:r>
              <w:rPr>
                <w:w w:val="99"/>
                <w:sz w:val="20"/>
              </w:rPr>
              <w:t>6</w:t>
            </w:r>
          </w:p>
        </w:tc>
        <w:tc>
          <w:tcPr>
            <w:tcW w:w="2578" w:type="dxa"/>
          </w:tcPr>
          <w:p>
            <w:pPr/>
          </w:p>
        </w:tc>
      </w:tr>
    </w:tbl>
    <w:p>
      <w:pPr>
        <w:spacing w:after="0"/>
        <w:sectPr>
          <w:pgSz w:w="12240" w:h="15840"/>
          <w:pgMar w:header="0" w:footer="943" w:top="1360" w:bottom="1200" w:left="1600" w:right="1580"/>
        </w:sectPr>
      </w:pPr>
    </w:p>
    <w:p>
      <w:pPr>
        <w:spacing w:before="49"/>
        <w:ind w:left="687" w:right="0" w:firstLine="0"/>
        <w:jc w:val="left"/>
        <w:rPr>
          <w:sz w:val="20"/>
        </w:rPr>
      </w:pPr>
      <w:r>
        <w:rPr>
          <w:sz w:val="20"/>
        </w:rPr>
        <w:t>Bloque "B": Acreditar 1 UA para cubrir 6 créditos</w:t>
      </w:r>
    </w:p>
    <w:p>
      <w:pPr>
        <w:pStyle w:val="BodyText"/>
        <w:spacing w:before="7"/>
        <w:rPr>
          <w:sz w:val="6"/>
        </w:rPr>
      </w:pPr>
    </w:p>
    <w:tbl>
      <w:tblPr>
        <w:tblW w:w="0" w:type="auto"/>
        <w:jc w:val="left"/>
        <w:tblInd w:w="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2936"/>
        <w:gridCol w:w="406"/>
        <w:gridCol w:w="396"/>
        <w:gridCol w:w="408"/>
        <w:gridCol w:w="406"/>
        <w:gridCol w:w="2578"/>
      </w:tblGrid>
      <w:tr>
        <w:trPr>
          <w:trHeight w:val="312" w:hRule="exact"/>
        </w:trPr>
        <w:tc>
          <w:tcPr>
            <w:tcW w:w="437" w:type="dxa"/>
          </w:tcPr>
          <w:p>
            <w:pPr>
              <w:pStyle w:val="TableParagraph"/>
              <w:spacing w:before="65"/>
              <w:ind w:right="67"/>
              <w:jc w:val="right"/>
              <w:rPr>
                <w:sz w:val="20"/>
              </w:rPr>
            </w:pPr>
            <w:r>
              <w:rPr>
                <w:w w:val="95"/>
                <w:sz w:val="20"/>
              </w:rPr>
              <w:t>No.</w:t>
            </w:r>
          </w:p>
        </w:tc>
        <w:tc>
          <w:tcPr>
            <w:tcW w:w="2936" w:type="dxa"/>
          </w:tcPr>
          <w:p>
            <w:pPr>
              <w:pStyle w:val="TableParagraph"/>
              <w:spacing w:before="65"/>
              <w:ind w:left="64"/>
              <w:rPr>
                <w:sz w:val="20"/>
              </w:rPr>
            </w:pPr>
            <w:r>
              <w:rPr>
                <w:sz w:val="20"/>
              </w:rPr>
              <w:t>Unidad de aprendizaje (UA)</w:t>
            </w:r>
          </w:p>
        </w:tc>
        <w:tc>
          <w:tcPr>
            <w:tcW w:w="406" w:type="dxa"/>
          </w:tcPr>
          <w:p>
            <w:pPr>
              <w:pStyle w:val="TableParagraph"/>
              <w:spacing w:before="65"/>
              <w:ind w:right="63"/>
              <w:jc w:val="right"/>
              <w:rPr>
                <w:sz w:val="20"/>
              </w:rPr>
            </w:pPr>
            <w:r>
              <w:rPr>
                <w:w w:val="95"/>
                <w:sz w:val="20"/>
              </w:rPr>
              <w:t>HT</w:t>
            </w:r>
          </w:p>
        </w:tc>
        <w:tc>
          <w:tcPr>
            <w:tcW w:w="396" w:type="dxa"/>
          </w:tcPr>
          <w:p>
            <w:pPr>
              <w:pStyle w:val="TableParagraph"/>
              <w:spacing w:before="65"/>
              <w:ind w:right="65"/>
              <w:jc w:val="right"/>
              <w:rPr>
                <w:sz w:val="20"/>
              </w:rPr>
            </w:pPr>
            <w:r>
              <w:rPr>
                <w:w w:val="95"/>
                <w:sz w:val="20"/>
              </w:rPr>
              <w:t>HP</w:t>
            </w:r>
          </w:p>
        </w:tc>
        <w:tc>
          <w:tcPr>
            <w:tcW w:w="408" w:type="dxa"/>
          </w:tcPr>
          <w:p>
            <w:pPr>
              <w:pStyle w:val="TableParagraph"/>
              <w:spacing w:before="65"/>
              <w:ind w:right="59"/>
              <w:jc w:val="right"/>
              <w:rPr>
                <w:sz w:val="20"/>
              </w:rPr>
            </w:pPr>
            <w:r>
              <w:rPr>
                <w:sz w:val="20"/>
              </w:rPr>
              <w:t>TH</w:t>
            </w:r>
          </w:p>
        </w:tc>
        <w:tc>
          <w:tcPr>
            <w:tcW w:w="406" w:type="dxa"/>
          </w:tcPr>
          <w:p>
            <w:pPr>
              <w:pStyle w:val="TableParagraph"/>
              <w:spacing w:before="65"/>
              <w:ind w:right="65"/>
              <w:jc w:val="right"/>
              <w:rPr>
                <w:sz w:val="20"/>
              </w:rPr>
            </w:pPr>
            <w:r>
              <w:rPr>
                <w:sz w:val="20"/>
              </w:rPr>
              <w:t>CR</w:t>
            </w:r>
          </w:p>
        </w:tc>
        <w:tc>
          <w:tcPr>
            <w:tcW w:w="2578" w:type="dxa"/>
          </w:tcPr>
          <w:p>
            <w:pPr>
              <w:pStyle w:val="TableParagraph"/>
              <w:spacing w:before="65"/>
              <w:ind w:left="64" w:right="562"/>
              <w:rPr>
                <w:sz w:val="20"/>
              </w:rPr>
            </w:pPr>
            <w:r>
              <w:rPr>
                <w:sz w:val="20"/>
              </w:rPr>
              <w:t>Área curricular</w:t>
            </w:r>
          </w:p>
        </w:tc>
      </w:tr>
      <w:tr>
        <w:trPr>
          <w:trHeight w:val="535" w:hRule="exact"/>
        </w:trPr>
        <w:tc>
          <w:tcPr>
            <w:tcW w:w="437" w:type="dxa"/>
          </w:tcPr>
          <w:p>
            <w:pPr>
              <w:pStyle w:val="TableParagraph"/>
              <w:spacing w:before="1"/>
              <w:rPr>
                <w:sz w:val="25"/>
              </w:rPr>
            </w:pPr>
          </w:p>
          <w:p>
            <w:pPr>
              <w:pStyle w:val="TableParagraph"/>
              <w:ind w:right="66"/>
              <w:jc w:val="right"/>
              <w:rPr>
                <w:sz w:val="20"/>
              </w:rPr>
            </w:pPr>
            <w:r>
              <w:rPr>
                <w:w w:val="99"/>
                <w:sz w:val="20"/>
              </w:rPr>
              <w:t>1</w:t>
            </w:r>
          </w:p>
        </w:tc>
        <w:tc>
          <w:tcPr>
            <w:tcW w:w="2936" w:type="dxa"/>
          </w:tcPr>
          <w:p>
            <w:pPr>
              <w:pStyle w:val="TableParagraph"/>
              <w:spacing w:before="1"/>
              <w:rPr>
                <w:sz w:val="25"/>
              </w:rPr>
            </w:pPr>
          </w:p>
          <w:p>
            <w:pPr>
              <w:pStyle w:val="TableParagraph"/>
              <w:ind w:left="64"/>
              <w:rPr>
                <w:sz w:val="20"/>
              </w:rPr>
            </w:pPr>
            <w:r>
              <w:rPr>
                <w:sz w:val="20"/>
              </w:rPr>
              <w:t>Computación avanzada</w:t>
            </w:r>
          </w:p>
        </w:tc>
        <w:tc>
          <w:tcPr>
            <w:tcW w:w="406" w:type="dxa"/>
          </w:tcPr>
          <w:p>
            <w:pPr>
              <w:pStyle w:val="TableParagraph"/>
              <w:spacing w:before="1"/>
              <w:rPr>
                <w:sz w:val="25"/>
              </w:rPr>
            </w:pPr>
          </w:p>
          <w:p>
            <w:pPr>
              <w:pStyle w:val="TableParagraph"/>
              <w:ind w:right="65"/>
              <w:jc w:val="right"/>
              <w:rPr>
                <w:sz w:val="20"/>
              </w:rPr>
            </w:pPr>
            <w:r>
              <w:rPr>
                <w:w w:val="99"/>
                <w:sz w:val="20"/>
              </w:rPr>
              <w:t>2</w:t>
            </w:r>
          </w:p>
        </w:tc>
        <w:tc>
          <w:tcPr>
            <w:tcW w:w="396" w:type="dxa"/>
          </w:tcPr>
          <w:p>
            <w:pPr>
              <w:pStyle w:val="TableParagraph"/>
              <w:spacing w:before="1"/>
              <w:rPr>
                <w:sz w:val="25"/>
              </w:rPr>
            </w:pPr>
          </w:p>
          <w:p>
            <w:pPr>
              <w:pStyle w:val="TableParagraph"/>
              <w:ind w:right="64"/>
              <w:jc w:val="right"/>
              <w:rPr>
                <w:sz w:val="20"/>
              </w:rPr>
            </w:pPr>
            <w:r>
              <w:rPr>
                <w:w w:val="99"/>
                <w:sz w:val="20"/>
              </w:rPr>
              <w:t>2</w:t>
            </w:r>
          </w:p>
        </w:tc>
        <w:tc>
          <w:tcPr>
            <w:tcW w:w="408" w:type="dxa"/>
          </w:tcPr>
          <w:p>
            <w:pPr>
              <w:pStyle w:val="TableParagraph"/>
              <w:spacing w:before="1"/>
              <w:rPr>
                <w:sz w:val="25"/>
              </w:rPr>
            </w:pPr>
          </w:p>
          <w:p>
            <w:pPr>
              <w:pStyle w:val="TableParagraph"/>
              <w:ind w:right="66"/>
              <w:jc w:val="right"/>
              <w:rPr>
                <w:sz w:val="20"/>
              </w:rPr>
            </w:pPr>
            <w:r>
              <w:rPr>
                <w:w w:val="99"/>
                <w:sz w:val="20"/>
              </w:rPr>
              <w:t>4</w:t>
            </w:r>
          </w:p>
        </w:tc>
        <w:tc>
          <w:tcPr>
            <w:tcW w:w="406" w:type="dxa"/>
          </w:tcPr>
          <w:p>
            <w:pPr>
              <w:pStyle w:val="TableParagraph"/>
              <w:spacing w:before="1"/>
              <w:rPr>
                <w:sz w:val="25"/>
              </w:rPr>
            </w:pPr>
          </w:p>
          <w:p>
            <w:pPr>
              <w:pStyle w:val="TableParagraph"/>
              <w:ind w:right="65"/>
              <w:jc w:val="right"/>
              <w:rPr>
                <w:sz w:val="20"/>
              </w:rPr>
            </w:pPr>
            <w:r>
              <w:rPr>
                <w:w w:val="99"/>
                <w:sz w:val="20"/>
              </w:rPr>
              <w:t>6</w:t>
            </w:r>
          </w:p>
        </w:tc>
        <w:tc>
          <w:tcPr>
            <w:tcW w:w="2578" w:type="dxa"/>
          </w:tcPr>
          <w:p>
            <w:pPr>
              <w:pStyle w:val="TableParagraph"/>
              <w:spacing w:before="58"/>
              <w:ind w:left="64" w:right="818"/>
              <w:rPr>
                <w:sz w:val="20"/>
              </w:rPr>
            </w:pPr>
            <w:r>
              <w:rPr>
                <w:sz w:val="20"/>
              </w:rPr>
              <w:t>Economía aplicada e instrumentales</w:t>
            </w:r>
          </w:p>
        </w:tc>
      </w:tr>
      <w:tr>
        <w:trPr>
          <w:trHeight w:val="533" w:hRule="exact"/>
        </w:trPr>
        <w:tc>
          <w:tcPr>
            <w:tcW w:w="437" w:type="dxa"/>
          </w:tcPr>
          <w:p>
            <w:pPr>
              <w:pStyle w:val="TableParagraph"/>
              <w:spacing w:before="1"/>
              <w:rPr>
                <w:sz w:val="25"/>
              </w:rPr>
            </w:pPr>
          </w:p>
          <w:p>
            <w:pPr>
              <w:pStyle w:val="TableParagraph"/>
              <w:ind w:right="66"/>
              <w:jc w:val="right"/>
              <w:rPr>
                <w:sz w:val="20"/>
              </w:rPr>
            </w:pPr>
            <w:r>
              <w:rPr>
                <w:w w:val="99"/>
                <w:sz w:val="20"/>
              </w:rPr>
              <w:t>2</w:t>
            </w:r>
          </w:p>
        </w:tc>
        <w:tc>
          <w:tcPr>
            <w:tcW w:w="2936" w:type="dxa"/>
          </w:tcPr>
          <w:p>
            <w:pPr>
              <w:pStyle w:val="TableParagraph"/>
              <w:spacing w:before="1"/>
              <w:rPr>
                <w:sz w:val="25"/>
              </w:rPr>
            </w:pPr>
          </w:p>
          <w:p>
            <w:pPr>
              <w:pStyle w:val="TableParagraph"/>
              <w:ind w:left="64"/>
              <w:rPr>
                <w:sz w:val="20"/>
              </w:rPr>
            </w:pPr>
            <w:r>
              <w:rPr>
                <w:sz w:val="20"/>
              </w:rPr>
              <w:t>Pobreza y desigualdad</w:t>
            </w:r>
          </w:p>
        </w:tc>
        <w:tc>
          <w:tcPr>
            <w:tcW w:w="406" w:type="dxa"/>
          </w:tcPr>
          <w:p>
            <w:pPr>
              <w:pStyle w:val="TableParagraph"/>
              <w:spacing w:before="1"/>
              <w:rPr>
                <w:sz w:val="25"/>
              </w:rPr>
            </w:pPr>
          </w:p>
          <w:p>
            <w:pPr>
              <w:pStyle w:val="TableParagraph"/>
              <w:ind w:right="65"/>
              <w:jc w:val="right"/>
              <w:rPr>
                <w:sz w:val="20"/>
              </w:rPr>
            </w:pPr>
            <w:r>
              <w:rPr>
                <w:w w:val="99"/>
                <w:sz w:val="20"/>
              </w:rPr>
              <w:t>2</w:t>
            </w:r>
          </w:p>
        </w:tc>
        <w:tc>
          <w:tcPr>
            <w:tcW w:w="396" w:type="dxa"/>
          </w:tcPr>
          <w:p>
            <w:pPr>
              <w:pStyle w:val="TableParagraph"/>
              <w:spacing w:before="1"/>
              <w:rPr>
                <w:sz w:val="25"/>
              </w:rPr>
            </w:pPr>
          </w:p>
          <w:p>
            <w:pPr>
              <w:pStyle w:val="TableParagraph"/>
              <w:ind w:right="64"/>
              <w:jc w:val="right"/>
              <w:rPr>
                <w:sz w:val="20"/>
              </w:rPr>
            </w:pPr>
            <w:r>
              <w:rPr>
                <w:w w:val="99"/>
                <w:sz w:val="20"/>
              </w:rPr>
              <w:t>2</w:t>
            </w:r>
          </w:p>
        </w:tc>
        <w:tc>
          <w:tcPr>
            <w:tcW w:w="408" w:type="dxa"/>
          </w:tcPr>
          <w:p>
            <w:pPr>
              <w:pStyle w:val="TableParagraph"/>
              <w:spacing w:before="1"/>
              <w:rPr>
                <w:sz w:val="25"/>
              </w:rPr>
            </w:pPr>
          </w:p>
          <w:p>
            <w:pPr>
              <w:pStyle w:val="TableParagraph"/>
              <w:ind w:right="66"/>
              <w:jc w:val="right"/>
              <w:rPr>
                <w:sz w:val="20"/>
              </w:rPr>
            </w:pPr>
            <w:r>
              <w:rPr>
                <w:w w:val="99"/>
                <w:sz w:val="20"/>
              </w:rPr>
              <w:t>4</w:t>
            </w:r>
          </w:p>
        </w:tc>
        <w:tc>
          <w:tcPr>
            <w:tcW w:w="406" w:type="dxa"/>
          </w:tcPr>
          <w:p>
            <w:pPr>
              <w:pStyle w:val="TableParagraph"/>
              <w:spacing w:before="1"/>
              <w:rPr>
                <w:sz w:val="25"/>
              </w:rPr>
            </w:pPr>
          </w:p>
          <w:p>
            <w:pPr>
              <w:pStyle w:val="TableParagraph"/>
              <w:ind w:right="65"/>
              <w:jc w:val="right"/>
              <w:rPr>
                <w:sz w:val="20"/>
              </w:rPr>
            </w:pPr>
            <w:r>
              <w:rPr>
                <w:w w:val="99"/>
                <w:sz w:val="20"/>
              </w:rPr>
              <w:t>6</w:t>
            </w:r>
          </w:p>
        </w:tc>
        <w:tc>
          <w:tcPr>
            <w:tcW w:w="2578" w:type="dxa"/>
          </w:tcPr>
          <w:p>
            <w:pPr>
              <w:pStyle w:val="TableParagraph"/>
              <w:spacing w:before="58"/>
              <w:ind w:left="64" w:right="818"/>
              <w:rPr>
                <w:sz w:val="20"/>
              </w:rPr>
            </w:pPr>
            <w:r>
              <w:rPr>
                <w:sz w:val="20"/>
              </w:rPr>
              <w:t>Economía aplicada e instrumentales</w:t>
            </w:r>
          </w:p>
        </w:tc>
      </w:tr>
      <w:tr>
        <w:trPr>
          <w:trHeight w:val="535" w:hRule="exact"/>
        </w:trPr>
        <w:tc>
          <w:tcPr>
            <w:tcW w:w="437" w:type="dxa"/>
          </w:tcPr>
          <w:p>
            <w:pPr>
              <w:pStyle w:val="TableParagraph"/>
              <w:spacing w:before="3"/>
              <w:rPr>
                <w:sz w:val="25"/>
              </w:rPr>
            </w:pPr>
          </w:p>
          <w:p>
            <w:pPr>
              <w:pStyle w:val="TableParagraph"/>
              <w:ind w:right="66"/>
              <w:jc w:val="right"/>
              <w:rPr>
                <w:sz w:val="20"/>
              </w:rPr>
            </w:pPr>
            <w:r>
              <w:rPr>
                <w:w w:val="99"/>
                <w:sz w:val="20"/>
              </w:rPr>
              <w:t>3</w:t>
            </w:r>
          </w:p>
        </w:tc>
        <w:tc>
          <w:tcPr>
            <w:tcW w:w="2936" w:type="dxa"/>
          </w:tcPr>
          <w:p>
            <w:pPr>
              <w:pStyle w:val="TableParagraph"/>
              <w:spacing w:before="3"/>
              <w:rPr>
                <w:sz w:val="25"/>
              </w:rPr>
            </w:pPr>
          </w:p>
          <w:p>
            <w:pPr>
              <w:pStyle w:val="TableParagraph"/>
              <w:ind w:left="64"/>
              <w:rPr>
                <w:sz w:val="20"/>
              </w:rPr>
            </w:pPr>
            <w:r>
              <w:rPr>
                <w:sz w:val="20"/>
              </w:rPr>
              <w:t>Mercadotecnia</w:t>
            </w:r>
          </w:p>
        </w:tc>
        <w:tc>
          <w:tcPr>
            <w:tcW w:w="406" w:type="dxa"/>
          </w:tcPr>
          <w:p>
            <w:pPr>
              <w:pStyle w:val="TableParagraph"/>
              <w:spacing w:before="3"/>
              <w:rPr>
                <w:sz w:val="25"/>
              </w:rPr>
            </w:pPr>
          </w:p>
          <w:p>
            <w:pPr>
              <w:pStyle w:val="TableParagraph"/>
              <w:ind w:right="65"/>
              <w:jc w:val="right"/>
              <w:rPr>
                <w:sz w:val="20"/>
              </w:rPr>
            </w:pPr>
            <w:r>
              <w:rPr>
                <w:w w:val="99"/>
                <w:sz w:val="20"/>
              </w:rPr>
              <w:t>2</w:t>
            </w:r>
          </w:p>
        </w:tc>
        <w:tc>
          <w:tcPr>
            <w:tcW w:w="396" w:type="dxa"/>
          </w:tcPr>
          <w:p>
            <w:pPr>
              <w:pStyle w:val="TableParagraph"/>
              <w:spacing w:before="3"/>
              <w:rPr>
                <w:sz w:val="25"/>
              </w:rPr>
            </w:pPr>
          </w:p>
          <w:p>
            <w:pPr>
              <w:pStyle w:val="TableParagraph"/>
              <w:ind w:right="64"/>
              <w:jc w:val="right"/>
              <w:rPr>
                <w:sz w:val="20"/>
              </w:rPr>
            </w:pPr>
            <w:r>
              <w:rPr>
                <w:w w:val="99"/>
                <w:sz w:val="20"/>
              </w:rPr>
              <w:t>2</w:t>
            </w:r>
          </w:p>
        </w:tc>
        <w:tc>
          <w:tcPr>
            <w:tcW w:w="408" w:type="dxa"/>
          </w:tcPr>
          <w:p>
            <w:pPr>
              <w:pStyle w:val="TableParagraph"/>
              <w:spacing w:before="3"/>
              <w:rPr>
                <w:sz w:val="25"/>
              </w:rPr>
            </w:pPr>
          </w:p>
          <w:p>
            <w:pPr>
              <w:pStyle w:val="TableParagraph"/>
              <w:ind w:right="66"/>
              <w:jc w:val="right"/>
              <w:rPr>
                <w:sz w:val="20"/>
              </w:rPr>
            </w:pPr>
            <w:r>
              <w:rPr>
                <w:w w:val="99"/>
                <w:sz w:val="20"/>
              </w:rPr>
              <w:t>4</w:t>
            </w:r>
          </w:p>
        </w:tc>
        <w:tc>
          <w:tcPr>
            <w:tcW w:w="406" w:type="dxa"/>
          </w:tcPr>
          <w:p>
            <w:pPr>
              <w:pStyle w:val="TableParagraph"/>
              <w:spacing w:before="3"/>
              <w:rPr>
                <w:sz w:val="25"/>
              </w:rPr>
            </w:pPr>
          </w:p>
          <w:p>
            <w:pPr>
              <w:pStyle w:val="TableParagraph"/>
              <w:ind w:right="65"/>
              <w:jc w:val="right"/>
              <w:rPr>
                <w:sz w:val="20"/>
              </w:rPr>
            </w:pPr>
            <w:r>
              <w:rPr>
                <w:w w:val="99"/>
                <w:sz w:val="20"/>
              </w:rPr>
              <w:t>6</w:t>
            </w:r>
          </w:p>
        </w:tc>
        <w:tc>
          <w:tcPr>
            <w:tcW w:w="2578" w:type="dxa"/>
          </w:tcPr>
          <w:p>
            <w:pPr>
              <w:pStyle w:val="TableParagraph"/>
              <w:spacing w:before="60"/>
              <w:ind w:left="64" w:right="818"/>
              <w:rPr>
                <w:sz w:val="20"/>
              </w:rPr>
            </w:pPr>
            <w:r>
              <w:rPr>
                <w:sz w:val="20"/>
              </w:rPr>
              <w:t>Economía aplicada e instrumentales</w:t>
            </w:r>
          </w:p>
        </w:tc>
      </w:tr>
      <w:tr>
        <w:trPr>
          <w:trHeight w:val="535" w:hRule="exact"/>
        </w:trPr>
        <w:tc>
          <w:tcPr>
            <w:tcW w:w="437" w:type="dxa"/>
          </w:tcPr>
          <w:p>
            <w:pPr>
              <w:pStyle w:val="TableParagraph"/>
              <w:spacing w:before="1"/>
              <w:rPr>
                <w:sz w:val="25"/>
              </w:rPr>
            </w:pPr>
          </w:p>
          <w:p>
            <w:pPr>
              <w:pStyle w:val="TableParagraph"/>
              <w:ind w:right="66"/>
              <w:jc w:val="right"/>
              <w:rPr>
                <w:sz w:val="20"/>
              </w:rPr>
            </w:pPr>
            <w:r>
              <w:rPr>
                <w:w w:val="99"/>
                <w:sz w:val="20"/>
              </w:rPr>
              <w:t>4</w:t>
            </w:r>
          </w:p>
        </w:tc>
        <w:tc>
          <w:tcPr>
            <w:tcW w:w="2936" w:type="dxa"/>
          </w:tcPr>
          <w:p>
            <w:pPr>
              <w:pStyle w:val="TableParagraph"/>
              <w:spacing w:before="1"/>
              <w:rPr>
                <w:sz w:val="25"/>
              </w:rPr>
            </w:pPr>
          </w:p>
          <w:p>
            <w:pPr>
              <w:pStyle w:val="TableParagraph"/>
              <w:ind w:left="64"/>
              <w:rPr>
                <w:sz w:val="20"/>
              </w:rPr>
            </w:pPr>
            <w:r>
              <w:rPr>
                <w:sz w:val="20"/>
              </w:rPr>
              <w:t>Redacción</w:t>
            </w:r>
          </w:p>
        </w:tc>
        <w:tc>
          <w:tcPr>
            <w:tcW w:w="406" w:type="dxa"/>
          </w:tcPr>
          <w:p>
            <w:pPr>
              <w:pStyle w:val="TableParagraph"/>
              <w:spacing w:before="1"/>
              <w:rPr>
                <w:sz w:val="25"/>
              </w:rPr>
            </w:pPr>
          </w:p>
          <w:p>
            <w:pPr>
              <w:pStyle w:val="TableParagraph"/>
              <w:ind w:right="65"/>
              <w:jc w:val="right"/>
              <w:rPr>
                <w:sz w:val="20"/>
              </w:rPr>
            </w:pPr>
            <w:r>
              <w:rPr>
                <w:w w:val="99"/>
                <w:sz w:val="20"/>
              </w:rPr>
              <w:t>2</w:t>
            </w:r>
          </w:p>
        </w:tc>
        <w:tc>
          <w:tcPr>
            <w:tcW w:w="396" w:type="dxa"/>
          </w:tcPr>
          <w:p>
            <w:pPr>
              <w:pStyle w:val="TableParagraph"/>
              <w:spacing w:before="1"/>
              <w:rPr>
                <w:sz w:val="25"/>
              </w:rPr>
            </w:pPr>
          </w:p>
          <w:p>
            <w:pPr>
              <w:pStyle w:val="TableParagraph"/>
              <w:ind w:right="64"/>
              <w:jc w:val="right"/>
              <w:rPr>
                <w:sz w:val="20"/>
              </w:rPr>
            </w:pPr>
            <w:r>
              <w:rPr>
                <w:w w:val="99"/>
                <w:sz w:val="20"/>
              </w:rPr>
              <w:t>2</w:t>
            </w:r>
          </w:p>
        </w:tc>
        <w:tc>
          <w:tcPr>
            <w:tcW w:w="408" w:type="dxa"/>
          </w:tcPr>
          <w:p>
            <w:pPr>
              <w:pStyle w:val="TableParagraph"/>
              <w:spacing w:before="1"/>
              <w:rPr>
                <w:sz w:val="25"/>
              </w:rPr>
            </w:pPr>
          </w:p>
          <w:p>
            <w:pPr>
              <w:pStyle w:val="TableParagraph"/>
              <w:ind w:right="66"/>
              <w:jc w:val="right"/>
              <w:rPr>
                <w:sz w:val="20"/>
              </w:rPr>
            </w:pPr>
            <w:r>
              <w:rPr>
                <w:w w:val="99"/>
                <w:sz w:val="20"/>
              </w:rPr>
              <w:t>4</w:t>
            </w:r>
          </w:p>
        </w:tc>
        <w:tc>
          <w:tcPr>
            <w:tcW w:w="406" w:type="dxa"/>
          </w:tcPr>
          <w:p>
            <w:pPr>
              <w:pStyle w:val="TableParagraph"/>
              <w:spacing w:before="1"/>
              <w:rPr>
                <w:sz w:val="25"/>
              </w:rPr>
            </w:pPr>
          </w:p>
          <w:p>
            <w:pPr>
              <w:pStyle w:val="TableParagraph"/>
              <w:ind w:right="65"/>
              <w:jc w:val="right"/>
              <w:rPr>
                <w:sz w:val="20"/>
              </w:rPr>
            </w:pPr>
            <w:r>
              <w:rPr>
                <w:w w:val="99"/>
                <w:sz w:val="20"/>
              </w:rPr>
              <w:t>6</w:t>
            </w:r>
          </w:p>
        </w:tc>
        <w:tc>
          <w:tcPr>
            <w:tcW w:w="2578" w:type="dxa"/>
          </w:tcPr>
          <w:p>
            <w:pPr>
              <w:pStyle w:val="TableParagraph"/>
              <w:spacing w:before="60"/>
              <w:ind w:left="64" w:right="818"/>
              <w:rPr>
                <w:sz w:val="20"/>
              </w:rPr>
            </w:pPr>
            <w:r>
              <w:rPr>
                <w:sz w:val="20"/>
              </w:rPr>
              <w:t>Economía aplicada e instrumentales</w:t>
            </w:r>
          </w:p>
        </w:tc>
      </w:tr>
      <w:tr>
        <w:trPr>
          <w:trHeight w:val="310" w:hRule="exact"/>
        </w:trPr>
        <w:tc>
          <w:tcPr>
            <w:tcW w:w="3373" w:type="dxa"/>
            <w:gridSpan w:val="2"/>
          </w:tcPr>
          <w:p>
            <w:pPr>
              <w:pStyle w:val="TableParagraph"/>
              <w:spacing w:before="65"/>
              <w:ind w:right="68"/>
              <w:jc w:val="right"/>
              <w:rPr>
                <w:sz w:val="20"/>
              </w:rPr>
            </w:pPr>
            <w:r>
              <w:rPr>
                <w:sz w:val="20"/>
              </w:rPr>
              <w:t>Subtotal</w:t>
            </w:r>
          </w:p>
        </w:tc>
        <w:tc>
          <w:tcPr>
            <w:tcW w:w="406" w:type="dxa"/>
          </w:tcPr>
          <w:p>
            <w:pPr>
              <w:pStyle w:val="TableParagraph"/>
              <w:spacing w:before="65"/>
              <w:ind w:right="65"/>
              <w:jc w:val="right"/>
              <w:rPr>
                <w:sz w:val="20"/>
              </w:rPr>
            </w:pPr>
            <w:r>
              <w:rPr>
                <w:w w:val="99"/>
                <w:sz w:val="20"/>
              </w:rPr>
              <w:t>2</w:t>
            </w:r>
          </w:p>
        </w:tc>
        <w:tc>
          <w:tcPr>
            <w:tcW w:w="396" w:type="dxa"/>
          </w:tcPr>
          <w:p>
            <w:pPr>
              <w:pStyle w:val="TableParagraph"/>
              <w:spacing w:before="65"/>
              <w:ind w:right="64"/>
              <w:jc w:val="right"/>
              <w:rPr>
                <w:sz w:val="20"/>
              </w:rPr>
            </w:pPr>
            <w:r>
              <w:rPr>
                <w:w w:val="99"/>
                <w:sz w:val="20"/>
              </w:rPr>
              <w:t>2</w:t>
            </w:r>
          </w:p>
        </w:tc>
        <w:tc>
          <w:tcPr>
            <w:tcW w:w="408" w:type="dxa"/>
          </w:tcPr>
          <w:p>
            <w:pPr>
              <w:pStyle w:val="TableParagraph"/>
              <w:spacing w:before="65"/>
              <w:ind w:right="66"/>
              <w:jc w:val="right"/>
              <w:rPr>
                <w:sz w:val="20"/>
              </w:rPr>
            </w:pPr>
            <w:r>
              <w:rPr>
                <w:w w:val="99"/>
                <w:sz w:val="20"/>
              </w:rPr>
              <w:t>4</w:t>
            </w:r>
          </w:p>
        </w:tc>
        <w:tc>
          <w:tcPr>
            <w:tcW w:w="406" w:type="dxa"/>
          </w:tcPr>
          <w:p>
            <w:pPr>
              <w:pStyle w:val="TableParagraph"/>
              <w:spacing w:before="65"/>
              <w:ind w:right="65"/>
              <w:jc w:val="right"/>
              <w:rPr>
                <w:sz w:val="20"/>
              </w:rPr>
            </w:pPr>
            <w:r>
              <w:rPr>
                <w:w w:val="99"/>
                <w:sz w:val="20"/>
              </w:rPr>
              <w:t>6</w:t>
            </w:r>
          </w:p>
        </w:tc>
        <w:tc>
          <w:tcPr>
            <w:tcW w:w="2578" w:type="dxa"/>
          </w:tcPr>
          <w:p>
            <w:pPr/>
          </w:p>
        </w:tc>
      </w:tr>
    </w:tbl>
    <w:p>
      <w:pPr>
        <w:pStyle w:val="BodyText"/>
        <w:spacing w:before="8"/>
        <w:rPr>
          <w:sz w:val="10"/>
        </w:rPr>
      </w:pPr>
    </w:p>
    <w:tbl>
      <w:tblPr>
        <w:tblW w:w="0" w:type="auto"/>
        <w:jc w:val="left"/>
        <w:tblInd w:w="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2936"/>
        <w:gridCol w:w="406"/>
        <w:gridCol w:w="396"/>
        <w:gridCol w:w="408"/>
        <w:gridCol w:w="406"/>
        <w:gridCol w:w="2578"/>
      </w:tblGrid>
      <w:tr>
        <w:trPr>
          <w:trHeight w:val="310" w:hRule="exact"/>
        </w:trPr>
        <w:tc>
          <w:tcPr>
            <w:tcW w:w="437" w:type="dxa"/>
          </w:tcPr>
          <w:p>
            <w:pPr>
              <w:pStyle w:val="TableParagraph"/>
              <w:spacing w:before="63"/>
              <w:ind w:left="160"/>
              <w:rPr>
                <w:sz w:val="20"/>
              </w:rPr>
            </w:pPr>
            <w:r>
              <w:rPr>
                <w:sz w:val="20"/>
              </w:rPr>
              <w:t>11</w:t>
            </w:r>
          </w:p>
        </w:tc>
        <w:tc>
          <w:tcPr>
            <w:tcW w:w="2936" w:type="dxa"/>
          </w:tcPr>
          <w:p>
            <w:pPr>
              <w:pStyle w:val="TableParagraph"/>
              <w:spacing w:before="63"/>
              <w:ind w:left="1294"/>
              <w:rPr>
                <w:sz w:val="20"/>
              </w:rPr>
            </w:pPr>
            <w:r>
              <w:rPr>
                <w:sz w:val="20"/>
              </w:rPr>
              <w:t>Total núcleo básico</w:t>
            </w:r>
          </w:p>
        </w:tc>
        <w:tc>
          <w:tcPr>
            <w:tcW w:w="406" w:type="dxa"/>
          </w:tcPr>
          <w:p>
            <w:pPr>
              <w:pStyle w:val="TableParagraph"/>
              <w:spacing w:before="63"/>
              <w:ind w:left="131"/>
              <w:rPr>
                <w:sz w:val="20"/>
              </w:rPr>
            </w:pPr>
            <w:r>
              <w:rPr>
                <w:sz w:val="20"/>
              </w:rPr>
              <w:t>34</w:t>
            </w:r>
          </w:p>
        </w:tc>
        <w:tc>
          <w:tcPr>
            <w:tcW w:w="396" w:type="dxa"/>
          </w:tcPr>
          <w:p>
            <w:pPr>
              <w:pStyle w:val="TableParagraph"/>
              <w:spacing w:before="63"/>
              <w:ind w:left="122"/>
              <w:rPr>
                <w:sz w:val="20"/>
              </w:rPr>
            </w:pPr>
            <w:r>
              <w:rPr>
                <w:sz w:val="20"/>
              </w:rPr>
              <w:t>18</w:t>
            </w:r>
          </w:p>
        </w:tc>
        <w:tc>
          <w:tcPr>
            <w:tcW w:w="408" w:type="dxa"/>
          </w:tcPr>
          <w:p>
            <w:pPr>
              <w:pStyle w:val="TableParagraph"/>
              <w:spacing w:before="63"/>
              <w:ind w:left="131"/>
              <w:rPr>
                <w:sz w:val="20"/>
              </w:rPr>
            </w:pPr>
            <w:r>
              <w:rPr>
                <w:sz w:val="20"/>
              </w:rPr>
              <w:t>52</w:t>
            </w:r>
          </w:p>
        </w:tc>
        <w:tc>
          <w:tcPr>
            <w:tcW w:w="406" w:type="dxa"/>
          </w:tcPr>
          <w:p>
            <w:pPr>
              <w:pStyle w:val="TableParagraph"/>
              <w:spacing w:before="63"/>
              <w:ind w:left="131"/>
              <w:rPr>
                <w:sz w:val="20"/>
              </w:rPr>
            </w:pPr>
            <w:r>
              <w:rPr>
                <w:sz w:val="20"/>
              </w:rPr>
              <w:t>86</w:t>
            </w:r>
          </w:p>
        </w:tc>
        <w:tc>
          <w:tcPr>
            <w:tcW w:w="2578" w:type="dxa"/>
          </w:tcPr>
          <w:p>
            <w:pPr/>
          </w:p>
        </w:tc>
      </w:tr>
    </w:tbl>
    <w:p>
      <w:pPr>
        <w:pStyle w:val="BodyText"/>
        <w:spacing w:line="271" w:lineRule="exact"/>
        <w:ind w:left="1323"/>
      </w:pPr>
      <w:r>
        <w:rPr/>
        <w:t>Fuente: Departamento de desarrollo curricular, UAEMéx, 2013.</w:t>
      </w:r>
    </w:p>
    <w:p>
      <w:pPr>
        <w:pStyle w:val="BodyText"/>
        <w:spacing w:before="7"/>
        <w:rPr>
          <w:sz w:val="29"/>
        </w:rPr>
      </w:pPr>
    </w:p>
    <w:p>
      <w:pPr>
        <w:pStyle w:val="Heading3"/>
        <w:spacing w:before="0"/>
        <w:ind w:left="658"/>
        <w:jc w:val="left"/>
      </w:pPr>
      <w:r>
        <w:rPr/>
        <w:t>Núcleo sustantivo</w:t>
      </w:r>
    </w:p>
    <w:p>
      <w:pPr>
        <w:spacing w:before="1" w:after="2"/>
        <w:ind w:left="658" w:right="0" w:firstLine="0"/>
        <w:jc w:val="left"/>
        <w:rPr>
          <w:b/>
          <w:sz w:val="20"/>
        </w:rPr>
      </w:pPr>
      <w:r>
        <w:rPr>
          <w:b/>
          <w:sz w:val="20"/>
        </w:rPr>
        <w:t>Obligatorias</w:t>
      </w:r>
    </w:p>
    <w:tbl>
      <w:tblPr>
        <w:tblW w:w="0" w:type="auto"/>
        <w:jc w:val="left"/>
        <w:tblInd w:w="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2936"/>
        <w:gridCol w:w="406"/>
        <w:gridCol w:w="396"/>
        <w:gridCol w:w="437"/>
        <w:gridCol w:w="434"/>
        <w:gridCol w:w="2578"/>
      </w:tblGrid>
      <w:tr>
        <w:trPr>
          <w:trHeight w:val="310" w:hRule="exact"/>
        </w:trPr>
        <w:tc>
          <w:tcPr>
            <w:tcW w:w="437" w:type="dxa"/>
          </w:tcPr>
          <w:p>
            <w:pPr>
              <w:pStyle w:val="TableParagraph"/>
              <w:spacing w:before="63"/>
              <w:ind w:left="44" w:right="45"/>
              <w:jc w:val="center"/>
              <w:rPr>
                <w:sz w:val="20"/>
              </w:rPr>
            </w:pPr>
            <w:r>
              <w:rPr>
                <w:sz w:val="20"/>
              </w:rPr>
              <w:t>No.</w:t>
            </w:r>
          </w:p>
        </w:tc>
        <w:tc>
          <w:tcPr>
            <w:tcW w:w="2936" w:type="dxa"/>
          </w:tcPr>
          <w:p>
            <w:pPr>
              <w:pStyle w:val="TableParagraph"/>
              <w:spacing w:before="63"/>
              <w:ind w:left="62"/>
              <w:rPr>
                <w:sz w:val="20"/>
              </w:rPr>
            </w:pPr>
            <w:r>
              <w:rPr>
                <w:sz w:val="20"/>
              </w:rPr>
              <w:t>Unidad de aprendizaje (UA)</w:t>
            </w:r>
          </w:p>
        </w:tc>
        <w:tc>
          <w:tcPr>
            <w:tcW w:w="406" w:type="dxa"/>
          </w:tcPr>
          <w:p>
            <w:pPr>
              <w:pStyle w:val="TableParagraph"/>
              <w:spacing w:before="63"/>
              <w:ind w:left="39" w:right="42"/>
              <w:jc w:val="center"/>
              <w:rPr>
                <w:sz w:val="20"/>
              </w:rPr>
            </w:pPr>
            <w:r>
              <w:rPr>
                <w:sz w:val="20"/>
              </w:rPr>
              <w:t>HT</w:t>
            </w:r>
          </w:p>
        </w:tc>
        <w:tc>
          <w:tcPr>
            <w:tcW w:w="396" w:type="dxa"/>
          </w:tcPr>
          <w:p>
            <w:pPr>
              <w:pStyle w:val="TableParagraph"/>
              <w:spacing w:before="63"/>
              <w:ind w:left="43" w:right="43"/>
              <w:jc w:val="center"/>
              <w:rPr>
                <w:sz w:val="20"/>
              </w:rPr>
            </w:pPr>
            <w:r>
              <w:rPr>
                <w:sz w:val="20"/>
              </w:rPr>
              <w:t>HP</w:t>
            </w:r>
          </w:p>
        </w:tc>
        <w:tc>
          <w:tcPr>
            <w:tcW w:w="437" w:type="dxa"/>
          </w:tcPr>
          <w:p>
            <w:pPr>
              <w:pStyle w:val="TableParagraph"/>
              <w:spacing w:before="63"/>
              <w:ind w:left="22" w:right="45"/>
              <w:jc w:val="center"/>
              <w:rPr>
                <w:sz w:val="20"/>
              </w:rPr>
            </w:pPr>
            <w:r>
              <w:rPr>
                <w:sz w:val="20"/>
              </w:rPr>
              <w:t>TH</w:t>
            </w:r>
          </w:p>
        </w:tc>
        <w:tc>
          <w:tcPr>
            <w:tcW w:w="434" w:type="dxa"/>
          </w:tcPr>
          <w:p>
            <w:pPr>
              <w:pStyle w:val="TableParagraph"/>
              <w:spacing w:before="63"/>
              <w:ind w:right="94"/>
              <w:jc w:val="right"/>
              <w:rPr>
                <w:sz w:val="20"/>
              </w:rPr>
            </w:pPr>
            <w:r>
              <w:rPr>
                <w:sz w:val="20"/>
              </w:rPr>
              <w:t>CR</w:t>
            </w:r>
          </w:p>
        </w:tc>
        <w:tc>
          <w:tcPr>
            <w:tcW w:w="2578" w:type="dxa"/>
          </w:tcPr>
          <w:p>
            <w:pPr>
              <w:pStyle w:val="TableParagraph"/>
              <w:spacing w:before="63"/>
              <w:ind w:left="64" w:right="562"/>
              <w:rPr>
                <w:sz w:val="20"/>
              </w:rPr>
            </w:pPr>
            <w:r>
              <w:rPr>
                <w:sz w:val="20"/>
              </w:rPr>
              <w:t>Área curricular</w:t>
            </w:r>
          </w:p>
        </w:tc>
      </w:tr>
      <w:tr>
        <w:trPr>
          <w:trHeight w:val="535" w:hRule="exact"/>
        </w:trPr>
        <w:tc>
          <w:tcPr>
            <w:tcW w:w="437" w:type="dxa"/>
          </w:tcPr>
          <w:p>
            <w:pPr>
              <w:pStyle w:val="TableParagraph"/>
              <w:spacing w:before="1"/>
              <w:rPr>
                <w:b/>
                <w:sz w:val="25"/>
              </w:rPr>
            </w:pPr>
          </w:p>
          <w:p>
            <w:pPr>
              <w:pStyle w:val="TableParagraph"/>
              <w:ind w:left="190"/>
              <w:jc w:val="center"/>
              <w:rPr>
                <w:sz w:val="20"/>
              </w:rPr>
            </w:pPr>
            <w:r>
              <w:rPr>
                <w:w w:val="99"/>
                <w:sz w:val="20"/>
              </w:rPr>
              <w:t>1</w:t>
            </w:r>
          </w:p>
        </w:tc>
        <w:tc>
          <w:tcPr>
            <w:tcW w:w="2936" w:type="dxa"/>
          </w:tcPr>
          <w:p>
            <w:pPr>
              <w:pStyle w:val="TableParagraph"/>
              <w:spacing w:before="58"/>
              <w:ind w:left="62" w:right="473"/>
              <w:rPr>
                <w:sz w:val="20"/>
              </w:rPr>
            </w:pPr>
            <w:r>
              <w:rPr>
                <w:sz w:val="20"/>
              </w:rPr>
              <w:t>Ecuaciones diferenciales y en diferencia</w:t>
            </w:r>
          </w:p>
        </w:tc>
        <w:tc>
          <w:tcPr>
            <w:tcW w:w="406" w:type="dxa"/>
          </w:tcPr>
          <w:p>
            <w:pPr>
              <w:pStyle w:val="TableParagraph"/>
              <w:spacing w:before="139"/>
              <w:ind w:right="6"/>
              <w:jc w:val="center"/>
              <w:rPr>
                <w:sz w:val="20"/>
              </w:rPr>
            </w:pPr>
            <w:r>
              <w:rPr>
                <w:w w:val="99"/>
                <w:sz w:val="20"/>
              </w:rPr>
              <w:t>4</w:t>
            </w:r>
          </w:p>
        </w:tc>
        <w:tc>
          <w:tcPr>
            <w:tcW w:w="396" w:type="dxa"/>
          </w:tcPr>
          <w:p>
            <w:pPr>
              <w:pStyle w:val="TableParagraph"/>
              <w:spacing w:before="139"/>
              <w:ind w:right="2"/>
              <w:jc w:val="center"/>
              <w:rPr>
                <w:sz w:val="20"/>
              </w:rPr>
            </w:pPr>
            <w:r>
              <w:rPr>
                <w:w w:val="99"/>
                <w:sz w:val="20"/>
              </w:rPr>
              <w:t>2</w:t>
            </w:r>
          </w:p>
        </w:tc>
        <w:tc>
          <w:tcPr>
            <w:tcW w:w="437" w:type="dxa"/>
          </w:tcPr>
          <w:p>
            <w:pPr>
              <w:pStyle w:val="TableParagraph"/>
              <w:spacing w:before="139"/>
              <w:ind w:right="4"/>
              <w:jc w:val="center"/>
              <w:rPr>
                <w:sz w:val="20"/>
              </w:rPr>
            </w:pPr>
            <w:r>
              <w:rPr>
                <w:w w:val="99"/>
                <w:sz w:val="20"/>
              </w:rPr>
              <w:t>6</w:t>
            </w:r>
          </w:p>
        </w:tc>
        <w:tc>
          <w:tcPr>
            <w:tcW w:w="434" w:type="dxa"/>
          </w:tcPr>
          <w:p>
            <w:pPr>
              <w:pStyle w:val="TableParagraph"/>
              <w:spacing w:before="139"/>
              <w:ind w:right="108"/>
              <w:jc w:val="right"/>
              <w:rPr>
                <w:sz w:val="20"/>
              </w:rPr>
            </w:pPr>
            <w:r>
              <w:rPr>
                <w:sz w:val="20"/>
              </w:rPr>
              <w:t>10</w:t>
            </w:r>
          </w:p>
        </w:tc>
        <w:tc>
          <w:tcPr>
            <w:tcW w:w="2578" w:type="dxa"/>
          </w:tcPr>
          <w:p>
            <w:pPr>
              <w:pStyle w:val="TableParagraph"/>
              <w:spacing w:before="58"/>
              <w:ind w:left="64" w:right="562"/>
              <w:rPr>
                <w:sz w:val="20"/>
              </w:rPr>
            </w:pPr>
            <w:r>
              <w:rPr>
                <w:sz w:val="20"/>
              </w:rPr>
              <w:t>Métodos cuantitativos y estadísticos</w:t>
            </w:r>
          </w:p>
        </w:tc>
      </w:tr>
      <w:tr>
        <w:trPr>
          <w:trHeight w:val="535" w:hRule="exact"/>
        </w:trPr>
        <w:tc>
          <w:tcPr>
            <w:tcW w:w="437" w:type="dxa"/>
          </w:tcPr>
          <w:p>
            <w:pPr>
              <w:pStyle w:val="TableParagraph"/>
              <w:spacing w:before="1"/>
              <w:rPr>
                <w:b/>
                <w:sz w:val="25"/>
              </w:rPr>
            </w:pPr>
          </w:p>
          <w:p>
            <w:pPr>
              <w:pStyle w:val="TableParagraph"/>
              <w:ind w:left="190"/>
              <w:jc w:val="center"/>
              <w:rPr>
                <w:sz w:val="20"/>
              </w:rPr>
            </w:pPr>
            <w:r>
              <w:rPr>
                <w:w w:val="99"/>
                <w:sz w:val="20"/>
              </w:rPr>
              <w:t>2</w:t>
            </w:r>
          </w:p>
        </w:tc>
        <w:tc>
          <w:tcPr>
            <w:tcW w:w="2936" w:type="dxa"/>
          </w:tcPr>
          <w:p>
            <w:pPr>
              <w:pStyle w:val="TableParagraph"/>
              <w:spacing w:before="1"/>
              <w:rPr>
                <w:b/>
                <w:sz w:val="25"/>
              </w:rPr>
            </w:pPr>
          </w:p>
          <w:p>
            <w:pPr>
              <w:pStyle w:val="TableParagraph"/>
              <w:ind w:left="62"/>
              <w:rPr>
                <w:sz w:val="20"/>
              </w:rPr>
            </w:pPr>
            <w:r>
              <w:rPr>
                <w:sz w:val="20"/>
              </w:rPr>
              <w:t>Economía matemática</w:t>
            </w:r>
          </w:p>
        </w:tc>
        <w:tc>
          <w:tcPr>
            <w:tcW w:w="406" w:type="dxa"/>
          </w:tcPr>
          <w:p>
            <w:pPr>
              <w:pStyle w:val="TableParagraph"/>
              <w:spacing w:before="139"/>
              <w:ind w:right="6"/>
              <w:jc w:val="center"/>
              <w:rPr>
                <w:sz w:val="20"/>
              </w:rPr>
            </w:pPr>
            <w:r>
              <w:rPr>
                <w:w w:val="99"/>
                <w:sz w:val="20"/>
              </w:rPr>
              <w:t>4</w:t>
            </w:r>
          </w:p>
        </w:tc>
        <w:tc>
          <w:tcPr>
            <w:tcW w:w="396" w:type="dxa"/>
          </w:tcPr>
          <w:p>
            <w:pPr>
              <w:pStyle w:val="TableParagraph"/>
              <w:spacing w:before="139"/>
              <w:ind w:right="2"/>
              <w:jc w:val="center"/>
              <w:rPr>
                <w:sz w:val="20"/>
              </w:rPr>
            </w:pPr>
            <w:r>
              <w:rPr>
                <w:w w:val="99"/>
                <w:sz w:val="20"/>
              </w:rPr>
              <w:t>2</w:t>
            </w:r>
          </w:p>
        </w:tc>
        <w:tc>
          <w:tcPr>
            <w:tcW w:w="437" w:type="dxa"/>
          </w:tcPr>
          <w:p>
            <w:pPr>
              <w:pStyle w:val="TableParagraph"/>
              <w:spacing w:before="139"/>
              <w:ind w:right="4"/>
              <w:jc w:val="center"/>
              <w:rPr>
                <w:sz w:val="20"/>
              </w:rPr>
            </w:pPr>
            <w:r>
              <w:rPr>
                <w:w w:val="99"/>
                <w:sz w:val="20"/>
              </w:rPr>
              <w:t>6</w:t>
            </w:r>
          </w:p>
        </w:tc>
        <w:tc>
          <w:tcPr>
            <w:tcW w:w="434" w:type="dxa"/>
          </w:tcPr>
          <w:p>
            <w:pPr>
              <w:pStyle w:val="TableParagraph"/>
              <w:spacing w:before="139"/>
              <w:ind w:right="108"/>
              <w:jc w:val="right"/>
              <w:rPr>
                <w:sz w:val="20"/>
              </w:rPr>
            </w:pPr>
            <w:r>
              <w:rPr>
                <w:sz w:val="20"/>
              </w:rPr>
              <w:t>10</w:t>
            </w:r>
          </w:p>
        </w:tc>
        <w:tc>
          <w:tcPr>
            <w:tcW w:w="2578" w:type="dxa"/>
          </w:tcPr>
          <w:p>
            <w:pPr>
              <w:pStyle w:val="TableParagraph"/>
              <w:spacing w:before="58"/>
              <w:ind w:left="64" w:right="562"/>
              <w:rPr>
                <w:sz w:val="20"/>
              </w:rPr>
            </w:pPr>
            <w:r>
              <w:rPr>
                <w:sz w:val="20"/>
              </w:rPr>
              <w:t>Métodos cuantitativos y estadísticos</w:t>
            </w:r>
          </w:p>
        </w:tc>
      </w:tr>
      <w:tr>
        <w:trPr>
          <w:trHeight w:val="533" w:hRule="exact"/>
        </w:trPr>
        <w:tc>
          <w:tcPr>
            <w:tcW w:w="437" w:type="dxa"/>
          </w:tcPr>
          <w:p>
            <w:pPr>
              <w:pStyle w:val="TableParagraph"/>
              <w:spacing w:before="1"/>
              <w:rPr>
                <w:b/>
                <w:sz w:val="25"/>
              </w:rPr>
            </w:pPr>
          </w:p>
          <w:p>
            <w:pPr>
              <w:pStyle w:val="TableParagraph"/>
              <w:ind w:left="190"/>
              <w:jc w:val="center"/>
              <w:rPr>
                <w:sz w:val="20"/>
              </w:rPr>
            </w:pPr>
            <w:r>
              <w:rPr>
                <w:w w:val="99"/>
                <w:sz w:val="20"/>
              </w:rPr>
              <w:t>3</w:t>
            </w:r>
          </w:p>
        </w:tc>
        <w:tc>
          <w:tcPr>
            <w:tcW w:w="2936" w:type="dxa"/>
          </w:tcPr>
          <w:p>
            <w:pPr>
              <w:pStyle w:val="TableParagraph"/>
              <w:spacing w:before="1"/>
              <w:rPr>
                <w:b/>
                <w:sz w:val="25"/>
              </w:rPr>
            </w:pPr>
          </w:p>
          <w:p>
            <w:pPr>
              <w:pStyle w:val="TableParagraph"/>
              <w:ind w:left="62"/>
              <w:rPr>
                <w:sz w:val="20"/>
              </w:rPr>
            </w:pPr>
            <w:r>
              <w:rPr>
                <w:sz w:val="20"/>
              </w:rPr>
              <w:t>Teoría de juegos</w:t>
            </w:r>
          </w:p>
        </w:tc>
        <w:tc>
          <w:tcPr>
            <w:tcW w:w="406" w:type="dxa"/>
          </w:tcPr>
          <w:p>
            <w:pPr>
              <w:pStyle w:val="TableParagraph"/>
              <w:spacing w:before="139"/>
              <w:ind w:right="6"/>
              <w:jc w:val="center"/>
              <w:rPr>
                <w:sz w:val="20"/>
              </w:rPr>
            </w:pPr>
            <w:r>
              <w:rPr>
                <w:w w:val="99"/>
                <w:sz w:val="20"/>
              </w:rPr>
              <w:t>3</w:t>
            </w:r>
          </w:p>
        </w:tc>
        <w:tc>
          <w:tcPr>
            <w:tcW w:w="396" w:type="dxa"/>
          </w:tcPr>
          <w:p>
            <w:pPr>
              <w:pStyle w:val="TableParagraph"/>
              <w:spacing w:before="139"/>
              <w:ind w:right="2"/>
              <w:jc w:val="center"/>
              <w:rPr>
                <w:sz w:val="20"/>
              </w:rPr>
            </w:pPr>
            <w:r>
              <w:rPr>
                <w:w w:val="99"/>
                <w:sz w:val="20"/>
              </w:rPr>
              <w:t>1</w:t>
            </w:r>
          </w:p>
        </w:tc>
        <w:tc>
          <w:tcPr>
            <w:tcW w:w="437" w:type="dxa"/>
          </w:tcPr>
          <w:p>
            <w:pPr>
              <w:pStyle w:val="TableParagraph"/>
              <w:spacing w:before="139"/>
              <w:ind w:right="4"/>
              <w:jc w:val="center"/>
              <w:rPr>
                <w:sz w:val="20"/>
              </w:rPr>
            </w:pPr>
            <w:r>
              <w:rPr>
                <w:w w:val="99"/>
                <w:sz w:val="20"/>
              </w:rPr>
              <w:t>4</w:t>
            </w:r>
          </w:p>
        </w:tc>
        <w:tc>
          <w:tcPr>
            <w:tcW w:w="434" w:type="dxa"/>
          </w:tcPr>
          <w:p>
            <w:pPr>
              <w:pStyle w:val="TableParagraph"/>
              <w:spacing w:before="139"/>
              <w:ind w:right="162"/>
              <w:jc w:val="right"/>
              <w:rPr>
                <w:sz w:val="20"/>
              </w:rPr>
            </w:pPr>
            <w:r>
              <w:rPr>
                <w:w w:val="99"/>
                <w:sz w:val="20"/>
              </w:rPr>
              <w:t>7</w:t>
            </w:r>
          </w:p>
        </w:tc>
        <w:tc>
          <w:tcPr>
            <w:tcW w:w="2578" w:type="dxa"/>
          </w:tcPr>
          <w:p>
            <w:pPr>
              <w:pStyle w:val="TableParagraph"/>
              <w:spacing w:before="58"/>
              <w:ind w:left="64" w:right="562"/>
              <w:rPr>
                <w:sz w:val="20"/>
              </w:rPr>
            </w:pPr>
            <w:r>
              <w:rPr>
                <w:sz w:val="20"/>
              </w:rPr>
              <w:t>Métodos cuantitativos y estadísticos</w:t>
            </w:r>
          </w:p>
        </w:tc>
      </w:tr>
      <w:tr>
        <w:trPr>
          <w:trHeight w:val="536" w:hRule="exact"/>
        </w:trPr>
        <w:tc>
          <w:tcPr>
            <w:tcW w:w="437" w:type="dxa"/>
          </w:tcPr>
          <w:p>
            <w:pPr>
              <w:pStyle w:val="TableParagraph"/>
              <w:spacing w:before="3"/>
              <w:rPr>
                <w:b/>
                <w:sz w:val="25"/>
              </w:rPr>
            </w:pPr>
          </w:p>
          <w:p>
            <w:pPr>
              <w:pStyle w:val="TableParagraph"/>
              <w:spacing w:before="1"/>
              <w:ind w:left="190"/>
              <w:jc w:val="center"/>
              <w:rPr>
                <w:sz w:val="20"/>
              </w:rPr>
            </w:pPr>
            <w:r>
              <w:rPr>
                <w:w w:val="99"/>
                <w:sz w:val="20"/>
              </w:rPr>
              <w:t>4</w:t>
            </w:r>
          </w:p>
        </w:tc>
        <w:tc>
          <w:tcPr>
            <w:tcW w:w="2936" w:type="dxa"/>
          </w:tcPr>
          <w:p>
            <w:pPr>
              <w:pStyle w:val="TableParagraph"/>
              <w:spacing w:before="3"/>
              <w:rPr>
                <w:b/>
                <w:sz w:val="25"/>
              </w:rPr>
            </w:pPr>
          </w:p>
          <w:p>
            <w:pPr>
              <w:pStyle w:val="TableParagraph"/>
              <w:spacing w:before="1"/>
              <w:ind w:left="62"/>
              <w:rPr>
                <w:sz w:val="20"/>
              </w:rPr>
            </w:pPr>
            <w:r>
              <w:rPr>
                <w:sz w:val="20"/>
              </w:rPr>
              <w:t>Estadística inferencial</w:t>
            </w:r>
          </w:p>
        </w:tc>
        <w:tc>
          <w:tcPr>
            <w:tcW w:w="406" w:type="dxa"/>
          </w:tcPr>
          <w:p>
            <w:pPr>
              <w:pStyle w:val="TableParagraph"/>
              <w:spacing w:before="142"/>
              <w:ind w:right="6"/>
              <w:jc w:val="center"/>
              <w:rPr>
                <w:sz w:val="20"/>
              </w:rPr>
            </w:pPr>
            <w:r>
              <w:rPr>
                <w:w w:val="99"/>
                <w:sz w:val="20"/>
              </w:rPr>
              <w:t>4</w:t>
            </w:r>
          </w:p>
        </w:tc>
        <w:tc>
          <w:tcPr>
            <w:tcW w:w="396" w:type="dxa"/>
          </w:tcPr>
          <w:p>
            <w:pPr>
              <w:pStyle w:val="TableParagraph"/>
              <w:spacing w:before="142"/>
              <w:ind w:right="2"/>
              <w:jc w:val="center"/>
              <w:rPr>
                <w:sz w:val="20"/>
              </w:rPr>
            </w:pPr>
            <w:r>
              <w:rPr>
                <w:w w:val="99"/>
                <w:sz w:val="20"/>
              </w:rPr>
              <w:t>2</w:t>
            </w:r>
          </w:p>
        </w:tc>
        <w:tc>
          <w:tcPr>
            <w:tcW w:w="437" w:type="dxa"/>
          </w:tcPr>
          <w:p>
            <w:pPr>
              <w:pStyle w:val="TableParagraph"/>
              <w:spacing w:before="142"/>
              <w:ind w:right="4"/>
              <w:jc w:val="center"/>
              <w:rPr>
                <w:sz w:val="20"/>
              </w:rPr>
            </w:pPr>
            <w:r>
              <w:rPr>
                <w:w w:val="99"/>
                <w:sz w:val="20"/>
              </w:rPr>
              <w:t>6</w:t>
            </w:r>
          </w:p>
        </w:tc>
        <w:tc>
          <w:tcPr>
            <w:tcW w:w="434" w:type="dxa"/>
          </w:tcPr>
          <w:p>
            <w:pPr>
              <w:pStyle w:val="TableParagraph"/>
              <w:spacing w:before="142"/>
              <w:ind w:right="108"/>
              <w:jc w:val="right"/>
              <w:rPr>
                <w:sz w:val="20"/>
              </w:rPr>
            </w:pPr>
            <w:r>
              <w:rPr>
                <w:sz w:val="20"/>
              </w:rPr>
              <w:t>10</w:t>
            </w:r>
          </w:p>
        </w:tc>
        <w:tc>
          <w:tcPr>
            <w:tcW w:w="2578" w:type="dxa"/>
          </w:tcPr>
          <w:p>
            <w:pPr>
              <w:pStyle w:val="TableParagraph"/>
              <w:spacing w:before="60"/>
              <w:ind w:left="64" w:right="562"/>
              <w:rPr>
                <w:sz w:val="20"/>
              </w:rPr>
            </w:pPr>
            <w:r>
              <w:rPr>
                <w:sz w:val="20"/>
              </w:rPr>
              <w:t>Métodos cuantitativos y estadísticos</w:t>
            </w:r>
          </w:p>
        </w:tc>
      </w:tr>
      <w:tr>
        <w:trPr>
          <w:trHeight w:val="535" w:hRule="exact"/>
        </w:trPr>
        <w:tc>
          <w:tcPr>
            <w:tcW w:w="437" w:type="dxa"/>
          </w:tcPr>
          <w:p>
            <w:pPr>
              <w:pStyle w:val="TableParagraph"/>
              <w:spacing w:before="1"/>
              <w:rPr>
                <w:b/>
                <w:sz w:val="25"/>
              </w:rPr>
            </w:pPr>
          </w:p>
          <w:p>
            <w:pPr>
              <w:pStyle w:val="TableParagraph"/>
              <w:ind w:left="190"/>
              <w:jc w:val="center"/>
              <w:rPr>
                <w:sz w:val="20"/>
              </w:rPr>
            </w:pPr>
            <w:r>
              <w:rPr>
                <w:w w:val="99"/>
                <w:sz w:val="20"/>
              </w:rPr>
              <w:t>5</w:t>
            </w:r>
          </w:p>
        </w:tc>
        <w:tc>
          <w:tcPr>
            <w:tcW w:w="2936" w:type="dxa"/>
          </w:tcPr>
          <w:p>
            <w:pPr>
              <w:pStyle w:val="TableParagraph"/>
              <w:spacing w:before="1"/>
              <w:rPr>
                <w:b/>
                <w:sz w:val="25"/>
              </w:rPr>
            </w:pPr>
          </w:p>
          <w:p>
            <w:pPr>
              <w:pStyle w:val="TableParagraph"/>
              <w:ind w:left="62"/>
              <w:rPr>
                <w:sz w:val="20"/>
              </w:rPr>
            </w:pPr>
            <w:r>
              <w:rPr>
                <w:sz w:val="20"/>
              </w:rPr>
              <w:t>Modelos econométricos</w:t>
            </w:r>
          </w:p>
        </w:tc>
        <w:tc>
          <w:tcPr>
            <w:tcW w:w="406" w:type="dxa"/>
          </w:tcPr>
          <w:p>
            <w:pPr>
              <w:pStyle w:val="TableParagraph"/>
              <w:spacing w:before="142"/>
              <w:ind w:right="6"/>
              <w:jc w:val="center"/>
              <w:rPr>
                <w:sz w:val="20"/>
              </w:rPr>
            </w:pPr>
            <w:r>
              <w:rPr>
                <w:w w:val="99"/>
                <w:sz w:val="20"/>
              </w:rPr>
              <w:t>4</w:t>
            </w:r>
          </w:p>
        </w:tc>
        <w:tc>
          <w:tcPr>
            <w:tcW w:w="396" w:type="dxa"/>
          </w:tcPr>
          <w:p>
            <w:pPr>
              <w:pStyle w:val="TableParagraph"/>
              <w:spacing w:before="142"/>
              <w:ind w:right="2"/>
              <w:jc w:val="center"/>
              <w:rPr>
                <w:sz w:val="20"/>
              </w:rPr>
            </w:pPr>
            <w:r>
              <w:rPr>
                <w:w w:val="99"/>
                <w:sz w:val="20"/>
              </w:rPr>
              <w:t>2</w:t>
            </w:r>
          </w:p>
        </w:tc>
        <w:tc>
          <w:tcPr>
            <w:tcW w:w="437" w:type="dxa"/>
          </w:tcPr>
          <w:p>
            <w:pPr>
              <w:pStyle w:val="TableParagraph"/>
              <w:spacing w:before="142"/>
              <w:ind w:right="4"/>
              <w:jc w:val="center"/>
              <w:rPr>
                <w:sz w:val="20"/>
              </w:rPr>
            </w:pPr>
            <w:r>
              <w:rPr>
                <w:w w:val="99"/>
                <w:sz w:val="20"/>
              </w:rPr>
              <w:t>6</w:t>
            </w:r>
          </w:p>
        </w:tc>
        <w:tc>
          <w:tcPr>
            <w:tcW w:w="434" w:type="dxa"/>
          </w:tcPr>
          <w:p>
            <w:pPr>
              <w:pStyle w:val="TableParagraph"/>
              <w:spacing w:before="142"/>
              <w:ind w:right="108"/>
              <w:jc w:val="right"/>
              <w:rPr>
                <w:sz w:val="20"/>
              </w:rPr>
            </w:pPr>
            <w:r>
              <w:rPr>
                <w:sz w:val="20"/>
              </w:rPr>
              <w:t>10</w:t>
            </w:r>
          </w:p>
        </w:tc>
        <w:tc>
          <w:tcPr>
            <w:tcW w:w="2578" w:type="dxa"/>
          </w:tcPr>
          <w:p>
            <w:pPr>
              <w:pStyle w:val="TableParagraph"/>
              <w:spacing w:before="60"/>
              <w:ind w:left="64" w:right="562"/>
              <w:rPr>
                <w:sz w:val="20"/>
              </w:rPr>
            </w:pPr>
            <w:r>
              <w:rPr>
                <w:sz w:val="20"/>
              </w:rPr>
              <w:t>Métodos cuantitativos y estadísticos</w:t>
            </w:r>
          </w:p>
        </w:tc>
      </w:tr>
      <w:tr>
        <w:trPr>
          <w:trHeight w:val="535" w:hRule="exact"/>
        </w:trPr>
        <w:tc>
          <w:tcPr>
            <w:tcW w:w="437" w:type="dxa"/>
          </w:tcPr>
          <w:p>
            <w:pPr>
              <w:pStyle w:val="TableParagraph"/>
              <w:spacing w:before="1"/>
              <w:rPr>
                <w:b/>
                <w:sz w:val="25"/>
              </w:rPr>
            </w:pPr>
          </w:p>
          <w:p>
            <w:pPr>
              <w:pStyle w:val="TableParagraph"/>
              <w:ind w:left="190"/>
              <w:jc w:val="center"/>
              <w:rPr>
                <w:sz w:val="20"/>
              </w:rPr>
            </w:pPr>
            <w:r>
              <w:rPr>
                <w:w w:val="99"/>
                <w:sz w:val="20"/>
              </w:rPr>
              <w:t>6</w:t>
            </w:r>
          </w:p>
        </w:tc>
        <w:tc>
          <w:tcPr>
            <w:tcW w:w="2936" w:type="dxa"/>
          </w:tcPr>
          <w:p>
            <w:pPr>
              <w:pStyle w:val="TableParagraph"/>
              <w:spacing w:before="1"/>
              <w:rPr>
                <w:b/>
                <w:sz w:val="25"/>
              </w:rPr>
            </w:pPr>
          </w:p>
          <w:p>
            <w:pPr>
              <w:pStyle w:val="TableParagraph"/>
              <w:ind w:left="62"/>
              <w:rPr>
                <w:sz w:val="20"/>
              </w:rPr>
            </w:pPr>
            <w:r>
              <w:rPr>
                <w:sz w:val="20"/>
              </w:rPr>
              <w:t>Series de tiempo</w:t>
            </w:r>
          </w:p>
        </w:tc>
        <w:tc>
          <w:tcPr>
            <w:tcW w:w="406" w:type="dxa"/>
          </w:tcPr>
          <w:p>
            <w:pPr>
              <w:pStyle w:val="TableParagraph"/>
              <w:spacing w:before="142"/>
              <w:ind w:right="6"/>
              <w:jc w:val="center"/>
              <w:rPr>
                <w:sz w:val="20"/>
              </w:rPr>
            </w:pPr>
            <w:r>
              <w:rPr>
                <w:w w:val="99"/>
                <w:sz w:val="20"/>
              </w:rPr>
              <w:t>4</w:t>
            </w:r>
          </w:p>
        </w:tc>
        <w:tc>
          <w:tcPr>
            <w:tcW w:w="396" w:type="dxa"/>
          </w:tcPr>
          <w:p>
            <w:pPr>
              <w:pStyle w:val="TableParagraph"/>
              <w:spacing w:before="142"/>
              <w:ind w:right="2"/>
              <w:jc w:val="center"/>
              <w:rPr>
                <w:sz w:val="20"/>
              </w:rPr>
            </w:pPr>
            <w:r>
              <w:rPr>
                <w:w w:val="99"/>
                <w:sz w:val="20"/>
              </w:rPr>
              <w:t>2</w:t>
            </w:r>
          </w:p>
        </w:tc>
        <w:tc>
          <w:tcPr>
            <w:tcW w:w="437" w:type="dxa"/>
          </w:tcPr>
          <w:p>
            <w:pPr>
              <w:pStyle w:val="TableParagraph"/>
              <w:spacing w:before="142"/>
              <w:ind w:right="4"/>
              <w:jc w:val="center"/>
              <w:rPr>
                <w:sz w:val="20"/>
              </w:rPr>
            </w:pPr>
            <w:r>
              <w:rPr>
                <w:w w:val="99"/>
                <w:sz w:val="20"/>
              </w:rPr>
              <w:t>6</w:t>
            </w:r>
          </w:p>
        </w:tc>
        <w:tc>
          <w:tcPr>
            <w:tcW w:w="434" w:type="dxa"/>
          </w:tcPr>
          <w:p>
            <w:pPr>
              <w:pStyle w:val="TableParagraph"/>
              <w:spacing w:before="142"/>
              <w:ind w:right="108"/>
              <w:jc w:val="right"/>
              <w:rPr>
                <w:sz w:val="20"/>
              </w:rPr>
            </w:pPr>
            <w:r>
              <w:rPr>
                <w:sz w:val="20"/>
              </w:rPr>
              <w:t>10</w:t>
            </w:r>
          </w:p>
        </w:tc>
        <w:tc>
          <w:tcPr>
            <w:tcW w:w="2578" w:type="dxa"/>
          </w:tcPr>
          <w:p>
            <w:pPr>
              <w:pStyle w:val="TableParagraph"/>
              <w:spacing w:before="60"/>
              <w:ind w:left="64" w:right="562"/>
              <w:rPr>
                <w:sz w:val="20"/>
              </w:rPr>
            </w:pPr>
            <w:r>
              <w:rPr>
                <w:sz w:val="20"/>
              </w:rPr>
              <w:t>Métodos cuantitativos y estadísticos</w:t>
            </w:r>
          </w:p>
        </w:tc>
      </w:tr>
      <w:tr>
        <w:trPr>
          <w:trHeight w:val="535" w:hRule="exact"/>
        </w:trPr>
        <w:tc>
          <w:tcPr>
            <w:tcW w:w="437" w:type="dxa"/>
          </w:tcPr>
          <w:p>
            <w:pPr>
              <w:pStyle w:val="TableParagraph"/>
              <w:spacing w:before="1"/>
              <w:rPr>
                <w:b/>
                <w:sz w:val="25"/>
              </w:rPr>
            </w:pPr>
          </w:p>
          <w:p>
            <w:pPr>
              <w:pStyle w:val="TableParagraph"/>
              <w:ind w:left="190"/>
              <w:jc w:val="center"/>
              <w:rPr>
                <w:sz w:val="20"/>
              </w:rPr>
            </w:pPr>
            <w:r>
              <w:rPr>
                <w:w w:val="99"/>
                <w:sz w:val="20"/>
              </w:rPr>
              <w:t>7</w:t>
            </w:r>
          </w:p>
        </w:tc>
        <w:tc>
          <w:tcPr>
            <w:tcW w:w="2936" w:type="dxa"/>
          </w:tcPr>
          <w:p>
            <w:pPr>
              <w:pStyle w:val="TableParagraph"/>
              <w:spacing w:before="1"/>
              <w:rPr>
                <w:b/>
                <w:sz w:val="25"/>
              </w:rPr>
            </w:pPr>
          </w:p>
          <w:p>
            <w:pPr>
              <w:pStyle w:val="TableParagraph"/>
              <w:ind w:left="62"/>
              <w:rPr>
                <w:sz w:val="20"/>
              </w:rPr>
            </w:pPr>
            <w:r>
              <w:rPr>
                <w:sz w:val="20"/>
              </w:rPr>
              <w:t>Técnicas de optimización</w:t>
            </w:r>
          </w:p>
        </w:tc>
        <w:tc>
          <w:tcPr>
            <w:tcW w:w="406" w:type="dxa"/>
          </w:tcPr>
          <w:p>
            <w:pPr>
              <w:pStyle w:val="TableParagraph"/>
              <w:spacing w:before="142"/>
              <w:ind w:right="6"/>
              <w:jc w:val="center"/>
              <w:rPr>
                <w:sz w:val="20"/>
              </w:rPr>
            </w:pPr>
            <w:r>
              <w:rPr>
                <w:w w:val="99"/>
                <w:sz w:val="20"/>
              </w:rPr>
              <w:t>2</w:t>
            </w:r>
          </w:p>
        </w:tc>
        <w:tc>
          <w:tcPr>
            <w:tcW w:w="396" w:type="dxa"/>
          </w:tcPr>
          <w:p>
            <w:pPr>
              <w:pStyle w:val="TableParagraph"/>
              <w:spacing w:before="142"/>
              <w:ind w:right="2"/>
              <w:jc w:val="center"/>
              <w:rPr>
                <w:sz w:val="20"/>
              </w:rPr>
            </w:pPr>
            <w:r>
              <w:rPr>
                <w:w w:val="99"/>
                <w:sz w:val="20"/>
              </w:rPr>
              <w:t>2</w:t>
            </w:r>
          </w:p>
        </w:tc>
        <w:tc>
          <w:tcPr>
            <w:tcW w:w="437" w:type="dxa"/>
          </w:tcPr>
          <w:p>
            <w:pPr>
              <w:pStyle w:val="TableParagraph"/>
              <w:spacing w:before="142"/>
              <w:ind w:right="4"/>
              <w:jc w:val="center"/>
              <w:rPr>
                <w:sz w:val="20"/>
              </w:rPr>
            </w:pPr>
            <w:r>
              <w:rPr>
                <w:w w:val="99"/>
                <w:sz w:val="20"/>
              </w:rPr>
              <w:t>4</w:t>
            </w:r>
          </w:p>
        </w:tc>
        <w:tc>
          <w:tcPr>
            <w:tcW w:w="434" w:type="dxa"/>
          </w:tcPr>
          <w:p>
            <w:pPr>
              <w:pStyle w:val="TableParagraph"/>
              <w:spacing w:before="142"/>
              <w:ind w:right="162"/>
              <w:jc w:val="right"/>
              <w:rPr>
                <w:sz w:val="20"/>
              </w:rPr>
            </w:pPr>
            <w:r>
              <w:rPr>
                <w:w w:val="99"/>
                <w:sz w:val="20"/>
              </w:rPr>
              <w:t>6</w:t>
            </w:r>
          </w:p>
        </w:tc>
        <w:tc>
          <w:tcPr>
            <w:tcW w:w="2578" w:type="dxa"/>
          </w:tcPr>
          <w:p>
            <w:pPr>
              <w:pStyle w:val="TableParagraph"/>
              <w:spacing w:before="58"/>
              <w:ind w:left="64" w:right="562"/>
              <w:rPr>
                <w:sz w:val="20"/>
              </w:rPr>
            </w:pPr>
            <w:r>
              <w:rPr>
                <w:sz w:val="20"/>
              </w:rPr>
              <w:t>Métodos cuantitativos y estadísticos</w:t>
            </w:r>
          </w:p>
        </w:tc>
      </w:tr>
      <w:tr>
        <w:trPr>
          <w:trHeight w:val="535" w:hRule="exact"/>
        </w:trPr>
        <w:tc>
          <w:tcPr>
            <w:tcW w:w="437" w:type="dxa"/>
          </w:tcPr>
          <w:p>
            <w:pPr>
              <w:pStyle w:val="TableParagraph"/>
              <w:spacing w:before="1"/>
              <w:rPr>
                <w:b/>
                <w:sz w:val="25"/>
              </w:rPr>
            </w:pPr>
          </w:p>
          <w:p>
            <w:pPr>
              <w:pStyle w:val="TableParagraph"/>
              <w:ind w:left="190"/>
              <w:jc w:val="center"/>
              <w:rPr>
                <w:sz w:val="20"/>
              </w:rPr>
            </w:pPr>
            <w:r>
              <w:rPr>
                <w:w w:val="99"/>
                <w:sz w:val="20"/>
              </w:rPr>
              <w:t>8</w:t>
            </w:r>
          </w:p>
        </w:tc>
        <w:tc>
          <w:tcPr>
            <w:tcW w:w="2936" w:type="dxa"/>
          </w:tcPr>
          <w:p>
            <w:pPr>
              <w:pStyle w:val="TableParagraph"/>
              <w:spacing w:before="1"/>
              <w:rPr>
                <w:b/>
                <w:sz w:val="25"/>
              </w:rPr>
            </w:pPr>
          </w:p>
          <w:p>
            <w:pPr>
              <w:pStyle w:val="TableParagraph"/>
              <w:ind w:left="62"/>
              <w:rPr>
                <w:sz w:val="20"/>
              </w:rPr>
            </w:pPr>
            <w:r>
              <w:rPr>
                <w:sz w:val="20"/>
              </w:rPr>
              <w:t>Historia económica de México</w:t>
            </w:r>
          </w:p>
        </w:tc>
        <w:tc>
          <w:tcPr>
            <w:tcW w:w="406" w:type="dxa"/>
          </w:tcPr>
          <w:p>
            <w:pPr>
              <w:pStyle w:val="TableParagraph"/>
              <w:spacing w:before="142"/>
              <w:ind w:right="6"/>
              <w:jc w:val="center"/>
              <w:rPr>
                <w:sz w:val="20"/>
              </w:rPr>
            </w:pPr>
            <w:r>
              <w:rPr>
                <w:w w:val="99"/>
                <w:sz w:val="20"/>
              </w:rPr>
              <w:t>4</w:t>
            </w:r>
          </w:p>
        </w:tc>
        <w:tc>
          <w:tcPr>
            <w:tcW w:w="396" w:type="dxa"/>
          </w:tcPr>
          <w:p>
            <w:pPr>
              <w:pStyle w:val="TableParagraph"/>
              <w:spacing w:before="142"/>
              <w:ind w:right="2"/>
              <w:jc w:val="center"/>
              <w:rPr>
                <w:sz w:val="20"/>
              </w:rPr>
            </w:pPr>
            <w:r>
              <w:rPr>
                <w:w w:val="99"/>
                <w:sz w:val="20"/>
              </w:rPr>
              <w:t>0</w:t>
            </w:r>
          </w:p>
        </w:tc>
        <w:tc>
          <w:tcPr>
            <w:tcW w:w="437" w:type="dxa"/>
          </w:tcPr>
          <w:p>
            <w:pPr>
              <w:pStyle w:val="TableParagraph"/>
              <w:spacing w:before="142"/>
              <w:ind w:right="4"/>
              <w:jc w:val="center"/>
              <w:rPr>
                <w:sz w:val="20"/>
              </w:rPr>
            </w:pPr>
            <w:r>
              <w:rPr>
                <w:w w:val="99"/>
                <w:sz w:val="20"/>
              </w:rPr>
              <w:t>4</w:t>
            </w:r>
          </w:p>
        </w:tc>
        <w:tc>
          <w:tcPr>
            <w:tcW w:w="434" w:type="dxa"/>
          </w:tcPr>
          <w:p>
            <w:pPr>
              <w:pStyle w:val="TableParagraph"/>
              <w:spacing w:before="142"/>
              <w:ind w:right="162"/>
              <w:jc w:val="right"/>
              <w:rPr>
                <w:sz w:val="20"/>
              </w:rPr>
            </w:pPr>
            <w:r>
              <w:rPr>
                <w:w w:val="99"/>
                <w:sz w:val="20"/>
              </w:rPr>
              <w:t>8</w:t>
            </w:r>
          </w:p>
        </w:tc>
        <w:tc>
          <w:tcPr>
            <w:tcW w:w="2578" w:type="dxa"/>
          </w:tcPr>
          <w:p>
            <w:pPr>
              <w:pStyle w:val="TableParagraph"/>
              <w:spacing w:before="58"/>
              <w:ind w:left="64" w:right="479"/>
              <w:rPr>
                <w:sz w:val="20"/>
              </w:rPr>
            </w:pPr>
            <w:r>
              <w:rPr>
                <w:sz w:val="20"/>
              </w:rPr>
              <w:t>Historia económica y del pensamiento económico</w:t>
            </w:r>
          </w:p>
        </w:tc>
      </w:tr>
      <w:tr>
        <w:trPr>
          <w:trHeight w:val="535" w:hRule="exact"/>
        </w:trPr>
        <w:tc>
          <w:tcPr>
            <w:tcW w:w="437" w:type="dxa"/>
          </w:tcPr>
          <w:p>
            <w:pPr>
              <w:pStyle w:val="TableParagraph"/>
              <w:spacing w:before="1"/>
              <w:rPr>
                <w:b/>
                <w:sz w:val="25"/>
              </w:rPr>
            </w:pPr>
          </w:p>
          <w:p>
            <w:pPr>
              <w:pStyle w:val="TableParagraph"/>
              <w:ind w:left="190"/>
              <w:jc w:val="center"/>
              <w:rPr>
                <w:sz w:val="20"/>
              </w:rPr>
            </w:pPr>
            <w:r>
              <w:rPr>
                <w:w w:val="99"/>
                <w:sz w:val="20"/>
              </w:rPr>
              <w:t>9</w:t>
            </w:r>
          </w:p>
        </w:tc>
        <w:tc>
          <w:tcPr>
            <w:tcW w:w="2936" w:type="dxa"/>
          </w:tcPr>
          <w:p>
            <w:pPr>
              <w:pStyle w:val="TableParagraph"/>
              <w:spacing w:before="1"/>
              <w:rPr>
                <w:b/>
                <w:sz w:val="25"/>
              </w:rPr>
            </w:pPr>
          </w:p>
          <w:p>
            <w:pPr>
              <w:pStyle w:val="TableParagraph"/>
              <w:ind w:left="62"/>
              <w:rPr>
                <w:sz w:val="20"/>
              </w:rPr>
            </w:pPr>
            <w:r>
              <w:rPr>
                <w:sz w:val="20"/>
              </w:rPr>
              <w:t>Contabilidad social</w:t>
            </w:r>
          </w:p>
        </w:tc>
        <w:tc>
          <w:tcPr>
            <w:tcW w:w="406" w:type="dxa"/>
          </w:tcPr>
          <w:p>
            <w:pPr>
              <w:pStyle w:val="TableParagraph"/>
              <w:spacing w:before="142"/>
              <w:ind w:right="6"/>
              <w:jc w:val="center"/>
              <w:rPr>
                <w:sz w:val="20"/>
              </w:rPr>
            </w:pPr>
            <w:r>
              <w:rPr>
                <w:w w:val="99"/>
                <w:sz w:val="20"/>
              </w:rPr>
              <w:t>2</w:t>
            </w:r>
          </w:p>
        </w:tc>
        <w:tc>
          <w:tcPr>
            <w:tcW w:w="396" w:type="dxa"/>
          </w:tcPr>
          <w:p>
            <w:pPr>
              <w:pStyle w:val="TableParagraph"/>
              <w:spacing w:before="142"/>
              <w:ind w:right="2"/>
              <w:jc w:val="center"/>
              <w:rPr>
                <w:sz w:val="20"/>
              </w:rPr>
            </w:pPr>
            <w:r>
              <w:rPr>
                <w:w w:val="99"/>
                <w:sz w:val="20"/>
              </w:rPr>
              <w:t>2</w:t>
            </w:r>
          </w:p>
        </w:tc>
        <w:tc>
          <w:tcPr>
            <w:tcW w:w="437" w:type="dxa"/>
          </w:tcPr>
          <w:p>
            <w:pPr>
              <w:pStyle w:val="TableParagraph"/>
              <w:spacing w:before="142"/>
              <w:ind w:right="4"/>
              <w:jc w:val="center"/>
              <w:rPr>
                <w:sz w:val="20"/>
              </w:rPr>
            </w:pPr>
            <w:r>
              <w:rPr>
                <w:w w:val="99"/>
                <w:sz w:val="20"/>
              </w:rPr>
              <w:t>4</w:t>
            </w:r>
          </w:p>
        </w:tc>
        <w:tc>
          <w:tcPr>
            <w:tcW w:w="434" w:type="dxa"/>
          </w:tcPr>
          <w:p>
            <w:pPr>
              <w:pStyle w:val="TableParagraph"/>
              <w:spacing w:before="142"/>
              <w:ind w:right="162"/>
              <w:jc w:val="right"/>
              <w:rPr>
                <w:sz w:val="20"/>
              </w:rPr>
            </w:pPr>
            <w:r>
              <w:rPr>
                <w:w w:val="99"/>
                <w:sz w:val="20"/>
              </w:rPr>
              <w:t>6</w:t>
            </w:r>
          </w:p>
        </w:tc>
        <w:tc>
          <w:tcPr>
            <w:tcW w:w="2578" w:type="dxa"/>
          </w:tcPr>
          <w:p>
            <w:pPr>
              <w:pStyle w:val="TableParagraph"/>
              <w:spacing w:before="58"/>
              <w:ind w:left="64" w:right="818"/>
              <w:rPr>
                <w:sz w:val="20"/>
              </w:rPr>
            </w:pPr>
            <w:r>
              <w:rPr>
                <w:sz w:val="20"/>
              </w:rPr>
              <w:t>Economía aplicada e instrumentales</w:t>
            </w:r>
          </w:p>
        </w:tc>
      </w:tr>
      <w:tr>
        <w:trPr>
          <w:trHeight w:val="536" w:hRule="exact"/>
        </w:trPr>
        <w:tc>
          <w:tcPr>
            <w:tcW w:w="437" w:type="dxa"/>
          </w:tcPr>
          <w:p>
            <w:pPr>
              <w:pStyle w:val="TableParagraph"/>
              <w:spacing w:before="1"/>
              <w:rPr>
                <w:b/>
                <w:sz w:val="25"/>
              </w:rPr>
            </w:pPr>
          </w:p>
          <w:p>
            <w:pPr>
              <w:pStyle w:val="TableParagraph"/>
              <w:ind w:left="141" w:right="45"/>
              <w:jc w:val="center"/>
              <w:rPr>
                <w:sz w:val="20"/>
              </w:rPr>
            </w:pPr>
            <w:r>
              <w:rPr>
                <w:sz w:val="20"/>
              </w:rPr>
              <w:t>10</w:t>
            </w:r>
          </w:p>
        </w:tc>
        <w:tc>
          <w:tcPr>
            <w:tcW w:w="2936" w:type="dxa"/>
          </w:tcPr>
          <w:p>
            <w:pPr>
              <w:pStyle w:val="TableParagraph"/>
              <w:spacing w:before="1"/>
              <w:rPr>
                <w:b/>
                <w:sz w:val="25"/>
              </w:rPr>
            </w:pPr>
          </w:p>
          <w:p>
            <w:pPr>
              <w:pStyle w:val="TableParagraph"/>
              <w:ind w:left="62"/>
              <w:rPr>
                <w:sz w:val="20"/>
              </w:rPr>
            </w:pPr>
            <w:r>
              <w:rPr>
                <w:sz w:val="20"/>
              </w:rPr>
              <w:t>Hacienda pública</w:t>
            </w:r>
          </w:p>
        </w:tc>
        <w:tc>
          <w:tcPr>
            <w:tcW w:w="406" w:type="dxa"/>
          </w:tcPr>
          <w:p>
            <w:pPr>
              <w:pStyle w:val="TableParagraph"/>
              <w:spacing w:before="142"/>
              <w:ind w:right="6"/>
              <w:jc w:val="center"/>
              <w:rPr>
                <w:sz w:val="20"/>
              </w:rPr>
            </w:pPr>
            <w:r>
              <w:rPr>
                <w:w w:val="99"/>
                <w:sz w:val="20"/>
              </w:rPr>
              <w:t>4</w:t>
            </w:r>
          </w:p>
        </w:tc>
        <w:tc>
          <w:tcPr>
            <w:tcW w:w="396" w:type="dxa"/>
          </w:tcPr>
          <w:p>
            <w:pPr>
              <w:pStyle w:val="TableParagraph"/>
              <w:spacing w:before="142"/>
              <w:ind w:right="2"/>
              <w:jc w:val="center"/>
              <w:rPr>
                <w:sz w:val="20"/>
              </w:rPr>
            </w:pPr>
            <w:r>
              <w:rPr>
                <w:w w:val="99"/>
                <w:sz w:val="20"/>
              </w:rPr>
              <w:t>0</w:t>
            </w:r>
          </w:p>
        </w:tc>
        <w:tc>
          <w:tcPr>
            <w:tcW w:w="437" w:type="dxa"/>
          </w:tcPr>
          <w:p>
            <w:pPr>
              <w:pStyle w:val="TableParagraph"/>
              <w:spacing w:before="142"/>
              <w:ind w:right="4"/>
              <w:jc w:val="center"/>
              <w:rPr>
                <w:sz w:val="20"/>
              </w:rPr>
            </w:pPr>
            <w:r>
              <w:rPr>
                <w:w w:val="99"/>
                <w:sz w:val="20"/>
              </w:rPr>
              <w:t>4</w:t>
            </w:r>
          </w:p>
        </w:tc>
        <w:tc>
          <w:tcPr>
            <w:tcW w:w="434" w:type="dxa"/>
          </w:tcPr>
          <w:p>
            <w:pPr>
              <w:pStyle w:val="TableParagraph"/>
              <w:spacing w:before="142"/>
              <w:ind w:right="162"/>
              <w:jc w:val="right"/>
              <w:rPr>
                <w:sz w:val="20"/>
              </w:rPr>
            </w:pPr>
            <w:r>
              <w:rPr>
                <w:w w:val="99"/>
                <w:sz w:val="20"/>
              </w:rPr>
              <w:t>8</w:t>
            </w:r>
          </w:p>
        </w:tc>
        <w:tc>
          <w:tcPr>
            <w:tcW w:w="2578" w:type="dxa"/>
          </w:tcPr>
          <w:p>
            <w:pPr>
              <w:pStyle w:val="TableParagraph"/>
              <w:spacing w:before="58"/>
              <w:ind w:left="64" w:right="818"/>
              <w:rPr>
                <w:sz w:val="20"/>
              </w:rPr>
            </w:pPr>
            <w:r>
              <w:rPr>
                <w:sz w:val="20"/>
              </w:rPr>
              <w:t>Economía aplicada e instrumentales</w:t>
            </w:r>
          </w:p>
        </w:tc>
      </w:tr>
      <w:tr>
        <w:trPr>
          <w:trHeight w:val="535" w:hRule="exact"/>
        </w:trPr>
        <w:tc>
          <w:tcPr>
            <w:tcW w:w="437" w:type="dxa"/>
          </w:tcPr>
          <w:p>
            <w:pPr>
              <w:pStyle w:val="TableParagraph"/>
              <w:spacing w:before="1"/>
              <w:rPr>
                <w:b/>
                <w:sz w:val="25"/>
              </w:rPr>
            </w:pPr>
          </w:p>
          <w:p>
            <w:pPr>
              <w:pStyle w:val="TableParagraph"/>
              <w:ind w:left="141" w:right="45"/>
              <w:jc w:val="center"/>
              <w:rPr>
                <w:sz w:val="20"/>
              </w:rPr>
            </w:pPr>
            <w:r>
              <w:rPr>
                <w:sz w:val="20"/>
              </w:rPr>
              <w:t>11</w:t>
            </w:r>
          </w:p>
        </w:tc>
        <w:tc>
          <w:tcPr>
            <w:tcW w:w="2936" w:type="dxa"/>
          </w:tcPr>
          <w:p>
            <w:pPr>
              <w:pStyle w:val="TableParagraph"/>
              <w:spacing w:before="1"/>
              <w:rPr>
                <w:b/>
                <w:sz w:val="25"/>
              </w:rPr>
            </w:pPr>
          </w:p>
          <w:p>
            <w:pPr>
              <w:pStyle w:val="TableParagraph"/>
              <w:ind w:left="62"/>
              <w:rPr>
                <w:sz w:val="20"/>
              </w:rPr>
            </w:pPr>
            <w:r>
              <w:rPr>
                <w:sz w:val="20"/>
              </w:rPr>
              <w:t>Geografía económica</w:t>
            </w:r>
          </w:p>
        </w:tc>
        <w:tc>
          <w:tcPr>
            <w:tcW w:w="406" w:type="dxa"/>
          </w:tcPr>
          <w:p>
            <w:pPr>
              <w:pStyle w:val="TableParagraph"/>
              <w:spacing w:before="142"/>
              <w:ind w:right="6"/>
              <w:jc w:val="center"/>
              <w:rPr>
                <w:sz w:val="20"/>
              </w:rPr>
            </w:pPr>
            <w:r>
              <w:rPr>
                <w:w w:val="99"/>
                <w:sz w:val="20"/>
              </w:rPr>
              <w:t>2</w:t>
            </w:r>
          </w:p>
        </w:tc>
        <w:tc>
          <w:tcPr>
            <w:tcW w:w="396" w:type="dxa"/>
          </w:tcPr>
          <w:p>
            <w:pPr>
              <w:pStyle w:val="TableParagraph"/>
              <w:spacing w:before="142"/>
              <w:ind w:right="2"/>
              <w:jc w:val="center"/>
              <w:rPr>
                <w:sz w:val="20"/>
              </w:rPr>
            </w:pPr>
            <w:r>
              <w:rPr>
                <w:w w:val="99"/>
                <w:sz w:val="20"/>
              </w:rPr>
              <w:t>2</w:t>
            </w:r>
          </w:p>
        </w:tc>
        <w:tc>
          <w:tcPr>
            <w:tcW w:w="437" w:type="dxa"/>
          </w:tcPr>
          <w:p>
            <w:pPr>
              <w:pStyle w:val="TableParagraph"/>
              <w:spacing w:before="142"/>
              <w:ind w:right="4"/>
              <w:jc w:val="center"/>
              <w:rPr>
                <w:sz w:val="20"/>
              </w:rPr>
            </w:pPr>
            <w:r>
              <w:rPr>
                <w:w w:val="99"/>
                <w:sz w:val="20"/>
              </w:rPr>
              <w:t>4</w:t>
            </w:r>
          </w:p>
        </w:tc>
        <w:tc>
          <w:tcPr>
            <w:tcW w:w="434" w:type="dxa"/>
          </w:tcPr>
          <w:p>
            <w:pPr>
              <w:pStyle w:val="TableParagraph"/>
              <w:spacing w:before="142"/>
              <w:ind w:right="162"/>
              <w:jc w:val="right"/>
              <w:rPr>
                <w:sz w:val="20"/>
              </w:rPr>
            </w:pPr>
            <w:r>
              <w:rPr>
                <w:w w:val="99"/>
                <w:sz w:val="20"/>
              </w:rPr>
              <w:t>6</w:t>
            </w:r>
          </w:p>
        </w:tc>
        <w:tc>
          <w:tcPr>
            <w:tcW w:w="2578" w:type="dxa"/>
          </w:tcPr>
          <w:p>
            <w:pPr>
              <w:pStyle w:val="TableParagraph"/>
              <w:spacing w:before="58"/>
              <w:ind w:left="64" w:right="818"/>
              <w:rPr>
                <w:sz w:val="20"/>
              </w:rPr>
            </w:pPr>
            <w:r>
              <w:rPr>
                <w:sz w:val="20"/>
              </w:rPr>
              <w:t>Economía aplicada e instrumentales</w:t>
            </w:r>
          </w:p>
        </w:tc>
      </w:tr>
      <w:tr>
        <w:trPr>
          <w:trHeight w:val="535" w:hRule="exact"/>
        </w:trPr>
        <w:tc>
          <w:tcPr>
            <w:tcW w:w="437" w:type="dxa"/>
          </w:tcPr>
          <w:p>
            <w:pPr>
              <w:pStyle w:val="TableParagraph"/>
              <w:spacing w:before="1"/>
              <w:rPr>
                <w:b/>
                <w:sz w:val="25"/>
              </w:rPr>
            </w:pPr>
          </w:p>
          <w:p>
            <w:pPr>
              <w:pStyle w:val="TableParagraph"/>
              <w:ind w:left="141" w:right="45"/>
              <w:jc w:val="center"/>
              <w:rPr>
                <w:sz w:val="20"/>
              </w:rPr>
            </w:pPr>
            <w:r>
              <w:rPr>
                <w:sz w:val="20"/>
              </w:rPr>
              <w:t>12</w:t>
            </w:r>
          </w:p>
        </w:tc>
        <w:tc>
          <w:tcPr>
            <w:tcW w:w="2936" w:type="dxa"/>
          </w:tcPr>
          <w:p>
            <w:pPr>
              <w:pStyle w:val="TableParagraph"/>
              <w:spacing w:before="1"/>
              <w:rPr>
                <w:b/>
                <w:sz w:val="25"/>
              </w:rPr>
            </w:pPr>
          </w:p>
          <w:p>
            <w:pPr>
              <w:pStyle w:val="TableParagraph"/>
              <w:ind w:left="62"/>
              <w:rPr>
                <w:sz w:val="20"/>
              </w:rPr>
            </w:pPr>
            <w:r>
              <w:rPr>
                <w:sz w:val="20"/>
              </w:rPr>
              <w:t>Economía del medio ambiente</w:t>
            </w:r>
          </w:p>
        </w:tc>
        <w:tc>
          <w:tcPr>
            <w:tcW w:w="406" w:type="dxa"/>
          </w:tcPr>
          <w:p>
            <w:pPr>
              <w:pStyle w:val="TableParagraph"/>
              <w:spacing w:before="139"/>
              <w:ind w:right="6"/>
              <w:jc w:val="center"/>
              <w:rPr>
                <w:sz w:val="20"/>
              </w:rPr>
            </w:pPr>
            <w:r>
              <w:rPr>
                <w:w w:val="99"/>
                <w:sz w:val="20"/>
              </w:rPr>
              <w:t>2</w:t>
            </w:r>
          </w:p>
        </w:tc>
        <w:tc>
          <w:tcPr>
            <w:tcW w:w="396" w:type="dxa"/>
          </w:tcPr>
          <w:p>
            <w:pPr>
              <w:pStyle w:val="TableParagraph"/>
              <w:spacing w:before="139"/>
              <w:ind w:right="2"/>
              <w:jc w:val="center"/>
              <w:rPr>
                <w:sz w:val="20"/>
              </w:rPr>
            </w:pPr>
            <w:r>
              <w:rPr>
                <w:w w:val="99"/>
                <w:sz w:val="20"/>
              </w:rPr>
              <w:t>2</w:t>
            </w:r>
          </w:p>
        </w:tc>
        <w:tc>
          <w:tcPr>
            <w:tcW w:w="437" w:type="dxa"/>
          </w:tcPr>
          <w:p>
            <w:pPr>
              <w:pStyle w:val="TableParagraph"/>
              <w:spacing w:before="139"/>
              <w:ind w:right="4"/>
              <w:jc w:val="center"/>
              <w:rPr>
                <w:sz w:val="20"/>
              </w:rPr>
            </w:pPr>
            <w:r>
              <w:rPr>
                <w:w w:val="99"/>
                <w:sz w:val="20"/>
              </w:rPr>
              <w:t>4</w:t>
            </w:r>
          </w:p>
        </w:tc>
        <w:tc>
          <w:tcPr>
            <w:tcW w:w="434" w:type="dxa"/>
          </w:tcPr>
          <w:p>
            <w:pPr>
              <w:pStyle w:val="TableParagraph"/>
              <w:spacing w:before="139"/>
              <w:ind w:right="162"/>
              <w:jc w:val="right"/>
              <w:rPr>
                <w:sz w:val="20"/>
              </w:rPr>
            </w:pPr>
            <w:r>
              <w:rPr>
                <w:w w:val="99"/>
                <w:sz w:val="20"/>
              </w:rPr>
              <w:t>6</w:t>
            </w:r>
          </w:p>
        </w:tc>
        <w:tc>
          <w:tcPr>
            <w:tcW w:w="2578" w:type="dxa"/>
          </w:tcPr>
          <w:p>
            <w:pPr>
              <w:pStyle w:val="TableParagraph"/>
              <w:spacing w:before="58"/>
              <w:ind w:left="64" w:right="818"/>
              <w:rPr>
                <w:sz w:val="20"/>
              </w:rPr>
            </w:pPr>
            <w:r>
              <w:rPr>
                <w:sz w:val="20"/>
              </w:rPr>
              <w:t>Economía aplicada e instrumentales</w:t>
            </w:r>
          </w:p>
        </w:tc>
      </w:tr>
      <w:tr>
        <w:trPr>
          <w:trHeight w:val="535" w:hRule="exact"/>
        </w:trPr>
        <w:tc>
          <w:tcPr>
            <w:tcW w:w="437" w:type="dxa"/>
          </w:tcPr>
          <w:p>
            <w:pPr>
              <w:pStyle w:val="TableParagraph"/>
              <w:spacing w:before="1"/>
              <w:rPr>
                <w:b/>
                <w:sz w:val="25"/>
              </w:rPr>
            </w:pPr>
          </w:p>
          <w:p>
            <w:pPr>
              <w:pStyle w:val="TableParagraph"/>
              <w:ind w:left="141" w:right="45"/>
              <w:jc w:val="center"/>
              <w:rPr>
                <w:sz w:val="20"/>
              </w:rPr>
            </w:pPr>
            <w:r>
              <w:rPr>
                <w:sz w:val="20"/>
              </w:rPr>
              <w:t>13</w:t>
            </w:r>
          </w:p>
        </w:tc>
        <w:tc>
          <w:tcPr>
            <w:tcW w:w="2936" w:type="dxa"/>
          </w:tcPr>
          <w:p>
            <w:pPr>
              <w:pStyle w:val="TableParagraph"/>
              <w:spacing w:before="1"/>
              <w:rPr>
                <w:b/>
                <w:sz w:val="25"/>
              </w:rPr>
            </w:pPr>
          </w:p>
          <w:p>
            <w:pPr>
              <w:pStyle w:val="TableParagraph"/>
              <w:ind w:left="62"/>
              <w:rPr>
                <w:sz w:val="20"/>
              </w:rPr>
            </w:pPr>
            <w:r>
              <w:rPr>
                <w:sz w:val="20"/>
              </w:rPr>
              <w:t>Economía del desarrollo</w:t>
            </w:r>
          </w:p>
        </w:tc>
        <w:tc>
          <w:tcPr>
            <w:tcW w:w="406" w:type="dxa"/>
          </w:tcPr>
          <w:p>
            <w:pPr>
              <w:pStyle w:val="TableParagraph"/>
              <w:spacing w:before="139"/>
              <w:ind w:right="6"/>
              <w:jc w:val="center"/>
              <w:rPr>
                <w:sz w:val="20"/>
              </w:rPr>
            </w:pPr>
            <w:r>
              <w:rPr>
                <w:w w:val="99"/>
                <w:sz w:val="20"/>
              </w:rPr>
              <w:t>4</w:t>
            </w:r>
          </w:p>
        </w:tc>
        <w:tc>
          <w:tcPr>
            <w:tcW w:w="396" w:type="dxa"/>
          </w:tcPr>
          <w:p>
            <w:pPr>
              <w:pStyle w:val="TableParagraph"/>
              <w:spacing w:before="139"/>
              <w:ind w:right="2"/>
              <w:jc w:val="center"/>
              <w:rPr>
                <w:sz w:val="20"/>
              </w:rPr>
            </w:pPr>
            <w:r>
              <w:rPr>
                <w:w w:val="99"/>
                <w:sz w:val="20"/>
              </w:rPr>
              <w:t>2</w:t>
            </w:r>
          </w:p>
        </w:tc>
        <w:tc>
          <w:tcPr>
            <w:tcW w:w="437" w:type="dxa"/>
          </w:tcPr>
          <w:p>
            <w:pPr>
              <w:pStyle w:val="TableParagraph"/>
              <w:spacing w:before="139"/>
              <w:ind w:right="4"/>
              <w:jc w:val="center"/>
              <w:rPr>
                <w:sz w:val="20"/>
              </w:rPr>
            </w:pPr>
            <w:r>
              <w:rPr>
                <w:w w:val="99"/>
                <w:sz w:val="20"/>
              </w:rPr>
              <w:t>6</w:t>
            </w:r>
          </w:p>
        </w:tc>
        <w:tc>
          <w:tcPr>
            <w:tcW w:w="434" w:type="dxa"/>
          </w:tcPr>
          <w:p>
            <w:pPr>
              <w:pStyle w:val="TableParagraph"/>
              <w:spacing w:before="139"/>
              <w:ind w:right="108"/>
              <w:jc w:val="right"/>
              <w:rPr>
                <w:sz w:val="20"/>
              </w:rPr>
            </w:pPr>
            <w:r>
              <w:rPr>
                <w:sz w:val="20"/>
              </w:rPr>
              <w:t>10</w:t>
            </w:r>
          </w:p>
        </w:tc>
        <w:tc>
          <w:tcPr>
            <w:tcW w:w="2578" w:type="dxa"/>
          </w:tcPr>
          <w:p>
            <w:pPr>
              <w:pStyle w:val="TableParagraph"/>
              <w:spacing w:before="58"/>
              <w:ind w:left="64" w:right="818"/>
              <w:rPr>
                <w:sz w:val="20"/>
              </w:rPr>
            </w:pPr>
            <w:r>
              <w:rPr>
                <w:sz w:val="20"/>
              </w:rPr>
              <w:t>Economía aplicada e instrumentales</w:t>
            </w:r>
          </w:p>
        </w:tc>
      </w:tr>
      <w:tr>
        <w:trPr>
          <w:trHeight w:val="535" w:hRule="exact"/>
        </w:trPr>
        <w:tc>
          <w:tcPr>
            <w:tcW w:w="437" w:type="dxa"/>
          </w:tcPr>
          <w:p>
            <w:pPr>
              <w:pStyle w:val="TableParagraph"/>
              <w:spacing w:before="1"/>
              <w:rPr>
                <w:b/>
                <w:sz w:val="25"/>
              </w:rPr>
            </w:pPr>
          </w:p>
          <w:p>
            <w:pPr>
              <w:pStyle w:val="TableParagraph"/>
              <w:ind w:left="141" w:right="45"/>
              <w:jc w:val="center"/>
              <w:rPr>
                <w:sz w:val="20"/>
              </w:rPr>
            </w:pPr>
            <w:r>
              <w:rPr>
                <w:sz w:val="20"/>
              </w:rPr>
              <w:t>14</w:t>
            </w:r>
          </w:p>
        </w:tc>
        <w:tc>
          <w:tcPr>
            <w:tcW w:w="2936" w:type="dxa"/>
          </w:tcPr>
          <w:p>
            <w:pPr>
              <w:pStyle w:val="TableParagraph"/>
              <w:spacing w:before="1"/>
              <w:rPr>
                <w:b/>
                <w:sz w:val="25"/>
              </w:rPr>
            </w:pPr>
          </w:p>
          <w:p>
            <w:pPr>
              <w:pStyle w:val="TableParagraph"/>
              <w:ind w:left="62"/>
              <w:rPr>
                <w:sz w:val="20"/>
              </w:rPr>
            </w:pPr>
            <w:r>
              <w:rPr>
                <w:sz w:val="20"/>
              </w:rPr>
              <w:t>Regulación económica</w:t>
            </w:r>
          </w:p>
        </w:tc>
        <w:tc>
          <w:tcPr>
            <w:tcW w:w="406" w:type="dxa"/>
          </w:tcPr>
          <w:p>
            <w:pPr>
              <w:pStyle w:val="TableParagraph"/>
              <w:spacing w:before="139"/>
              <w:ind w:right="6"/>
              <w:jc w:val="center"/>
              <w:rPr>
                <w:sz w:val="20"/>
              </w:rPr>
            </w:pPr>
            <w:r>
              <w:rPr>
                <w:w w:val="99"/>
                <w:sz w:val="20"/>
              </w:rPr>
              <w:t>4</w:t>
            </w:r>
          </w:p>
        </w:tc>
        <w:tc>
          <w:tcPr>
            <w:tcW w:w="396" w:type="dxa"/>
          </w:tcPr>
          <w:p>
            <w:pPr>
              <w:pStyle w:val="TableParagraph"/>
              <w:spacing w:before="139"/>
              <w:ind w:right="2"/>
              <w:jc w:val="center"/>
              <w:rPr>
                <w:sz w:val="20"/>
              </w:rPr>
            </w:pPr>
            <w:r>
              <w:rPr>
                <w:w w:val="99"/>
                <w:sz w:val="20"/>
              </w:rPr>
              <w:t>2</w:t>
            </w:r>
          </w:p>
        </w:tc>
        <w:tc>
          <w:tcPr>
            <w:tcW w:w="437" w:type="dxa"/>
          </w:tcPr>
          <w:p>
            <w:pPr>
              <w:pStyle w:val="TableParagraph"/>
              <w:spacing w:before="139"/>
              <w:ind w:right="4"/>
              <w:jc w:val="center"/>
              <w:rPr>
                <w:sz w:val="20"/>
              </w:rPr>
            </w:pPr>
            <w:r>
              <w:rPr>
                <w:w w:val="99"/>
                <w:sz w:val="20"/>
              </w:rPr>
              <w:t>6</w:t>
            </w:r>
          </w:p>
        </w:tc>
        <w:tc>
          <w:tcPr>
            <w:tcW w:w="434" w:type="dxa"/>
          </w:tcPr>
          <w:p>
            <w:pPr>
              <w:pStyle w:val="TableParagraph"/>
              <w:spacing w:before="139"/>
              <w:ind w:right="108"/>
              <w:jc w:val="right"/>
              <w:rPr>
                <w:sz w:val="20"/>
              </w:rPr>
            </w:pPr>
            <w:r>
              <w:rPr>
                <w:sz w:val="20"/>
              </w:rPr>
              <w:t>10</w:t>
            </w:r>
          </w:p>
        </w:tc>
        <w:tc>
          <w:tcPr>
            <w:tcW w:w="2578" w:type="dxa"/>
          </w:tcPr>
          <w:p>
            <w:pPr>
              <w:pStyle w:val="TableParagraph"/>
              <w:spacing w:before="58"/>
              <w:ind w:left="64" w:right="818"/>
              <w:rPr>
                <w:sz w:val="20"/>
              </w:rPr>
            </w:pPr>
            <w:r>
              <w:rPr>
                <w:sz w:val="20"/>
              </w:rPr>
              <w:t>Economía aplicada e instrumentales</w:t>
            </w:r>
          </w:p>
        </w:tc>
      </w:tr>
    </w:tbl>
    <w:p>
      <w:pPr>
        <w:spacing w:after="0"/>
        <w:rPr>
          <w:sz w:val="20"/>
        </w:rPr>
        <w:sectPr>
          <w:pgSz w:w="12240" w:h="15840"/>
          <w:pgMar w:header="0" w:footer="943" w:top="1360" w:bottom="1200" w:left="1720" w:right="1580"/>
        </w:sectPr>
      </w:pPr>
    </w:p>
    <w:tbl>
      <w:tblPr>
        <w:tblW w:w="0" w:type="auto"/>
        <w:jc w:val="left"/>
        <w:tblInd w:w="6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01"/>
        <w:gridCol w:w="2681"/>
        <w:gridCol w:w="408"/>
        <w:gridCol w:w="396"/>
        <w:gridCol w:w="468"/>
        <w:gridCol w:w="470"/>
        <w:gridCol w:w="2563"/>
      </w:tblGrid>
      <w:tr>
        <w:trPr>
          <w:trHeight w:val="315" w:hRule="exact"/>
        </w:trPr>
        <w:tc>
          <w:tcPr>
            <w:tcW w:w="601" w:type="dxa"/>
          </w:tcPr>
          <w:p>
            <w:pPr>
              <w:pStyle w:val="TableParagraph"/>
              <w:spacing w:before="59"/>
              <w:ind w:left="64"/>
              <w:rPr>
                <w:sz w:val="20"/>
              </w:rPr>
            </w:pPr>
            <w:r>
              <w:rPr>
                <w:sz w:val="20"/>
              </w:rPr>
              <w:t>No.</w:t>
            </w:r>
          </w:p>
        </w:tc>
        <w:tc>
          <w:tcPr>
            <w:tcW w:w="2681" w:type="dxa"/>
          </w:tcPr>
          <w:p>
            <w:pPr>
              <w:pStyle w:val="TableParagraph"/>
              <w:spacing w:before="59"/>
              <w:ind w:left="64"/>
              <w:rPr>
                <w:sz w:val="20"/>
              </w:rPr>
            </w:pPr>
            <w:r>
              <w:rPr>
                <w:sz w:val="20"/>
              </w:rPr>
              <w:t>Unidad de aprendizaje (UA)</w:t>
            </w:r>
          </w:p>
        </w:tc>
        <w:tc>
          <w:tcPr>
            <w:tcW w:w="408" w:type="dxa"/>
          </w:tcPr>
          <w:p>
            <w:pPr>
              <w:pStyle w:val="TableParagraph"/>
              <w:spacing w:before="59"/>
              <w:ind w:right="65"/>
              <w:jc w:val="right"/>
              <w:rPr>
                <w:sz w:val="20"/>
              </w:rPr>
            </w:pPr>
            <w:r>
              <w:rPr>
                <w:w w:val="95"/>
                <w:sz w:val="20"/>
              </w:rPr>
              <w:t>HT</w:t>
            </w:r>
          </w:p>
        </w:tc>
        <w:tc>
          <w:tcPr>
            <w:tcW w:w="396" w:type="dxa"/>
            <w:tcBorders>
              <w:right w:val="single" w:sz="4" w:space="0" w:color="000000"/>
            </w:tcBorders>
          </w:tcPr>
          <w:p>
            <w:pPr>
              <w:pStyle w:val="TableParagraph"/>
              <w:spacing w:before="59"/>
              <w:ind w:right="67"/>
              <w:jc w:val="right"/>
              <w:rPr>
                <w:sz w:val="20"/>
              </w:rPr>
            </w:pPr>
            <w:r>
              <w:rPr>
                <w:w w:val="95"/>
                <w:sz w:val="20"/>
              </w:rPr>
              <w:t>HP</w:t>
            </w:r>
          </w:p>
        </w:tc>
        <w:tc>
          <w:tcPr>
            <w:tcW w:w="468" w:type="dxa"/>
            <w:tcBorders>
              <w:left w:val="single" w:sz="4" w:space="0" w:color="000000"/>
            </w:tcBorders>
          </w:tcPr>
          <w:p>
            <w:pPr>
              <w:pStyle w:val="TableParagraph"/>
              <w:spacing w:before="59"/>
              <w:ind w:left="62"/>
              <w:rPr>
                <w:sz w:val="20"/>
              </w:rPr>
            </w:pPr>
            <w:r>
              <w:rPr>
                <w:sz w:val="20"/>
              </w:rPr>
              <w:t>TH</w:t>
            </w:r>
          </w:p>
        </w:tc>
        <w:tc>
          <w:tcPr>
            <w:tcW w:w="470" w:type="dxa"/>
          </w:tcPr>
          <w:p>
            <w:pPr>
              <w:pStyle w:val="TableParagraph"/>
              <w:spacing w:before="59"/>
              <w:ind w:left="64"/>
              <w:rPr>
                <w:sz w:val="20"/>
              </w:rPr>
            </w:pPr>
            <w:r>
              <w:rPr>
                <w:sz w:val="20"/>
              </w:rPr>
              <w:t>CR</w:t>
            </w:r>
          </w:p>
        </w:tc>
        <w:tc>
          <w:tcPr>
            <w:tcW w:w="2563" w:type="dxa"/>
          </w:tcPr>
          <w:p>
            <w:pPr>
              <w:pStyle w:val="TableParagraph"/>
              <w:spacing w:before="59"/>
              <w:ind w:left="64" w:right="419"/>
              <w:rPr>
                <w:sz w:val="20"/>
              </w:rPr>
            </w:pPr>
            <w:r>
              <w:rPr>
                <w:sz w:val="20"/>
              </w:rPr>
              <w:t>Área curricular</w:t>
            </w:r>
          </w:p>
        </w:tc>
      </w:tr>
      <w:tr>
        <w:trPr>
          <w:trHeight w:val="535" w:hRule="exact"/>
        </w:trPr>
        <w:tc>
          <w:tcPr>
            <w:tcW w:w="601" w:type="dxa"/>
          </w:tcPr>
          <w:p>
            <w:pPr>
              <w:pStyle w:val="TableParagraph"/>
              <w:spacing w:before="6"/>
              <w:rPr>
                <w:b/>
                <w:sz w:val="24"/>
              </w:rPr>
            </w:pPr>
          </w:p>
          <w:p>
            <w:pPr>
              <w:pStyle w:val="TableParagraph"/>
              <w:ind w:right="61"/>
              <w:jc w:val="right"/>
              <w:rPr>
                <w:sz w:val="20"/>
              </w:rPr>
            </w:pPr>
            <w:r>
              <w:rPr>
                <w:sz w:val="20"/>
              </w:rPr>
              <w:t>15</w:t>
            </w:r>
          </w:p>
        </w:tc>
        <w:tc>
          <w:tcPr>
            <w:tcW w:w="2681" w:type="dxa"/>
          </w:tcPr>
          <w:p>
            <w:pPr>
              <w:pStyle w:val="TableParagraph"/>
              <w:spacing w:before="5"/>
              <w:rPr>
                <w:b/>
                <w:sz w:val="22"/>
              </w:rPr>
            </w:pPr>
          </w:p>
          <w:p>
            <w:pPr>
              <w:pStyle w:val="TableParagraph"/>
              <w:ind w:left="64"/>
              <w:rPr>
                <w:sz w:val="22"/>
              </w:rPr>
            </w:pPr>
            <w:r>
              <w:rPr>
                <w:sz w:val="22"/>
              </w:rPr>
              <w:t>Microeconomía I</w:t>
            </w:r>
          </w:p>
        </w:tc>
        <w:tc>
          <w:tcPr>
            <w:tcW w:w="408" w:type="dxa"/>
          </w:tcPr>
          <w:p>
            <w:pPr>
              <w:pStyle w:val="TableParagraph"/>
              <w:spacing w:before="133"/>
              <w:ind w:right="5"/>
              <w:jc w:val="center"/>
              <w:rPr>
                <w:sz w:val="20"/>
              </w:rPr>
            </w:pPr>
            <w:r>
              <w:rPr>
                <w:w w:val="99"/>
                <w:sz w:val="20"/>
              </w:rPr>
              <w:t>4</w:t>
            </w:r>
          </w:p>
        </w:tc>
        <w:tc>
          <w:tcPr>
            <w:tcW w:w="396" w:type="dxa"/>
            <w:tcBorders>
              <w:right w:val="single" w:sz="4" w:space="0" w:color="000000"/>
            </w:tcBorders>
          </w:tcPr>
          <w:p>
            <w:pPr>
              <w:pStyle w:val="TableParagraph"/>
              <w:spacing w:before="133"/>
              <w:ind w:right="6"/>
              <w:jc w:val="center"/>
              <w:rPr>
                <w:sz w:val="20"/>
              </w:rPr>
            </w:pPr>
            <w:r>
              <w:rPr>
                <w:w w:val="99"/>
                <w:sz w:val="20"/>
              </w:rPr>
              <w:t>2</w:t>
            </w:r>
          </w:p>
        </w:tc>
        <w:tc>
          <w:tcPr>
            <w:tcW w:w="468" w:type="dxa"/>
            <w:tcBorders>
              <w:left w:val="single" w:sz="4" w:space="0" w:color="000000"/>
            </w:tcBorders>
          </w:tcPr>
          <w:p>
            <w:pPr>
              <w:pStyle w:val="TableParagraph"/>
              <w:spacing w:before="133"/>
              <w:ind w:right="1"/>
              <w:jc w:val="center"/>
              <w:rPr>
                <w:sz w:val="20"/>
              </w:rPr>
            </w:pPr>
            <w:r>
              <w:rPr>
                <w:w w:val="99"/>
                <w:sz w:val="20"/>
              </w:rPr>
              <w:t>6</w:t>
            </w:r>
          </w:p>
        </w:tc>
        <w:tc>
          <w:tcPr>
            <w:tcW w:w="470" w:type="dxa"/>
          </w:tcPr>
          <w:p>
            <w:pPr>
              <w:pStyle w:val="TableParagraph"/>
              <w:spacing w:before="133"/>
              <w:ind w:left="129"/>
              <w:rPr>
                <w:sz w:val="20"/>
              </w:rPr>
            </w:pPr>
            <w:r>
              <w:rPr>
                <w:sz w:val="20"/>
              </w:rPr>
              <w:t>10</w:t>
            </w:r>
          </w:p>
        </w:tc>
        <w:tc>
          <w:tcPr>
            <w:tcW w:w="2563" w:type="dxa"/>
          </w:tcPr>
          <w:p>
            <w:pPr>
              <w:pStyle w:val="TableParagraph"/>
              <w:spacing w:before="51"/>
              <w:ind w:left="64" w:right="419"/>
              <w:rPr>
                <w:sz w:val="20"/>
              </w:rPr>
            </w:pPr>
            <w:r>
              <w:rPr>
                <w:sz w:val="20"/>
              </w:rPr>
              <w:t>Teoría económica y economías especializadas</w:t>
            </w:r>
          </w:p>
        </w:tc>
      </w:tr>
      <w:tr>
        <w:trPr>
          <w:trHeight w:val="533" w:hRule="exact"/>
        </w:trPr>
        <w:tc>
          <w:tcPr>
            <w:tcW w:w="601" w:type="dxa"/>
          </w:tcPr>
          <w:p>
            <w:pPr>
              <w:pStyle w:val="TableParagraph"/>
              <w:spacing w:before="5"/>
              <w:rPr>
                <w:b/>
                <w:sz w:val="22"/>
              </w:rPr>
            </w:pPr>
          </w:p>
          <w:p>
            <w:pPr>
              <w:pStyle w:val="TableParagraph"/>
              <w:ind w:right="65"/>
              <w:jc w:val="right"/>
              <w:rPr>
                <w:sz w:val="22"/>
              </w:rPr>
            </w:pPr>
            <w:r>
              <w:rPr>
                <w:sz w:val="22"/>
              </w:rPr>
              <w:t>16</w:t>
            </w:r>
          </w:p>
        </w:tc>
        <w:tc>
          <w:tcPr>
            <w:tcW w:w="2681" w:type="dxa"/>
          </w:tcPr>
          <w:p>
            <w:pPr>
              <w:pStyle w:val="TableParagraph"/>
              <w:spacing w:before="5"/>
              <w:rPr>
                <w:b/>
                <w:sz w:val="22"/>
              </w:rPr>
            </w:pPr>
          </w:p>
          <w:p>
            <w:pPr>
              <w:pStyle w:val="TableParagraph"/>
              <w:ind w:left="64"/>
              <w:rPr>
                <w:sz w:val="22"/>
              </w:rPr>
            </w:pPr>
            <w:r>
              <w:rPr>
                <w:sz w:val="22"/>
              </w:rPr>
              <w:t>Microeconomía II</w:t>
            </w:r>
          </w:p>
        </w:tc>
        <w:tc>
          <w:tcPr>
            <w:tcW w:w="408" w:type="dxa"/>
          </w:tcPr>
          <w:p>
            <w:pPr>
              <w:pStyle w:val="TableParagraph"/>
              <w:spacing w:before="133"/>
              <w:ind w:right="5"/>
              <w:jc w:val="center"/>
              <w:rPr>
                <w:sz w:val="20"/>
              </w:rPr>
            </w:pPr>
            <w:r>
              <w:rPr>
                <w:w w:val="99"/>
                <w:sz w:val="20"/>
              </w:rPr>
              <w:t>4</w:t>
            </w:r>
          </w:p>
        </w:tc>
        <w:tc>
          <w:tcPr>
            <w:tcW w:w="396" w:type="dxa"/>
            <w:tcBorders>
              <w:right w:val="single" w:sz="4" w:space="0" w:color="000000"/>
            </w:tcBorders>
          </w:tcPr>
          <w:p>
            <w:pPr>
              <w:pStyle w:val="TableParagraph"/>
              <w:spacing w:before="133"/>
              <w:ind w:right="6"/>
              <w:jc w:val="center"/>
              <w:rPr>
                <w:sz w:val="20"/>
              </w:rPr>
            </w:pPr>
            <w:r>
              <w:rPr>
                <w:w w:val="99"/>
                <w:sz w:val="20"/>
              </w:rPr>
              <w:t>2</w:t>
            </w:r>
          </w:p>
        </w:tc>
        <w:tc>
          <w:tcPr>
            <w:tcW w:w="468" w:type="dxa"/>
            <w:tcBorders>
              <w:left w:val="single" w:sz="4" w:space="0" w:color="000000"/>
            </w:tcBorders>
          </w:tcPr>
          <w:p>
            <w:pPr>
              <w:pStyle w:val="TableParagraph"/>
              <w:spacing w:before="133"/>
              <w:ind w:right="1"/>
              <w:jc w:val="center"/>
              <w:rPr>
                <w:sz w:val="20"/>
              </w:rPr>
            </w:pPr>
            <w:r>
              <w:rPr>
                <w:w w:val="99"/>
                <w:sz w:val="20"/>
              </w:rPr>
              <w:t>6</w:t>
            </w:r>
          </w:p>
        </w:tc>
        <w:tc>
          <w:tcPr>
            <w:tcW w:w="470" w:type="dxa"/>
          </w:tcPr>
          <w:p>
            <w:pPr>
              <w:pStyle w:val="TableParagraph"/>
              <w:spacing w:before="133"/>
              <w:ind w:left="129"/>
              <w:rPr>
                <w:sz w:val="20"/>
              </w:rPr>
            </w:pPr>
            <w:r>
              <w:rPr>
                <w:sz w:val="20"/>
              </w:rPr>
              <w:t>10</w:t>
            </w:r>
          </w:p>
        </w:tc>
        <w:tc>
          <w:tcPr>
            <w:tcW w:w="2563" w:type="dxa"/>
          </w:tcPr>
          <w:p>
            <w:pPr>
              <w:pStyle w:val="TableParagraph"/>
              <w:spacing w:before="51"/>
              <w:ind w:left="64" w:right="419"/>
              <w:rPr>
                <w:sz w:val="20"/>
              </w:rPr>
            </w:pPr>
            <w:r>
              <w:rPr>
                <w:sz w:val="20"/>
              </w:rPr>
              <w:t>Teoría económica y economías especializadas</w:t>
            </w:r>
          </w:p>
        </w:tc>
      </w:tr>
      <w:tr>
        <w:trPr>
          <w:trHeight w:val="535" w:hRule="exact"/>
        </w:trPr>
        <w:tc>
          <w:tcPr>
            <w:tcW w:w="601" w:type="dxa"/>
          </w:tcPr>
          <w:p>
            <w:pPr>
              <w:pStyle w:val="TableParagraph"/>
              <w:spacing w:before="8"/>
              <w:rPr>
                <w:b/>
                <w:sz w:val="24"/>
              </w:rPr>
            </w:pPr>
          </w:p>
          <w:p>
            <w:pPr>
              <w:pStyle w:val="TableParagraph"/>
              <w:ind w:right="61"/>
              <w:jc w:val="right"/>
              <w:rPr>
                <w:sz w:val="20"/>
              </w:rPr>
            </w:pPr>
            <w:r>
              <w:rPr>
                <w:sz w:val="20"/>
              </w:rPr>
              <w:t>17</w:t>
            </w:r>
          </w:p>
        </w:tc>
        <w:tc>
          <w:tcPr>
            <w:tcW w:w="2681" w:type="dxa"/>
          </w:tcPr>
          <w:p>
            <w:pPr>
              <w:pStyle w:val="TableParagraph"/>
              <w:spacing w:before="8"/>
              <w:rPr>
                <w:b/>
                <w:sz w:val="22"/>
              </w:rPr>
            </w:pPr>
          </w:p>
          <w:p>
            <w:pPr>
              <w:pStyle w:val="TableParagraph"/>
              <w:ind w:left="64"/>
              <w:rPr>
                <w:sz w:val="22"/>
              </w:rPr>
            </w:pPr>
            <w:r>
              <w:rPr>
                <w:sz w:val="22"/>
              </w:rPr>
              <w:t>Microeconomía avanzada</w:t>
            </w:r>
          </w:p>
        </w:tc>
        <w:tc>
          <w:tcPr>
            <w:tcW w:w="408" w:type="dxa"/>
          </w:tcPr>
          <w:p>
            <w:pPr>
              <w:pStyle w:val="TableParagraph"/>
              <w:spacing w:before="135"/>
              <w:ind w:right="5"/>
              <w:jc w:val="center"/>
              <w:rPr>
                <w:sz w:val="20"/>
              </w:rPr>
            </w:pPr>
            <w:r>
              <w:rPr>
                <w:w w:val="99"/>
                <w:sz w:val="20"/>
              </w:rPr>
              <w:t>4</w:t>
            </w:r>
          </w:p>
        </w:tc>
        <w:tc>
          <w:tcPr>
            <w:tcW w:w="396" w:type="dxa"/>
            <w:tcBorders>
              <w:right w:val="single" w:sz="4" w:space="0" w:color="000000"/>
            </w:tcBorders>
          </w:tcPr>
          <w:p>
            <w:pPr>
              <w:pStyle w:val="TableParagraph"/>
              <w:spacing w:before="135"/>
              <w:ind w:right="6"/>
              <w:jc w:val="center"/>
              <w:rPr>
                <w:sz w:val="20"/>
              </w:rPr>
            </w:pPr>
            <w:r>
              <w:rPr>
                <w:w w:val="99"/>
                <w:sz w:val="20"/>
              </w:rPr>
              <w:t>2</w:t>
            </w:r>
          </w:p>
        </w:tc>
        <w:tc>
          <w:tcPr>
            <w:tcW w:w="468" w:type="dxa"/>
            <w:tcBorders>
              <w:left w:val="single" w:sz="4" w:space="0" w:color="000000"/>
            </w:tcBorders>
          </w:tcPr>
          <w:p>
            <w:pPr>
              <w:pStyle w:val="TableParagraph"/>
              <w:spacing w:before="135"/>
              <w:ind w:right="1"/>
              <w:jc w:val="center"/>
              <w:rPr>
                <w:sz w:val="20"/>
              </w:rPr>
            </w:pPr>
            <w:r>
              <w:rPr>
                <w:w w:val="99"/>
                <w:sz w:val="20"/>
              </w:rPr>
              <w:t>6</w:t>
            </w:r>
          </w:p>
        </w:tc>
        <w:tc>
          <w:tcPr>
            <w:tcW w:w="470" w:type="dxa"/>
          </w:tcPr>
          <w:p>
            <w:pPr>
              <w:pStyle w:val="TableParagraph"/>
              <w:spacing w:before="135"/>
              <w:ind w:left="129"/>
              <w:rPr>
                <w:sz w:val="20"/>
              </w:rPr>
            </w:pPr>
            <w:r>
              <w:rPr>
                <w:sz w:val="20"/>
              </w:rPr>
              <w:t>10</w:t>
            </w:r>
          </w:p>
        </w:tc>
        <w:tc>
          <w:tcPr>
            <w:tcW w:w="2563" w:type="dxa"/>
          </w:tcPr>
          <w:p>
            <w:pPr>
              <w:pStyle w:val="TableParagraph"/>
              <w:spacing w:before="54"/>
              <w:ind w:left="64" w:right="419"/>
              <w:rPr>
                <w:sz w:val="20"/>
              </w:rPr>
            </w:pPr>
            <w:r>
              <w:rPr>
                <w:sz w:val="20"/>
              </w:rPr>
              <w:t>Teoría económica y economías especializadas</w:t>
            </w:r>
          </w:p>
        </w:tc>
      </w:tr>
      <w:tr>
        <w:trPr>
          <w:trHeight w:val="612" w:hRule="exact"/>
        </w:trPr>
        <w:tc>
          <w:tcPr>
            <w:tcW w:w="601" w:type="dxa"/>
          </w:tcPr>
          <w:p>
            <w:pPr>
              <w:pStyle w:val="TableParagraph"/>
              <w:spacing w:before="1"/>
              <w:rPr>
                <w:b/>
                <w:sz w:val="29"/>
              </w:rPr>
            </w:pPr>
          </w:p>
          <w:p>
            <w:pPr>
              <w:pStyle w:val="TableParagraph"/>
              <w:spacing w:before="1"/>
              <w:ind w:right="65"/>
              <w:jc w:val="right"/>
              <w:rPr>
                <w:sz w:val="22"/>
              </w:rPr>
            </w:pPr>
            <w:r>
              <w:rPr>
                <w:sz w:val="22"/>
              </w:rPr>
              <w:t>18</w:t>
            </w:r>
          </w:p>
        </w:tc>
        <w:tc>
          <w:tcPr>
            <w:tcW w:w="2681" w:type="dxa"/>
          </w:tcPr>
          <w:p>
            <w:pPr>
              <w:pStyle w:val="TableParagraph"/>
              <w:spacing w:before="83"/>
              <w:ind w:left="64" w:right="810"/>
              <w:rPr>
                <w:sz w:val="22"/>
              </w:rPr>
            </w:pPr>
            <w:r>
              <w:rPr>
                <w:sz w:val="22"/>
              </w:rPr>
              <w:t>Macroeconomías de economías abiertas</w:t>
            </w:r>
          </w:p>
        </w:tc>
        <w:tc>
          <w:tcPr>
            <w:tcW w:w="408" w:type="dxa"/>
          </w:tcPr>
          <w:p>
            <w:pPr>
              <w:pStyle w:val="TableParagraph"/>
              <w:spacing w:before="174"/>
              <w:ind w:right="5"/>
              <w:jc w:val="center"/>
              <w:rPr>
                <w:sz w:val="20"/>
              </w:rPr>
            </w:pPr>
            <w:r>
              <w:rPr>
                <w:w w:val="99"/>
                <w:sz w:val="20"/>
              </w:rPr>
              <w:t>4</w:t>
            </w:r>
          </w:p>
        </w:tc>
        <w:tc>
          <w:tcPr>
            <w:tcW w:w="396" w:type="dxa"/>
            <w:tcBorders>
              <w:right w:val="single" w:sz="4" w:space="0" w:color="000000"/>
            </w:tcBorders>
          </w:tcPr>
          <w:p>
            <w:pPr>
              <w:pStyle w:val="TableParagraph"/>
              <w:spacing w:before="174"/>
              <w:ind w:right="6"/>
              <w:jc w:val="center"/>
              <w:rPr>
                <w:sz w:val="20"/>
              </w:rPr>
            </w:pPr>
            <w:r>
              <w:rPr>
                <w:w w:val="99"/>
                <w:sz w:val="20"/>
              </w:rPr>
              <w:t>2</w:t>
            </w:r>
          </w:p>
        </w:tc>
        <w:tc>
          <w:tcPr>
            <w:tcW w:w="468" w:type="dxa"/>
            <w:tcBorders>
              <w:left w:val="single" w:sz="4" w:space="0" w:color="000000"/>
            </w:tcBorders>
          </w:tcPr>
          <w:p>
            <w:pPr>
              <w:pStyle w:val="TableParagraph"/>
              <w:spacing w:before="174"/>
              <w:ind w:right="1"/>
              <w:jc w:val="center"/>
              <w:rPr>
                <w:sz w:val="20"/>
              </w:rPr>
            </w:pPr>
            <w:r>
              <w:rPr>
                <w:w w:val="99"/>
                <w:sz w:val="20"/>
              </w:rPr>
              <w:t>6</w:t>
            </w:r>
          </w:p>
        </w:tc>
        <w:tc>
          <w:tcPr>
            <w:tcW w:w="470" w:type="dxa"/>
          </w:tcPr>
          <w:p>
            <w:pPr>
              <w:pStyle w:val="TableParagraph"/>
              <w:spacing w:before="174"/>
              <w:ind w:left="129"/>
              <w:rPr>
                <w:sz w:val="20"/>
              </w:rPr>
            </w:pPr>
            <w:r>
              <w:rPr>
                <w:sz w:val="20"/>
              </w:rPr>
              <w:t>10</w:t>
            </w:r>
          </w:p>
        </w:tc>
        <w:tc>
          <w:tcPr>
            <w:tcW w:w="2563" w:type="dxa"/>
          </w:tcPr>
          <w:p>
            <w:pPr>
              <w:pStyle w:val="TableParagraph"/>
              <w:spacing w:before="128"/>
              <w:ind w:left="64" w:right="419"/>
              <w:rPr>
                <w:sz w:val="20"/>
              </w:rPr>
            </w:pPr>
            <w:r>
              <w:rPr>
                <w:sz w:val="20"/>
              </w:rPr>
              <w:t>Teoría económica y economías especializadas</w:t>
            </w:r>
          </w:p>
        </w:tc>
      </w:tr>
      <w:tr>
        <w:trPr>
          <w:trHeight w:val="533" w:hRule="exact"/>
        </w:trPr>
        <w:tc>
          <w:tcPr>
            <w:tcW w:w="601" w:type="dxa"/>
          </w:tcPr>
          <w:p>
            <w:pPr>
              <w:pStyle w:val="TableParagraph"/>
              <w:spacing w:before="6"/>
              <w:rPr>
                <w:b/>
                <w:sz w:val="24"/>
              </w:rPr>
            </w:pPr>
          </w:p>
          <w:p>
            <w:pPr>
              <w:pStyle w:val="TableParagraph"/>
              <w:ind w:right="61"/>
              <w:jc w:val="right"/>
              <w:rPr>
                <w:sz w:val="20"/>
              </w:rPr>
            </w:pPr>
            <w:r>
              <w:rPr>
                <w:sz w:val="20"/>
              </w:rPr>
              <w:t>19</w:t>
            </w:r>
          </w:p>
        </w:tc>
        <w:tc>
          <w:tcPr>
            <w:tcW w:w="2681" w:type="dxa"/>
          </w:tcPr>
          <w:p>
            <w:pPr>
              <w:pStyle w:val="TableParagraph"/>
              <w:spacing w:before="5"/>
              <w:rPr>
                <w:b/>
                <w:sz w:val="22"/>
              </w:rPr>
            </w:pPr>
          </w:p>
          <w:p>
            <w:pPr>
              <w:pStyle w:val="TableParagraph"/>
              <w:ind w:left="64"/>
              <w:rPr>
                <w:sz w:val="22"/>
              </w:rPr>
            </w:pPr>
            <w:r>
              <w:rPr>
                <w:sz w:val="22"/>
              </w:rPr>
              <w:t>Economía industrial</w:t>
            </w:r>
          </w:p>
        </w:tc>
        <w:tc>
          <w:tcPr>
            <w:tcW w:w="408" w:type="dxa"/>
          </w:tcPr>
          <w:p>
            <w:pPr>
              <w:pStyle w:val="TableParagraph"/>
              <w:spacing w:before="133"/>
              <w:ind w:right="5"/>
              <w:jc w:val="center"/>
              <w:rPr>
                <w:sz w:val="20"/>
              </w:rPr>
            </w:pPr>
            <w:r>
              <w:rPr>
                <w:w w:val="99"/>
                <w:sz w:val="20"/>
              </w:rPr>
              <w:t>4</w:t>
            </w:r>
          </w:p>
        </w:tc>
        <w:tc>
          <w:tcPr>
            <w:tcW w:w="396" w:type="dxa"/>
            <w:tcBorders>
              <w:right w:val="single" w:sz="4" w:space="0" w:color="000000"/>
            </w:tcBorders>
          </w:tcPr>
          <w:p>
            <w:pPr>
              <w:pStyle w:val="TableParagraph"/>
              <w:spacing w:before="133"/>
              <w:ind w:right="6"/>
              <w:jc w:val="center"/>
              <w:rPr>
                <w:sz w:val="20"/>
              </w:rPr>
            </w:pPr>
            <w:r>
              <w:rPr>
                <w:w w:val="99"/>
                <w:sz w:val="20"/>
              </w:rPr>
              <w:t>2</w:t>
            </w:r>
          </w:p>
        </w:tc>
        <w:tc>
          <w:tcPr>
            <w:tcW w:w="468" w:type="dxa"/>
            <w:tcBorders>
              <w:left w:val="single" w:sz="4" w:space="0" w:color="000000"/>
            </w:tcBorders>
          </w:tcPr>
          <w:p>
            <w:pPr>
              <w:pStyle w:val="TableParagraph"/>
              <w:spacing w:before="133"/>
              <w:ind w:right="1"/>
              <w:jc w:val="center"/>
              <w:rPr>
                <w:sz w:val="20"/>
              </w:rPr>
            </w:pPr>
            <w:r>
              <w:rPr>
                <w:w w:val="99"/>
                <w:sz w:val="20"/>
              </w:rPr>
              <w:t>6</w:t>
            </w:r>
          </w:p>
        </w:tc>
        <w:tc>
          <w:tcPr>
            <w:tcW w:w="470" w:type="dxa"/>
          </w:tcPr>
          <w:p>
            <w:pPr>
              <w:pStyle w:val="TableParagraph"/>
              <w:spacing w:before="133"/>
              <w:ind w:left="129"/>
              <w:rPr>
                <w:sz w:val="20"/>
              </w:rPr>
            </w:pPr>
            <w:r>
              <w:rPr>
                <w:sz w:val="20"/>
              </w:rPr>
              <w:t>10</w:t>
            </w:r>
          </w:p>
        </w:tc>
        <w:tc>
          <w:tcPr>
            <w:tcW w:w="2563" w:type="dxa"/>
          </w:tcPr>
          <w:p>
            <w:pPr>
              <w:pStyle w:val="TableParagraph"/>
              <w:spacing w:before="51"/>
              <w:ind w:left="64" w:right="419"/>
              <w:rPr>
                <w:sz w:val="20"/>
              </w:rPr>
            </w:pPr>
            <w:r>
              <w:rPr>
                <w:sz w:val="20"/>
              </w:rPr>
              <w:t>Teoría económica y economías especializadas</w:t>
            </w:r>
          </w:p>
        </w:tc>
      </w:tr>
      <w:tr>
        <w:trPr>
          <w:trHeight w:val="536" w:hRule="exact"/>
        </w:trPr>
        <w:tc>
          <w:tcPr>
            <w:tcW w:w="601" w:type="dxa"/>
          </w:tcPr>
          <w:p>
            <w:pPr>
              <w:pStyle w:val="TableParagraph"/>
              <w:spacing w:before="8"/>
              <w:rPr>
                <w:b/>
                <w:sz w:val="22"/>
              </w:rPr>
            </w:pPr>
          </w:p>
          <w:p>
            <w:pPr>
              <w:pStyle w:val="TableParagraph"/>
              <w:ind w:right="65"/>
              <w:jc w:val="right"/>
              <w:rPr>
                <w:sz w:val="22"/>
              </w:rPr>
            </w:pPr>
            <w:r>
              <w:rPr>
                <w:sz w:val="22"/>
              </w:rPr>
              <w:t>20</w:t>
            </w:r>
          </w:p>
        </w:tc>
        <w:tc>
          <w:tcPr>
            <w:tcW w:w="2681" w:type="dxa"/>
          </w:tcPr>
          <w:p>
            <w:pPr>
              <w:pStyle w:val="TableParagraph"/>
              <w:spacing w:before="8"/>
              <w:rPr>
                <w:b/>
                <w:sz w:val="22"/>
              </w:rPr>
            </w:pPr>
          </w:p>
          <w:p>
            <w:pPr>
              <w:pStyle w:val="TableParagraph"/>
              <w:ind w:left="64"/>
              <w:rPr>
                <w:sz w:val="22"/>
              </w:rPr>
            </w:pPr>
            <w:r>
              <w:rPr>
                <w:sz w:val="22"/>
              </w:rPr>
              <w:t>Comercio internacional</w:t>
            </w:r>
          </w:p>
        </w:tc>
        <w:tc>
          <w:tcPr>
            <w:tcW w:w="408" w:type="dxa"/>
          </w:tcPr>
          <w:p>
            <w:pPr>
              <w:pStyle w:val="TableParagraph"/>
              <w:spacing w:before="8"/>
              <w:rPr>
                <w:b/>
                <w:sz w:val="22"/>
              </w:rPr>
            </w:pPr>
          </w:p>
          <w:p>
            <w:pPr>
              <w:pStyle w:val="TableParagraph"/>
              <w:ind w:right="65"/>
              <w:jc w:val="right"/>
              <w:rPr>
                <w:sz w:val="22"/>
              </w:rPr>
            </w:pPr>
            <w:r>
              <w:rPr>
                <w:w w:val="100"/>
                <w:sz w:val="22"/>
              </w:rPr>
              <w:t>2</w:t>
            </w:r>
          </w:p>
        </w:tc>
        <w:tc>
          <w:tcPr>
            <w:tcW w:w="396" w:type="dxa"/>
            <w:tcBorders>
              <w:right w:val="single" w:sz="4" w:space="0" w:color="000000"/>
            </w:tcBorders>
          </w:tcPr>
          <w:p>
            <w:pPr>
              <w:pStyle w:val="TableParagraph"/>
              <w:spacing w:before="8"/>
              <w:rPr>
                <w:b/>
                <w:sz w:val="22"/>
              </w:rPr>
            </w:pPr>
          </w:p>
          <w:p>
            <w:pPr>
              <w:pStyle w:val="TableParagraph"/>
              <w:ind w:right="65"/>
              <w:jc w:val="right"/>
              <w:rPr>
                <w:sz w:val="22"/>
              </w:rPr>
            </w:pPr>
            <w:r>
              <w:rPr>
                <w:w w:val="100"/>
                <w:sz w:val="22"/>
              </w:rPr>
              <w:t>2</w:t>
            </w:r>
          </w:p>
        </w:tc>
        <w:tc>
          <w:tcPr>
            <w:tcW w:w="468" w:type="dxa"/>
            <w:tcBorders>
              <w:left w:val="single" w:sz="4" w:space="0" w:color="000000"/>
            </w:tcBorders>
          </w:tcPr>
          <w:p>
            <w:pPr>
              <w:pStyle w:val="TableParagraph"/>
              <w:spacing w:before="8"/>
              <w:rPr>
                <w:b/>
                <w:sz w:val="22"/>
              </w:rPr>
            </w:pPr>
          </w:p>
          <w:p>
            <w:pPr>
              <w:pStyle w:val="TableParagraph"/>
              <w:ind w:right="62"/>
              <w:jc w:val="right"/>
              <w:rPr>
                <w:sz w:val="22"/>
              </w:rPr>
            </w:pPr>
            <w:r>
              <w:rPr>
                <w:w w:val="100"/>
                <w:sz w:val="22"/>
              </w:rPr>
              <w:t>4</w:t>
            </w:r>
          </w:p>
        </w:tc>
        <w:tc>
          <w:tcPr>
            <w:tcW w:w="470" w:type="dxa"/>
          </w:tcPr>
          <w:p>
            <w:pPr>
              <w:pStyle w:val="TableParagraph"/>
              <w:spacing w:before="8"/>
              <w:rPr>
                <w:b/>
                <w:sz w:val="22"/>
              </w:rPr>
            </w:pPr>
          </w:p>
          <w:p>
            <w:pPr>
              <w:pStyle w:val="TableParagraph"/>
              <w:ind w:right="62"/>
              <w:jc w:val="right"/>
              <w:rPr>
                <w:sz w:val="22"/>
              </w:rPr>
            </w:pPr>
            <w:r>
              <w:rPr>
                <w:w w:val="100"/>
                <w:sz w:val="22"/>
              </w:rPr>
              <w:t>6</w:t>
            </w:r>
          </w:p>
        </w:tc>
        <w:tc>
          <w:tcPr>
            <w:tcW w:w="2563" w:type="dxa"/>
          </w:tcPr>
          <w:p>
            <w:pPr>
              <w:pStyle w:val="TableParagraph"/>
              <w:spacing w:before="54"/>
              <w:ind w:left="64" w:right="419"/>
              <w:rPr>
                <w:sz w:val="20"/>
              </w:rPr>
            </w:pPr>
            <w:r>
              <w:rPr>
                <w:sz w:val="20"/>
              </w:rPr>
              <w:t>Teoría económica y economías especializadas</w:t>
            </w:r>
          </w:p>
        </w:tc>
      </w:tr>
      <w:tr>
        <w:trPr>
          <w:trHeight w:val="535" w:hRule="exact"/>
        </w:trPr>
        <w:tc>
          <w:tcPr>
            <w:tcW w:w="601" w:type="dxa"/>
          </w:tcPr>
          <w:p>
            <w:pPr>
              <w:pStyle w:val="TableParagraph"/>
              <w:spacing w:before="6"/>
              <w:rPr>
                <w:b/>
                <w:sz w:val="24"/>
              </w:rPr>
            </w:pPr>
          </w:p>
          <w:p>
            <w:pPr>
              <w:pStyle w:val="TableParagraph"/>
              <w:ind w:right="61"/>
              <w:jc w:val="right"/>
              <w:rPr>
                <w:sz w:val="20"/>
              </w:rPr>
            </w:pPr>
            <w:r>
              <w:rPr>
                <w:sz w:val="20"/>
              </w:rPr>
              <w:t>21</w:t>
            </w:r>
          </w:p>
        </w:tc>
        <w:tc>
          <w:tcPr>
            <w:tcW w:w="2681" w:type="dxa"/>
          </w:tcPr>
          <w:p>
            <w:pPr>
              <w:pStyle w:val="TableParagraph"/>
              <w:spacing w:before="8"/>
              <w:rPr>
                <w:b/>
                <w:sz w:val="22"/>
              </w:rPr>
            </w:pPr>
          </w:p>
          <w:p>
            <w:pPr>
              <w:pStyle w:val="TableParagraph"/>
              <w:ind w:left="64"/>
              <w:rPr>
                <w:sz w:val="22"/>
              </w:rPr>
            </w:pPr>
            <w:r>
              <w:rPr>
                <w:sz w:val="22"/>
              </w:rPr>
              <w:t>Macroeconomía</w:t>
            </w:r>
          </w:p>
        </w:tc>
        <w:tc>
          <w:tcPr>
            <w:tcW w:w="408" w:type="dxa"/>
          </w:tcPr>
          <w:p>
            <w:pPr>
              <w:pStyle w:val="TableParagraph"/>
              <w:spacing w:before="8"/>
              <w:rPr>
                <w:b/>
                <w:sz w:val="22"/>
              </w:rPr>
            </w:pPr>
          </w:p>
          <w:p>
            <w:pPr>
              <w:pStyle w:val="TableParagraph"/>
              <w:ind w:right="65"/>
              <w:jc w:val="right"/>
              <w:rPr>
                <w:sz w:val="22"/>
              </w:rPr>
            </w:pPr>
            <w:r>
              <w:rPr>
                <w:w w:val="100"/>
                <w:sz w:val="22"/>
              </w:rPr>
              <w:t>4</w:t>
            </w:r>
          </w:p>
        </w:tc>
        <w:tc>
          <w:tcPr>
            <w:tcW w:w="396" w:type="dxa"/>
            <w:tcBorders>
              <w:right w:val="single" w:sz="4" w:space="0" w:color="000000"/>
            </w:tcBorders>
          </w:tcPr>
          <w:p>
            <w:pPr>
              <w:pStyle w:val="TableParagraph"/>
              <w:spacing w:before="8"/>
              <w:rPr>
                <w:b/>
                <w:sz w:val="22"/>
              </w:rPr>
            </w:pPr>
          </w:p>
          <w:p>
            <w:pPr>
              <w:pStyle w:val="TableParagraph"/>
              <w:ind w:right="65"/>
              <w:jc w:val="right"/>
              <w:rPr>
                <w:sz w:val="22"/>
              </w:rPr>
            </w:pPr>
            <w:r>
              <w:rPr>
                <w:w w:val="100"/>
                <w:sz w:val="22"/>
              </w:rPr>
              <w:t>2</w:t>
            </w:r>
          </w:p>
        </w:tc>
        <w:tc>
          <w:tcPr>
            <w:tcW w:w="468" w:type="dxa"/>
            <w:tcBorders>
              <w:left w:val="single" w:sz="4" w:space="0" w:color="000000"/>
            </w:tcBorders>
          </w:tcPr>
          <w:p>
            <w:pPr>
              <w:pStyle w:val="TableParagraph"/>
              <w:spacing w:before="8"/>
              <w:rPr>
                <w:b/>
                <w:sz w:val="22"/>
              </w:rPr>
            </w:pPr>
          </w:p>
          <w:p>
            <w:pPr>
              <w:pStyle w:val="TableParagraph"/>
              <w:ind w:right="62"/>
              <w:jc w:val="right"/>
              <w:rPr>
                <w:sz w:val="22"/>
              </w:rPr>
            </w:pPr>
            <w:r>
              <w:rPr>
                <w:w w:val="100"/>
                <w:sz w:val="22"/>
              </w:rPr>
              <w:t>6</w:t>
            </w:r>
          </w:p>
        </w:tc>
        <w:tc>
          <w:tcPr>
            <w:tcW w:w="470" w:type="dxa"/>
          </w:tcPr>
          <w:p>
            <w:pPr>
              <w:pStyle w:val="TableParagraph"/>
              <w:spacing w:before="135"/>
              <w:ind w:left="129"/>
              <w:rPr>
                <w:sz w:val="20"/>
              </w:rPr>
            </w:pPr>
            <w:r>
              <w:rPr>
                <w:sz w:val="20"/>
              </w:rPr>
              <w:t>10</w:t>
            </w:r>
          </w:p>
        </w:tc>
        <w:tc>
          <w:tcPr>
            <w:tcW w:w="2563" w:type="dxa"/>
          </w:tcPr>
          <w:p>
            <w:pPr>
              <w:pStyle w:val="TableParagraph"/>
              <w:spacing w:before="54"/>
              <w:ind w:left="64" w:right="419"/>
              <w:rPr>
                <w:sz w:val="20"/>
              </w:rPr>
            </w:pPr>
            <w:r>
              <w:rPr>
                <w:sz w:val="20"/>
              </w:rPr>
              <w:t>Teoría económica y economías especializadas</w:t>
            </w:r>
          </w:p>
        </w:tc>
      </w:tr>
      <w:tr>
        <w:trPr>
          <w:trHeight w:val="610" w:hRule="exact"/>
        </w:trPr>
        <w:tc>
          <w:tcPr>
            <w:tcW w:w="601" w:type="dxa"/>
          </w:tcPr>
          <w:p>
            <w:pPr>
              <w:pStyle w:val="TableParagraph"/>
              <w:spacing w:before="1"/>
              <w:rPr>
                <w:b/>
                <w:sz w:val="29"/>
              </w:rPr>
            </w:pPr>
          </w:p>
          <w:p>
            <w:pPr>
              <w:pStyle w:val="TableParagraph"/>
              <w:spacing w:before="1"/>
              <w:ind w:right="65"/>
              <w:jc w:val="right"/>
              <w:rPr>
                <w:sz w:val="22"/>
              </w:rPr>
            </w:pPr>
            <w:r>
              <w:rPr>
                <w:sz w:val="22"/>
              </w:rPr>
              <w:t>22</w:t>
            </w:r>
          </w:p>
        </w:tc>
        <w:tc>
          <w:tcPr>
            <w:tcW w:w="2681" w:type="dxa"/>
          </w:tcPr>
          <w:p>
            <w:pPr>
              <w:pStyle w:val="TableParagraph"/>
              <w:spacing w:before="83"/>
              <w:ind w:left="64" w:right="834"/>
              <w:rPr>
                <w:sz w:val="22"/>
              </w:rPr>
            </w:pPr>
            <w:r>
              <w:rPr>
                <w:sz w:val="22"/>
              </w:rPr>
              <w:t>Macroeconomía del crecimiento</w:t>
            </w:r>
          </w:p>
        </w:tc>
        <w:tc>
          <w:tcPr>
            <w:tcW w:w="408" w:type="dxa"/>
          </w:tcPr>
          <w:p>
            <w:pPr>
              <w:pStyle w:val="TableParagraph"/>
              <w:spacing w:before="1"/>
              <w:rPr>
                <w:b/>
                <w:sz w:val="29"/>
              </w:rPr>
            </w:pPr>
          </w:p>
          <w:p>
            <w:pPr>
              <w:pStyle w:val="TableParagraph"/>
              <w:spacing w:before="1"/>
              <w:ind w:right="65"/>
              <w:jc w:val="right"/>
              <w:rPr>
                <w:sz w:val="22"/>
              </w:rPr>
            </w:pPr>
            <w:r>
              <w:rPr>
                <w:w w:val="100"/>
                <w:sz w:val="22"/>
              </w:rPr>
              <w:t>4</w:t>
            </w:r>
          </w:p>
        </w:tc>
        <w:tc>
          <w:tcPr>
            <w:tcW w:w="396" w:type="dxa"/>
            <w:tcBorders>
              <w:right w:val="single" w:sz="4" w:space="0" w:color="000000"/>
            </w:tcBorders>
          </w:tcPr>
          <w:p>
            <w:pPr>
              <w:pStyle w:val="TableParagraph"/>
              <w:spacing w:before="1"/>
              <w:rPr>
                <w:b/>
                <w:sz w:val="29"/>
              </w:rPr>
            </w:pPr>
          </w:p>
          <w:p>
            <w:pPr>
              <w:pStyle w:val="TableParagraph"/>
              <w:spacing w:before="1"/>
              <w:ind w:right="65"/>
              <w:jc w:val="right"/>
              <w:rPr>
                <w:sz w:val="22"/>
              </w:rPr>
            </w:pPr>
            <w:r>
              <w:rPr>
                <w:w w:val="100"/>
                <w:sz w:val="22"/>
              </w:rPr>
              <w:t>2</w:t>
            </w:r>
          </w:p>
        </w:tc>
        <w:tc>
          <w:tcPr>
            <w:tcW w:w="468" w:type="dxa"/>
            <w:tcBorders>
              <w:left w:val="single" w:sz="4" w:space="0" w:color="000000"/>
            </w:tcBorders>
          </w:tcPr>
          <w:p>
            <w:pPr>
              <w:pStyle w:val="TableParagraph"/>
              <w:spacing w:before="1"/>
              <w:rPr>
                <w:b/>
                <w:sz w:val="29"/>
              </w:rPr>
            </w:pPr>
          </w:p>
          <w:p>
            <w:pPr>
              <w:pStyle w:val="TableParagraph"/>
              <w:spacing w:before="1"/>
              <w:ind w:right="62"/>
              <w:jc w:val="right"/>
              <w:rPr>
                <w:sz w:val="22"/>
              </w:rPr>
            </w:pPr>
            <w:r>
              <w:rPr>
                <w:w w:val="100"/>
                <w:sz w:val="22"/>
              </w:rPr>
              <w:t>6</w:t>
            </w:r>
          </w:p>
        </w:tc>
        <w:tc>
          <w:tcPr>
            <w:tcW w:w="470" w:type="dxa"/>
          </w:tcPr>
          <w:p>
            <w:pPr>
              <w:pStyle w:val="TableParagraph"/>
              <w:spacing w:before="174"/>
              <w:ind w:left="129"/>
              <w:rPr>
                <w:sz w:val="20"/>
              </w:rPr>
            </w:pPr>
            <w:r>
              <w:rPr>
                <w:sz w:val="20"/>
              </w:rPr>
              <w:t>10</w:t>
            </w:r>
          </w:p>
        </w:tc>
        <w:tc>
          <w:tcPr>
            <w:tcW w:w="2563" w:type="dxa"/>
          </w:tcPr>
          <w:p>
            <w:pPr>
              <w:pStyle w:val="TableParagraph"/>
              <w:spacing w:before="128"/>
              <w:ind w:left="64" w:right="419"/>
              <w:rPr>
                <w:sz w:val="20"/>
              </w:rPr>
            </w:pPr>
            <w:r>
              <w:rPr>
                <w:sz w:val="20"/>
              </w:rPr>
              <w:t>Teoría económica y economías especializadas</w:t>
            </w:r>
          </w:p>
        </w:tc>
      </w:tr>
      <w:tr>
        <w:trPr>
          <w:trHeight w:val="535" w:hRule="exact"/>
        </w:trPr>
        <w:tc>
          <w:tcPr>
            <w:tcW w:w="601" w:type="dxa"/>
          </w:tcPr>
          <w:p>
            <w:pPr>
              <w:pStyle w:val="TableParagraph"/>
              <w:spacing w:before="8"/>
              <w:rPr>
                <w:b/>
                <w:sz w:val="24"/>
              </w:rPr>
            </w:pPr>
          </w:p>
          <w:p>
            <w:pPr>
              <w:pStyle w:val="TableParagraph"/>
              <w:ind w:right="61"/>
              <w:jc w:val="right"/>
              <w:rPr>
                <w:sz w:val="20"/>
              </w:rPr>
            </w:pPr>
            <w:r>
              <w:rPr>
                <w:sz w:val="20"/>
              </w:rPr>
              <w:t>23</w:t>
            </w:r>
          </w:p>
        </w:tc>
        <w:tc>
          <w:tcPr>
            <w:tcW w:w="2681" w:type="dxa"/>
          </w:tcPr>
          <w:p>
            <w:pPr>
              <w:pStyle w:val="TableParagraph"/>
              <w:spacing w:before="8"/>
              <w:rPr>
                <w:b/>
                <w:sz w:val="22"/>
              </w:rPr>
            </w:pPr>
          </w:p>
          <w:p>
            <w:pPr>
              <w:pStyle w:val="TableParagraph"/>
              <w:ind w:left="64"/>
              <w:rPr>
                <w:sz w:val="22"/>
              </w:rPr>
            </w:pPr>
            <w:r>
              <w:rPr>
                <w:sz w:val="22"/>
              </w:rPr>
              <w:t>Macroeconomía dinámica</w:t>
            </w:r>
          </w:p>
        </w:tc>
        <w:tc>
          <w:tcPr>
            <w:tcW w:w="408" w:type="dxa"/>
          </w:tcPr>
          <w:p>
            <w:pPr>
              <w:pStyle w:val="TableParagraph"/>
              <w:spacing w:before="8"/>
              <w:rPr>
                <w:b/>
                <w:sz w:val="22"/>
              </w:rPr>
            </w:pPr>
          </w:p>
          <w:p>
            <w:pPr>
              <w:pStyle w:val="TableParagraph"/>
              <w:ind w:right="65"/>
              <w:jc w:val="right"/>
              <w:rPr>
                <w:sz w:val="22"/>
              </w:rPr>
            </w:pPr>
            <w:r>
              <w:rPr>
                <w:w w:val="100"/>
                <w:sz w:val="22"/>
              </w:rPr>
              <w:t>4</w:t>
            </w:r>
          </w:p>
        </w:tc>
        <w:tc>
          <w:tcPr>
            <w:tcW w:w="396" w:type="dxa"/>
            <w:tcBorders>
              <w:right w:val="single" w:sz="4" w:space="0" w:color="000000"/>
            </w:tcBorders>
          </w:tcPr>
          <w:p>
            <w:pPr>
              <w:pStyle w:val="TableParagraph"/>
              <w:spacing w:before="8"/>
              <w:rPr>
                <w:b/>
                <w:sz w:val="22"/>
              </w:rPr>
            </w:pPr>
          </w:p>
          <w:p>
            <w:pPr>
              <w:pStyle w:val="TableParagraph"/>
              <w:ind w:right="65"/>
              <w:jc w:val="right"/>
              <w:rPr>
                <w:sz w:val="22"/>
              </w:rPr>
            </w:pPr>
            <w:r>
              <w:rPr>
                <w:w w:val="100"/>
                <w:sz w:val="22"/>
              </w:rPr>
              <w:t>2</w:t>
            </w:r>
          </w:p>
        </w:tc>
        <w:tc>
          <w:tcPr>
            <w:tcW w:w="468" w:type="dxa"/>
            <w:tcBorders>
              <w:left w:val="single" w:sz="4" w:space="0" w:color="000000"/>
            </w:tcBorders>
          </w:tcPr>
          <w:p>
            <w:pPr>
              <w:pStyle w:val="TableParagraph"/>
              <w:spacing w:before="8"/>
              <w:rPr>
                <w:b/>
                <w:sz w:val="22"/>
              </w:rPr>
            </w:pPr>
          </w:p>
          <w:p>
            <w:pPr>
              <w:pStyle w:val="TableParagraph"/>
              <w:ind w:right="62"/>
              <w:jc w:val="right"/>
              <w:rPr>
                <w:sz w:val="22"/>
              </w:rPr>
            </w:pPr>
            <w:r>
              <w:rPr>
                <w:w w:val="100"/>
                <w:sz w:val="22"/>
              </w:rPr>
              <w:t>6</w:t>
            </w:r>
          </w:p>
        </w:tc>
        <w:tc>
          <w:tcPr>
            <w:tcW w:w="470" w:type="dxa"/>
          </w:tcPr>
          <w:p>
            <w:pPr>
              <w:pStyle w:val="TableParagraph"/>
              <w:spacing w:before="135"/>
              <w:ind w:left="129"/>
              <w:rPr>
                <w:sz w:val="20"/>
              </w:rPr>
            </w:pPr>
            <w:r>
              <w:rPr>
                <w:sz w:val="20"/>
              </w:rPr>
              <w:t>10</w:t>
            </w:r>
          </w:p>
        </w:tc>
        <w:tc>
          <w:tcPr>
            <w:tcW w:w="2563" w:type="dxa"/>
          </w:tcPr>
          <w:p>
            <w:pPr>
              <w:pStyle w:val="TableParagraph"/>
              <w:spacing w:before="54"/>
              <w:ind w:left="64" w:right="419"/>
              <w:rPr>
                <w:sz w:val="20"/>
              </w:rPr>
            </w:pPr>
            <w:r>
              <w:rPr>
                <w:sz w:val="20"/>
              </w:rPr>
              <w:t>Teoría económica y economías especializadas</w:t>
            </w:r>
          </w:p>
        </w:tc>
      </w:tr>
      <w:tr>
        <w:trPr>
          <w:trHeight w:val="535" w:hRule="exact"/>
        </w:trPr>
        <w:tc>
          <w:tcPr>
            <w:tcW w:w="601" w:type="dxa"/>
          </w:tcPr>
          <w:p>
            <w:pPr>
              <w:pStyle w:val="TableParagraph"/>
              <w:spacing w:before="8"/>
              <w:rPr>
                <w:b/>
                <w:sz w:val="22"/>
              </w:rPr>
            </w:pPr>
          </w:p>
          <w:p>
            <w:pPr>
              <w:pStyle w:val="TableParagraph"/>
              <w:ind w:right="65"/>
              <w:jc w:val="right"/>
              <w:rPr>
                <w:sz w:val="22"/>
              </w:rPr>
            </w:pPr>
            <w:r>
              <w:rPr>
                <w:sz w:val="22"/>
              </w:rPr>
              <w:t>24</w:t>
            </w:r>
          </w:p>
        </w:tc>
        <w:tc>
          <w:tcPr>
            <w:tcW w:w="2681" w:type="dxa"/>
          </w:tcPr>
          <w:p>
            <w:pPr>
              <w:pStyle w:val="TableParagraph"/>
              <w:spacing w:before="8"/>
              <w:rPr>
                <w:b/>
                <w:sz w:val="22"/>
              </w:rPr>
            </w:pPr>
          </w:p>
          <w:p>
            <w:pPr>
              <w:pStyle w:val="TableParagraph"/>
              <w:ind w:left="64"/>
              <w:rPr>
                <w:sz w:val="22"/>
              </w:rPr>
            </w:pPr>
            <w:r>
              <w:rPr>
                <w:sz w:val="22"/>
              </w:rPr>
              <w:t>Teoría y política monetaria</w:t>
            </w:r>
          </w:p>
        </w:tc>
        <w:tc>
          <w:tcPr>
            <w:tcW w:w="408" w:type="dxa"/>
          </w:tcPr>
          <w:p>
            <w:pPr>
              <w:pStyle w:val="TableParagraph"/>
              <w:spacing w:before="8"/>
              <w:rPr>
                <w:b/>
                <w:sz w:val="22"/>
              </w:rPr>
            </w:pPr>
          </w:p>
          <w:p>
            <w:pPr>
              <w:pStyle w:val="TableParagraph"/>
              <w:ind w:right="65"/>
              <w:jc w:val="right"/>
              <w:rPr>
                <w:sz w:val="22"/>
              </w:rPr>
            </w:pPr>
            <w:r>
              <w:rPr>
                <w:w w:val="100"/>
                <w:sz w:val="22"/>
              </w:rPr>
              <w:t>3</w:t>
            </w:r>
          </w:p>
        </w:tc>
        <w:tc>
          <w:tcPr>
            <w:tcW w:w="396" w:type="dxa"/>
            <w:tcBorders>
              <w:right w:val="single" w:sz="4" w:space="0" w:color="000000"/>
            </w:tcBorders>
          </w:tcPr>
          <w:p>
            <w:pPr>
              <w:pStyle w:val="TableParagraph"/>
              <w:spacing w:before="8"/>
              <w:rPr>
                <w:b/>
                <w:sz w:val="22"/>
              </w:rPr>
            </w:pPr>
          </w:p>
          <w:p>
            <w:pPr>
              <w:pStyle w:val="TableParagraph"/>
              <w:ind w:right="65"/>
              <w:jc w:val="right"/>
              <w:rPr>
                <w:sz w:val="22"/>
              </w:rPr>
            </w:pPr>
            <w:r>
              <w:rPr>
                <w:w w:val="100"/>
                <w:sz w:val="22"/>
              </w:rPr>
              <w:t>1</w:t>
            </w:r>
          </w:p>
        </w:tc>
        <w:tc>
          <w:tcPr>
            <w:tcW w:w="468" w:type="dxa"/>
            <w:tcBorders>
              <w:left w:val="single" w:sz="4" w:space="0" w:color="000000"/>
            </w:tcBorders>
          </w:tcPr>
          <w:p>
            <w:pPr>
              <w:pStyle w:val="TableParagraph"/>
              <w:spacing w:before="8"/>
              <w:rPr>
                <w:b/>
                <w:sz w:val="22"/>
              </w:rPr>
            </w:pPr>
          </w:p>
          <w:p>
            <w:pPr>
              <w:pStyle w:val="TableParagraph"/>
              <w:ind w:right="62"/>
              <w:jc w:val="right"/>
              <w:rPr>
                <w:sz w:val="22"/>
              </w:rPr>
            </w:pPr>
            <w:r>
              <w:rPr>
                <w:w w:val="100"/>
                <w:sz w:val="22"/>
              </w:rPr>
              <w:t>4</w:t>
            </w:r>
          </w:p>
        </w:tc>
        <w:tc>
          <w:tcPr>
            <w:tcW w:w="470" w:type="dxa"/>
          </w:tcPr>
          <w:p>
            <w:pPr>
              <w:pStyle w:val="TableParagraph"/>
              <w:spacing w:before="8"/>
              <w:rPr>
                <w:b/>
                <w:sz w:val="22"/>
              </w:rPr>
            </w:pPr>
          </w:p>
          <w:p>
            <w:pPr>
              <w:pStyle w:val="TableParagraph"/>
              <w:ind w:right="62"/>
              <w:jc w:val="right"/>
              <w:rPr>
                <w:sz w:val="22"/>
              </w:rPr>
            </w:pPr>
            <w:r>
              <w:rPr>
                <w:w w:val="100"/>
                <w:sz w:val="22"/>
              </w:rPr>
              <w:t>7</w:t>
            </w:r>
          </w:p>
        </w:tc>
        <w:tc>
          <w:tcPr>
            <w:tcW w:w="2563" w:type="dxa"/>
          </w:tcPr>
          <w:p>
            <w:pPr>
              <w:pStyle w:val="TableParagraph"/>
              <w:spacing w:before="54"/>
              <w:ind w:left="64" w:right="419"/>
              <w:rPr>
                <w:sz w:val="20"/>
              </w:rPr>
            </w:pPr>
            <w:r>
              <w:rPr>
                <w:sz w:val="20"/>
              </w:rPr>
              <w:t>Teoría económica y economías especializadas</w:t>
            </w:r>
          </w:p>
        </w:tc>
      </w:tr>
      <w:tr>
        <w:trPr>
          <w:trHeight w:val="535" w:hRule="exact"/>
        </w:trPr>
        <w:tc>
          <w:tcPr>
            <w:tcW w:w="601" w:type="dxa"/>
          </w:tcPr>
          <w:p>
            <w:pPr>
              <w:pStyle w:val="TableParagraph"/>
              <w:spacing w:before="6"/>
              <w:rPr>
                <w:b/>
                <w:sz w:val="24"/>
              </w:rPr>
            </w:pPr>
          </w:p>
          <w:p>
            <w:pPr>
              <w:pStyle w:val="TableParagraph"/>
              <w:ind w:right="61"/>
              <w:jc w:val="right"/>
              <w:rPr>
                <w:sz w:val="20"/>
              </w:rPr>
            </w:pPr>
            <w:r>
              <w:rPr>
                <w:sz w:val="20"/>
              </w:rPr>
              <w:t>25</w:t>
            </w:r>
          </w:p>
        </w:tc>
        <w:tc>
          <w:tcPr>
            <w:tcW w:w="2681" w:type="dxa"/>
          </w:tcPr>
          <w:p>
            <w:pPr>
              <w:pStyle w:val="TableParagraph"/>
              <w:spacing w:before="8"/>
              <w:rPr>
                <w:b/>
                <w:sz w:val="22"/>
              </w:rPr>
            </w:pPr>
          </w:p>
          <w:p>
            <w:pPr>
              <w:pStyle w:val="TableParagraph"/>
              <w:ind w:left="64"/>
              <w:rPr>
                <w:sz w:val="22"/>
              </w:rPr>
            </w:pPr>
            <w:r>
              <w:rPr>
                <w:sz w:val="22"/>
              </w:rPr>
              <w:t>Teoría y política fiscal</w:t>
            </w:r>
          </w:p>
        </w:tc>
        <w:tc>
          <w:tcPr>
            <w:tcW w:w="408" w:type="dxa"/>
          </w:tcPr>
          <w:p>
            <w:pPr>
              <w:pStyle w:val="TableParagraph"/>
              <w:spacing w:before="8"/>
              <w:rPr>
                <w:b/>
                <w:sz w:val="22"/>
              </w:rPr>
            </w:pPr>
          </w:p>
          <w:p>
            <w:pPr>
              <w:pStyle w:val="TableParagraph"/>
              <w:ind w:right="65"/>
              <w:jc w:val="right"/>
              <w:rPr>
                <w:sz w:val="22"/>
              </w:rPr>
            </w:pPr>
            <w:r>
              <w:rPr>
                <w:w w:val="100"/>
                <w:sz w:val="22"/>
              </w:rPr>
              <w:t>3</w:t>
            </w:r>
          </w:p>
        </w:tc>
        <w:tc>
          <w:tcPr>
            <w:tcW w:w="396" w:type="dxa"/>
            <w:tcBorders>
              <w:right w:val="single" w:sz="4" w:space="0" w:color="000000"/>
            </w:tcBorders>
          </w:tcPr>
          <w:p>
            <w:pPr>
              <w:pStyle w:val="TableParagraph"/>
              <w:spacing w:before="8"/>
              <w:rPr>
                <w:b/>
                <w:sz w:val="22"/>
              </w:rPr>
            </w:pPr>
          </w:p>
          <w:p>
            <w:pPr>
              <w:pStyle w:val="TableParagraph"/>
              <w:ind w:right="65"/>
              <w:jc w:val="right"/>
              <w:rPr>
                <w:sz w:val="22"/>
              </w:rPr>
            </w:pPr>
            <w:r>
              <w:rPr>
                <w:w w:val="100"/>
                <w:sz w:val="22"/>
              </w:rPr>
              <w:t>1</w:t>
            </w:r>
          </w:p>
        </w:tc>
        <w:tc>
          <w:tcPr>
            <w:tcW w:w="468" w:type="dxa"/>
            <w:tcBorders>
              <w:left w:val="single" w:sz="4" w:space="0" w:color="000000"/>
            </w:tcBorders>
          </w:tcPr>
          <w:p>
            <w:pPr>
              <w:pStyle w:val="TableParagraph"/>
              <w:spacing w:before="8"/>
              <w:rPr>
                <w:b/>
                <w:sz w:val="22"/>
              </w:rPr>
            </w:pPr>
          </w:p>
          <w:p>
            <w:pPr>
              <w:pStyle w:val="TableParagraph"/>
              <w:ind w:right="62"/>
              <w:jc w:val="right"/>
              <w:rPr>
                <w:sz w:val="22"/>
              </w:rPr>
            </w:pPr>
            <w:r>
              <w:rPr>
                <w:w w:val="100"/>
                <w:sz w:val="22"/>
              </w:rPr>
              <w:t>4</w:t>
            </w:r>
          </w:p>
        </w:tc>
        <w:tc>
          <w:tcPr>
            <w:tcW w:w="470" w:type="dxa"/>
          </w:tcPr>
          <w:p>
            <w:pPr>
              <w:pStyle w:val="TableParagraph"/>
              <w:spacing w:before="8"/>
              <w:rPr>
                <w:b/>
                <w:sz w:val="22"/>
              </w:rPr>
            </w:pPr>
          </w:p>
          <w:p>
            <w:pPr>
              <w:pStyle w:val="TableParagraph"/>
              <w:ind w:right="62"/>
              <w:jc w:val="right"/>
              <w:rPr>
                <w:sz w:val="22"/>
              </w:rPr>
            </w:pPr>
            <w:r>
              <w:rPr>
                <w:w w:val="100"/>
                <w:sz w:val="22"/>
              </w:rPr>
              <w:t>7</w:t>
            </w:r>
          </w:p>
        </w:tc>
        <w:tc>
          <w:tcPr>
            <w:tcW w:w="2563" w:type="dxa"/>
          </w:tcPr>
          <w:p>
            <w:pPr>
              <w:pStyle w:val="TableParagraph"/>
              <w:spacing w:before="54"/>
              <w:ind w:left="64" w:right="419"/>
              <w:rPr>
                <w:sz w:val="20"/>
              </w:rPr>
            </w:pPr>
            <w:r>
              <w:rPr>
                <w:sz w:val="20"/>
              </w:rPr>
              <w:t>Teoría económica y economías especializadas</w:t>
            </w:r>
          </w:p>
        </w:tc>
      </w:tr>
      <w:tr>
        <w:trPr>
          <w:trHeight w:val="130" w:hRule="exact"/>
        </w:trPr>
        <w:tc>
          <w:tcPr>
            <w:tcW w:w="7588" w:type="dxa"/>
            <w:gridSpan w:val="7"/>
            <w:tcBorders>
              <w:left w:val="nil"/>
              <w:right w:val="nil"/>
            </w:tcBorders>
          </w:tcPr>
          <w:p>
            <w:pPr/>
          </w:p>
        </w:tc>
      </w:tr>
      <w:tr>
        <w:trPr>
          <w:trHeight w:val="314" w:hRule="exact"/>
        </w:trPr>
        <w:tc>
          <w:tcPr>
            <w:tcW w:w="601" w:type="dxa"/>
          </w:tcPr>
          <w:p>
            <w:pPr>
              <w:pStyle w:val="TableParagraph"/>
              <w:spacing w:before="35"/>
              <w:ind w:right="65"/>
              <w:jc w:val="right"/>
              <w:rPr>
                <w:sz w:val="22"/>
              </w:rPr>
            </w:pPr>
            <w:r>
              <w:rPr>
                <w:sz w:val="22"/>
              </w:rPr>
              <w:t>26</w:t>
            </w:r>
          </w:p>
        </w:tc>
        <w:tc>
          <w:tcPr>
            <w:tcW w:w="2681" w:type="dxa"/>
          </w:tcPr>
          <w:p>
            <w:pPr>
              <w:pStyle w:val="TableParagraph"/>
              <w:spacing w:before="35"/>
              <w:ind w:left="64"/>
              <w:rPr>
                <w:sz w:val="22"/>
              </w:rPr>
            </w:pPr>
            <w:r>
              <w:rPr>
                <w:sz w:val="22"/>
              </w:rPr>
              <w:t>Total del núcleo sustantivo</w:t>
            </w:r>
          </w:p>
        </w:tc>
        <w:tc>
          <w:tcPr>
            <w:tcW w:w="408" w:type="dxa"/>
          </w:tcPr>
          <w:p>
            <w:pPr>
              <w:pStyle w:val="TableParagraph"/>
              <w:spacing w:before="35"/>
              <w:ind w:right="65"/>
              <w:jc w:val="right"/>
              <w:rPr>
                <w:sz w:val="22"/>
              </w:rPr>
            </w:pPr>
            <w:r>
              <w:rPr>
                <w:sz w:val="22"/>
              </w:rPr>
              <w:t>87</w:t>
            </w:r>
          </w:p>
        </w:tc>
        <w:tc>
          <w:tcPr>
            <w:tcW w:w="396" w:type="dxa"/>
            <w:tcBorders>
              <w:right w:val="single" w:sz="4" w:space="0" w:color="000000"/>
            </w:tcBorders>
          </w:tcPr>
          <w:p>
            <w:pPr>
              <w:pStyle w:val="TableParagraph"/>
              <w:spacing w:before="35"/>
              <w:ind w:right="65"/>
              <w:jc w:val="right"/>
              <w:rPr>
                <w:sz w:val="22"/>
              </w:rPr>
            </w:pPr>
            <w:r>
              <w:rPr>
                <w:sz w:val="22"/>
              </w:rPr>
              <w:t>43</w:t>
            </w:r>
          </w:p>
        </w:tc>
        <w:tc>
          <w:tcPr>
            <w:tcW w:w="468" w:type="dxa"/>
            <w:tcBorders>
              <w:left w:val="single" w:sz="4" w:space="0" w:color="000000"/>
            </w:tcBorders>
          </w:tcPr>
          <w:p>
            <w:pPr>
              <w:pStyle w:val="TableParagraph"/>
              <w:spacing w:before="35"/>
              <w:ind w:left="62"/>
              <w:rPr>
                <w:sz w:val="22"/>
              </w:rPr>
            </w:pPr>
            <w:r>
              <w:rPr>
                <w:sz w:val="22"/>
              </w:rPr>
              <w:t>130</w:t>
            </w:r>
          </w:p>
        </w:tc>
        <w:tc>
          <w:tcPr>
            <w:tcW w:w="470" w:type="dxa"/>
          </w:tcPr>
          <w:p>
            <w:pPr>
              <w:pStyle w:val="TableParagraph"/>
              <w:spacing w:before="35"/>
              <w:ind w:left="64"/>
              <w:rPr>
                <w:sz w:val="22"/>
              </w:rPr>
            </w:pPr>
            <w:r>
              <w:rPr>
                <w:sz w:val="22"/>
              </w:rPr>
              <w:t>217</w:t>
            </w:r>
          </w:p>
        </w:tc>
        <w:tc>
          <w:tcPr>
            <w:tcW w:w="2563" w:type="dxa"/>
          </w:tcPr>
          <w:p>
            <w:pPr/>
          </w:p>
        </w:tc>
      </w:tr>
    </w:tbl>
    <w:p>
      <w:pPr>
        <w:pStyle w:val="BodyText"/>
        <w:spacing w:line="262" w:lineRule="exact"/>
        <w:ind w:left="1323"/>
      </w:pPr>
      <w:r>
        <w:rPr/>
        <w:t>Fuente: Departamento de desarrollo curricular, UAEMéx, 2013.</w:t>
      </w:r>
    </w:p>
    <w:p>
      <w:pPr>
        <w:pStyle w:val="BodyText"/>
        <w:spacing w:before="2"/>
        <w:rPr>
          <w:sz w:val="29"/>
        </w:rPr>
      </w:pPr>
    </w:p>
    <w:p>
      <w:pPr>
        <w:spacing w:before="0"/>
        <w:ind w:left="382" w:right="792" w:firstLine="0"/>
        <w:jc w:val="left"/>
        <w:rPr>
          <w:sz w:val="22"/>
        </w:rPr>
      </w:pPr>
      <w:r>
        <w:rPr>
          <w:sz w:val="22"/>
        </w:rPr>
        <w:t>Líneas de acentuación: acreditar 4 UA para cubrir 40 créditos de la línea de acentuación elegida o completarlos con UA de otras líneas</w:t>
      </w:r>
    </w:p>
    <w:p>
      <w:pPr>
        <w:pStyle w:val="BodyText"/>
        <w:rPr>
          <w:sz w:val="22"/>
        </w:rPr>
      </w:pPr>
    </w:p>
    <w:p>
      <w:pPr>
        <w:pStyle w:val="BodyText"/>
        <w:spacing w:before="3"/>
        <w:rPr>
          <w:sz w:val="20"/>
        </w:rPr>
      </w:pPr>
    </w:p>
    <w:p>
      <w:pPr>
        <w:spacing w:before="0" w:after="3"/>
        <w:ind w:left="382" w:right="0" w:firstLine="0"/>
        <w:jc w:val="left"/>
        <w:rPr>
          <w:b/>
          <w:sz w:val="22"/>
        </w:rPr>
      </w:pPr>
      <w:r>
        <w:rPr>
          <w:b/>
          <w:sz w:val="22"/>
        </w:rPr>
        <w:t>Desarrollo regional</w:t>
      </w:r>
    </w:p>
    <w:tbl>
      <w:tblPr>
        <w:tblW w:w="0" w:type="auto"/>
        <w:jc w:val="left"/>
        <w:tblInd w:w="3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4"/>
        <w:gridCol w:w="4873"/>
        <w:gridCol w:w="408"/>
        <w:gridCol w:w="396"/>
        <w:gridCol w:w="406"/>
        <w:gridCol w:w="408"/>
        <w:gridCol w:w="1253"/>
      </w:tblGrid>
      <w:tr>
        <w:trPr>
          <w:trHeight w:val="468" w:hRule="exact"/>
        </w:trPr>
        <w:tc>
          <w:tcPr>
            <w:tcW w:w="434" w:type="dxa"/>
          </w:tcPr>
          <w:p>
            <w:pPr>
              <w:pStyle w:val="TableParagraph"/>
              <w:spacing w:before="5"/>
              <w:rPr>
                <w:b/>
                <w:sz w:val="19"/>
              </w:rPr>
            </w:pPr>
          </w:p>
          <w:p>
            <w:pPr>
              <w:pStyle w:val="TableParagraph"/>
              <w:ind w:right="63"/>
              <w:jc w:val="right"/>
              <w:rPr>
                <w:sz w:val="20"/>
              </w:rPr>
            </w:pPr>
            <w:r>
              <w:rPr>
                <w:w w:val="95"/>
                <w:sz w:val="20"/>
              </w:rPr>
              <w:t>No.</w:t>
            </w:r>
          </w:p>
        </w:tc>
        <w:tc>
          <w:tcPr>
            <w:tcW w:w="4873" w:type="dxa"/>
          </w:tcPr>
          <w:p>
            <w:pPr>
              <w:pStyle w:val="TableParagraph"/>
              <w:spacing w:before="5"/>
              <w:rPr>
                <w:b/>
                <w:sz w:val="19"/>
              </w:rPr>
            </w:pPr>
          </w:p>
          <w:p>
            <w:pPr>
              <w:pStyle w:val="TableParagraph"/>
              <w:ind w:left="64" w:right="493"/>
              <w:rPr>
                <w:sz w:val="20"/>
              </w:rPr>
            </w:pPr>
            <w:r>
              <w:rPr>
                <w:sz w:val="20"/>
              </w:rPr>
              <w:t>Unidad de aprendizaje (UA)</w:t>
            </w:r>
          </w:p>
        </w:tc>
        <w:tc>
          <w:tcPr>
            <w:tcW w:w="408" w:type="dxa"/>
          </w:tcPr>
          <w:p>
            <w:pPr>
              <w:pStyle w:val="TableParagraph"/>
              <w:spacing w:before="5"/>
              <w:rPr>
                <w:b/>
                <w:sz w:val="19"/>
              </w:rPr>
            </w:pPr>
          </w:p>
          <w:p>
            <w:pPr>
              <w:pStyle w:val="TableParagraph"/>
              <w:ind w:left="44" w:right="44"/>
              <w:jc w:val="center"/>
              <w:rPr>
                <w:sz w:val="20"/>
              </w:rPr>
            </w:pPr>
            <w:r>
              <w:rPr>
                <w:sz w:val="20"/>
              </w:rPr>
              <w:t>HT</w:t>
            </w:r>
          </w:p>
        </w:tc>
        <w:tc>
          <w:tcPr>
            <w:tcW w:w="396" w:type="dxa"/>
          </w:tcPr>
          <w:p>
            <w:pPr>
              <w:pStyle w:val="TableParagraph"/>
              <w:spacing w:before="5"/>
              <w:rPr>
                <w:b/>
                <w:sz w:val="19"/>
              </w:rPr>
            </w:pPr>
          </w:p>
          <w:p>
            <w:pPr>
              <w:pStyle w:val="TableParagraph"/>
              <w:ind w:right="64"/>
              <w:jc w:val="right"/>
              <w:rPr>
                <w:sz w:val="20"/>
              </w:rPr>
            </w:pPr>
            <w:r>
              <w:rPr>
                <w:w w:val="95"/>
                <w:sz w:val="20"/>
              </w:rPr>
              <w:t>HP</w:t>
            </w:r>
          </w:p>
        </w:tc>
        <w:tc>
          <w:tcPr>
            <w:tcW w:w="406" w:type="dxa"/>
          </w:tcPr>
          <w:p>
            <w:pPr>
              <w:pStyle w:val="TableParagraph"/>
              <w:spacing w:before="5"/>
              <w:rPr>
                <w:b/>
                <w:sz w:val="19"/>
              </w:rPr>
            </w:pPr>
          </w:p>
          <w:p>
            <w:pPr>
              <w:pStyle w:val="TableParagraph"/>
              <w:ind w:left="43" w:right="38"/>
              <w:jc w:val="center"/>
              <w:rPr>
                <w:sz w:val="20"/>
              </w:rPr>
            </w:pPr>
            <w:r>
              <w:rPr>
                <w:sz w:val="20"/>
              </w:rPr>
              <w:t>TH</w:t>
            </w:r>
          </w:p>
        </w:tc>
        <w:tc>
          <w:tcPr>
            <w:tcW w:w="408" w:type="dxa"/>
          </w:tcPr>
          <w:p>
            <w:pPr>
              <w:pStyle w:val="TableParagraph"/>
              <w:spacing w:before="5"/>
              <w:rPr>
                <w:b/>
                <w:sz w:val="19"/>
              </w:rPr>
            </w:pPr>
          </w:p>
          <w:p>
            <w:pPr>
              <w:pStyle w:val="TableParagraph"/>
              <w:ind w:left="42" w:right="44"/>
              <w:jc w:val="center"/>
              <w:rPr>
                <w:sz w:val="20"/>
              </w:rPr>
            </w:pPr>
            <w:r>
              <w:rPr>
                <w:sz w:val="20"/>
              </w:rPr>
              <w:t>CR</w:t>
            </w:r>
          </w:p>
        </w:tc>
        <w:tc>
          <w:tcPr>
            <w:tcW w:w="1253" w:type="dxa"/>
          </w:tcPr>
          <w:p>
            <w:pPr>
              <w:pStyle w:val="TableParagraph"/>
              <w:ind w:left="65" w:right="71"/>
              <w:rPr>
                <w:sz w:val="20"/>
              </w:rPr>
            </w:pPr>
            <w:r>
              <w:rPr>
                <w:sz w:val="20"/>
              </w:rPr>
              <w:t>Área </w:t>
            </w:r>
            <w:r>
              <w:rPr>
                <w:w w:val="95"/>
                <w:sz w:val="20"/>
              </w:rPr>
              <w:t>curricular</w:t>
            </w:r>
          </w:p>
        </w:tc>
      </w:tr>
      <w:tr>
        <w:trPr>
          <w:trHeight w:val="312" w:hRule="exact"/>
        </w:trPr>
        <w:tc>
          <w:tcPr>
            <w:tcW w:w="434" w:type="dxa"/>
          </w:tcPr>
          <w:p>
            <w:pPr>
              <w:pStyle w:val="TableParagraph"/>
              <w:spacing w:before="42"/>
              <w:ind w:right="62"/>
              <w:jc w:val="right"/>
              <w:rPr>
                <w:sz w:val="22"/>
              </w:rPr>
            </w:pPr>
            <w:r>
              <w:rPr>
                <w:w w:val="100"/>
                <w:sz w:val="22"/>
              </w:rPr>
              <w:t>1</w:t>
            </w:r>
          </w:p>
        </w:tc>
        <w:tc>
          <w:tcPr>
            <w:tcW w:w="4873" w:type="dxa"/>
          </w:tcPr>
          <w:p>
            <w:pPr>
              <w:pStyle w:val="TableParagraph"/>
              <w:spacing w:before="42"/>
              <w:ind w:left="64" w:right="493"/>
              <w:rPr>
                <w:sz w:val="22"/>
              </w:rPr>
            </w:pPr>
            <w:r>
              <w:rPr>
                <w:sz w:val="22"/>
              </w:rPr>
              <w:t>Economía espacial</w:t>
            </w:r>
          </w:p>
        </w:tc>
        <w:tc>
          <w:tcPr>
            <w:tcW w:w="408" w:type="dxa"/>
          </w:tcPr>
          <w:p>
            <w:pPr>
              <w:pStyle w:val="TableParagraph"/>
              <w:spacing w:before="18"/>
              <w:ind w:right="2"/>
              <w:jc w:val="center"/>
              <w:rPr>
                <w:sz w:val="22"/>
              </w:rPr>
            </w:pPr>
            <w:r>
              <w:rPr>
                <w:w w:val="100"/>
                <w:sz w:val="22"/>
              </w:rPr>
              <w:t>4</w:t>
            </w:r>
          </w:p>
        </w:tc>
        <w:tc>
          <w:tcPr>
            <w:tcW w:w="396" w:type="dxa"/>
          </w:tcPr>
          <w:p>
            <w:pPr>
              <w:pStyle w:val="TableParagraph"/>
              <w:spacing w:before="18"/>
              <w:ind w:right="137"/>
              <w:jc w:val="right"/>
              <w:rPr>
                <w:sz w:val="22"/>
              </w:rPr>
            </w:pPr>
            <w:r>
              <w:rPr>
                <w:w w:val="100"/>
                <w:sz w:val="22"/>
              </w:rPr>
              <w:t>2</w:t>
            </w:r>
          </w:p>
        </w:tc>
        <w:tc>
          <w:tcPr>
            <w:tcW w:w="406" w:type="dxa"/>
          </w:tcPr>
          <w:p>
            <w:pPr>
              <w:pStyle w:val="TableParagraph"/>
              <w:spacing w:before="18"/>
              <w:jc w:val="center"/>
              <w:rPr>
                <w:sz w:val="22"/>
              </w:rPr>
            </w:pPr>
            <w:r>
              <w:rPr>
                <w:w w:val="100"/>
                <w:sz w:val="22"/>
              </w:rPr>
              <w:t>6</w:t>
            </w:r>
          </w:p>
        </w:tc>
        <w:tc>
          <w:tcPr>
            <w:tcW w:w="408" w:type="dxa"/>
          </w:tcPr>
          <w:p>
            <w:pPr>
              <w:pStyle w:val="TableParagraph"/>
              <w:spacing w:before="18"/>
              <w:ind w:left="42" w:right="44"/>
              <w:jc w:val="center"/>
              <w:rPr>
                <w:sz w:val="22"/>
              </w:rPr>
            </w:pPr>
            <w:r>
              <w:rPr>
                <w:sz w:val="22"/>
              </w:rPr>
              <w:t>10</w:t>
            </w:r>
          </w:p>
        </w:tc>
        <w:tc>
          <w:tcPr>
            <w:tcW w:w="1253" w:type="dxa"/>
          </w:tcPr>
          <w:p>
            <w:pPr>
              <w:pStyle w:val="TableParagraph"/>
              <w:spacing w:before="42"/>
              <w:ind w:left="46" w:right="46"/>
              <w:jc w:val="center"/>
              <w:rPr>
                <w:sz w:val="22"/>
              </w:rPr>
            </w:pPr>
            <w:r>
              <w:rPr>
                <w:sz w:val="22"/>
              </w:rPr>
              <w:t>Acentuación</w:t>
            </w:r>
          </w:p>
        </w:tc>
      </w:tr>
      <w:tr>
        <w:trPr>
          <w:trHeight w:val="310" w:hRule="exact"/>
        </w:trPr>
        <w:tc>
          <w:tcPr>
            <w:tcW w:w="434" w:type="dxa"/>
          </w:tcPr>
          <w:p>
            <w:pPr>
              <w:pStyle w:val="TableParagraph"/>
              <w:spacing w:before="39"/>
              <w:ind w:right="62"/>
              <w:jc w:val="right"/>
              <w:rPr>
                <w:sz w:val="22"/>
              </w:rPr>
            </w:pPr>
            <w:r>
              <w:rPr>
                <w:w w:val="100"/>
                <w:sz w:val="22"/>
              </w:rPr>
              <w:t>2</w:t>
            </w:r>
          </w:p>
        </w:tc>
        <w:tc>
          <w:tcPr>
            <w:tcW w:w="4873" w:type="dxa"/>
          </w:tcPr>
          <w:p>
            <w:pPr>
              <w:pStyle w:val="TableParagraph"/>
              <w:spacing w:before="39"/>
              <w:ind w:left="64" w:right="493"/>
              <w:rPr>
                <w:sz w:val="22"/>
              </w:rPr>
            </w:pPr>
            <w:r>
              <w:rPr>
                <w:sz w:val="22"/>
              </w:rPr>
              <w:t>Desarrollo regional</w:t>
            </w:r>
          </w:p>
        </w:tc>
        <w:tc>
          <w:tcPr>
            <w:tcW w:w="408" w:type="dxa"/>
          </w:tcPr>
          <w:p>
            <w:pPr>
              <w:pStyle w:val="TableParagraph"/>
              <w:spacing w:before="15"/>
              <w:ind w:right="2"/>
              <w:jc w:val="center"/>
              <w:rPr>
                <w:sz w:val="22"/>
              </w:rPr>
            </w:pPr>
            <w:r>
              <w:rPr>
                <w:w w:val="100"/>
                <w:sz w:val="22"/>
              </w:rPr>
              <w:t>4</w:t>
            </w:r>
          </w:p>
        </w:tc>
        <w:tc>
          <w:tcPr>
            <w:tcW w:w="396" w:type="dxa"/>
          </w:tcPr>
          <w:p>
            <w:pPr>
              <w:pStyle w:val="TableParagraph"/>
              <w:spacing w:before="15"/>
              <w:ind w:right="137"/>
              <w:jc w:val="right"/>
              <w:rPr>
                <w:sz w:val="22"/>
              </w:rPr>
            </w:pPr>
            <w:r>
              <w:rPr>
                <w:w w:val="100"/>
                <w:sz w:val="22"/>
              </w:rPr>
              <w:t>2</w:t>
            </w:r>
          </w:p>
        </w:tc>
        <w:tc>
          <w:tcPr>
            <w:tcW w:w="406" w:type="dxa"/>
          </w:tcPr>
          <w:p>
            <w:pPr>
              <w:pStyle w:val="TableParagraph"/>
              <w:spacing w:before="15"/>
              <w:jc w:val="center"/>
              <w:rPr>
                <w:sz w:val="22"/>
              </w:rPr>
            </w:pPr>
            <w:r>
              <w:rPr>
                <w:w w:val="100"/>
                <w:sz w:val="22"/>
              </w:rPr>
              <w:t>6</w:t>
            </w:r>
          </w:p>
        </w:tc>
        <w:tc>
          <w:tcPr>
            <w:tcW w:w="408" w:type="dxa"/>
          </w:tcPr>
          <w:p>
            <w:pPr>
              <w:pStyle w:val="TableParagraph"/>
              <w:spacing w:before="15"/>
              <w:ind w:left="42" w:right="44"/>
              <w:jc w:val="center"/>
              <w:rPr>
                <w:sz w:val="22"/>
              </w:rPr>
            </w:pPr>
            <w:r>
              <w:rPr>
                <w:sz w:val="22"/>
              </w:rPr>
              <w:t>10</w:t>
            </w:r>
          </w:p>
        </w:tc>
        <w:tc>
          <w:tcPr>
            <w:tcW w:w="1253" w:type="dxa"/>
          </w:tcPr>
          <w:p>
            <w:pPr>
              <w:pStyle w:val="TableParagraph"/>
              <w:spacing w:before="39"/>
              <w:ind w:left="46" w:right="46"/>
              <w:jc w:val="center"/>
              <w:rPr>
                <w:sz w:val="22"/>
              </w:rPr>
            </w:pPr>
            <w:r>
              <w:rPr>
                <w:sz w:val="22"/>
              </w:rPr>
              <w:t>Acentuación</w:t>
            </w:r>
          </w:p>
        </w:tc>
      </w:tr>
      <w:tr>
        <w:trPr>
          <w:trHeight w:val="310" w:hRule="exact"/>
        </w:trPr>
        <w:tc>
          <w:tcPr>
            <w:tcW w:w="434" w:type="dxa"/>
          </w:tcPr>
          <w:p>
            <w:pPr>
              <w:pStyle w:val="TableParagraph"/>
              <w:spacing w:before="39"/>
              <w:ind w:right="62"/>
              <w:jc w:val="right"/>
              <w:rPr>
                <w:sz w:val="22"/>
              </w:rPr>
            </w:pPr>
            <w:r>
              <w:rPr>
                <w:w w:val="100"/>
                <w:sz w:val="22"/>
              </w:rPr>
              <w:t>3</w:t>
            </w:r>
          </w:p>
        </w:tc>
        <w:tc>
          <w:tcPr>
            <w:tcW w:w="4873" w:type="dxa"/>
          </w:tcPr>
          <w:p>
            <w:pPr>
              <w:pStyle w:val="TableParagraph"/>
              <w:spacing w:before="39"/>
              <w:ind w:left="64" w:right="493"/>
              <w:rPr>
                <w:sz w:val="22"/>
              </w:rPr>
            </w:pPr>
            <w:r>
              <w:rPr>
                <w:sz w:val="22"/>
              </w:rPr>
              <w:t>Planeación regional</w:t>
            </w:r>
          </w:p>
        </w:tc>
        <w:tc>
          <w:tcPr>
            <w:tcW w:w="408" w:type="dxa"/>
          </w:tcPr>
          <w:p>
            <w:pPr>
              <w:pStyle w:val="TableParagraph"/>
              <w:spacing w:before="18"/>
              <w:ind w:right="2"/>
              <w:jc w:val="center"/>
              <w:rPr>
                <w:sz w:val="22"/>
              </w:rPr>
            </w:pPr>
            <w:r>
              <w:rPr>
                <w:w w:val="100"/>
                <w:sz w:val="22"/>
              </w:rPr>
              <w:t>4</w:t>
            </w:r>
          </w:p>
        </w:tc>
        <w:tc>
          <w:tcPr>
            <w:tcW w:w="396" w:type="dxa"/>
          </w:tcPr>
          <w:p>
            <w:pPr>
              <w:pStyle w:val="TableParagraph"/>
              <w:spacing w:before="18"/>
              <w:ind w:right="137"/>
              <w:jc w:val="right"/>
              <w:rPr>
                <w:sz w:val="22"/>
              </w:rPr>
            </w:pPr>
            <w:r>
              <w:rPr>
                <w:w w:val="100"/>
                <w:sz w:val="22"/>
              </w:rPr>
              <w:t>2</w:t>
            </w:r>
          </w:p>
        </w:tc>
        <w:tc>
          <w:tcPr>
            <w:tcW w:w="406" w:type="dxa"/>
          </w:tcPr>
          <w:p>
            <w:pPr>
              <w:pStyle w:val="TableParagraph"/>
              <w:spacing w:before="18"/>
              <w:jc w:val="center"/>
              <w:rPr>
                <w:sz w:val="22"/>
              </w:rPr>
            </w:pPr>
            <w:r>
              <w:rPr>
                <w:w w:val="100"/>
                <w:sz w:val="22"/>
              </w:rPr>
              <w:t>6</w:t>
            </w:r>
          </w:p>
        </w:tc>
        <w:tc>
          <w:tcPr>
            <w:tcW w:w="408" w:type="dxa"/>
          </w:tcPr>
          <w:p>
            <w:pPr>
              <w:pStyle w:val="TableParagraph"/>
              <w:spacing w:before="18"/>
              <w:ind w:left="42" w:right="44"/>
              <w:jc w:val="center"/>
              <w:rPr>
                <w:sz w:val="22"/>
              </w:rPr>
            </w:pPr>
            <w:r>
              <w:rPr>
                <w:sz w:val="22"/>
              </w:rPr>
              <w:t>10</w:t>
            </w:r>
          </w:p>
        </w:tc>
        <w:tc>
          <w:tcPr>
            <w:tcW w:w="1253" w:type="dxa"/>
          </w:tcPr>
          <w:p>
            <w:pPr>
              <w:pStyle w:val="TableParagraph"/>
              <w:spacing w:before="39"/>
              <w:ind w:left="46" w:right="46"/>
              <w:jc w:val="center"/>
              <w:rPr>
                <w:sz w:val="22"/>
              </w:rPr>
            </w:pPr>
            <w:r>
              <w:rPr>
                <w:sz w:val="22"/>
              </w:rPr>
              <w:t>Acentuación</w:t>
            </w:r>
          </w:p>
        </w:tc>
      </w:tr>
      <w:tr>
        <w:trPr>
          <w:trHeight w:val="610" w:hRule="exact"/>
        </w:trPr>
        <w:tc>
          <w:tcPr>
            <w:tcW w:w="434" w:type="dxa"/>
          </w:tcPr>
          <w:p>
            <w:pPr>
              <w:pStyle w:val="TableParagraph"/>
              <w:spacing w:before="8"/>
              <w:rPr>
                <w:b/>
                <w:sz w:val="29"/>
              </w:rPr>
            </w:pPr>
          </w:p>
          <w:p>
            <w:pPr>
              <w:pStyle w:val="TableParagraph"/>
              <w:spacing w:before="1"/>
              <w:ind w:right="62"/>
              <w:jc w:val="right"/>
              <w:rPr>
                <w:sz w:val="22"/>
              </w:rPr>
            </w:pPr>
            <w:r>
              <w:rPr>
                <w:w w:val="100"/>
                <w:sz w:val="22"/>
              </w:rPr>
              <w:t>4</w:t>
            </w:r>
          </w:p>
        </w:tc>
        <w:tc>
          <w:tcPr>
            <w:tcW w:w="4873" w:type="dxa"/>
          </w:tcPr>
          <w:p>
            <w:pPr>
              <w:pStyle w:val="TableParagraph"/>
              <w:spacing w:before="8"/>
              <w:rPr>
                <w:b/>
                <w:sz w:val="29"/>
              </w:rPr>
            </w:pPr>
          </w:p>
          <w:p>
            <w:pPr>
              <w:pStyle w:val="TableParagraph"/>
              <w:spacing w:before="1"/>
              <w:ind w:left="64" w:right="493"/>
              <w:rPr>
                <w:sz w:val="22"/>
              </w:rPr>
            </w:pPr>
            <w:r>
              <w:rPr>
                <w:sz w:val="22"/>
              </w:rPr>
              <w:t>Estructura económica regional</w:t>
            </w:r>
          </w:p>
        </w:tc>
        <w:tc>
          <w:tcPr>
            <w:tcW w:w="408" w:type="dxa"/>
          </w:tcPr>
          <w:p>
            <w:pPr>
              <w:pStyle w:val="TableParagraph"/>
              <w:spacing w:before="167"/>
              <w:ind w:right="2"/>
              <w:jc w:val="center"/>
              <w:rPr>
                <w:sz w:val="22"/>
              </w:rPr>
            </w:pPr>
            <w:r>
              <w:rPr>
                <w:w w:val="100"/>
                <w:sz w:val="22"/>
              </w:rPr>
              <w:t>4</w:t>
            </w:r>
          </w:p>
        </w:tc>
        <w:tc>
          <w:tcPr>
            <w:tcW w:w="396" w:type="dxa"/>
          </w:tcPr>
          <w:p>
            <w:pPr>
              <w:pStyle w:val="TableParagraph"/>
              <w:spacing w:before="167"/>
              <w:ind w:right="137"/>
              <w:jc w:val="right"/>
              <w:rPr>
                <w:sz w:val="22"/>
              </w:rPr>
            </w:pPr>
            <w:r>
              <w:rPr>
                <w:w w:val="100"/>
                <w:sz w:val="22"/>
              </w:rPr>
              <w:t>2</w:t>
            </w:r>
          </w:p>
        </w:tc>
        <w:tc>
          <w:tcPr>
            <w:tcW w:w="406" w:type="dxa"/>
          </w:tcPr>
          <w:p>
            <w:pPr>
              <w:pStyle w:val="TableParagraph"/>
              <w:spacing w:before="167"/>
              <w:jc w:val="center"/>
              <w:rPr>
                <w:sz w:val="22"/>
              </w:rPr>
            </w:pPr>
            <w:r>
              <w:rPr>
                <w:w w:val="100"/>
                <w:sz w:val="22"/>
              </w:rPr>
              <w:t>6</w:t>
            </w:r>
          </w:p>
        </w:tc>
        <w:tc>
          <w:tcPr>
            <w:tcW w:w="408" w:type="dxa"/>
          </w:tcPr>
          <w:p>
            <w:pPr>
              <w:pStyle w:val="TableParagraph"/>
              <w:spacing w:before="167"/>
              <w:ind w:left="42" w:right="44"/>
              <w:jc w:val="center"/>
              <w:rPr>
                <w:sz w:val="22"/>
              </w:rPr>
            </w:pPr>
            <w:r>
              <w:rPr>
                <w:sz w:val="22"/>
              </w:rPr>
              <w:t>10</w:t>
            </w:r>
          </w:p>
        </w:tc>
        <w:tc>
          <w:tcPr>
            <w:tcW w:w="1253" w:type="dxa"/>
          </w:tcPr>
          <w:p>
            <w:pPr>
              <w:pStyle w:val="TableParagraph"/>
              <w:spacing w:before="8"/>
              <w:rPr>
                <w:b/>
                <w:sz w:val="29"/>
              </w:rPr>
            </w:pPr>
          </w:p>
          <w:p>
            <w:pPr>
              <w:pStyle w:val="TableParagraph"/>
              <w:spacing w:before="1"/>
              <w:ind w:left="46" w:right="46"/>
              <w:jc w:val="center"/>
              <w:rPr>
                <w:sz w:val="22"/>
              </w:rPr>
            </w:pPr>
            <w:r>
              <w:rPr>
                <w:sz w:val="22"/>
              </w:rPr>
              <w:t>Acentuación</w:t>
            </w:r>
          </w:p>
        </w:tc>
      </w:tr>
    </w:tbl>
    <w:p>
      <w:pPr>
        <w:spacing w:after="0"/>
        <w:jc w:val="center"/>
        <w:rPr>
          <w:sz w:val="22"/>
        </w:rPr>
        <w:sectPr>
          <w:pgSz w:w="12240" w:h="15840"/>
          <w:pgMar w:header="0" w:footer="943" w:top="1420" w:bottom="1200" w:left="1720" w:right="1580"/>
        </w:sectPr>
      </w:pPr>
    </w:p>
    <w:p>
      <w:pPr>
        <w:spacing w:before="55" w:after="48"/>
        <w:ind w:left="382" w:right="0" w:firstLine="0"/>
        <w:jc w:val="left"/>
        <w:rPr>
          <w:b/>
          <w:sz w:val="22"/>
        </w:rPr>
      </w:pPr>
      <w:r>
        <w:rPr>
          <w:b/>
          <w:sz w:val="22"/>
        </w:rPr>
        <w:t>Economía internacional</w:t>
      </w:r>
    </w:p>
    <w:tbl>
      <w:tblPr>
        <w:tblW w:w="0" w:type="auto"/>
        <w:jc w:val="left"/>
        <w:tblInd w:w="3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4"/>
        <w:gridCol w:w="4873"/>
        <w:gridCol w:w="408"/>
        <w:gridCol w:w="396"/>
        <w:gridCol w:w="406"/>
        <w:gridCol w:w="408"/>
        <w:gridCol w:w="1253"/>
      </w:tblGrid>
      <w:tr>
        <w:trPr>
          <w:trHeight w:val="470" w:hRule="exact"/>
        </w:trPr>
        <w:tc>
          <w:tcPr>
            <w:tcW w:w="434" w:type="dxa"/>
          </w:tcPr>
          <w:p>
            <w:pPr>
              <w:pStyle w:val="TableParagraph"/>
              <w:spacing w:before="5"/>
              <w:rPr>
                <w:b/>
                <w:sz w:val="19"/>
              </w:rPr>
            </w:pPr>
          </w:p>
          <w:p>
            <w:pPr>
              <w:pStyle w:val="TableParagraph"/>
              <w:ind w:left="45" w:right="45"/>
              <w:jc w:val="center"/>
              <w:rPr>
                <w:sz w:val="20"/>
              </w:rPr>
            </w:pPr>
            <w:r>
              <w:rPr>
                <w:sz w:val="20"/>
              </w:rPr>
              <w:t>No.</w:t>
            </w:r>
          </w:p>
        </w:tc>
        <w:tc>
          <w:tcPr>
            <w:tcW w:w="4873" w:type="dxa"/>
          </w:tcPr>
          <w:p>
            <w:pPr>
              <w:pStyle w:val="TableParagraph"/>
              <w:spacing w:before="5"/>
              <w:rPr>
                <w:b/>
                <w:sz w:val="19"/>
              </w:rPr>
            </w:pPr>
          </w:p>
          <w:p>
            <w:pPr>
              <w:pStyle w:val="TableParagraph"/>
              <w:ind w:left="168" w:right="169"/>
              <w:jc w:val="center"/>
              <w:rPr>
                <w:sz w:val="20"/>
              </w:rPr>
            </w:pPr>
            <w:r>
              <w:rPr>
                <w:sz w:val="20"/>
              </w:rPr>
              <w:t>Unidad de aprendizaje (UA)</w:t>
            </w:r>
          </w:p>
        </w:tc>
        <w:tc>
          <w:tcPr>
            <w:tcW w:w="408" w:type="dxa"/>
          </w:tcPr>
          <w:p>
            <w:pPr>
              <w:pStyle w:val="TableParagraph"/>
              <w:spacing w:before="5"/>
              <w:rPr>
                <w:b/>
                <w:sz w:val="19"/>
              </w:rPr>
            </w:pPr>
          </w:p>
          <w:p>
            <w:pPr>
              <w:pStyle w:val="TableParagraph"/>
              <w:ind w:left="44" w:right="44"/>
              <w:jc w:val="center"/>
              <w:rPr>
                <w:sz w:val="20"/>
              </w:rPr>
            </w:pPr>
            <w:r>
              <w:rPr>
                <w:sz w:val="20"/>
              </w:rPr>
              <w:t>HT</w:t>
            </w:r>
          </w:p>
        </w:tc>
        <w:tc>
          <w:tcPr>
            <w:tcW w:w="396" w:type="dxa"/>
          </w:tcPr>
          <w:p>
            <w:pPr>
              <w:pStyle w:val="TableParagraph"/>
              <w:spacing w:before="5"/>
              <w:rPr>
                <w:b/>
                <w:sz w:val="19"/>
              </w:rPr>
            </w:pPr>
          </w:p>
          <w:p>
            <w:pPr>
              <w:pStyle w:val="TableParagraph"/>
              <w:ind w:right="64"/>
              <w:jc w:val="right"/>
              <w:rPr>
                <w:sz w:val="20"/>
              </w:rPr>
            </w:pPr>
            <w:r>
              <w:rPr>
                <w:w w:val="95"/>
                <w:sz w:val="20"/>
              </w:rPr>
              <w:t>HP</w:t>
            </w:r>
          </w:p>
        </w:tc>
        <w:tc>
          <w:tcPr>
            <w:tcW w:w="406" w:type="dxa"/>
          </w:tcPr>
          <w:p>
            <w:pPr>
              <w:pStyle w:val="TableParagraph"/>
              <w:spacing w:before="5"/>
              <w:rPr>
                <w:b/>
                <w:sz w:val="19"/>
              </w:rPr>
            </w:pPr>
          </w:p>
          <w:p>
            <w:pPr>
              <w:pStyle w:val="TableParagraph"/>
              <w:ind w:left="43" w:right="38"/>
              <w:jc w:val="center"/>
              <w:rPr>
                <w:sz w:val="20"/>
              </w:rPr>
            </w:pPr>
            <w:r>
              <w:rPr>
                <w:sz w:val="20"/>
              </w:rPr>
              <w:t>TH</w:t>
            </w:r>
          </w:p>
        </w:tc>
        <w:tc>
          <w:tcPr>
            <w:tcW w:w="408" w:type="dxa"/>
          </w:tcPr>
          <w:p>
            <w:pPr>
              <w:pStyle w:val="TableParagraph"/>
              <w:spacing w:before="5"/>
              <w:rPr>
                <w:b/>
                <w:sz w:val="19"/>
              </w:rPr>
            </w:pPr>
          </w:p>
          <w:p>
            <w:pPr>
              <w:pStyle w:val="TableParagraph"/>
              <w:ind w:left="42" w:right="44"/>
              <w:jc w:val="center"/>
              <w:rPr>
                <w:sz w:val="20"/>
              </w:rPr>
            </w:pPr>
            <w:r>
              <w:rPr>
                <w:sz w:val="20"/>
              </w:rPr>
              <w:t>CR</w:t>
            </w:r>
          </w:p>
        </w:tc>
        <w:tc>
          <w:tcPr>
            <w:tcW w:w="1253" w:type="dxa"/>
          </w:tcPr>
          <w:p>
            <w:pPr>
              <w:pStyle w:val="TableParagraph"/>
              <w:spacing w:line="228" w:lineRule="exact"/>
              <w:ind w:left="230" w:right="71" w:firstLine="196"/>
              <w:rPr>
                <w:sz w:val="20"/>
              </w:rPr>
            </w:pPr>
            <w:r>
              <w:rPr>
                <w:sz w:val="20"/>
              </w:rPr>
              <w:t>Área </w:t>
            </w:r>
            <w:r>
              <w:rPr>
                <w:w w:val="95"/>
                <w:sz w:val="20"/>
              </w:rPr>
              <w:t>curricular</w:t>
            </w:r>
          </w:p>
        </w:tc>
      </w:tr>
      <w:tr>
        <w:trPr>
          <w:trHeight w:val="310" w:hRule="exact"/>
        </w:trPr>
        <w:tc>
          <w:tcPr>
            <w:tcW w:w="434" w:type="dxa"/>
          </w:tcPr>
          <w:p>
            <w:pPr>
              <w:pStyle w:val="TableParagraph"/>
              <w:spacing w:before="42"/>
              <w:jc w:val="center"/>
              <w:rPr>
                <w:sz w:val="22"/>
              </w:rPr>
            </w:pPr>
            <w:r>
              <w:rPr>
                <w:w w:val="100"/>
                <w:sz w:val="22"/>
              </w:rPr>
              <w:t>1</w:t>
            </w:r>
          </w:p>
        </w:tc>
        <w:tc>
          <w:tcPr>
            <w:tcW w:w="4873" w:type="dxa"/>
          </w:tcPr>
          <w:p>
            <w:pPr>
              <w:pStyle w:val="TableParagraph"/>
              <w:spacing w:before="42"/>
              <w:ind w:left="168" w:right="169"/>
              <w:jc w:val="center"/>
              <w:rPr>
                <w:sz w:val="22"/>
              </w:rPr>
            </w:pPr>
            <w:r>
              <w:rPr>
                <w:sz w:val="22"/>
              </w:rPr>
              <w:t>Economía internacional</w:t>
            </w:r>
          </w:p>
        </w:tc>
        <w:tc>
          <w:tcPr>
            <w:tcW w:w="408" w:type="dxa"/>
          </w:tcPr>
          <w:p>
            <w:pPr>
              <w:pStyle w:val="TableParagraph"/>
              <w:spacing w:before="18"/>
              <w:ind w:right="2"/>
              <w:jc w:val="center"/>
              <w:rPr>
                <w:sz w:val="22"/>
              </w:rPr>
            </w:pPr>
            <w:r>
              <w:rPr>
                <w:w w:val="100"/>
                <w:sz w:val="22"/>
              </w:rPr>
              <w:t>4</w:t>
            </w:r>
          </w:p>
        </w:tc>
        <w:tc>
          <w:tcPr>
            <w:tcW w:w="396" w:type="dxa"/>
          </w:tcPr>
          <w:p>
            <w:pPr>
              <w:pStyle w:val="TableParagraph"/>
              <w:spacing w:before="18"/>
              <w:ind w:right="137"/>
              <w:jc w:val="right"/>
              <w:rPr>
                <w:sz w:val="22"/>
              </w:rPr>
            </w:pPr>
            <w:r>
              <w:rPr>
                <w:w w:val="100"/>
                <w:sz w:val="22"/>
              </w:rPr>
              <w:t>2</w:t>
            </w:r>
          </w:p>
        </w:tc>
        <w:tc>
          <w:tcPr>
            <w:tcW w:w="406" w:type="dxa"/>
          </w:tcPr>
          <w:p>
            <w:pPr>
              <w:pStyle w:val="TableParagraph"/>
              <w:spacing w:before="18"/>
              <w:jc w:val="center"/>
              <w:rPr>
                <w:sz w:val="22"/>
              </w:rPr>
            </w:pPr>
            <w:r>
              <w:rPr>
                <w:w w:val="100"/>
                <w:sz w:val="22"/>
              </w:rPr>
              <w:t>6</w:t>
            </w:r>
          </w:p>
        </w:tc>
        <w:tc>
          <w:tcPr>
            <w:tcW w:w="408" w:type="dxa"/>
          </w:tcPr>
          <w:p>
            <w:pPr>
              <w:pStyle w:val="TableParagraph"/>
              <w:spacing w:before="18"/>
              <w:ind w:left="42" w:right="44"/>
              <w:jc w:val="center"/>
              <w:rPr>
                <w:sz w:val="22"/>
              </w:rPr>
            </w:pPr>
            <w:r>
              <w:rPr>
                <w:sz w:val="22"/>
              </w:rPr>
              <w:t>10</w:t>
            </w:r>
          </w:p>
        </w:tc>
        <w:tc>
          <w:tcPr>
            <w:tcW w:w="1253" w:type="dxa"/>
          </w:tcPr>
          <w:p>
            <w:pPr>
              <w:pStyle w:val="TableParagraph"/>
              <w:spacing w:before="42"/>
              <w:ind w:left="46" w:right="46"/>
              <w:jc w:val="center"/>
              <w:rPr>
                <w:sz w:val="22"/>
              </w:rPr>
            </w:pPr>
            <w:r>
              <w:rPr>
                <w:sz w:val="22"/>
              </w:rPr>
              <w:t>Acentuación</w:t>
            </w:r>
          </w:p>
        </w:tc>
      </w:tr>
      <w:tr>
        <w:trPr>
          <w:trHeight w:val="516" w:hRule="exact"/>
        </w:trPr>
        <w:tc>
          <w:tcPr>
            <w:tcW w:w="434" w:type="dxa"/>
          </w:tcPr>
          <w:p>
            <w:pPr>
              <w:pStyle w:val="TableParagraph"/>
              <w:spacing w:before="6"/>
              <w:rPr>
                <w:b/>
                <w:sz w:val="21"/>
              </w:rPr>
            </w:pPr>
          </w:p>
          <w:p>
            <w:pPr>
              <w:pStyle w:val="TableParagraph"/>
              <w:jc w:val="center"/>
              <w:rPr>
                <w:sz w:val="22"/>
              </w:rPr>
            </w:pPr>
            <w:r>
              <w:rPr>
                <w:w w:val="100"/>
                <w:sz w:val="22"/>
              </w:rPr>
              <w:t>2</w:t>
            </w:r>
          </w:p>
        </w:tc>
        <w:tc>
          <w:tcPr>
            <w:tcW w:w="4873" w:type="dxa"/>
          </w:tcPr>
          <w:p>
            <w:pPr>
              <w:pStyle w:val="TableParagraph"/>
              <w:spacing w:line="252" w:lineRule="exact"/>
              <w:ind w:left="1949" w:right="493" w:hanging="1441"/>
              <w:rPr>
                <w:sz w:val="22"/>
              </w:rPr>
            </w:pPr>
            <w:r>
              <w:rPr>
                <w:sz w:val="22"/>
              </w:rPr>
              <w:t>Tráfico internacional, tarifas y clasificación arancelaría</w:t>
            </w:r>
          </w:p>
        </w:tc>
        <w:tc>
          <w:tcPr>
            <w:tcW w:w="408" w:type="dxa"/>
          </w:tcPr>
          <w:p>
            <w:pPr>
              <w:pStyle w:val="TableParagraph"/>
              <w:spacing w:before="121"/>
              <w:ind w:right="2"/>
              <w:jc w:val="center"/>
              <w:rPr>
                <w:sz w:val="22"/>
              </w:rPr>
            </w:pPr>
            <w:r>
              <w:rPr>
                <w:w w:val="100"/>
                <w:sz w:val="22"/>
              </w:rPr>
              <w:t>4</w:t>
            </w:r>
          </w:p>
        </w:tc>
        <w:tc>
          <w:tcPr>
            <w:tcW w:w="396" w:type="dxa"/>
          </w:tcPr>
          <w:p>
            <w:pPr>
              <w:pStyle w:val="TableParagraph"/>
              <w:spacing w:before="121"/>
              <w:ind w:right="137"/>
              <w:jc w:val="right"/>
              <w:rPr>
                <w:sz w:val="22"/>
              </w:rPr>
            </w:pPr>
            <w:r>
              <w:rPr>
                <w:w w:val="100"/>
                <w:sz w:val="22"/>
              </w:rPr>
              <w:t>2</w:t>
            </w:r>
          </w:p>
        </w:tc>
        <w:tc>
          <w:tcPr>
            <w:tcW w:w="406" w:type="dxa"/>
          </w:tcPr>
          <w:p>
            <w:pPr>
              <w:pStyle w:val="TableParagraph"/>
              <w:spacing w:before="121"/>
              <w:jc w:val="center"/>
              <w:rPr>
                <w:sz w:val="22"/>
              </w:rPr>
            </w:pPr>
            <w:r>
              <w:rPr>
                <w:w w:val="100"/>
                <w:sz w:val="22"/>
              </w:rPr>
              <w:t>6</w:t>
            </w:r>
          </w:p>
        </w:tc>
        <w:tc>
          <w:tcPr>
            <w:tcW w:w="408" w:type="dxa"/>
          </w:tcPr>
          <w:p>
            <w:pPr>
              <w:pStyle w:val="TableParagraph"/>
              <w:spacing w:before="121"/>
              <w:ind w:left="42" w:right="44"/>
              <w:jc w:val="center"/>
              <w:rPr>
                <w:sz w:val="22"/>
              </w:rPr>
            </w:pPr>
            <w:r>
              <w:rPr>
                <w:sz w:val="22"/>
              </w:rPr>
              <w:t>10</w:t>
            </w:r>
          </w:p>
        </w:tc>
        <w:tc>
          <w:tcPr>
            <w:tcW w:w="1253" w:type="dxa"/>
          </w:tcPr>
          <w:p>
            <w:pPr>
              <w:pStyle w:val="TableParagraph"/>
              <w:spacing w:before="6"/>
              <w:rPr>
                <w:b/>
                <w:sz w:val="21"/>
              </w:rPr>
            </w:pPr>
          </w:p>
          <w:p>
            <w:pPr>
              <w:pStyle w:val="TableParagraph"/>
              <w:ind w:left="46" w:right="46"/>
              <w:jc w:val="center"/>
              <w:rPr>
                <w:sz w:val="22"/>
              </w:rPr>
            </w:pPr>
            <w:r>
              <w:rPr>
                <w:sz w:val="22"/>
              </w:rPr>
              <w:t>Acentuación</w:t>
            </w:r>
          </w:p>
        </w:tc>
      </w:tr>
      <w:tr>
        <w:trPr>
          <w:trHeight w:val="612" w:hRule="exact"/>
        </w:trPr>
        <w:tc>
          <w:tcPr>
            <w:tcW w:w="434" w:type="dxa"/>
          </w:tcPr>
          <w:p>
            <w:pPr>
              <w:pStyle w:val="TableParagraph"/>
              <w:spacing w:before="8"/>
              <w:rPr>
                <w:b/>
                <w:sz w:val="29"/>
              </w:rPr>
            </w:pPr>
          </w:p>
          <w:p>
            <w:pPr>
              <w:pStyle w:val="TableParagraph"/>
              <w:jc w:val="center"/>
              <w:rPr>
                <w:sz w:val="22"/>
              </w:rPr>
            </w:pPr>
            <w:r>
              <w:rPr>
                <w:w w:val="100"/>
                <w:sz w:val="22"/>
              </w:rPr>
              <w:t>3</w:t>
            </w:r>
          </w:p>
        </w:tc>
        <w:tc>
          <w:tcPr>
            <w:tcW w:w="4873" w:type="dxa"/>
          </w:tcPr>
          <w:p>
            <w:pPr>
              <w:pStyle w:val="TableParagraph"/>
              <w:spacing w:before="8"/>
              <w:rPr>
                <w:b/>
                <w:sz w:val="29"/>
              </w:rPr>
            </w:pPr>
          </w:p>
          <w:p>
            <w:pPr>
              <w:pStyle w:val="TableParagraph"/>
              <w:ind w:left="169" w:right="169"/>
              <w:jc w:val="center"/>
              <w:rPr>
                <w:sz w:val="22"/>
              </w:rPr>
            </w:pPr>
            <w:r>
              <w:rPr>
                <w:sz w:val="22"/>
              </w:rPr>
              <w:t>Fomento del comercio exterior mexicano</w:t>
            </w:r>
          </w:p>
        </w:tc>
        <w:tc>
          <w:tcPr>
            <w:tcW w:w="408" w:type="dxa"/>
          </w:tcPr>
          <w:p>
            <w:pPr>
              <w:pStyle w:val="TableParagraph"/>
              <w:spacing w:before="169"/>
              <w:ind w:right="2"/>
              <w:jc w:val="center"/>
              <w:rPr>
                <w:sz w:val="22"/>
              </w:rPr>
            </w:pPr>
            <w:r>
              <w:rPr>
                <w:w w:val="100"/>
                <w:sz w:val="22"/>
              </w:rPr>
              <w:t>4</w:t>
            </w:r>
          </w:p>
        </w:tc>
        <w:tc>
          <w:tcPr>
            <w:tcW w:w="396" w:type="dxa"/>
          </w:tcPr>
          <w:p>
            <w:pPr>
              <w:pStyle w:val="TableParagraph"/>
              <w:spacing w:before="169"/>
              <w:ind w:right="137"/>
              <w:jc w:val="right"/>
              <w:rPr>
                <w:sz w:val="22"/>
              </w:rPr>
            </w:pPr>
            <w:r>
              <w:rPr>
                <w:w w:val="100"/>
                <w:sz w:val="22"/>
              </w:rPr>
              <w:t>2</w:t>
            </w:r>
          </w:p>
        </w:tc>
        <w:tc>
          <w:tcPr>
            <w:tcW w:w="406" w:type="dxa"/>
          </w:tcPr>
          <w:p>
            <w:pPr>
              <w:pStyle w:val="TableParagraph"/>
              <w:spacing w:before="169"/>
              <w:jc w:val="center"/>
              <w:rPr>
                <w:sz w:val="22"/>
              </w:rPr>
            </w:pPr>
            <w:r>
              <w:rPr>
                <w:w w:val="100"/>
                <w:sz w:val="22"/>
              </w:rPr>
              <w:t>6</w:t>
            </w:r>
          </w:p>
        </w:tc>
        <w:tc>
          <w:tcPr>
            <w:tcW w:w="408" w:type="dxa"/>
          </w:tcPr>
          <w:p>
            <w:pPr>
              <w:pStyle w:val="TableParagraph"/>
              <w:spacing w:before="169"/>
              <w:ind w:left="42" w:right="44"/>
              <w:jc w:val="center"/>
              <w:rPr>
                <w:sz w:val="22"/>
              </w:rPr>
            </w:pPr>
            <w:r>
              <w:rPr>
                <w:sz w:val="22"/>
              </w:rPr>
              <w:t>10</w:t>
            </w:r>
          </w:p>
        </w:tc>
        <w:tc>
          <w:tcPr>
            <w:tcW w:w="1253" w:type="dxa"/>
          </w:tcPr>
          <w:p>
            <w:pPr>
              <w:pStyle w:val="TableParagraph"/>
              <w:spacing w:before="8"/>
              <w:rPr>
                <w:b/>
                <w:sz w:val="29"/>
              </w:rPr>
            </w:pPr>
          </w:p>
          <w:p>
            <w:pPr>
              <w:pStyle w:val="TableParagraph"/>
              <w:ind w:left="46" w:right="46"/>
              <w:jc w:val="center"/>
              <w:rPr>
                <w:sz w:val="22"/>
              </w:rPr>
            </w:pPr>
            <w:r>
              <w:rPr>
                <w:sz w:val="22"/>
              </w:rPr>
              <w:t>Acentuación</w:t>
            </w:r>
          </w:p>
        </w:tc>
      </w:tr>
      <w:tr>
        <w:trPr>
          <w:trHeight w:val="610" w:hRule="exact"/>
        </w:trPr>
        <w:tc>
          <w:tcPr>
            <w:tcW w:w="434" w:type="dxa"/>
          </w:tcPr>
          <w:p>
            <w:pPr>
              <w:pStyle w:val="TableParagraph"/>
              <w:spacing w:before="5"/>
              <w:rPr>
                <w:b/>
                <w:sz w:val="29"/>
              </w:rPr>
            </w:pPr>
          </w:p>
          <w:p>
            <w:pPr>
              <w:pStyle w:val="TableParagraph"/>
              <w:spacing w:before="1"/>
              <w:jc w:val="center"/>
              <w:rPr>
                <w:sz w:val="22"/>
              </w:rPr>
            </w:pPr>
            <w:r>
              <w:rPr>
                <w:w w:val="100"/>
                <w:sz w:val="22"/>
              </w:rPr>
              <w:t>4</w:t>
            </w:r>
          </w:p>
        </w:tc>
        <w:tc>
          <w:tcPr>
            <w:tcW w:w="4873" w:type="dxa"/>
          </w:tcPr>
          <w:p>
            <w:pPr>
              <w:pStyle w:val="TableParagraph"/>
              <w:spacing w:before="5"/>
              <w:rPr>
                <w:b/>
                <w:sz w:val="29"/>
              </w:rPr>
            </w:pPr>
          </w:p>
          <w:p>
            <w:pPr>
              <w:pStyle w:val="TableParagraph"/>
              <w:spacing w:before="1"/>
              <w:ind w:left="169" w:right="169"/>
              <w:jc w:val="center"/>
              <w:rPr>
                <w:sz w:val="22"/>
              </w:rPr>
            </w:pPr>
            <w:r>
              <w:rPr>
                <w:sz w:val="22"/>
              </w:rPr>
              <w:t>Incoterms y logística internacional</w:t>
            </w:r>
          </w:p>
        </w:tc>
        <w:tc>
          <w:tcPr>
            <w:tcW w:w="408" w:type="dxa"/>
          </w:tcPr>
          <w:p>
            <w:pPr>
              <w:pStyle w:val="TableParagraph"/>
              <w:spacing w:before="166"/>
              <w:ind w:right="2"/>
              <w:jc w:val="center"/>
              <w:rPr>
                <w:sz w:val="22"/>
              </w:rPr>
            </w:pPr>
            <w:r>
              <w:rPr>
                <w:w w:val="100"/>
                <w:sz w:val="22"/>
              </w:rPr>
              <w:t>4</w:t>
            </w:r>
          </w:p>
        </w:tc>
        <w:tc>
          <w:tcPr>
            <w:tcW w:w="396" w:type="dxa"/>
          </w:tcPr>
          <w:p>
            <w:pPr>
              <w:pStyle w:val="TableParagraph"/>
              <w:spacing w:before="166"/>
              <w:ind w:right="137"/>
              <w:jc w:val="right"/>
              <w:rPr>
                <w:sz w:val="22"/>
              </w:rPr>
            </w:pPr>
            <w:r>
              <w:rPr>
                <w:w w:val="100"/>
                <w:sz w:val="22"/>
              </w:rPr>
              <w:t>2</w:t>
            </w:r>
          </w:p>
        </w:tc>
        <w:tc>
          <w:tcPr>
            <w:tcW w:w="406" w:type="dxa"/>
          </w:tcPr>
          <w:p>
            <w:pPr>
              <w:pStyle w:val="TableParagraph"/>
              <w:spacing w:before="166"/>
              <w:jc w:val="center"/>
              <w:rPr>
                <w:sz w:val="22"/>
              </w:rPr>
            </w:pPr>
            <w:r>
              <w:rPr>
                <w:w w:val="100"/>
                <w:sz w:val="22"/>
              </w:rPr>
              <w:t>6</w:t>
            </w:r>
          </w:p>
        </w:tc>
        <w:tc>
          <w:tcPr>
            <w:tcW w:w="408" w:type="dxa"/>
          </w:tcPr>
          <w:p>
            <w:pPr>
              <w:pStyle w:val="TableParagraph"/>
              <w:spacing w:before="166"/>
              <w:ind w:left="42" w:right="44"/>
              <w:jc w:val="center"/>
              <w:rPr>
                <w:sz w:val="22"/>
              </w:rPr>
            </w:pPr>
            <w:r>
              <w:rPr>
                <w:sz w:val="22"/>
              </w:rPr>
              <w:t>10</w:t>
            </w:r>
          </w:p>
        </w:tc>
        <w:tc>
          <w:tcPr>
            <w:tcW w:w="1253" w:type="dxa"/>
          </w:tcPr>
          <w:p>
            <w:pPr>
              <w:pStyle w:val="TableParagraph"/>
              <w:spacing w:before="5"/>
              <w:rPr>
                <w:b/>
                <w:sz w:val="29"/>
              </w:rPr>
            </w:pPr>
          </w:p>
          <w:p>
            <w:pPr>
              <w:pStyle w:val="TableParagraph"/>
              <w:spacing w:before="1"/>
              <w:ind w:left="46" w:right="46"/>
              <w:jc w:val="center"/>
              <w:rPr>
                <w:sz w:val="22"/>
              </w:rPr>
            </w:pPr>
            <w:r>
              <w:rPr>
                <w:sz w:val="22"/>
              </w:rPr>
              <w:t>Acentuación</w:t>
            </w:r>
          </w:p>
        </w:tc>
      </w:tr>
    </w:tbl>
    <w:p>
      <w:pPr>
        <w:pStyle w:val="BodyText"/>
        <w:spacing w:before="8"/>
        <w:rPr>
          <w:b/>
          <w:sz w:val="10"/>
        </w:rPr>
      </w:pPr>
    </w:p>
    <w:p>
      <w:pPr>
        <w:spacing w:before="72"/>
        <w:ind w:left="1990" w:right="0" w:firstLine="0"/>
        <w:jc w:val="left"/>
        <w:rPr>
          <w:b/>
          <w:sz w:val="22"/>
        </w:rPr>
      </w:pPr>
      <w:r>
        <w:rPr>
          <w:b/>
          <w:sz w:val="22"/>
        </w:rPr>
        <w:t>Economía financiera</w:t>
      </w:r>
    </w:p>
    <w:tbl>
      <w:tblPr>
        <w:tblW w:w="0" w:type="auto"/>
        <w:jc w:val="left"/>
        <w:tblInd w:w="3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4"/>
        <w:gridCol w:w="4873"/>
        <w:gridCol w:w="408"/>
        <w:gridCol w:w="396"/>
        <w:gridCol w:w="406"/>
        <w:gridCol w:w="408"/>
        <w:gridCol w:w="1253"/>
      </w:tblGrid>
      <w:tr>
        <w:trPr>
          <w:trHeight w:val="471" w:hRule="exact"/>
        </w:trPr>
        <w:tc>
          <w:tcPr>
            <w:tcW w:w="434" w:type="dxa"/>
          </w:tcPr>
          <w:p>
            <w:pPr>
              <w:pStyle w:val="TableParagraph"/>
              <w:spacing w:before="5"/>
              <w:rPr>
                <w:b/>
                <w:sz w:val="19"/>
              </w:rPr>
            </w:pPr>
          </w:p>
          <w:p>
            <w:pPr>
              <w:pStyle w:val="TableParagraph"/>
              <w:spacing w:before="1"/>
              <w:ind w:left="45" w:right="45"/>
              <w:jc w:val="center"/>
              <w:rPr>
                <w:sz w:val="20"/>
              </w:rPr>
            </w:pPr>
            <w:r>
              <w:rPr>
                <w:sz w:val="20"/>
              </w:rPr>
              <w:t>No.</w:t>
            </w:r>
          </w:p>
        </w:tc>
        <w:tc>
          <w:tcPr>
            <w:tcW w:w="4873" w:type="dxa"/>
          </w:tcPr>
          <w:p>
            <w:pPr>
              <w:pStyle w:val="TableParagraph"/>
              <w:spacing w:before="5"/>
              <w:rPr>
                <w:b/>
                <w:sz w:val="19"/>
              </w:rPr>
            </w:pPr>
          </w:p>
          <w:p>
            <w:pPr>
              <w:pStyle w:val="TableParagraph"/>
              <w:spacing w:before="1"/>
              <w:ind w:left="168" w:right="169"/>
              <w:jc w:val="center"/>
              <w:rPr>
                <w:sz w:val="20"/>
              </w:rPr>
            </w:pPr>
            <w:r>
              <w:rPr>
                <w:sz w:val="20"/>
              </w:rPr>
              <w:t>Unidad de aprendizaje (UA)</w:t>
            </w:r>
          </w:p>
        </w:tc>
        <w:tc>
          <w:tcPr>
            <w:tcW w:w="408" w:type="dxa"/>
          </w:tcPr>
          <w:p>
            <w:pPr>
              <w:pStyle w:val="TableParagraph"/>
              <w:spacing w:before="5"/>
              <w:rPr>
                <w:b/>
                <w:sz w:val="19"/>
              </w:rPr>
            </w:pPr>
          </w:p>
          <w:p>
            <w:pPr>
              <w:pStyle w:val="TableParagraph"/>
              <w:spacing w:before="1"/>
              <w:ind w:left="44" w:right="44"/>
              <w:jc w:val="center"/>
              <w:rPr>
                <w:sz w:val="20"/>
              </w:rPr>
            </w:pPr>
            <w:r>
              <w:rPr>
                <w:sz w:val="20"/>
              </w:rPr>
              <w:t>HT</w:t>
            </w:r>
          </w:p>
        </w:tc>
        <w:tc>
          <w:tcPr>
            <w:tcW w:w="396" w:type="dxa"/>
          </w:tcPr>
          <w:p>
            <w:pPr>
              <w:pStyle w:val="TableParagraph"/>
              <w:spacing w:before="5"/>
              <w:rPr>
                <w:b/>
                <w:sz w:val="19"/>
              </w:rPr>
            </w:pPr>
          </w:p>
          <w:p>
            <w:pPr>
              <w:pStyle w:val="TableParagraph"/>
              <w:spacing w:before="1"/>
              <w:ind w:right="64"/>
              <w:jc w:val="right"/>
              <w:rPr>
                <w:sz w:val="20"/>
              </w:rPr>
            </w:pPr>
            <w:r>
              <w:rPr>
                <w:w w:val="95"/>
                <w:sz w:val="20"/>
              </w:rPr>
              <w:t>HP</w:t>
            </w:r>
          </w:p>
        </w:tc>
        <w:tc>
          <w:tcPr>
            <w:tcW w:w="406" w:type="dxa"/>
          </w:tcPr>
          <w:p>
            <w:pPr>
              <w:pStyle w:val="TableParagraph"/>
              <w:spacing w:before="5"/>
              <w:rPr>
                <w:b/>
                <w:sz w:val="19"/>
              </w:rPr>
            </w:pPr>
          </w:p>
          <w:p>
            <w:pPr>
              <w:pStyle w:val="TableParagraph"/>
              <w:spacing w:before="1"/>
              <w:ind w:left="43" w:right="38"/>
              <w:jc w:val="center"/>
              <w:rPr>
                <w:sz w:val="20"/>
              </w:rPr>
            </w:pPr>
            <w:r>
              <w:rPr>
                <w:sz w:val="20"/>
              </w:rPr>
              <w:t>TH</w:t>
            </w:r>
          </w:p>
        </w:tc>
        <w:tc>
          <w:tcPr>
            <w:tcW w:w="408" w:type="dxa"/>
          </w:tcPr>
          <w:p>
            <w:pPr>
              <w:pStyle w:val="TableParagraph"/>
              <w:spacing w:before="5"/>
              <w:rPr>
                <w:b/>
                <w:sz w:val="19"/>
              </w:rPr>
            </w:pPr>
          </w:p>
          <w:p>
            <w:pPr>
              <w:pStyle w:val="TableParagraph"/>
              <w:spacing w:before="1"/>
              <w:ind w:left="42" w:right="44"/>
              <w:jc w:val="center"/>
              <w:rPr>
                <w:sz w:val="20"/>
              </w:rPr>
            </w:pPr>
            <w:r>
              <w:rPr>
                <w:sz w:val="20"/>
              </w:rPr>
              <w:t>CR</w:t>
            </w:r>
          </w:p>
        </w:tc>
        <w:tc>
          <w:tcPr>
            <w:tcW w:w="1253" w:type="dxa"/>
          </w:tcPr>
          <w:p>
            <w:pPr>
              <w:pStyle w:val="TableParagraph"/>
              <w:spacing w:line="237" w:lineRule="auto"/>
              <w:ind w:left="230" w:right="71" w:firstLine="196"/>
              <w:rPr>
                <w:sz w:val="20"/>
              </w:rPr>
            </w:pPr>
            <w:r>
              <w:rPr>
                <w:sz w:val="20"/>
              </w:rPr>
              <w:t>Área </w:t>
            </w:r>
            <w:r>
              <w:rPr>
                <w:w w:val="95"/>
                <w:sz w:val="20"/>
              </w:rPr>
              <w:t>curricular</w:t>
            </w:r>
          </w:p>
        </w:tc>
      </w:tr>
      <w:tr>
        <w:trPr>
          <w:trHeight w:val="610" w:hRule="exact"/>
        </w:trPr>
        <w:tc>
          <w:tcPr>
            <w:tcW w:w="434" w:type="dxa"/>
          </w:tcPr>
          <w:p>
            <w:pPr>
              <w:pStyle w:val="TableParagraph"/>
              <w:spacing w:before="8"/>
              <w:rPr>
                <w:b/>
                <w:sz w:val="29"/>
              </w:rPr>
            </w:pPr>
          </w:p>
          <w:p>
            <w:pPr>
              <w:pStyle w:val="TableParagraph"/>
              <w:jc w:val="center"/>
              <w:rPr>
                <w:sz w:val="22"/>
              </w:rPr>
            </w:pPr>
            <w:r>
              <w:rPr>
                <w:w w:val="100"/>
                <w:sz w:val="22"/>
              </w:rPr>
              <w:t>1</w:t>
            </w:r>
          </w:p>
        </w:tc>
        <w:tc>
          <w:tcPr>
            <w:tcW w:w="4873" w:type="dxa"/>
          </w:tcPr>
          <w:p>
            <w:pPr>
              <w:pStyle w:val="TableParagraph"/>
              <w:spacing w:before="8"/>
              <w:rPr>
                <w:b/>
                <w:sz w:val="29"/>
              </w:rPr>
            </w:pPr>
          </w:p>
          <w:p>
            <w:pPr>
              <w:pStyle w:val="TableParagraph"/>
              <w:ind w:left="169" w:right="169"/>
              <w:jc w:val="center"/>
              <w:rPr>
                <w:sz w:val="22"/>
              </w:rPr>
            </w:pPr>
            <w:r>
              <w:rPr>
                <w:sz w:val="22"/>
              </w:rPr>
              <w:t>Sistema financiero mexicano y mercado de valores</w:t>
            </w:r>
          </w:p>
        </w:tc>
        <w:tc>
          <w:tcPr>
            <w:tcW w:w="408" w:type="dxa"/>
          </w:tcPr>
          <w:p>
            <w:pPr>
              <w:pStyle w:val="TableParagraph"/>
              <w:spacing w:before="169"/>
              <w:ind w:right="2"/>
              <w:jc w:val="center"/>
              <w:rPr>
                <w:sz w:val="22"/>
              </w:rPr>
            </w:pPr>
            <w:r>
              <w:rPr>
                <w:w w:val="100"/>
                <w:sz w:val="22"/>
              </w:rPr>
              <w:t>4</w:t>
            </w:r>
          </w:p>
        </w:tc>
        <w:tc>
          <w:tcPr>
            <w:tcW w:w="396" w:type="dxa"/>
          </w:tcPr>
          <w:p>
            <w:pPr>
              <w:pStyle w:val="TableParagraph"/>
              <w:spacing w:before="169"/>
              <w:ind w:right="137"/>
              <w:jc w:val="right"/>
              <w:rPr>
                <w:sz w:val="22"/>
              </w:rPr>
            </w:pPr>
            <w:r>
              <w:rPr>
                <w:w w:val="100"/>
                <w:sz w:val="22"/>
              </w:rPr>
              <w:t>2</w:t>
            </w:r>
          </w:p>
        </w:tc>
        <w:tc>
          <w:tcPr>
            <w:tcW w:w="406" w:type="dxa"/>
          </w:tcPr>
          <w:p>
            <w:pPr>
              <w:pStyle w:val="TableParagraph"/>
              <w:spacing w:before="169"/>
              <w:jc w:val="center"/>
              <w:rPr>
                <w:sz w:val="22"/>
              </w:rPr>
            </w:pPr>
            <w:r>
              <w:rPr>
                <w:w w:val="100"/>
                <w:sz w:val="22"/>
              </w:rPr>
              <w:t>6</w:t>
            </w:r>
          </w:p>
        </w:tc>
        <w:tc>
          <w:tcPr>
            <w:tcW w:w="408" w:type="dxa"/>
          </w:tcPr>
          <w:p>
            <w:pPr>
              <w:pStyle w:val="TableParagraph"/>
              <w:spacing w:before="169"/>
              <w:ind w:left="42" w:right="44"/>
              <w:jc w:val="center"/>
              <w:rPr>
                <w:sz w:val="22"/>
              </w:rPr>
            </w:pPr>
            <w:r>
              <w:rPr>
                <w:sz w:val="22"/>
              </w:rPr>
              <w:t>10</w:t>
            </w:r>
          </w:p>
        </w:tc>
        <w:tc>
          <w:tcPr>
            <w:tcW w:w="1253" w:type="dxa"/>
          </w:tcPr>
          <w:p>
            <w:pPr>
              <w:pStyle w:val="TableParagraph"/>
              <w:spacing w:before="8"/>
              <w:rPr>
                <w:b/>
                <w:sz w:val="29"/>
              </w:rPr>
            </w:pPr>
          </w:p>
          <w:p>
            <w:pPr>
              <w:pStyle w:val="TableParagraph"/>
              <w:ind w:left="46" w:right="46"/>
              <w:jc w:val="center"/>
              <w:rPr>
                <w:sz w:val="22"/>
              </w:rPr>
            </w:pPr>
            <w:r>
              <w:rPr>
                <w:sz w:val="22"/>
              </w:rPr>
              <w:t>Acentuación</w:t>
            </w:r>
          </w:p>
        </w:tc>
      </w:tr>
      <w:tr>
        <w:trPr>
          <w:trHeight w:val="612" w:hRule="exact"/>
        </w:trPr>
        <w:tc>
          <w:tcPr>
            <w:tcW w:w="434" w:type="dxa"/>
          </w:tcPr>
          <w:p>
            <w:pPr>
              <w:pStyle w:val="TableParagraph"/>
              <w:spacing w:before="8"/>
              <w:rPr>
                <w:b/>
                <w:sz w:val="29"/>
              </w:rPr>
            </w:pPr>
          </w:p>
          <w:p>
            <w:pPr>
              <w:pStyle w:val="TableParagraph"/>
              <w:jc w:val="center"/>
              <w:rPr>
                <w:sz w:val="22"/>
              </w:rPr>
            </w:pPr>
            <w:r>
              <w:rPr>
                <w:w w:val="100"/>
                <w:sz w:val="22"/>
              </w:rPr>
              <w:t>2</w:t>
            </w:r>
          </w:p>
        </w:tc>
        <w:tc>
          <w:tcPr>
            <w:tcW w:w="4873" w:type="dxa"/>
          </w:tcPr>
          <w:p>
            <w:pPr>
              <w:pStyle w:val="TableParagraph"/>
              <w:spacing w:before="8"/>
              <w:rPr>
                <w:b/>
                <w:sz w:val="29"/>
              </w:rPr>
            </w:pPr>
          </w:p>
          <w:p>
            <w:pPr>
              <w:pStyle w:val="TableParagraph"/>
              <w:ind w:left="168" w:right="169"/>
              <w:jc w:val="center"/>
              <w:rPr>
                <w:sz w:val="22"/>
              </w:rPr>
            </w:pPr>
            <w:r>
              <w:rPr>
                <w:sz w:val="22"/>
              </w:rPr>
              <w:t>Cálculo de instrumentos financieros</w:t>
            </w:r>
          </w:p>
        </w:tc>
        <w:tc>
          <w:tcPr>
            <w:tcW w:w="408" w:type="dxa"/>
          </w:tcPr>
          <w:p>
            <w:pPr>
              <w:pStyle w:val="TableParagraph"/>
              <w:spacing w:before="169"/>
              <w:ind w:right="2"/>
              <w:jc w:val="center"/>
              <w:rPr>
                <w:sz w:val="22"/>
              </w:rPr>
            </w:pPr>
            <w:r>
              <w:rPr>
                <w:w w:val="100"/>
                <w:sz w:val="22"/>
              </w:rPr>
              <w:t>4</w:t>
            </w:r>
          </w:p>
        </w:tc>
        <w:tc>
          <w:tcPr>
            <w:tcW w:w="396" w:type="dxa"/>
          </w:tcPr>
          <w:p>
            <w:pPr>
              <w:pStyle w:val="TableParagraph"/>
              <w:spacing w:before="169"/>
              <w:ind w:right="137"/>
              <w:jc w:val="right"/>
              <w:rPr>
                <w:sz w:val="22"/>
              </w:rPr>
            </w:pPr>
            <w:r>
              <w:rPr>
                <w:w w:val="100"/>
                <w:sz w:val="22"/>
              </w:rPr>
              <w:t>2</w:t>
            </w:r>
          </w:p>
        </w:tc>
        <w:tc>
          <w:tcPr>
            <w:tcW w:w="406" w:type="dxa"/>
          </w:tcPr>
          <w:p>
            <w:pPr>
              <w:pStyle w:val="TableParagraph"/>
              <w:spacing w:before="169"/>
              <w:jc w:val="center"/>
              <w:rPr>
                <w:sz w:val="22"/>
              </w:rPr>
            </w:pPr>
            <w:r>
              <w:rPr>
                <w:w w:val="100"/>
                <w:sz w:val="22"/>
              </w:rPr>
              <w:t>6</w:t>
            </w:r>
          </w:p>
        </w:tc>
        <w:tc>
          <w:tcPr>
            <w:tcW w:w="408" w:type="dxa"/>
          </w:tcPr>
          <w:p>
            <w:pPr>
              <w:pStyle w:val="TableParagraph"/>
              <w:spacing w:before="169"/>
              <w:ind w:left="42" w:right="44"/>
              <w:jc w:val="center"/>
              <w:rPr>
                <w:sz w:val="22"/>
              </w:rPr>
            </w:pPr>
            <w:r>
              <w:rPr>
                <w:sz w:val="22"/>
              </w:rPr>
              <w:t>10</w:t>
            </w:r>
          </w:p>
        </w:tc>
        <w:tc>
          <w:tcPr>
            <w:tcW w:w="1253" w:type="dxa"/>
          </w:tcPr>
          <w:p>
            <w:pPr>
              <w:pStyle w:val="TableParagraph"/>
              <w:spacing w:before="8"/>
              <w:rPr>
                <w:b/>
                <w:sz w:val="29"/>
              </w:rPr>
            </w:pPr>
          </w:p>
          <w:p>
            <w:pPr>
              <w:pStyle w:val="TableParagraph"/>
              <w:ind w:left="46" w:right="46"/>
              <w:jc w:val="center"/>
              <w:rPr>
                <w:sz w:val="22"/>
              </w:rPr>
            </w:pPr>
            <w:r>
              <w:rPr>
                <w:sz w:val="22"/>
              </w:rPr>
              <w:t>Acentuación</w:t>
            </w:r>
          </w:p>
        </w:tc>
      </w:tr>
      <w:tr>
        <w:trPr>
          <w:trHeight w:val="310" w:hRule="exact"/>
        </w:trPr>
        <w:tc>
          <w:tcPr>
            <w:tcW w:w="434" w:type="dxa"/>
          </w:tcPr>
          <w:p>
            <w:pPr>
              <w:pStyle w:val="TableParagraph"/>
              <w:spacing w:before="39"/>
              <w:jc w:val="center"/>
              <w:rPr>
                <w:sz w:val="22"/>
              </w:rPr>
            </w:pPr>
            <w:r>
              <w:rPr>
                <w:w w:val="100"/>
                <w:sz w:val="22"/>
              </w:rPr>
              <w:t>3</w:t>
            </w:r>
          </w:p>
        </w:tc>
        <w:tc>
          <w:tcPr>
            <w:tcW w:w="4873" w:type="dxa"/>
          </w:tcPr>
          <w:p>
            <w:pPr>
              <w:pStyle w:val="TableParagraph"/>
              <w:spacing w:before="39"/>
              <w:ind w:left="169" w:right="168"/>
              <w:jc w:val="center"/>
              <w:rPr>
                <w:sz w:val="22"/>
              </w:rPr>
            </w:pPr>
            <w:r>
              <w:rPr>
                <w:sz w:val="22"/>
              </w:rPr>
              <w:t>Valuación de empresas</w:t>
            </w:r>
          </w:p>
        </w:tc>
        <w:tc>
          <w:tcPr>
            <w:tcW w:w="408" w:type="dxa"/>
          </w:tcPr>
          <w:p>
            <w:pPr>
              <w:pStyle w:val="TableParagraph"/>
              <w:spacing w:before="15"/>
              <w:ind w:right="2"/>
              <w:jc w:val="center"/>
              <w:rPr>
                <w:sz w:val="22"/>
              </w:rPr>
            </w:pPr>
            <w:r>
              <w:rPr>
                <w:w w:val="100"/>
                <w:sz w:val="22"/>
              </w:rPr>
              <w:t>4</w:t>
            </w:r>
          </w:p>
        </w:tc>
        <w:tc>
          <w:tcPr>
            <w:tcW w:w="396" w:type="dxa"/>
          </w:tcPr>
          <w:p>
            <w:pPr>
              <w:pStyle w:val="TableParagraph"/>
              <w:spacing w:before="15"/>
              <w:ind w:right="137"/>
              <w:jc w:val="right"/>
              <w:rPr>
                <w:sz w:val="22"/>
              </w:rPr>
            </w:pPr>
            <w:r>
              <w:rPr>
                <w:w w:val="100"/>
                <w:sz w:val="22"/>
              </w:rPr>
              <w:t>2</w:t>
            </w:r>
          </w:p>
        </w:tc>
        <w:tc>
          <w:tcPr>
            <w:tcW w:w="406" w:type="dxa"/>
          </w:tcPr>
          <w:p>
            <w:pPr>
              <w:pStyle w:val="TableParagraph"/>
              <w:spacing w:before="15"/>
              <w:jc w:val="center"/>
              <w:rPr>
                <w:sz w:val="22"/>
              </w:rPr>
            </w:pPr>
            <w:r>
              <w:rPr>
                <w:w w:val="100"/>
                <w:sz w:val="22"/>
              </w:rPr>
              <w:t>6</w:t>
            </w:r>
          </w:p>
        </w:tc>
        <w:tc>
          <w:tcPr>
            <w:tcW w:w="408" w:type="dxa"/>
          </w:tcPr>
          <w:p>
            <w:pPr>
              <w:pStyle w:val="TableParagraph"/>
              <w:spacing w:before="15"/>
              <w:ind w:left="42" w:right="44"/>
              <w:jc w:val="center"/>
              <w:rPr>
                <w:sz w:val="22"/>
              </w:rPr>
            </w:pPr>
            <w:r>
              <w:rPr>
                <w:sz w:val="22"/>
              </w:rPr>
              <w:t>10</w:t>
            </w:r>
          </w:p>
        </w:tc>
        <w:tc>
          <w:tcPr>
            <w:tcW w:w="1253" w:type="dxa"/>
          </w:tcPr>
          <w:p>
            <w:pPr>
              <w:pStyle w:val="TableParagraph"/>
              <w:spacing w:before="39"/>
              <w:ind w:left="46" w:right="46"/>
              <w:jc w:val="center"/>
              <w:rPr>
                <w:sz w:val="22"/>
              </w:rPr>
            </w:pPr>
            <w:r>
              <w:rPr>
                <w:sz w:val="22"/>
              </w:rPr>
              <w:t>Acentuación</w:t>
            </w:r>
          </w:p>
        </w:tc>
      </w:tr>
      <w:tr>
        <w:trPr>
          <w:trHeight w:val="610" w:hRule="exact"/>
        </w:trPr>
        <w:tc>
          <w:tcPr>
            <w:tcW w:w="434" w:type="dxa"/>
          </w:tcPr>
          <w:p>
            <w:pPr>
              <w:pStyle w:val="TableParagraph"/>
              <w:spacing w:before="5"/>
              <w:rPr>
                <w:b/>
                <w:sz w:val="29"/>
              </w:rPr>
            </w:pPr>
          </w:p>
          <w:p>
            <w:pPr>
              <w:pStyle w:val="TableParagraph"/>
              <w:spacing w:before="1"/>
              <w:jc w:val="center"/>
              <w:rPr>
                <w:sz w:val="22"/>
              </w:rPr>
            </w:pPr>
            <w:r>
              <w:rPr>
                <w:w w:val="100"/>
                <w:sz w:val="22"/>
              </w:rPr>
              <w:t>4</w:t>
            </w:r>
          </w:p>
        </w:tc>
        <w:tc>
          <w:tcPr>
            <w:tcW w:w="4873" w:type="dxa"/>
          </w:tcPr>
          <w:p>
            <w:pPr>
              <w:pStyle w:val="TableParagraph"/>
              <w:spacing w:before="5"/>
              <w:rPr>
                <w:b/>
                <w:sz w:val="29"/>
              </w:rPr>
            </w:pPr>
          </w:p>
          <w:p>
            <w:pPr>
              <w:pStyle w:val="TableParagraph"/>
              <w:spacing w:before="1"/>
              <w:ind w:left="169" w:right="169"/>
              <w:jc w:val="center"/>
              <w:rPr>
                <w:sz w:val="22"/>
              </w:rPr>
            </w:pPr>
            <w:r>
              <w:rPr>
                <w:sz w:val="22"/>
              </w:rPr>
              <w:t>Ingeniería y reingeniería financiera</w:t>
            </w:r>
          </w:p>
        </w:tc>
        <w:tc>
          <w:tcPr>
            <w:tcW w:w="408" w:type="dxa"/>
          </w:tcPr>
          <w:p>
            <w:pPr>
              <w:pStyle w:val="TableParagraph"/>
              <w:spacing w:before="166"/>
              <w:ind w:right="2"/>
              <w:jc w:val="center"/>
              <w:rPr>
                <w:sz w:val="22"/>
              </w:rPr>
            </w:pPr>
            <w:r>
              <w:rPr>
                <w:w w:val="100"/>
                <w:sz w:val="22"/>
              </w:rPr>
              <w:t>4</w:t>
            </w:r>
          </w:p>
        </w:tc>
        <w:tc>
          <w:tcPr>
            <w:tcW w:w="396" w:type="dxa"/>
          </w:tcPr>
          <w:p>
            <w:pPr>
              <w:pStyle w:val="TableParagraph"/>
              <w:spacing w:before="166"/>
              <w:ind w:right="137"/>
              <w:jc w:val="right"/>
              <w:rPr>
                <w:sz w:val="22"/>
              </w:rPr>
            </w:pPr>
            <w:r>
              <w:rPr>
                <w:w w:val="100"/>
                <w:sz w:val="22"/>
              </w:rPr>
              <w:t>2</w:t>
            </w:r>
          </w:p>
        </w:tc>
        <w:tc>
          <w:tcPr>
            <w:tcW w:w="406" w:type="dxa"/>
          </w:tcPr>
          <w:p>
            <w:pPr>
              <w:pStyle w:val="TableParagraph"/>
              <w:spacing w:before="166"/>
              <w:jc w:val="center"/>
              <w:rPr>
                <w:sz w:val="22"/>
              </w:rPr>
            </w:pPr>
            <w:r>
              <w:rPr>
                <w:w w:val="100"/>
                <w:sz w:val="22"/>
              </w:rPr>
              <w:t>6</w:t>
            </w:r>
          </w:p>
        </w:tc>
        <w:tc>
          <w:tcPr>
            <w:tcW w:w="408" w:type="dxa"/>
          </w:tcPr>
          <w:p>
            <w:pPr>
              <w:pStyle w:val="TableParagraph"/>
              <w:spacing w:before="166"/>
              <w:ind w:left="42" w:right="44"/>
              <w:jc w:val="center"/>
              <w:rPr>
                <w:sz w:val="22"/>
              </w:rPr>
            </w:pPr>
            <w:r>
              <w:rPr>
                <w:sz w:val="22"/>
              </w:rPr>
              <w:t>10</w:t>
            </w:r>
          </w:p>
        </w:tc>
        <w:tc>
          <w:tcPr>
            <w:tcW w:w="1253" w:type="dxa"/>
          </w:tcPr>
          <w:p>
            <w:pPr>
              <w:pStyle w:val="TableParagraph"/>
              <w:spacing w:before="5"/>
              <w:rPr>
                <w:b/>
                <w:sz w:val="29"/>
              </w:rPr>
            </w:pPr>
          </w:p>
          <w:p>
            <w:pPr>
              <w:pStyle w:val="TableParagraph"/>
              <w:spacing w:before="1"/>
              <w:ind w:left="46" w:right="46"/>
              <w:jc w:val="center"/>
              <w:rPr>
                <w:sz w:val="22"/>
              </w:rPr>
            </w:pPr>
            <w:r>
              <w:rPr>
                <w:sz w:val="22"/>
              </w:rPr>
              <w:t>Acentuación</w:t>
            </w:r>
          </w:p>
        </w:tc>
      </w:tr>
    </w:tbl>
    <w:p>
      <w:pPr>
        <w:pStyle w:val="BodyText"/>
        <w:spacing w:line="270" w:lineRule="exact"/>
        <w:ind w:left="1323"/>
      </w:pPr>
      <w:r>
        <w:rPr/>
        <w:t>Fuente: Departamento de desarrollo curricular, UAEMéx, 2013.</w:t>
      </w:r>
    </w:p>
    <w:p>
      <w:pPr>
        <w:pStyle w:val="BodyText"/>
        <w:spacing w:before="7"/>
        <w:rPr>
          <w:sz w:val="29"/>
        </w:rPr>
      </w:pPr>
    </w:p>
    <w:p>
      <w:pPr>
        <w:pStyle w:val="Heading3"/>
        <w:spacing w:before="0"/>
        <w:ind w:left="632"/>
        <w:jc w:val="left"/>
      </w:pPr>
      <w:r>
        <w:rPr/>
        <w:t>Núcleo integral</w:t>
      </w:r>
    </w:p>
    <w:p>
      <w:pPr>
        <w:pStyle w:val="BodyText"/>
        <w:spacing w:before="1"/>
        <w:rPr>
          <w:b/>
        </w:rPr>
      </w:pPr>
    </w:p>
    <w:p>
      <w:pPr>
        <w:spacing w:before="0" w:after="2"/>
        <w:ind w:left="632" w:right="0" w:firstLine="0"/>
        <w:jc w:val="left"/>
        <w:rPr>
          <w:b/>
          <w:sz w:val="20"/>
        </w:rPr>
      </w:pPr>
      <w:r>
        <w:rPr>
          <w:b/>
          <w:sz w:val="20"/>
        </w:rPr>
        <w:t>Obligatorias</w:t>
      </w:r>
    </w:p>
    <w:tbl>
      <w:tblPr>
        <w:tblW w:w="0" w:type="auto"/>
        <w:jc w:val="left"/>
        <w:tblInd w:w="5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4"/>
        <w:gridCol w:w="2936"/>
        <w:gridCol w:w="408"/>
        <w:gridCol w:w="396"/>
        <w:gridCol w:w="437"/>
        <w:gridCol w:w="434"/>
        <w:gridCol w:w="2578"/>
      </w:tblGrid>
      <w:tr>
        <w:trPr>
          <w:trHeight w:val="310" w:hRule="exact"/>
        </w:trPr>
        <w:tc>
          <w:tcPr>
            <w:tcW w:w="434" w:type="dxa"/>
          </w:tcPr>
          <w:p>
            <w:pPr>
              <w:pStyle w:val="TableParagraph"/>
              <w:spacing w:before="63"/>
              <w:ind w:right="63"/>
              <w:jc w:val="right"/>
              <w:rPr>
                <w:sz w:val="20"/>
              </w:rPr>
            </w:pPr>
            <w:r>
              <w:rPr>
                <w:w w:val="95"/>
                <w:sz w:val="20"/>
              </w:rPr>
              <w:t>No.</w:t>
            </w:r>
          </w:p>
        </w:tc>
        <w:tc>
          <w:tcPr>
            <w:tcW w:w="2936" w:type="dxa"/>
          </w:tcPr>
          <w:p>
            <w:pPr>
              <w:pStyle w:val="TableParagraph"/>
              <w:spacing w:before="63"/>
              <w:ind w:left="64"/>
              <w:rPr>
                <w:sz w:val="20"/>
              </w:rPr>
            </w:pPr>
            <w:r>
              <w:rPr>
                <w:sz w:val="20"/>
              </w:rPr>
              <w:t>Unidad de aprendizaje (UA)</w:t>
            </w:r>
          </w:p>
        </w:tc>
        <w:tc>
          <w:tcPr>
            <w:tcW w:w="408" w:type="dxa"/>
          </w:tcPr>
          <w:p>
            <w:pPr>
              <w:pStyle w:val="TableParagraph"/>
              <w:spacing w:before="63"/>
              <w:ind w:left="44" w:right="44"/>
              <w:jc w:val="center"/>
              <w:rPr>
                <w:sz w:val="20"/>
              </w:rPr>
            </w:pPr>
            <w:r>
              <w:rPr>
                <w:sz w:val="20"/>
              </w:rPr>
              <w:t>HT</w:t>
            </w:r>
          </w:p>
        </w:tc>
        <w:tc>
          <w:tcPr>
            <w:tcW w:w="396" w:type="dxa"/>
          </w:tcPr>
          <w:p>
            <w:pPr>
              <w:pStyle w:val="TableParagraph"/>
              <w:spacing w:before="63"/>
              <w:ind w:left="43" w:right="43"/>
              <w:jc w:val="center"/>
              <w:rPr>
                <w:sz w:val="20"/>
              </w:rPr>
            </w:pPr>
            <w:r>
              <w:rPr>
                <w:sz w:val="20"/>
              </w:rPr>
              <w:t>HP</w:t>
            </w:r>
          </w:p>
        </w:tc>
        <w:tc>
          <w:tcPr>
            <w:tcW w:w="437" w:type="dxa"/>
          </w:tcPr>
          <w:p>
            <w:pPr>
              <w:pStyle w:val="TableParagraph"/>
              <w:spacing w:before="63"/>
              <w:ind w:left="64"/>
              <w:rPr>
                <w:sz w:val="20"/>
              </w:rPr>
            </w:pPr>
            <w:r>
              <w:rPr>
                <w:sz w:val="20"/>
              </w:rPr>
              <w:t>TH</w:t>
            </w:r>
          </w:p>
        </w:tc>
        <w:tc>
          <w:tcPr>
            <w:tcW w:w="434" w:type="dxa"/>
          </w:tcPr>
          <w:p>
            <w:pPr>
              <w:pStyle w:val="TableParagraph"/>
              <w:spacing w:before="63"/>
              <w:ind w:right="96"/>
              <w:jc w:val="right"/>
              <w:rPr>
                <w:sz w:val="20"/>
              </w:rPr>
            </w:pPr>
            <w:r>
              <w:rPr>
                <w:sz w:val="20"/>
              </w:rPr>
              <w:t>CR</w:t>
            </w:r>
          </w:p>
        </w:tc>
        <w:tc>
          <w:tcPr>
            <w:tcW w:w="2578" w:type="dxa"/>
          </w:tcPr>
          <w:p>
            <w:pPr>
              <w:pStyle w:val="TableParagraph"/>
              <w:spacing w:before="63"/>
              <w:ind w:left="64" w:right="562"/>
              <w:rPr>
                <w:sz w:val="20"/>
              </w:rPr>
            </w:pPr>
            <w:r>
              <w:rPr>
                <w:sz w:val="20"/>
              </w:rPr>
              <w:t>Área curricular</w:t>
            </w:r>
          </w:p>
        </w:tc>
      </w:tr>
      <w:tr>
        <w:trPr>
          <w:trHeight w:val="535" w:hRule="exact"/>
        </w:trPr>
        <w:tc>
          <w:tcPr>
            <w:tcW w:w="434" w:type="dxa"/>
          </w:tcPr>
          <w:p>
            <w:pPr>
              <w:pStyle w:val="TableParagraph"/>
              <w:spacing w:before="1"/>
              <w:rPr>
                <w:b/>
                <w:sz w:val="25"/>
              </w:rPr>
            </w:pPr>
          </w:p>
          <w:p>
            <w:pPr>
              <w:pStyle w:val="TableParagraph"/>
              <w:ind w:right="65"/>
              <w:jc w:val="right"/>
              <w:rPr>
                <w:sz w:val="20"/>
              </w:rPr>
            </w:pPr>
            <w:r>
              <w:rPr>
                <w:w w:val="99"/>
                <w:sz w:val="20"/>
              </w:rPr>
              <w:t>1</w:t>
            </w:r>
          </w:p>
        </w:tc>
        <w:tc>
          <w:tcPr>
            <w:tcW w:w="2936" w:type="dxa"/>
          </w:tcPr>
          <w:p>
            <w:pPr>
              <w:pStyle w:val="TableParagraph"/>
              <w:spacing w:before="1"/>
              <w:rPr>
                <w:b/>
                <w:sz w:val="25"/>
              </w:rPr>
            </w:pPr>
          </w:p>
          <w:p>
            <w:pPr>
              <w:pStyle w:val="TableParagraph"/>
              <w:ind w:left="64"/>
              <w:rPr>
                <w:sz w:val="20"/>
              </w:rPr>
            </w:pPr>
            <w:r>
              <w:rPr>
                <w:sz w:val="20"/>
              </w:rPr>
              <w:t>Investigación de operaciones</w:t>
            </w:r>
          </w:p>
        </w:tc>
        <w:tc>
          <w:tcPr>
            <w:tcW w:w="408" w:type="dxa"/>
          </w:tcPr>
          <w:p>
            <w:pPr>
              <w:pStyle w:val="TableParagraph"/>
              <w:spacing w:before="139"/>
              <w:ind w:right="4"/>
              <w:jc w:val="center"/>
              <w:rPr>
                <w:sz w:val="20"/>
              </w:rPr>
            </w:pPr>
            <w:r>
              <w:rPr>
                <w:w w:val="99"/>
                <w:sz w:val="20"/>
              </w:rPr>
              <w:t>4</w:t>
            </w:r>
          </w:p>
        </w:tc>
        <w:tc>
          <w:tcPr>
            <w:tcW w:w="396" w:type="dxa"/>
          </w:tcPr>
          <w:p>
            <w:pPr>
              <w:pStyle w:val="TableParagraph"/>
              <w:spacing w:before="139"/>
              <w:ind w:right="3"/>
              <w:jc w:val="center"/>
              <w:rPr>
                <w:sz w:val="20"/>
              </w:rPr>
            </w:pPr>
            <w:r>
              <w:rPr>
                <w:w w:val="99"/>
                <w:sz w:val="20"/>
              </w:rPr>
              <w:t>2</w:t>
            </w:r>
          </w:p>
        </w:tc>
        <w:tc>
          <w:tcPr>
            <w:tcW w:w="437" w:type="dxa"/>
          </w:tcPr>
          <w:p>
            <w:pPr>
              <w:pStyle w:val="TableParagraph"/>
              <w:spacing w:before="139"/>
              <w:ind w:right="4"/>
              <w:jc w:val="center"/>
              <w:rPr>
                <w:sz w:val="20"/>
              </w:rPr>
            </w:pPr>
            <w:r>
              <w:rPr>
                <w:w w:val="99"/>
                <w:sz w:val="20"/>
              </w:rPr>
              <w:t>6</w:t>
            </w:r>
          </w:p>
        </w:tc>
        <w:tc>
          <w:tcPr>
            <w:tcW w:w="434" w:type="dxa"/>
          </w:tcPr>
          <w:p>
            <w:pPr>
              <w:pStyle w:val="TableParagraph"/>
              <w:spacing w:before="139"/>
              <w:ind w:right="110"/>
              <w:jc w:val="right"/>
              <w:rPr>
                <w:sz w:val="20"/>
              </w:rPr>
            </w:pPr>
            <w:r>
              <w:rPr>
                <w:sz w:val="20"/>
              </w:rPr>
              <w:t>10</w:t>
            </w:r>
          </w:p>
        </w:tc>
        <w:tc>
          <w:tcPr>
            <w:tcW w:w="2578" w:type="dxa"/>
          </w:tcPr>
          <w:p>
            <w:pPr>
              <w:pStyle w:val="TableParagraph"/>
              <w:spacing w:before="58"/>
              <w:ind w:left="64" w:right="562"/>
              <w:rPr>
                <w:sz w:val="20"/>
              </w:rPr>
            </w:pPr>
            <w:r>
              <w:rPr>
                <w:sz w:val="20"/>
              </w:rPr>
              <w:t>Métodos cuantitativos y estadísticos</w:t>
            </w:r>
          </w:p>
        </w:tc>
      </w:tr>
      <w:tr>
        <w:trPr>
          <w:trHeight w:val="535" w:hRule="exact"/>
        </w:trPr>
        <w:tc>
          <w:tcPr>
            <w:tcW w:w="434" w:type="dxa"/>
          </w:tcPr>
          <w:p>
            <w:pPr>
              <w:pStyle w:val="TableParagraph"/>
              <w:spacing w:before="1"/>
              <w:rPr>
                <w:b/>
                <w:sz w:val="25"/>
              </w:rPr>
            </w:pPr>
          </w:p>
          <w:p>
            <w:pPr>
              <w:pStyle w:val="TableParagraph"/>
              <w:ind w:right="65"/>
              <w:jc w:val="right"/>
              <w:rPr>
                <w:sz w:val="20"/>
              </w:rPr>
            </w:pPr>
            <w:r>
              <w:rPr>
                <w:w w:val="99"/>
                <w:sz w:val="20"/>
              </w:rPr>
              <w:t>2</w:t>
            </w:r>
          </w:p>
        </w:tc>
        <w:tc>
          <w:tcPr>
            <w:tcW w:w="2936" w:type="dxa"/>
          </w:tcPr>
          <w:p>
            <w:pPr>
              <w:pStyle w:val="TableParagraph"/>
              <w:spacing w:before="1"/>
              <w:rPr>
                <w:b/>
                <w:sz w:val="25"/>
              </w:rPr>
            </w:pPr>
          </w:p>
          <w:p>
            <w:pPr>
              <w:pStyle w:val="TableParagraph"/>
              <w:ind w:left="64"/>
              <w:rPr>
                <w:sz w:val="20"/>
              </w:rPr>
            </w:pPr>
            <w:r>
              <w:rPr>
                <w:sz w:val="20"/>
              </w:rPr>
              <w:t>Economía mexicana</w:t>
            </w:r>
          </w:p>
        </w:tc>
        <w:tc>
          <w:tcPr>
            <w:tcW w:w="408" w:type="dxa"/>
          </w:tcPr>
          <w:p>
            <w:pPr>
              <w:pStyle w:val="TableParagraph"/>
              <w:spacing w:before="139"/>
              <w:ind w:right="4"/>
              <w:jc w:val="center"/>
              <w:rPr>
                <w:sz w:val="20"/>
              </w:rPr>
            </w:pPr>
            <w:r>
              <w:rPr>
                <w:w w:val="99"/>
                <w:sz w:val="20"/>
              </w:rPr>
              <w:t>4</w:t>
            </w:r>
          </w:p>
        </w:tc>
        <w:tc>
          <w:tcPr>
            <w:tcW w:w="396" w:type="dxa"/>
          </w:tcPr>
          <w:p>
            <w:pPr>
              <w:pStyle w:val="TableParagraph"/>
              <w:spacing w:before="139"/>
              <w:ind w:right="3"/>
              <w:jc w:val="center"/>
              <w:rPr>
                <w:sz w:val="20"/>
              </w:rPr>
            </w:pPr>
            <w:r>
              <w:rPr>
                <w:w w:val="99"/>
                <w:sz w:val="20"/>
              </w:rPr>
              <w:t>0</w:t>
            </w:r>
          </w:p>
        </w:tc>
        <w:tc>
          <w:tcPr>
            <w:tcW w:w="437" w:type="dxa"/>
          </w:tcPr>
          <w:p>
            <w:pPr>
              <w:pStyle w:val="TableParagraph"/>
              <w:spacing w:before="139"/>
              <w:ind w:right="4"/>
              <w:jc w:val="center"/>
              <w:rPr>
                <w:sz w:val="20"/>
              </w:rPr>
            </w:pPr>
            <w:r>
              <w:rPr>
                <w:w w:val="99"/>
                <w:sz w:val="20"/>
              </w:rPr>
              <w:t>4</w:t>
            </w:r>
          </w:p>
        </w:tc>
        <w:tc>
          <w:tcPr>
            <w:tcW w:w="434" w:type="dxa"/>
          </w:tcPr>
          <w:p>
            <w:pPr>
              <w:pStyle w:val="TableParagraph"/>
              <w:spacing w:before="139"/>
              <w:ind w:right="6"/>
              <w:jc w:val="center"/>
              <w:rPr>
                <w:sz w:val="20"/>
              </w:rPr>
            </w:pPr>
            <w:r>
              <w:rPr>
                <w:w w:val="99"/>
                <w:sz w:val="20"/>
              </w:rPr>
              <w:t>8</w:t>
            </w:r>
          </w:p>
        </w:tc>
        <w:tc>
          <w:tcPr>
            <w:tcW w:w="2578" w:type="dxa"/>
          </w:tcPr>
          <w:p>
            <w:pPr>
              <w:pStyle w:val="TableParagraph"/>
              <w:spacing w:before="58"/>
              <w:ind w:left="64" w:right="479"/>
              <w:rPr>
                <w:sz w:val="20"/>
              </w:rPr>
            </w:pPr>
            <w:r>
              <w:rPr>
                <w:sz w:val="20"/>
              </w:rPr>
              <w:t>Historia económica y del pensamiento económico</w:t>
            </w:r>
          </w:p>
        </w:tc>
      </w:tr>
      <w:tr>
        <w:trPr>
          <w:trHeight w:val="535" w:hRule="exact"/>
        </w:trPr>
        <w:tc>
          <w:tcPr>
            <w:tcW w:w="434" w:type="dxa"/>
          </w:tcPr>
          <w:p>
            <w:pPr>
              <w:pStyle w:val="TableParagraph"/>
              <w:spacing w:before="1"/>
              <w:rPr>
                <w:b/>
                <w:sz w:val="25"/>
              </w:rPr>
            </w:pPr>
          </w:p>
          <w:p>
            <w:pPr>
              <w:pStyle w:val="TableParagraph"/>
              <w:ind w:right="65"/>
              <w:jc w:val="right"/>
              <w:rPr>
                <w:sz w:val="20"/>
              </w:rPr>
            </w:pPr>
            <w:r>
              <w:rPr>
                <w:w w:val="99"/>
                <w:sz w:val="20"/>
              </w:rPr>
              <w:t>3</w:t>
            </w:r>
          </w:p>
        </w:tc>
        <w:tc>
          <w:tcPr>
            <w:tcW w:w="2936" w:type="dxa"/>
          </w:tcPr>
          <w:p>
            <w:pPr>
              <w:pStyle w:val="TableParagraph"/>
              <w:spacing w:before="1"/>
              <w:rPr>
                <w:b/>
                <w:sz w:val="25"/>
              </w:rPr>
            </w:pPr>
          </w:p>
          <w:p>
            <w:pPr>
              <w:pStyle w:val="TableParagraph"/>
              <w:ind w:left="64"/>
              <w:rPr>
                <w:sz w:val="20"/>
              </w:rPr>
            </w:pPr>
            <w:r>
              <w:rPr>
                <w:sz w:val="20"/>
              </w:rPr>
              <w:t>Contabilidad general y de costos</w:t>
            </w:r>
          </w:p>
        </w:tc>
        <w:tc>
          <w:tcPr>
            <w:tcW w:w="408" w:type="dxa"/>
          </w:tcPr>
          <w:p>
            <w:pPr>
              <w:pStyle w:val="TableParagraph"/>
              <w:spacing w:before="139"/>
              <w:ind w:right="4"/>
              <w:jc w:val="center"/>
              <w:rPr>
                <w:sz w:val="20"/>
              </w:rPr>
            </w:pPr>
            <w:r>
              <w:rPr>
                <w:w w:val="99"/>
                <w:sz w:val="20"/>
              </w:rPr>
              <w:t>2</w:t>
            </w:r>
          </w:p>
        </w:tc>
        <w:tc>
          <w:tcPr>
            <w:tcW w:w="396" w:type="dxa"/>
          </w:tcPr>
          <w:p>
            <w:pPr>
              <w:pStyle w:val="TableParagraph"/>
              <w:spacing w:before="139"/>
              <w:ind w:right="3"/>
              <w:jc w:val="center"/>
              <w:rPr>
                <w:sz w:val="20"/>
              </w:rPr>
            </w:pPr>
            <w:r>
              <w:rPr>
                <w:w w:val="99"/>
                <w:sz w:val="20"/>
              </w:rPr>
              <w:t>2</w:t>
            </w:r>
          </w:p>
        </w:tc>
        <w:tc>
          <w:tcPr>
            <w:tcW w:w="437" w:type="dxa"/>
          </w:tcPr>
          <w:p>
            <w:pPr>
              <w:pStyle w:val="TableParagraph"/>
              <w:spacing w:before="139"/>
              <w:ind w:right="4"/>
              <w:jc w:val="center"/>
              <w:rPr>
                <w:sz w:val="20"/>
              </w:rPr>
            </w:pPr>
            <w:r>
              <w:rPr>
                <w:w w:val="99"/>
                <w:sz w:val="20"/>
              </w:rPr>
              <w:t>4</w:t>
            </w:r>
          </w:p>
        </w:tc>
        <w:tc>
          <w:tcPr>
            <w:tcW w:w="434" w:type="dxa"/>
          </w:tcPr>
          <w:p>
            <w:pPr>
              <w:pStyle w:val="TableParagraph"/>
              <w:spacing w:before="139"/>
              <w:ind w:right="6"/>
              <w:jc w:val="center"/>
              <w:rPr>
                <w:sz w:val="20"/>
              </w:rPr>
            </w:pPr>
            <w:r>
              <w:rPr>
                <w:w w:val="99"/>
                <w:sz w:val="20"/>
              </w:rPr>
              <w:t>6</w:t>
            </w:r>
          </w:p>
        </w:tc>
        <w:tc>
          <w:tcPr>
            <w:tcW w:w="2578" w:type="dxa"/>
          </w:tcPr>
          <w:p>
            <w:pPr>
              <w:pStyle w:val="TableParagraph"/>
              <w:spacing w:before="58"/>
              <w:ind w:left="64" w:right="818"/>
              <w:rPr>
                <w:sz w:val="20"/>
              </w:rPr>
            </w:pPr>
            <w:r>
              <w:rPr>
                <w:sz w:val="20"/>
              </w:rPr>
              <w:t>Economía aplicada e instrumentales</w:t>
            </w:r>
          </w:p>
        </w:tc>
      </w:tr>
      <w:tr>
        <w:trPr>
          <w:trHeight w:val="533" w:hRule="exact"/>
        </w:trPr>
        <w:tc>
          <w:tcPr>
            <w:tcW w:w="434" w:type="dxa"/>
          </w:tcPr>
          <w:p>
            <w:pPr>
              <w:pStyle w:val="TableParagraph"/>
              <w:spacing w:before="1"/>
              <w:rPr>
                <w:b/>
                <w:sz w:val="25"/>
              </w:rPr>
            </w:pPr>
          </w:p>
          <w:p>
            <w:pPr>
              <w:pStyle w:val="TableParagraph"/>
              <w:ind w:right="65"/>
              <w:jc w:val="right"/>
              <w:rPr>
                <w:sz w:val="20"/>
              </w:rPr>
            </w:pPr>
            <w:r>
              <w:rPr>
                <w:w w:val="99"/>
                <w:sz w:val="20"/>
              </w:rPr>
              <w:t>4</w:t>
            </w:r>
          </w:p>
        </w:tc>
        <w:tc>
          <w:tcPr>
            <w:tcW w:w="2936" w:type="dxa"/>
          </w:tcPr>
          <w:p>
            <w:pPr>
              <w:pStyle w:val="TableParagraph"/>
              <w:spacing w:before="1"/>
              <w:rPr>
                <w:b/>
                <w:sz w:val="25"/>
              </w:rPr>
            </w:pPr>
          </w:p>
          <w:p>
            <w:pPr>
              <w:pStyle w:val="TableParagraph"/>
              <w:ind w:left="64"/>
              <w:rPr>
                <w:sz w:val="20"/>
              </w:rPr>
            </w:pPr>
            <w:r>
              <w:rPr>
                <w:sz w:val="20"/>
              </w:rPr>
              <w:t>Formulación de proyectos</w:t>
            </w:r>
          </w:p>
        </w:tc>
        <w:tc>
          <w:tcPr>
            <w:tcW w:w="408" w:type="dxa"/>
          </w:tcPr>
          <w:p>
            <w:pPr>
              <w:pStyle w:val="TableParagraph"/>
              <w:spacing w:before="139"/>
              <w:ind w:right="4"/>
              <w:jc w:val="center"/>
              <w:rPr>
                <w:sz w:val="20"/>
              </w:rPr>
            </w:pPr>
            <w:r>
              <w:rPr>
                <w:w w:val="99"/>
                <w:sz w:val="20"/>
              </w:rPr>
              <w:t>2</w:t>
            </w:r>
          </w:p>
        </w:tc>
        <w:tc>
          <w:tcPr>
            <w:tcW w:w="396" w:type="dxa"/>
          </w:tcPr>
          <w:p>
            <w:pPr>
              <w:pStyle w:val="TableParagraph"/>
              <w:spacing w:before="139"/>
              <w:ind w:right="3"/>
              <w:jc w:val="center"/>
              <w:rPr>
                <w:sz w:val="20"/>
              </w:rPr>
            </w:pPr>
            <w:r>
              <w:rPr>
                <w:w w:val="99"/>
                <w:sz w:val="20"/>
              </w:rPr>
              <w:t>0</w:t>
            </w:r>
          </w:p>
        </w:tc>
        <w:tc>
          <w:tcPr>
            <w:tcW w:w="437" w:type="dxa"/>
          </w:tcPr>
          <w:p>
            <w:pPr>
              <w:pStyle w:val="TableParagraph"/>
              <w:spacing w:before="139"/>
              <w:ind w:right="4"/>
              <w:jc w:val="center"/>
              <w:rPr>
                <w:sz w:val="20"/>
              </w:rPr>
            </w:pPr>
            <w:r>
              <w:rPr>
                <w:w w:val="99"/>
                <w:sz w:val="20"/>
              </w:rPr>
              <w:t>4</w:t>
            </w:r>
          </w:p>
        </w:tc>
        <w:tc>
          <w:tcPr>
            <w:tcW w:w="434" w:type="dxa"/>
          </w:tcPr>
          <w:p>
            <w:pPr>
              <w:pStyle w:val="TableParagraph"/>
              <w:spacing w:before="139"/>
              <w:ind w:right="6"/>
              <w:jc w:val="center"/>
              <w:rPr>
                <w:sz w:val="20"/>
              </w:rPr>
            </w:pPr>
            <w:r>
              <w:rPr>
                <w:w w:val="99"/>
                <w:sz w:val="20"/>
              </w:rPr>
              <w:t>6</w:t>
            </w:r>
          </w:p>
        </w:tc>
        <w:tc>
          <w:tcPr>
            <w:tcW w:w="2578" w:type="dxa"/>
          </w:tcPr>
          <w:p>
            <w:pPr>
              <w:pStyle w:val="TableParagraph"/>
              <w:spacing w:before="58"/>
              <w:ind w:left="64" w:right="818"/>
              <w:rPr>
                <w:sz w:val="20"/>
              </w:rPr>
            </w:pPr>
            <w:r>
              <w:rPr>
                <w:sz w:val="20"/>
              </w:rPr>
              <w:t>Economía aplicada e instrumentales</w:t>
            </w:r>
          </w:p>
        </w:tc>
      </w:tr>
      <w:tr>
        <w:trPr>
          <w:trHeight w:val="536" w:hRule="exact"/>
        </w:trPr>
        <w:tc>
          <w:tcPr>
            <w:tcW w:w="434" w:type="dxa"/>
          </w:tcPr>
          <w:p>
            <w:pPr>
              <w:pStyle w:val="TableParagraph"/>
              <w:spacing w:before="3"/>
              <w:rPr>
                <w:b/>
                <w:sz w:val="25"/>
              </w:rPr>
            </w:pPr>
          </w:p>
          <w:p>
            <w:pPr>
              <w:pStyle w:val="TableParagraph"/>
              <w:ind w:right="65"/>
              <w:jc w:val="right"/>
              <w:rPr>
                <w:sz w:val="20"/>
              </w:rPr>
            </w:pPr>
            <w:r>
              <w:rPr>
                <w:w w:val="99"/>
                <w:sz w:val="20"/>
              </w:rPr>
              <w:t>5</w:t>
            </w:r>
          </w:p>
        </w:tc>
        <w:tc>
          <w:tcPr>
            <w:tcW w:w="2936" w:type="dxa"/>
          </w:tcPr>
          <w:p>
            <w:pPr>
              <w:pStyle w:val="TableParagraph"/>
              <w:spacing w:before="60"/>
              <w:ind w:left="64" w:right="121"/>
              <w:rPr>
                <w:sz w:val="20"/>
              </w:rPr>
            </w:pPr>
            <w:r>
              <w:rPr>
                <w:sz w:val="20"/>
              </w:rPr>
              <w:t>Evaluación económica y social de proyectos</w:t>
            </w:r>
          </w:p>
        </w:tc>
        <w:tc>
          <w:tcPr>
            <w:tcW w:w="408" w:type="dxa"/>
          </w:tcPr>
          <w:p>
            <w:pPr>
              <w:pStyle w:val="TableParagraph"/>
              <w:spacing w:before="142"/>
              <w:ind w:right="4"/>
              <w:jc w:val="center"/>
              <w:rPr>
                <w:sz w:val="20"/>
              </w:rPr>
            </w:pPr>
            <w:r>
              <w:rPr>
                <w:w w:val="99"/>
                <w:sz w:val="20"/>
              </w:rPr>
              <w:t>2</w:t>
            </w:r>
          </w:p>
        </w:tc>
        <w:tc>
          <w:tcPr>
            <w:tcW w:w="396" w:type="dxa"/>
          </w:tcPr>
          <w:p>
            <w:pPr>
              <w:pStyle w:val="TableParagraph"/>
              <w:spacing w:before="142"/>
              <w:ind w:right="3"/>
              <w:jc w:val="center"/>
              <w:rPr>
                <w:sz w:val="20"/>
              </w:rPr>
            </w:pPr>
            <w:r>
              <w:rPr>
                <w:w w:val="99"/>
                <w:sz w:val="20"/>
              </w:rPr>
              <w:t>0</w:t>
            </w:r>
          </w:p>
        </w:tc>
        <w:tc>
          <w:tcPr>
            <w:tcW w:w="437" w:type="dxa"/>
          </w:tcPr>
          <w:p>
            <w:pPr>
              <w:pStyle w:val="TableParagraph"/>
              <w:spacing w:before="142"/>
              <w:ind w:right="4"/>
              <w:jc w:val="center"/>
              <w:rPr>
                <w:sz w:val="20"/>
              </w:rPr>
            </w:pPr>
            <w:r>
              <w:rPr>
                <w:w w:val="99"/>
                <w:sz w:val="20"/>
              </w:rPr>
              <w:t>4</w:t>
            </w:r>
          </w:p>
        </w:tc>
        <w:tc>
          <w:tcPr>
            <w:tcW w:w="434" w:type="dxa"/>
          </w:tcPr>
          <w:p>
            <w:pPr>
              <w:pStyle w:val="TableParagraph"/>
              <w:spacing w:before="142"/>
              <w:ind w:right="6"/>
              <w:jc w:val="center"/>
              <w:rPr>
                <w:sz w:val="20"/>
              </w:rPr>
            </w:pPr>
            <w:r>
              <w:rPr>
                <w:w w:val="99"/>
                <w:sz w:val="20"/>
              </w:rPr>
              <w:t>6</w:t>
            </w:r>
          </w:p>
        </w:tc>
        <w:tc>
          <w:tcPr>
            <w:tcW w:w="2578" w:type="dxa"/>
          </w:tcPr>
          <w:p>
            <w:pPr>
              <w:pStyle w:val="TableParagraph"/>
              <w:spacing w:before="60"/>
              <w:ind w:left="64" w:right="818"/>
              <w:rPr>
                <w:sz w:val="20"/>
              </w:rPr>
            </w:pPr>
            <w:r>
              <w:rPr>
                <w:sz w:val="20"/>
              </w:rPr>
              <w:t>Economía aplicada e instrumentales</w:t>
            </w:r>
          </w:p>
        </w:tc>
      </w:tr>
      <w:tr>
        <w:trPr>
          <w:trHeight w:val="535" w:hRule="exact"/>
        </w:trPr>
        <w:tc>
          <w:tcPr>
            <w:tcW w:w="434" w:type="dxa"/>
          </w:tcPr>
          <w:p>
            <w:pPr>
              <w:pStyle w:val="TableParagraph"/>
              <w:spacing w:before="1"/>
              <w:rPr>
                <w:b/>
                <w:sz w:val="25"/>
              </w:rPr>
            </w:pPr>
          </w:p>
          <w:p>
            <w:pPr>
              <w:pStyle w:val="TableParagraph"/>
              <w:ind w:right="65"/>
              <w:jc w:val="right"/>
              <w:rPr>
                <w:sz w:val="20"/>
              </w:rPr>
            </w:pPr>
            <w:r>
              <w:rPr>
                <w:w w:val="99"/>
                <w:sz w:val="20"/>
              </w:rPr>
              <w:t>6</w:t>
            </w:r>
          </w:p>
        </w:tc>
        <w:tc>
          <w:tcPr>
            <w:tcW w:w="2936" w:type="dxa"/>
          </w:tcPr>
          <w:p>
            <w:pPr>
              <w:pStyle w:val="TableParagraph"/>
              <w:spacing w:before="1"/>
              <w:rPr>
                <w:b/>
                <w:sz w:val="25"/>
              </w:rPr>
            </w:pPr>
          </w:p>
          <w:p>
            <w:pPr>
              <w:pStyle w:val="TableParagraph"/>
              <w:ind w:left="64"/>
              <w:rPr>
                <w:sz w:val="20"/>
              </w:rPr>
            </w:pPr>
            <w:r>
              <w:rPr>
                <w:sz w:val="20"/>
              </w:rPr>
              <w:t>Demografía</w:t>
            </w:r>
          </w:p>
        </w:tc>
        <w:tc>
          <w:tcPr>
            <w:tcW w:w="408" w:type="dxa"/>
          </w:tcPr>
          <w:p>
            <w:pPr>
              <w:pStyle w:val="TableParagraph"/>
              <w:spacing w:before="142"/>
              <w:ind w:right="4"/>
              <w:jc w:val="center"/>
              <w:rPr>
                <w:sz w:val="20"/>
              </w:rPr>
            </w:pPr>
            <w:r>
              <w:rPr>
                <w:w w:val="99"/>
                <w:sz w:val="20"/>
              </w:rPr>
              <w:t>2</w:t>
            </w:r>
          </w:p>
        </w:tc>
        <w:tc>
          <w:tcPr>
            <w:tcW w:w="396" w:type="dxa"/>
          </w:tcPr>
          <w:p>
            <w:pPr>
              <w:pStyle w:val="TableParagraph"/>
              <w:spacing w:before="142"/>
              <w:ind w:right="3"/>
              <w:jc w:val="center"/>
              <w:rPr>
                <w:sz w:val="20"/>
              </w:rPr>
            </w:pPr>
            <w:r>
              <w:rPr>
                <w:w w:val="99"/>
                <w:sz w:val="20"/>
              </w:rPr>
              <w:t>2</w:t>
            </w:r>
          </w:p>
        </w:tc>
        <w:tc>
          <w:tcPr>
            <w:tcW w:w="437" w:type="dxa"/>
          </w:tcPr>
          <w:p>
            <w:pPr>
              <w:pStyle w:val="TableParagraph"/>
              <w:spacing w:before="142"/>
              <w:ind w:right="4"/>
              <w:jc w:val="center"/>
              <w:rPr>
                <w:sz w:val="20"/>
              </w:rPr>
            </w:pPr>
            <w:r>
              <w:rPr>
                <w:w w:val="99"/>
                <w:sz w:val="20"/>
              </w:rPr>
              <w:t>4</w:t>
            </w:r>
          </w:p>
        </w:tc>
        <w:tc>
          <w:tcPr>
            <w:tcW w:w="434" w:type="dxa"/>
          </w:tcPr>
          <w:p>
            <w:pPr>
              <w:pStyle w:val="TableParagraph"/>
              <w:spacing w:before="142"/>
              <w:ind w:right="6"/>
              <w:jc w:val="center"/>
              <w:rPr>
                <w:sz w:val="20"/>
              </w:rPr>
            </w:pPr>
            <w:r>
              <w:rPr>
                <w:w w:val="99"/>
                <w:sz w:val="20"/>
              </w:rPr>
              <w:t>6</w:t>
            </w:r>
          </w:p>
        </w:tc>
        <w:tc>
          <w:tcPr>
            <w:tcW w:w="2578" w:type="dxa"/>
          </w:tcPr>
          <w:p>
            <w:pPr>
              <w:pStyle w:val="TableParagraph"/>
              <w:spacing w:before="60"/>
              <w:ind w:left="64" w:right="818"/>
              <w:rPr>
                <w:sz w:val="20"/>
              </w:rPr>
            </w:pPr>
            <w:r>
              <w:rPr>
                <w:sz w:val="20"/>
              </w:rPr>
              <w:t>Economía aplicada e instrumentales</w:t>
            </w:r>
          </w:p>
        </w:tc>
      </w:tr>
      <w:tr>
        <w:trPr>
          <w:trHeight w:val="535" w:hRule="exact"/>
        </w:trPr>
        <w:tc>
          <w:tcPr>
            <w:tcW w:w="434" w:type="dxa"/>
          </w:tcPr>
          <w:p>
            <w:pPr>
              <w:pStyle w:val="TableParagraph"/>
              <w:spacing w:before="1"/>
              <w:rPr>
                <w:b/>
                <w:sz w:val="25"/>
              </w:rPr>
            </w:pPr>
          </w:p>
          <w:p>
            <w:pPr>
              <w:pStyle w:val="TableParagraph"/>
              <w:ind w:right="65"/>
              <w:jc w:val="right"/>
              <w:rPr>
                <w:sz w:val="20"/>
              </w:rPr>
            </w:pPr>
            <w:r>
              <w:rPr>
                <w:w w:val="99"/>
                <w:sz w:val="20"/>
              </w:rPr>
              <w:t>7</w:t>
            </w:r>
          </w:p>
        </w:tc>
        <w:tc>
          <w:tcPr>
            <w:tcW w:w="2936" w:type="dxa"/>
          </w:tcPr>
          <w:p>
            <w:pPr>
              <w:pStyle w:val="TableParagraph"/>
              <w:spacing w:before="1"/>
              <w:rPr>
                <w:b/>
                <w:sz w:val="25"/>
              </w:rPr>
            </w:pPr>
          </w:p>
          <w:p>
            <w:pPr>
              <w:pStyle w:val="TableParagraph"/>
              <w:ind w:left="64"/>
              <w:rPr>
                <w:sz w:val="20"/>
              </w:rPr>
            </w:pPr>
            <w:r>
              <w:rPr>
                <w:sz w:val="20"/>
              </w:rPr>
              <w:t>Taller de investigación</w:t>
            </w:r>
          </w:p>
        </w:tc>
        <w:tc>
          <w:tcPr>
            <w:tcW w:w="408" w:type="dxa"/>
          </w:tcPr>
          <w:p>
            <w:pPr>
              <w:pStyle w:val="TableParagraph"/>
              <w:spacing w:before="142"/>
              <w:ind w:right="4"/>
              <w:jc w:val="center"/>
              <w:rPr>
                <w:sz w:val="20"/>
              </w:rPr>
            </w:pPr>
            <w:r>
              <w:rPr>
                <w:w w:val="99"/>
                <w:sz w:val="20"/>
              </w:rPr>
              <w:t>0</w:t>
            </w:r>
          </w:p>
        </w:tc>
        <w:tc>
          <w:tcPr>
            <w:tcW w:w="396" w:type="dxa"/>
          </w:tcPr>
          <w:p>
            <w:pPr>
              <w:pStyle w:val="TableParagraph"/>
              <w:spacing w:before="142"/>
              <w:ind w:right="3"/>
              <w:jc w:val="center"/>
              <w:rPr>
                <w:sz w:val="20"/>
              </w:rPr>
            </w:pPr>
            <w:r>
              <w:rPr>
                <w:w w:val="99"/>
                <w:sz w:val="20"/>
              </w:rPr>
              <w:t>4</w:t>
            </w:r>
          </w:p>
        </w:tc>
        <w:tc>
          <w:tcPr>
            <w:tcW w:w="437" w:type="dxa"/>
          </w:tcPr>
          <w:p>
            <w:pPr>
              <w:pStyle w:val="TableParagraph"/>
              <w:spacing w:before="142"/>
              <w:ind w:right="4"/>
              <w:jc w:val="center"/>
              <w:rPr>
                <w:sz w:val="20"/>
              </w:rPr>
            </w:pPr>
            <w:r>
              <w:rPr>
                <w:w w:val="99"/>
                <w:sz w:val="20"/>
              </w:rPr>
              <w:t>4</w:t>
            </w:r>
          </w:p>
        </w:tc>
        <w:tc>
          <w:tcPr>
            <w:tcW w:w="434" w:type="dxa"/>
          </w:tcPr>
          <w:p>
            <w:pPr>
              <w:pStyle w:val="TableParagraph"/>
              <w:spacing w:before="142"/>
              <w:ind w:right="6"/>
              <w:jc w:val="center"/>
              <w:rPr>
                <w:sz w:val="20"/>
              </w:rPr>
            </w:pPr>
            <w:r>
              <w:rPr>
                <w:w w:val="99"/>
                <w:sz w:val="20"/>
              </w:rPr>
              <w:t>4</w:t>
            </w:r>
          </w:p>
        </w:tc>
        <w:tc>
          <w:tcPr>
            <w:tcW w:w="2578" w:type="dxa"/>
          </w:tcPr>
          <w:p>
            <w:pPr>
              <w:pStyle w:val="TableParagraph"/>
              <w:spacing w:before="60"/>
              <w:ind w:left="64" w:right="818"/>
              <w:rPr>
                <w:sz w:val="20"/>
              </w:rPr>
            </w:pPr>
            <w:r>
              <w:rPr>
                <w:sz w:val="20"/>
              </w:rPr>
              <w:t>Economía aplicada e instrumentales</w:t>
            </w:r>
          </w:p>
        </w:tc>
      </w:tr>
      <w:tr>
        <w:trPr>
          <w:trHeight w:val="535" w:hRule="exact"/>
        </w:trPr>
        <w:tc>
          <w:tcPr>
            <w:tcW w:w="434" w:type="dxa"/>
          </w:tcPr>
          <w:p>
            <w:pPr>
              <w:pStyle w:val="TableParagraph"/>
              <w:spacing w:before="1"/>
              <w:rPr>
                <w:b/>
                <w:sz w:val="25"/>
              </w:rPr>
            </w:pPr>
          </w:p>
          <w:p>
            <w:pPr>
              <w:pStyle w:val="TableParagraph"/>
              <w:ind w:right="65"/>
              <w:jc w:val="right"/>
              <w:rPr>
                <w:sz w:val="20"/>
              </w:rPr>
            </w:pPr>
            <w:r>
              <w:rPr>
                <w:w w:val="99"/>
                <w:sz w:val="20"/>
              </w:rPr>
              <w:t>8</w:t>
            </w:r>
          </w:p>
        </w:tc>
        <w:tc>
          <w:tcPr>
            <w:tcW w:w="2936" w:type="dxa"/>
          </w:tcPr>
          <w:p>
            <w:pPr>
              <w:pStyle w:val="TableParagraph"/>
              <w:spacing w:before="1"/>
              <w:rPr>
                <w:b/>
                <w:sz w:val="25"/>
              </w:rPr>
            </w:pPr>
          </w:p>
          <w:p>
            <w:pPr>
              <w:pStyle w:val="TableParagraph"/>
              <w:ind w:left="64"/>
              <w:rPr>
                <w:sz w:val="20"/>
              </w:rPr>
            </w:pPr>
            <w:r>
              <w:rPr>
                <w:sz w:val="20"/>
              </w:rPr>
              <w:t>Finanzas internacionales</w:t>
            </w:r>
          </w:p>
        </w:tc>
        <w:tc>
          <w:tcPr>
            <w:tcW w:w="408" w:type="dxa"/>
          </w:tcPr>
          <w:p>
            <w:pPr>
              <w:pStyle w:val="TableParagraph"/>
              <w:spacing w:before="142"/>
              <w:ind w:right="4"/>
              <w:jc w:val="center"/>
              <w:rPr>
                <w:sz w:val="20"/>
              </w:rPr>
            </w:pPr>
            <w:r>
              <w:rPr>
                <w:w w:val="99"/>
                <w:sz w:val="20"/>
              </w:rPr>
              <w:t>2</w:t>
            </w:r>
          </w:p>
        </w:tc>
        <w:tc>
          <w:tcPr>
            <w:tcW w:w="396" w:type="dxa"/>
          </w:tcPr>
          <w:p>
            <w:pPr>
              <w:pStyle w:val="TableParagraph"/>
              <w:spacing w:before="142"/>
              <w:ind w:right="3"/>
              <w:jc w:val="center"/>
              <w:rPr>
                <w:sz w:val="20"/>
              </w:rPr>
            </w:pPr>
            <w:r>
              <w:rPr>
                <w:w w:val="99"/>
                <w:sz w:val="20"/>
              </w:rPr>
              <w:t>2</w:t>
            </w:r>
          </w:p>
        </w:tc>
        <w:tc>
          <w:tcPr>
            <w:tcW w:w="437" w:type="dxa"/>
          </w:tcPr>
          <w:p>
            <w:pPr>
              <w:pStyle w:val="TableParagraph"/>
              <w:spacing w:before="142"/>
              <w:ind w:right="4"/>
              <w:jc w:val="center"/>
              <w:rPr>
                <w:sz w:val="20"/>
              </w:rPr>
            </w:pPr>
            <w:r>
              <w:rPr>
                <w:w w:val="99"/>
                <w:sz w:val="20"/>
              </w:rPr>
              <w:t>4</w:t>
            </w:r>
          </w:p>
        </w:tc>
        <w:tc>
          <w:tcPr>
            <w:tcW w:w="434" w:type="dxa"/>
          </w:tcPr>
          <w:p>
            <w:pPr>
              <w:pStyle w:val="TableParagraph"/>
              <w:spacing w:before="142"/>
              <w:ind w:right="6"/>
              <w:jc w:val="center"/>
              <w:rPr>
                <w:sz w:val="20"/>
              </w:rPr>
            </w:pPr>
            <w:r>
              <w:rPr>
                <w:w w:val="99"/>
                <w:sz w:val="20"/>
              </w:rPr>
              <w:t>6</w:t>
            </w:r>
          </w:p>
        </w:tc>
        <w:tc>
          <w:tcPr>
            <w:tcW w:w="2578" w:type="dxa"/>
          </w:tcPr>
          <w:p>
            <w:pPr>
              <w:pStyle w:val="TableParagraph"/>
              <w:spacing w:before="60"/>
              <w:ind w:left="64" w:right="818"/>
              <w:rPr>
                <w:sz w:val="20"/>
              </w:rPr>
            </w:pPr>
            <w:r>
              <w:rPr>
                <w:sz w:val="20"/>
              </w:rPr>
              <w:t>Economía aplicada e instrumentales</w:t>
            </w:r>
          </w:p>
        </w:tc>
      </w:tr>
      <w:tr>
        <w:trPr>
          <w:trHeight w:val="535" w:hRule="exact"/>
        </w:trPr>
        <w:tc>
          <w:tcPr>
            <w:tcW w:w="434" w:type="dxa"/>
          </w:tcPr>
          <w:p>
            <w:pPr>
              <w:pStyle w:val="TableParagraph"/>
              <w:spacing w:before="1"/>
              <w:rPr>
                <w:b/>
                <w:sz w:val="25"/>
              </w:rPr>
            </w:pPr>
          </w:p>
          <w:p>
            <w:pPr>
              <w:pStyle w:val="TableParagraph"/>
              <w:ind w:right="65"/>
              <w:jc w:val="right"/>
              <w:rPr>
                <w:sz w:val="20"/>
              </w:rPr>
            </w:pPr>
            <w:r>
              <w:rPr>
                <w:w w:val="99"/>
                <w:sz w:val="20"/>
              </w:rPr>
              <w:t>9</w:t>
            </w:r>
          </w:p>
        </w:tc>
        <w:tc>
          <w:tcPr>
            <w:tcW w:w="2936" w:type="dxa"/>
          </w:tcPr>
          <w:p>
            <w:pPr>
              <w:pStyle w:val="TableParagraph"/>
              <w:spacing w:before="58"/>
              <w:ind w:left="64"/>
              <w:rPr>
                <w:sz w:val="20"/>
              </w:rPr>
            </w:pPr>
            <w:r>
              <w:rPr>
                <w:sz w:val="20"/>
              </w:rPr>
              <w:t>Pronósticos y prospectiva económica</w:t>
            </w:r>
          </w:p>
        </w:tc>
        <w:tc>
          <w:tcPr>
            <w:tcW w:w="408" w:type="dxa"/>
          </w:tcPr>
          <w:p>
            <w:pPr>
              <w:pStyle w:val="TableParagraph"/>
              <w:spacing w:before="142"/>
              <w:ind w:right="4"/>
              <w:jc w:val="center"/>
              <w:rPr>
                <w:sz w:val="20"/>
              </w:rPr>
            </w:pPr>
            <w:r>
              <w:rPr>
                <w:w w:val="99"/>
                <w:sz w:val="20"/>
              </w:rPr>
              <w:t>2</w:t>
            </w:r>
          </w:p>
        </w:tc>
        <w:tc>
          <w:tcPr>
            <w:tcW w:w="396" w:type="dxa"/>
          </w:tcPr>
          <w:p>
            <w:pPr>
              <w:pStyle w:val="TableParagraph"/>
              <w:spacing w:before="142"/>
              <w:ind w:right="3"/>
              <w:jc w:val="center"/>
              <w:rPr>
                <w:sz w:val="20"/>
              </w:rPr>
            </w:pPr>
            <w:r>
              <w:rPr>
                <w:w w:val="99"/>
                <w:sz w:val="20"/>
              </w:rPr>
              <w:t>2</w:t>
            </w:r>
          </w:p>
        </w:tc>
        <w:tc>
          <w:tcPr>
            <w:tcW w:w="437" w:type="dxa"/>
          </w:tcPr>
          <w:p>
            <w:pPr>
              <w:pStyle w:val="TableParagraph"/>
              <w:spacing w:before="142"/>
              <w:ind w:right="4"/>
              <w:jc w:val="center"/>
              <w:rPr>
                <w:sz w:val="20"/>
              </w:rPr>
            </w:pPr>
            <w:r>
              <w:rPr>
                <w:w w:val="99"/>
                <w:sz w:val="20"/>
              </w:rPr>
              <w:t>4</w:t>
            </w:r>
          </w:p>
        </w:tc>
        <w:tc>
          <w:tcPr>
            <w:tcW w:w="434" w:type="dxa"/>
          </w:tcPr>
          <w:p>
            <w:pPr>
              <w:pStyle w:val="TableParagraph"/>
              <w:spacing w:before="142"/>
              <w:ind w:right="6"/>
              <w:jc w:val="center"/>
              <w:rPr>
                <w:sz w:val="20"/>
              </w:rPr>
            </w:pPr>
            <w:r>
              <w:rPr>
                <w:w w:val="99"/>
                <w:sz w:val="20"/>
              </w:rPr>
              <w:t>6</w:t>
            </w:r>
          </w:p>
        </w:tc>
        <w:tc>
          <w:tcPr>
            <w:tcW w:w="2578" w:type="dxa"/>
          </w:tcPr>
          <w:p>
            <w:pPr>
              <w:pStyle w:val="TableParagraph"/>
              <w:spacing w:before="58"/>
              <w:ind w:left="64" w:right="818"/>
              <w:rPr>
                <w:sz w:val="20"/>
              </w:rPr>
            </w:pPr>
            <w:r>
              <w:rPr>
                <w:sz w:val="20"/>
              </w:rPr>
              <w:t>Economía aplicada e instrumentales</w:t>
            </w:r>
          </w:p>
        </w:tc>
      </w:tr>
      <w:tr>
        <w:trPr>
          <w:trHeight w:val="310" w:hRule="exact"/>
        </w:trPr>
        <w:tc>
          <w:tcPr>
            <w:tcW w:w="3370" w:type="dxa"/>
            <w:gridSpan w:val="2"/>
          </w:tcPr>
          <w:p>
            <w:pPr>
              <w:pStyle w:val="TableParagraph"/>
              <w:spacing w:before="63"/>
              <w:ind w:right="65"/>
              <w:jc w:val="right"/>
              <w:rPr>
                <w:sz w:val="20"/>
              </w:rPr>
            </w:pPr>
            <w:r>
              <w:rPr>
                <w:sz w:val="20"/>
              </w:rPr>
              <w:t>Subtotales</w:t>
            </w:r>
          </w:p>
        </w:tc>
        <w:tc>
          <w:tcPr>
            <w:tcW w:w="408" w:type="dxa"/>
          </w:tcPr>
          <w:p>
            <w:pPr>
              <w:pStyle w:val="TableParagraph"/>
              <w:spacing w:before="63"/>
              <w:ind w:left="111" w:right="44"/>
              <w:jc w:val="center"/>
              <w:rPr>
                <w:sz w:val="20"/>
              </w:rPr>
            </w:pPr>
            <w:r>
              <w:rPr>
                <w:sz w:val="20"/>
              </w:rPr>
              <w:t>20</w:t>
            </w:r>
          </w:p>
        </w:tc>
        <w:tc>
          <w:tcPr>
            <w:tcW w:w="396" w:type="dxa"/>
          </w:tcPr>
          <w:p>
            <w:pPr>
              <w:pStyle w:val="TableParagraph"/>
              <w:spacing w:before="63"/>
              <w:ind w:left="102" w:right="43"/>
              <w:jc w:val="center"/>
              <w:rPr>
                <w:sz w:val="20"/>
              </w:rPr>
            </w:pPr>
            <w:r>
              <w:rPr>
                <w:sz w:val="20"/>
              </w:rPr>
              <w:t>14</w:t>
            </w:r>
          </w:p>
        </w:tc>
        <w:tc>
          <w:tcPr>
            <w:tcW w:w="437" w:type="dxa"/>
          </w:tcPr>
          <w:p>
            <w:pPr>
              <w:pStyle w:val="TableParagraph"/>
              <w:spacing w:before="63"/>
              <w:ind w:left="160"/>
              <w:rPr>
                <w:sz w:val="20"/>
              </w:rPr>
            </w:pPr>
            <w:r>
              <w:rPr>
                <w:sz w:val="20"/>
              </w:rPr>
              <w:t>38</w:t>
            </w:r>
          </w:p>
        </w:tc>
        <w:tc>
          <w:tcPr>
            <w:tcW w:w="434" w:type="dxa"/>
          </w:tcPr>
          <w:p>
            <w:pPr>
              <w:pStyle w:val="TableParagraph"/>
              <w:spacing w:before="63"/>
              <w:ind w:right="62"/>
              <w:jc w:val="right"/>
              <w:rPr>
                <w:sz w:val="20"/>
              </w:rPr>
            </w:pPr>
            <w:r>
              <w:rPr>
                <w:sz w:val="20"/>
              </w:rPr>
              <w:t>58</w:t>
            </w:r>
          </w:p>
        </w:tc>
        <w:tc>
          <w:tcPr>
            <w:tcW w:w="2578" w:type="dxa"/>
          </w:tcPr>
          <w:p>
            <w:pPr/>
          </w:p>
        </w:tc>
      </w:tr>
    </w:tbl>
    <w:p>
      <w:pPr>
        <w:spacing w:after="0"/>
        <w:sectPr>
          <w:pgSz w:w="12240" w:h="15840"/>
          <w:pgMar w:header="0" w:footer="943" w:top="1360" w:bottom="1200" w:left="1720" w:right="1580"/>
        </w:sectPr>
      </w:pPr>
    </w:p>
    <w:p>
      <w:pPr>
        <w:spacing w:before="46"/>
        <w:ind w:left="632" w:right="0" w:firstLine="0"/>
        <w:jc w:val="left"/>
        <w:rPr>
          <w:b/>
          <w:sz w:val="20"/>
        </w:rPr>
      </w:pPr>
      <w:r>
        <w:rPr>
          <w:b/>
          <w:sz w:val="20"/>
        </w:rPr>
        <w:t>Optativas</w:t>
      </w:r>
    </w:p>
    <w:p>
      <w:pPr>
        <w:spacing w:before="65" w:after="5"/>
        <w:ind w:left="632" w:right="0" w:firstLine="0"/>
        <w:jc w:val="left"/>
        <w:rPr>
          <w:sz w:val="20"/>
        </w:rPr>
      </w:pPr>
      <w:r>
        <w:rPr>
          <w:sz w:val="20"/>
        </w:rPr>
        <w:t>Bloque "C": Acreditar 1 de 4 UA para cubrir 6 créditos</w:t>
      </w:r>
    </w:p>
    <w:tbl>
      <w:tblPr>
        <w:tblW w:w="0" w:type="auto"/>
        <w:jc w:val="left"/>
        <w:tblInd w:w="5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4"/>
        <w:gridCol w:w="2991"/>
        <w:gridCol w:w="408"/>
        <w:gridCol w:w="396"/>
        <w:gridCol w:w="434"/>
        <w:gridCol w:w="437"/>
        <w:gridCol w:w="2576"/>
      </w:tblGrid>
      <w:tr>
        <w:trPr>
          <w:trHeight w:val="312" w:hRule="exact"/>
        </w:trPr>
        <w:tc>
          <w:tcPr>
            <w:tcW w:w="434" w:type="dxa"/>
          </w:tcPr>
          <w:p>
            <w:pPr>
              <w:pStyle w:val="TableParagraph"/>
              <w:spacing w:before="65"/>
              <w:ind w:right="63"/>
              <w:jc w:val="right"/>
              <w:rPr>
                <w:sz w:val="20"/>
              </w:rPr>
            </w:pPr>
            <w:r>
              <w:rPr>
                <w:w w:val="95"/>
                <w:sz w:val="20"/>
              </w:rPr>
              <w:t>No.</w:t>
            </w:r>
          </w:p>
        </w:tc>
        <w:tc>
          <w:tcPr>
            <w:tcW w:w="2991" w:type="dxa"/>
          </w:tcPr>
          <w:p>
            <w:pPr>
              <w:pStyle w:val="TableParagraph"/>
              <w:spacing w:before="65"/>
              <w:ind w:left="64" w:right="15"/>
              <w:rPr>
                <w:sz w:val="20"/>
              </w:rPr>
            </w:pPr>
            <w:r>
              <w:rPr>
                <w:sz w:val="20"/>
              </w:rPr>
              <w:t>Unidad de aprendizaje (UA)</w:t>
            </w:r>
          </w:p>
        </w:tc>
        <w:tc>
          <w:tcPr>
            <w:tcW w:w="408" w:type="dxa"/>
          </w:tcPr>
          <w:p>
            <w:pPr>
              <w:pStyle w:val="TableParagraph"/>
              <w:spacing w:before="65"/>
              <w:ind w:right="65"/>
              <w:jc w:val="right"/>
              <w:rPr>
                <w:sz w:val="20"/>
              </w:rPr>
            </w:pPr>
            <w:r>
              <w:rPr>
                <w:w w:val="95"/>
                <w:sz w:val="20"/>
              </w:rPr>
              <w:t>HT</w:t>
            </w:r>
          </w:p>
        </w:tc>
        <w:tc>
          <w:tcPr>
            <w:tcW w:w="396" w:type="dxa"/>
          </w:tcPr>
          <w:p>
            <w:pPr>
              <w:pStyle w:val="TableParagraph"/>
              <w:spacing w:before="65"/>
              <w:ind w:right="65"/>
              <w:jc w:val="right"/>
              <w:rPr>
                <w:sz w:val="20"/>
              </w:rPr>
            </w:pPr>
            <w:r>
              <w:rPr>
                <w:w w:val="95"/>
                <w:sz w:val="20"/>
              </w:rPr>
              <w:t>HP</w:t>
            </w:r>
          </w:p>
        </w:tc>
        <w:tc>
          <w:tcPr>
            <w:tcW w:w="434" w:type="dxa"/>
          </w:tcPr>
          <w:p>
            <w:pPr>
              <w:pStyle w:val="TableParagraph"/>
              <w:spacing w:before="65"/>
              <w:ind w:right="86"/>
              <w:jc w:val="right"/>
              <w:rPr>
                <w:sz w:val="20"/>
              </w:rPr>
            </w:pPr>
            <w:r>
              <w:rPr>
                <w:sz w:val="20"/>
              </w:rPr>
              <w:t>TH</w:t>
            </w:r>
          </w:p>
        </w:tc>
        <w:tc>
          <w:tcPr>
            <w:tcW w:w="437" w:type="dxa"/>
          </w:tcPr>
          <w:p>
            <w:pPr>
              <w:pStyle w:val="TableParagraph"/>
              <w:spacing w:before="65"/>
              <w:ind w:right="96"/>
              <w:jc w:val="right"/>
              <w:rPr>
                <w:sz w:val="20"/>
              </w:rPr>
            </w:pPr>
            <w:r>
              <w:rPr>
                <w:sz w:val="20"/>
              </w:rPr>
              <w:t>CR</w:t>
            </w:r>
          </w:p>
        </w:tc>
        <w:tc>
          <w:tcPr>
            <w:tcW w:w="2576" w:type="dxa"/>
          </w:tcPr>
          <w:p>
            <w:pPr>
              <w:pStyle w:val="TableParagraph"/>
              <w:spacing w:before="65"/>
              <w:ind w:left="64" w:right="816"/>
              <w:rPr>
                <w:sz w:val="20"/>
              </w:rPr>
            </w:pPr>
            <w:r>
              <w:rPr>
                <w:sz w:val="20"/>
              </w:rPr>
              <w:t>Área curricular</w:t>
            </w:r>
          </w:p>
        </w:tc>
      </w:tr>
      <w:tr>
        <w:trPr>
          <w:trHeight w:val="535" w:hRule="exact"/>
        </w:trPr>
        <w:tc>
          <w:tcPr>
            <w:tcW w:w="434" w:type="dxa"/>
          </w:tcPr>
          <w:p>
            <w:pPr>
              <w:pStyle w:val="TableParagraph"/>
              <w:spacing w:before="1"/>
              <w:rPr>
                <w:sz w:val="25"/>
              </w:rPr>
            </w:pPr>
          </w:p>
          <w:p>
            <w:pPr>
              <w:pStyle w:val="TableParagraph"/>
              <w:ind w:right="65"/>
              <w:jc w:val="right"/>
              <w:rPr>
                <w:sz w:val="20"/>
              </w:rPr>
            </w:pPr>
            <w:r>
              <w:rPr>
                <w:w w:val="99"/>
                <w:sz w:val="20"/>
              </w:rPr>
              <w:t>1</w:t>
            </w:r>
          </w:p>
        </w:tc>
        <w:tc>
          <w:tcPr>
            <w:tcW w:w="2991" w:type="dxa"/>
          </w:tcPr>
          <w:p>
            <w:pPr>
              <w:pStyle w:val="TableParagraph"/>
              <w:spacing w:before="1"/>
              <w:rPr>
                <w:sz w:val="25"/>
              </w:rPr>
            </w:pPr>
          </w:p>
          <w:p>
            <w:pPr>
              <w:pStyle w:val="TableParagraph"/>
              <w:ind w:left="64" w:right="15"/>
              <w:rPr>
                <w:sz w:val="20"/>
              </w:rPr>
            </w:pPr>
            <w:r>
              <w:rPr>
                <w:sz w:val="20"/>
              </w:rPr>
              <w:t>Administración</w:t>
            </w:r>
          </w:p>
        </w:tc>
        <w:tc>
          <w:tcPr>
            <w:tcW w:w="408" w:type="dxa"/>
          </w:tcPr>
          <w:p>
            <w:pPr>
              <w:pStyle w:val="TableParagraph"/>
              <w:spacing w:before="1"/>
              <w:rPr>
                <w:sz w:val="25"/>
              </w:rPr>
            </w:pPr>
          </w:p>
          <w:p>
            <w:pPr>
              <w:pStyle w:val="TableParagraph"/>
              <w:ind w:right="66"/>
              <w:jc w:val="right"/>
              <w:rPr>
                <w:sz w:val="20"/>
              </w:rPr>
            </w:pPr>
            <w:r>
              <w:rPr>
                <w:w w:val="99"/>
                <w:sz w:val="20"/>
              </w:rPr>
              <w:t>2</w:t>
            </w:r>
          </w:p>
        </w:tc>
        <w:tc>
          <w:tcPr>
            <w:tcW w:w="396" w:type="dxa"/>
          </w:tcPr>
          <w:p>
            <w:pPr>
              <w:pStyle w:val="TableParagraph"/>
              <w:spacing w:before="1"/>
              <w:rPr>
                <w:sz w:val="25"/>
              </w:rPr>
            </w:pPr>
          </w:p>
          <w:p>
            <w:pPr>
              <w:pStyle w:val="TableParagraph"/>
              <w:ind w:right="64"/>
              <w:jc w:val="right"/>
              <w:rPr>
                <w:sz w:val="20"/>
              </w:rPr>
            </w:pPr>
            <w:r>
              <w:rPr>
                <w:w w:val="99"/>
                <w:sz w:val="20"/>
              </w:rPr>
              <w:t>2</w:t>
            </w:r>
          </w:p>
        </w:tc>
        <w:tc>
          <w:tcPr>
            <w:tcW w:w="434" w:type="dxa"/>
          </w:tcPr>
          <w:p>
            <w:pPr>
              <w:pStyle w:val="TableParagraph"/>
              <w:spacing w:before="1"/>
              <w:rPr>
                <w:sz w:val="25"/>
              </w:rPr>
            </w:pPr>
          </w:p>
          <w:p>
            <w:pPr>
              <w:pStyle w:val="TableParagraph"/>
              <w:ind w:right="65"/>
              <w:jc w:val="right"/>
              <w:rPr>
                <w:sz w:val="20"/>
              </w:rPr>
            </w:pPr>
            <w:r>
              <w:rPr>
                <w:w w:val="99"/>
                <w:sz w:val="20"/>
              </w:rPr>
              <w:t>4</w:t>
            </w:r>
          </w:p>
        </w:tc>
        <w:tc>
          <w:tcPr>
            <w:tcW w:w="437" w:type="dxa"/>
          </w:tcPr>
          <w:p>
            <w:pPr>
              <w:pStyle w:val="TableParagraph"/>
              <w:spacing w:before="1"/>
              <w:rPr>
                <w:sz w:val="25"/>
              </w:rPr>
            </w:pPr>
          </w:p>
          <w:p>
            <w:pPr>
              <w:pStyle w:val="TableParagraph"/>
              <w:ind w:right="66"/>
              <w:jc w:val="right"/>
              <w:rPr>
                <w:sz w:val="20"/>
              </w:rPr>
            </w:pPr>
            <w:r>
              <w:rPr>
                <w:w w:val="99"/>
                <w:sz w:val="20"/>
              </w:rPr>
              <w:t>6</w:t>
            </w:r>
          </w:p>
        </w:tc>
        <w:tc>
          <w:tcPr>
            <w:tcW w:w="2576" w:type="dxa"/>
          </w:tcPr>
          <w:p>
            <w:pPr>
              <w:pStyle w:val="TableParagraph"/>
              <w:spacing w:before="58"/>
              <w:ind w:left="64" w:right="816"/>
              <w:rPr>
                <w:sz w:val="20"/>
              </w:rPr>
            </w:pPr>
            <w:r>
              <w:rPr>
                <w:sz w:val="20"/>
              </w:rPr>
              <w:t>Economía aplicada e instrumentales</w:t>
            </w:r>
          </w:p>
        </w:tc>
      </w:tr>
      <w:tr>
        <w:trPr>
          <w:trHeight w:val="533" w:hRule="exact"/>
        </w:trPr>
        <w:tc>
          <w:tcPr>
            <w:tcW w:w="434" w:type="dxa"/>
          </w:tcPr>
          <w:p>
            <w:pPr>
              <w:pStyle w:val="TableParagraph"/>
              <w:spacing w:before="1"/>
              <w:rPr>
                <w:sz w:val="25"/>
              </w:rPr>
            </w:pPr>
          </w:p>
          <w:p>
            <w:pPr>
              <w:pStyle w:val="TableParagraph"/>
              <w:ind w:right="65"/>
              <w:jc w:val="right"/>
              <w:rPr>
                <w:sz w:val="20"/>
              </w:rPr>
            </w:pPr>
            <w:r>
              <w:rPr>
                <w:w w:val="99"/>
                <w:sz w:val="20"/>
              </w:rPr>
              <w:t>2</w:t>
            </w:r>
          </w:p>
        </w:tc>
        <w:tc>
          <w:tcPr>
            <w:tcW w:w="2991" w:type="dxa"/>
          </w:tcPr>
          <w:p>
            <w:pPr>
              <w:pStyle w:val="TableParagraph"/>
              <w:spacing w:before="58"/>
              <w:ind w:left="64" w:right="15"/>
              <w:rPr>
                <w:sz w:val="20"/>
              </w:rPr>
            </w:pPr>
            <w:r>
              <w:rPr>
                <w:sz w:val="20"/>
              </w:rPr>
              <w:t>Administración de recursos humanos</w:t>
            </w:r>
          </w:p>
        </w:tc>
        <w:tc>
          <w:tcPr>
            <w:tcW w:w="408" w:type="dxa"/>
          </w:tcPr>
          <w:p>
            <w:pPr>
              <w:pStyle w:val="TableParagraph"/>
              <w:spacing w:before="1"/>
              <w:rPr>
                <w:sz w:val="25"/>
              </w:rPr>
            </w:pPr>
          </w:p>
          <w:p>
            <w:pPr>
              <w:pStyle w:val="TableParagraph"/>
              <w:ind w:right="66"/>
              <w:jc w:val="right"/>
              <w:rPr>
                <w:sz w:val="20"/>
              </w:rPr>
            </w:pPr>
            <w:r>
              <w:rPr>
                <w:w w:val="99"/>
                <w:sz w:val="20"/>
              </w:rPr>
              <w:t>2</w:t>
            </w:r>
          </w:p>
        </w:tc>
        <w:tc>
          <w:tcPr>
            <w:tcW w:w="396" w:type="dxa"/>
          </w:tcPr>
          <w:p>
            <w:pPr>
              <w:pStyle w:val="TableParagraph"/>
              <w:spacing w:before="1"/>
              <w:rPr>
                <w:sz w:val="25"/>
              </w:rPr>
            </w:pPr>
          </w:p>
          <w:p>
            <w:pPr>
              <w:pStyle w:val="TableParagraph"/>
              <w:ind w:right="64"/>
              <w:jc w:val="right"/>
              <w:rPr>
                <w:sz w:val="20"/>
              </w:rPr>
            </w:pPr>
            <w:r>
              <w:rPr>
                <w:w w:val="99"/>
                <w:sz w:val="20"/>
              </w:rPr>
              <w:t>2</w:t>
            </w:r>
          </w:p>
        </w:tc>
        <w:tc>
          <w:tcPr>
            <w:tcW w:w="434" w:type="dxa"/>
          </w:tcPr>
          <w:p>
            <w:pPr>
              <w:pStyle w:val="TableParagraph"/>
              <w:spacing w:before="1"/>
              <w:rPr>
                <w:sz w:val="25"/>
              </w:rPr>
            </w:pPr>
          </w:p>
          <w:p>
            <w:pPr>
              <w:pStyle w:val="TableParagraph"/>
              <w:ind w:right="65"/>
              <w:jc w:val="right"/>
              <w:rPr>
                <w:sz w:val="20"/>
              </w:rPr>
            </w:pPr>
            <w:r>
              <w:rPr>
                <w:w w:val="99"/>
                <w:sz w:val="20"/>
              </w:rPr>
              <w:t>4</w:t>
            </w:r>
          </w:p>
        </w:tc>
        <w:tc>
          <w:tcPr>
            <w:tcW w:w="437" w:type="dxa"/>
          </w:tcPr>
          <w:p>
            <w:pPr>
              <w:pStyle w:val="TableParagraph"/>
              <w:spacing w:before="1"/>
              <w:rPr>
                <w:sz w:val="25"/>
              </w:rPr>
            </w:pPr>
          </w:p>
          <w:p>
            <w:pPr>
              <w:pStyle w:val="TableParagraph"/>
              <w:ind w:right="66"/>
              <w:jc w:val="right"/>
              <w:rPr>
                <w:sz w:val="20"/>
              </w:rPr>
            </w:pPr>
            <w:r>
              <w:rPr>
                <w:w w:val="99"/>
                <w:sz w:val="20"/>
              </w:rPr>
              <w:t>6</w:t>
            </w:r>
          </w:p>
        </w:tc>
        <w:tc>
          <w:tcPr>
            <w:tcW w:w="2576" w:type="dxa"/>
          </w:tcPr>
          <w:p>
            <w:pPr>
              <w:pStyle w:val="TableParagraph"/>
              <w:spacing w:before="58"/>
              <w:ind w:left="64" w:right="816"/>
              <w:rPr>
                <w:sz w:val="20"/>
              </w:rPr>
            </w:pPr>
            <w:r>
              <w:rPr>
                <w:sz w:val="20"/>
              </w:rPr>
              <w:t>Economía aplicada e instrumentales</w:t>
            </w:r>
          </w:p>
        </w:tc>
      </w:tr>
      <w:tr>
        <w:trPr>
          <w:trHeight w:val="535" w:hRule="exact"/>
        </w:trPr>
        <w:tc>
          <w:tcPr>
            <w:tcW w:w="434" w:type="dxa"/>
          </w:tcPr>
          <w:p>
            <w:pPr>
              <w:pStyle w:val="TableParagraph"/>
              <w:spacing w:before="3"/>
              <w:rPr>
                <w:sz w:val="25"/>
              </w:rPr>
            </w:pPr>
          </w:p>
          <w:p>
            <w:pPr>
              <w:pStyle w:val="TableParagraph"/>
              <w:ind w:right="65"/>
              <w:jc w:val="right"/>
              <w:rPr>
                <w:sz w:val="20"/>
              </w:rPr>
            </w:pPr>
            <w:r>
              <w:rPr>
                <w:w w:val="99"/>
                <w:sz w:val="20"/>
              </w:rPr>
              <w:t>3</w:t>
            </w:r>
          </w:p>
        </w:tc>
        <w:tc>
          <w:tcPr>
            <w:tcW w:w="2991" w:type="dxa"/>
          </w:tcPr>
          <w:p>
            <w:pPr>
              <w:pStyle w:val="TableParagraph"/>
              <w:spacing w:before="3"/>
              <w:rPr>
                <w:sz w:val="25"/>
              </w:rPr>
            </w:pPr>
          </w:p>
          <w:p>
            <w:pPr>
              <w:pStyle w:val="TableParagraph"/>
              <w:ind w:left="64" w:right="15"/>
              <w:rPr>
                <w:sz w:val="20"/>
              </w:rPr>
            </w:pPr>
            <w:r>
              <w:rPr>
                <w:sz w:val="20"/>
              </w:rPr>
              <w:t>Política económica</w:t>
            </w:r>
          </w:p>
        </w:tc>
        <w:tc>
          <w:tcPr>
            <w:tcW w:w="408" w:type="dxa"/>
          </w:tcPr>
          <w:p>
            <w:pPr>
              <w:pStyle w:val="TableParagraph"/>
              <w:spacing w:before="3"/>
              <w:rPr>
                <w:sz w:val="25"/>
              </w:rPr>
            </w:pPr>
          </w:p>
          <w:p>
            <w:pPr>
              <w:pStyle w:val="TableParagraph"/>
              <w:ind w:right="66"/>
              <w:jc w:val="right"/>
              <w:rPr>
                <w:sz w:val="20"/>
              </w:rPr>
            </w:pPr>
            <w:r>
              <w:rPr>
                <w:w w:val="99"/>
                <w:sz w:val="20"/>
              </w:rPr>
              <w:t>2</w:t>
            </w:r>
          </w:p>
        </w:tc>
        <w:tc>
          <w:tcPr>
            <w:tcW w:w="396" w:type="dxa"/>
          </w:tcPr>
          <w:p>
            <w:pPr>
              <w:pStyle w:val="TableParagraph"/>
              <w:spacing w:before="3"/>
              <w:rPr>
                <w:sz w:val="25"/>
              </w:rPr>
            </w:pPr>
          </w:p>
          <w:p>
            <w:pPr>
              <w:pStyle w:val="TableParagraph"/>
              <w:ind w:right="64"/>
              <w:jc w:val="right"/>
              <w:rPr>
                <w:sz w:val="20"/>
              </w:rPr>
            </w:pPr>
            <w:r>
              <w:rPr>
                <w:w w:val="99"/>
                <w:sz w:val="20"/>
              </w:rPr>
              <w:t>2</w:t>
            </w:r>
          </w:p>
        </w:tc>
        <w:tc>
          <w:tcPr>
            <w:tcW w:w="434" w:type="dxa"/>
          </w:tcPr>
          <w:p>
            <w:pPr>
              <w:pStyle w:val="TableParagraph"/>
              <w:spacing w:before="3"/>
              <w:rPr>
                <w:sz w:val="25"/>
              </w:rPr>
            </w:pPr>
          </w:p>
          <w:p>
            <w:pPr>
              <w:pStyle w:val="TableParagraph"/>
              <w:ind w:right="65"/>
              <w:jc w:val="right"/>
              <w:rPr>
                <w:sz w:val="20"/>
              </w:rPr>
            </w:pPr>
            <w:r>
              <w:rPr>
                <w:w w:val="99"/>
                <w:sz w:val="20"/>
              </w:rPr>
              <w:t>4</w:t>
            </w:r>
          </w:p>
        </w:tc>
        <w:tc>
          <w:tcPr>
            <w:tcW w:w="437" w:type="dxa"/>
          </w:tcPr>
          <w:p>
            <w:pPr>
              <w:pStyle w:val="TableParagraph"/>
              <w:spacing w:before="3"/>
              <w:rPr>
                <w:sz w:val="25"/>
              </w:rPr>
            </w:pPr>
          </w:p>
          <w:p>
            <w:pPr>
              <w:pStyle w:val="TableParagraph"/>
              <w:ind w:right="66"/>
              <w:jc w:val="right"/>
              <w:rPr>
                <w:sz w:val="20"/>
              </w:rPr>
            </w:pPr>
            <w:r>
              <w:rPr>
                <w:w w:val="99"/>
                <w:sz w:val="20"/>
              </w:rPr>
              <w:t>6</w:t>
            </w:r>
          </w:p>
        </w:tc>
        <w:tc>
          <w:tcPr>
            <w:tcW w:w="2576" w:type="dxa"/>
          </w:tcPr>
          <w:p>
            <w:pPr>
              <w:pStyle w:val="TableParagraph"/>
              <w:spacing w:before="60"/>
              <w:ind w:left="64" w:right="816"/>
              <w:rPr>
                <w:sz w:val="20"/>
              </w:rPr>
            </w:pPr>
            <w:r>
              <w:rPr>
                <w:sz w:val="20"/>
              </w:rPr>
              <w:t>Economía aplicada e instrumentales</w:t>
            </w:r>
          </w:p>
        </w:tc>
      </w:tr>
      <w:tr>
        <w:trPr>
          <w:trHeight w:val="535" w:hRule="exact"/>
        </w:trPr>
        <w:tc>
          <w:tcPr>
            <w:tcW w:w="434" w:type="dxa"/>
          </w:tcPr>
          <w:p>
            <w:pPr>
              <w:pStyle w:val="TableParagraph"/>
              <w:spacing w:before="1"/>
              <w:rPr>
                <w:sz w:val="25"/>
              </w:rPr>
            </w:pPr>
          </w:p>
          <w:p>
            <w:pPr>
              <w:pStyle w:val="TableParagraph"/>
              <w:ind w:right="65"/>
              <w:jc w:val="right"/>
              <w:rPr>
                <w:sz w:val="20"/>
              </w:rPr>
            </w:pPr>
            <w:r>
              <w:rPr>
                <w:w w:val="99"/>
                <w:sz w:val="20"/>
              </w:rPr>
              <w:t>4</w:t>
            </w:r>
          </w:p>
        </w:tc>
        <w:tc>
          <w:tcPr>
            <w:tcW w:w="2991" w:type="dxa"/>
          </w:tcPr>
          <w:p>
            <w:pPr>
              <w:pStyle w:val="TableParagraph"/>
              <w:spacing w:before="1"/>
              <w:rPr>
                <w:sz w:val="25"/>
              </w:rPr>
            </w:pPr>
          </w:p>
          <w:p>
            <w:pPr>
              <w:pStyle w:val="TableParagraph"/>
              <w:ind w:left="64" w:right="15"/>
              <w:rPr>
                <w:sz w:val="20"/>
              </w:rPr>
            </w:pPr>
            <w:r>
              <w:rPr>
                <w:sz w:val="20"/>
              </w:rPr>
              <w:t>Economía del sector público</w:t>
            </w:r>
          </w:p>
        </w:tc>
        <w:tc>
          <w:tcPr>
            <w:tcW w:w="408" w:type="dxa"/>
          </w:tcPr>
          <w:p>
            <w:pPr>
              <w:pStyle w:val="TableParagraph"/>
              <w:spacing w:before="1"/>
              <w:rPr>
                <w:sz w:val="25"/>
              </w:rPr>
            </w:pPr>
          </w:p>
          <w:p>
            <w:pPr>
              <w:pStyle w:val="TableParagraph"/>
              <w:ind w:right="66"/>
              <w:jc w:val="right"/>
              <w:rPr>
                <w:sz w:val="20"/>
              </w:rPr>
            </w:pPr>
            <w:r>
              <w:rPr>
                <w:w w:val="99"/>
                <w:sz w:val="20"/>
              </w:rPr>
              <w:t>2</w:t>
            </w:r>
          </w:p>
        </w:tc>
        <w:tc>
          <w:tcPr>
            <w:tcW w:w="396" w:type="dxa"/>
          </w:tcPr>
          <w:p>
            <w:pPr>
              <w:pStyle w:val="TableParagraph"/>
              <w:spacing w:before="1"/>
              <w:rPr>
                <w:sz w:val="25"/>
              </w:rPr>
            </w:pPr>
          </w:p>
          <w:p>
            <w:pPr>
              <w:pStyle w:val="TableParagraph"/>
              <w:ind w:right="64"/>
              <w:jc w:val="right"/>
              <w:rPr>
                <w:sz w:val="20"/>
              </w:rPr>
            </w:pPr>
            <w:r>
              <w:rPr>
                <w:w w:val="99"/>
                <w:sz w:val="20"/>
              </w:rPr>
              <w:t>2</w:t>
            </w:r>
          </w:p>
        </w:tc>
        <w:tc>
          <w:tcPr>
            <w:tcW w:w="434" w:type="dxa"/>
          </w:tcPr>
          <w:p>
            <w:pPr>
              <w:pStyle w:val="TableParagraph"/>
              <w:spacing w:before="1"/>
              <w:rPr>
                <w:sz w:val="25"/>
              </w:rPr>
            </w:pPr>
          </w:p>
          <w:p>
            <w:pPr>
              <w:pStyle w:val="TableParagraph"/>
              <w:ind w:right="65"/>
              <w:jc w:val="right"/>
              <w:rPr>
                <w:sz w:val="20"/>
              </w:rPr>
            </w:pPr>
            <w:r>
              <w:rPr>
                <w:w w:val="99"/>
                <w:sz w:val="20"/>
              </w:rPr>
              <w:t>4</w:t>
            </w:r>
          </w:p>
        </w:tc>
        <w:tc>
          <w:tcPr>
            <w:tcW w:w="437" w:type="dxa"/>
          </w:tcPr>
          <w:p>
            <w:pPr>
              <w:pStyle w:val="TableParagraph"/>
              <w:spacing w:before="1"/>
              <w:rPr>
                <w:sz w:val="25"/>
              </w:rPr>
            </w:pPr>
          </w:p>
          <w:p>
            <w:pPr>
              <w:pStyle w:val="TableParagraph"/>
              <w:ind w:right="66"/>
              <w:jc w:val="right"/>
              <w:rPr>
                <w:sz w:val="20"/>
              </w:rPr>
            </w:pPr>
            <w:r>
              <w:rPr>
                <w:w w:val="99"/>
                <w:sz w:val="20"/>
              </w:rPr>
              <w:t>6</w:t>
            </w:r>
          </w:p>
        </w:tc>
        <w:tc>
          <w:tcPr>
            <w:tcW w:w="2576" w:type="dxa"/>
          </w:tcPr>
          <w:p>
            <w:pPr>
              <w:pStyle w:val="TableParagraph"/>
              <w:spacing w:before="60"/>
              <w:ind w:left="64" w:right="816"/>
              <w:rPr>
                <w:sz w:val="20"/>
              </w:rPr>
            </w:pPr>
            <w:r>
              <w:rPr>
                <w:sz w:val="20"/>
              </w:rPr>
              <w:t>Economía aplicada e instrumentales</w:t>
            </w:r>
          </w:p>
        </w:tc>
      </w:tr>
      <w:tr>
        <w:trPr>
          <w:trHeight w:val="312" w:hRule="exact"/>
        </w:trPr>
        <w:tc>
          <w:tcPr>
            <w:tcW w:w="3425" w:type="dxa"/>
            <w:gridSpan w:val="2"/>
          </w:tcPr>
          <w:p>
            <w:pPr>
              <w:pStyle w:val="TableParagraph"/>
              <w:spacing w:before="65"/>
              <w:ind w:right="65"/>
              <w:jc w:val="right"/>
              <w:rPr>
                <w:sz w:val="20"/>
              </w:rPr>
            </w:pPr>
            <w:r>
              <w:rPr>
                <w:sz w:val="20"/>
              </w:rPr>
              <w:t>Subtotal</w:t>
            </w:r>
          </w:p>
        </w:tc>
        <w:tc>
          <w:tcPr>
            <w:tcW w:w="408" w:type="dxa"/>
          </w:tcPr>
          <w:p>
            <w:pPr>
              <w:pStyle w:val="TableParagraph"/>
              <w:spacing w:before="65"/>
              <w:ind w:right="66"/>
              <w:jc w:val="right"/>
              <w:rPr>
                <w:sz w:val="20"/>
              </w:rPr>
            </w:pPr>
            <w:r>
              <w:rPr>
                <w:w w:val="99"/>
                <w:sz w:val="20"/>
              </w:rPr>
              <w:t>2</w:t>
            </w:r>
          </w:p>
        </w:tc>
        <w:tc>
          <w:tcPr>
            <w:tcW w:w="396" w:type="dxa"/>
          </w:tcPr>
          <w:p>
            <w:pPr>
              <w:pStyle w:val="TableParagraph"/>
              <w:spacing w:before="65"/>
              <w:ind w:right="64"/>
              <w:jc w:val="right"/>
              <w:rPr>
                <w:sz w:val="20"/>
              </w:rPr>
            </w:pPr>
            <w:r>
              <w:rPr>
                <w:w w:val="99"/>
                <w:sz w:val="20"/>
              </w:rPr>
              <w:t>2</w:t>
            </w:r>
          </w:p>
        </w:tc>
        <w:tc>
          <w:tcPr>
            <w:tcW w:w="434" w:type="dxa"/>
          </w:tcPr>
          <w:p>
            <w:pPr>
              <w:pStyle w:val="TableParagraph"/>
              <w:spacing w:before="65"/>
              <w:ind w:right="65"/>
              <w:jc w:val="right"/>
              <w:rPr>
                <w:sz w:val="20"/>
              </w:rPr>
            </w:pPr>
            <w:r>
              <w:rPr>
                <w:w w:val="99"/>
                <w:sz w:val="20"/>
              </w:rPr>
              <w:t>4</w:t>
            </w:r>
          </w:p>
        </w:tc>
        <w:tc>
          <w:tcPr>
            <w:tcW w:w="437" w:type="dxa"/>
          </w:tcPr>
          <w:p>
            <w:pPr>
              <w:pStyle w:val="TableParagraph"/>
              <w:spacing w:before="65"/>
              <w:ind w:right="66"/>
              <w:jc w:val="right"/>
              <w:rPr>
                <w:sz w:val="20"/>
              </w:rPr>
            </w:pPr>
            <w:r>
              <w:rPr>
                <w:w w:val="99"/>
                <w:sz w:val="20"/>
              </w:rPr>
              <w:t>6</w:t>
            </w:r>
          </w:p>
        </w:tc>
        <w:tc>
          <w:tcPr>
            <w:tcW w:w="2576" w:type="dxa"/>
          </w:tcPr>
          <w:p>
            <w:pPr/>
          </w:p>
        </w:tc>
      </w:tr>
    </w:tbl>
    <w:p>
      <w:pPr>
        <w:pStyle w:val="BodyText"/>
        <w:rPr>
          <w:sz w:val="20"/>
        </w:rPr>
      </w:pPr>
    </w:p>
    <w:p>
      <w:pPr>
        <w:pStyle w:val="BodyText"/>
        <w:rPr>
          <w:sz w:val="20"/>
        </w:rPr>
      </w:pPr>
    </w:p>
    <w:p>
      <w:pPr>
        <w:pStyle w:val="BodyText"/>
        <w:spacing w:before="3"/>
        <w:rPr>
          <w:sz w:val="17"/>
        </w:rPr>
      </w:pPr>
    </w:p>
    <w:p>
      <w:pPr>
        <w:spacing w:before="0"/>
        <w:ind w:left="641" w:right="0" w:firstLine="0"/>
        <w:jc w:val="left"/>
        <w:rPr>
          <w:b/>
          <w:sz w:val="22"/>
        </w:rPr>
      </w:pPr>
      <w:r>
        <w:rPr>
          <w:b/>
          <w:sz w:val="22"/>
        </w:rPr>
        <w:t>Tópicos avanzados de economía</w:t>
      </w:r>
    </w:p>
    <w:tbl>
      <w:tblPr>
        <w:tblW w:w="0" w:type="auto"/>
        <w:jc w:val="left"/>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2933"/>
        <w:gridCol w:w="408"/>
        <w:gridCol w:w="396"/>
        <w:gridCol w:w="437"/>
        <w:gridCol w:w="470"/>
        <w:gridCol w:w="2576"/>
      </w:tblGrid>
      <w:tr>
        <w:trPr>
          <w:trHeight w:val="312" w:hRule="exact"/>
        </w:trPr>
        <w:tc>
          <w:tcPr>
            <w:tcW w:w="437" w:type="dxa"/>
          </w:tcPr>
          <w:p>
            <w:pPr>
              <w:pStyle w:val="TableParagraph"/>
              <w:spacing w:before="65"/>
              <w:ind w:right="67"/>
              <w:jc w:val="right"/>
              <w:rPr>
                <w:sz w:val="20"/>
              </w:rPr>
            </w:pPr>
            <w:r>
              <w:rPr>
                <w:w w:val="95"/>
                <w:sz w:val="20"/>
              </w:rPr>
              <w:t>No.</w:t>
            </w:r>
          </w:p>
        </w:tc>
        <w:tc>
          <w:tcPr>
            <w:tcW w:w="2933" w:type="dxa"/>
          </w:tcPr>
          <w:p>
            <w:pPr>
              <w:pStyle w:val="TableParagraph"/>
              <w:spacing w:before="65"/>
              <w:ind w:left="62" w:right="80"/>
              <w:rPr>
                <w:sz w:val="20"/>
              </w:rPr>
            </w:pPr>
            <w:r>
              <w:rPr>
                <w:sz w:val="20"/>
              </w:rPr>
              <w:t>Unidad de aprendizaje (UA)</w:t>
            </w:r>
          </w:p>
        </w:tc>
        <w:tc>
          <w:tcPr>
            <w:tcW w:w="408" w:type="dxa"/>
          </w:tcPr>
          <w:p>
            <w:pPr>
              <w:pStyle w:val="TableParagraph"/>
              <w:spacing w:before="65"/>
              <w:ind w:left="44" w:right="44"/>
              <w:jc w:val="center"/>
              <w:rPr>
                <w:sz w:val="20"/>
              </w:rPr>
            </w:pPr>
            <w:r>
              <w:rPr>
                <w:sz w:val="20"/>
              </w:rPr>
              <w:t>HT</w:t>
            </w:r>
          </w:p>
        </w:tc>
        <w:tc>
          <w:tcPr>
            <w:tcW w:w="396" w:type="dxa"/>
          </w:tcPr>
          <w:p>
            <w:pPr>
              <w:pStyle w:val="TableParagraph"/>
              <w:spacing w:before="65"/>
              <w:ind w:right="65"/>
              <w:jc w:val="right"/>
              <w:rPr>
                <w:sz w:val="20"/>
              </w:rPr>
            </w:pPr>
            <w:r>
              <w:rPr>
                <w:w w:val="95"/>
                <w:sz w:val="20"/>
              </w:rPr>
              <w:t>HP</w:t>
            </w:r>
          </w:p>
        </w:tc>
        <w:tc>
          <w:tcPr>
            <w:tcW w:w="437" w:type="dxa"/>
          </w:tcPr>
          <w:p>
            <w:pPr>
              <w:pStyle w:val="TableParagraph"/>
              <w:spacing w:before="65"/>
              <w:ind w:left="22" w:right="45"/>
              <w:jc w:val="center"/>
              <w:rPr>
                <w:sz w:val="20"/>
              </w:rPr>
            </w:pPr>
            <w:r>
              <w:rPr>
                <w:sz w:val="20"/>
              </w:rPr>
              <w:t>TH</w:t>
            </w:r>
          </w:p>
        </w:tc>
        <w:tc>
          <w:tcPr>
            <w:tcW w:w="470" w:type="dxa"/>
          </w:tcPr>
          <w:p>
            <w:pPr>
              <w:pStyle w:val="TableParagraph"/>
              <w:spacing w:before="65"/>
              <w:ind w:left="64"/>
              <w:rPr>
                <w:sz w:val="20"/>
              </w:rPr>
            </w:pPr>
            <w:r>
              <w:rPr>
                <w:sz w:val="20"/>
              </w:rPr>
              <w:t>CR</w:t>
            </w:r>
          </w:p>
        </w:tc>
        <w:tc>
          <w:tcPr>
            <w:tcW w:w="2576" w:type="dxa"/>
          </w:tcPr>
          <w:p>
            <w:pPr>
              <w:pStyle w:val="TableParagraph"/>
              <w:spacing w:before="65"/>
              <w:ind w:left="62" w:right="816"/>
              <w:rPr>
                <w:sz w:val="20"/>
              </w:rPr>
            </w:pPr>
            <w:r>
              <w:rPr>
                <w:sz w:val="20"/>
              </w:rPr>
              <w:t>Área curricular</w:t>
            </w:r>
          </w:p>
        </w:tc>
      </w:tr>
      <w:tr>
        <w:trPr>
          <w:trHeight w:val="310" w:hRule="exact"/>
        </w:trPr>
        <w:tc>
          <w:tcPr>
            <w:tcW w:w="437" w:type="dxa"/>
          </w:tcPr>
          <w:p>
            <w:pPr>
              <w:pStyle w:val="TableParagraph"/>
              <w:spacing w:before="39"/>
              <w:ind w:right="65"/>
              <w:jc w:val="right"/>
              <w:rPr>
                <w:sz w:val="22"/>
              </w:rPr>
            </w:pPr>
            <w:r>
              <w:rPr>
                <w:w w:val="100"/>
                <w:sz w:val="22"/>
              </w:rPr>
              <w:t>1</w:t>
            </w:r>
          </w:p>
        </w:tc>
        <w:tc>
          <w:tcPr>
            <w:tcW w:w="2933" w:type="dxa"/>
          </w:tcPr>
          <w:p>
            <w:pPr>
              <w:pStyle w:val="TableParagraph"/>
              <w:spacing w:before="39"/>
              <w:ind w:left="62" w:right="80"/>
              <w:rPr>
                <w:sz w:val="22"/>
              </w:rPr>
            </w:pPr>
            <w:r>
              <w:rPr>
                <w:sz w:val="22"/>
              </w:rPr>
              <w:t>Economía de la salud</w:t>
            </w:r>
          </w:p>
        </w:tc>
        <w:tc>
          <w:tcPr>
            <w:tcW w:w="408" w:type="dxa"/>
          </w:tcPr>
          <w:p>
            <w:pPr>
              <w:pStyle w:val="TableParagraph"/>
              <w:spacing w:before="18"/>
              <w:ind w:right="2"/>
              <w:jc w:val="center"/>
              <w:rPr>
                <w:sz w:val="22"/>
              </w:rPr>
            </w:pPr>
            <w:r>
              <w:rPr>
                <w:w w:val="100"/>
                <w:sz w:val="22"/>
              </w:rPr>
              <w:t>4</w:t>
            </w:r>
          </w:p>
        </w:tc>
        <w:tc>
          <w:tcPr>
            <w:tcW w:w="396" w:type="dxa"/>
          </w:tcPr>
          <w:p>
            <w:pPr>
              <w:pStyle w:val="TableParagraph"/>
              <w:spacing w:before="18"/>
              <w:ind w:right="137"/>
              <w:jc w:val="right"/>
              <w:rPr>
                <w:sz w:val="22"/>
              </w:rPr>
            </w:pPr>
            <w:r>
              <w:rPr>
                <w:w w:val="100"/>
                <w:sz w:val="22"/>
              </w:rPr>
              <w:t>2</w:t>
            </w:r>
          </w:p>
        </w:tc>
        <w:tc>
          <w:tcPr>
            <w:tcW w:w="437" w:type="dxa"/>
          </w:tcPr>
          <w:p>
            <w:pPr>
              <w:pStyle w:val="TableParagraph"/>
              <w:spacing w:before="18"/>
              <w:ind w:right="2"/>
              <w:jc w:val="center"/>
              <w:rPr>
                <w:sz w:val="22"/>
              </w:rPr>
            </w:pPr>
            <w:r>
              <w:rPr>
                <w:w w:val="100"/>
                <w:sz w:val="22"/>
              </w:rPr>
              <w:t>6</w:t>
            </w:r>
          </w:p>
        </w:tc>
        <w:tc>
          <w:tcPr>
            <w:tcW w:w="470" w:type="dxa"/>
          </w:tcPr>
          <w:p>
            <w:pPr>
              <w:pStyle w:val="TableParagraph"/>
              <w:spacing w:before="18"/>
              <w:ind w:left="119"/>
              <w:rPr>
                <w:sz w:val="22"/>
              </w:rPr>
            </w:pPr>
            <w:r>
              <w:rPr>
                <w:sz w:val="22"/>
              </w:rPr>
              <w:t>10</w:t>
            </w:r>
          </w:p>
        </w:tc>
        <w:tc>
          <w:tcPr>
            <w:tcW w:w="2576" w:type="dxa"/>
          </w:tcPr>
          <w:p>
            <w:pPr>
              <w:pStyle w:val="TableParagraph"/>
              <w:spacing w:before="39"/>
              <w:ind w:left="62" w:right="816"/>
              <w:rPr>
                <w:sz w:val="22"/>
              </w:rPr>
            </w:pPr>
            <w:r>
              <w:rPr>
                <w:sz w:val="22"/>
              </w:rPr>
              <w:t>Acentuación</w:t>
            </w:r>
          </w:p>
        </w:tc>
      </w:tr>
      <w:tr>
        <w:trPr>
          <w:trHeight w:val="610" w:hRule="exact"/>
        </w:trPr>
        <w:tc>
          <w:tcPr>
            <w:tcW w:w="437" w:type="dxa"/>
          </w:tcPr>
          <w:p>
            <w:pPr>
              <w:pStyle w:val="TableParagraph"/>
              <w:spacing w:before="5"/>
              <w:rPr>
                <w:b/>
                <w:sz w:val="29"/>
              </w:rPr>
            </w:pPr>
          </w:p>
          <w:p>
            <w:pPr>
              <w:pStyle w:val="TableParagraph"/>
              <w:spacing w:before="1"/>
              <w:ind w:right="65"/>
              <w:jc w:val="right"/>
              <w:rPr>
                <w:sz w:val="22"/>
              </w:rPr>
            </w:pPr>
            <w:r>
              <w:rPr>
                <w:w w:val="100"/>
                <w:sz w:val="22"/>
              </w:rPr>
              <w:t>2</w:t>
            </w:r>
          </w:p>
        </w:tc>
        <w:tc>
          <w:tcPr>
            <w:tcW w:w="2933" w:type="dxa"/>
          </w:tcPr>
          <w:p>
            <w:pPr>
              <w:pStyle w:val="TableParagraph"/>
              <w:spacing w:before="87"/>
              <w:ind w:left="62" w:right="697"/>
              <w:rPr>
                <w:sz w:val="22"/>
              </w:rPr>
            </w:pPr>
            <w:r>
              <w:rPr>
                <w:sz w:val="22"/>
              </w:rPr>
              <w:t>Pensamiento económico contemporáneo</w:t>
            </w:r>
          </w:p>
        </w:tc>
        <w:tc>
          <w:tcPr>
            <w:tcW w:w="408" w:type="dxa"/>
          </w:tcPr>
          <w:p>
            <w:pPr>
              <w:pStyle w:val="TableParagraph"/>
              <w:spacing w:before="166"/>
              <w:ind w:right="2"/>
              <w:jc w:val="center"/>
              <w:rPr>
                <w:sz w:val="22"/>
              </w:rPr>
            </w:pPr>
            <w:r>
              <w:rPr>
                <w:w w:val="100"/>
                <w:sz w:val="22"/>
              </w:rPr>
              <w:t>4</w:t>
            </w:r>
          </w:p>
        </w:tc>
        <w:tc>
          <w:tcPr>
            <w:tcW w:w="396" w:type="dxa"/>
          </w:tcPr>
          <w:p>
            <w:pPr>
              <w:pStyle w:val="TableParagraph"/>
              <w:spacing w:before="166"/>
              <w:ind w:right="137"/>
              <w:jc w:val="right"/>
              <w:rPr>
                <w:sz w:val="22"/>
              </w:rPr>
            </w:pPr>
            <w:r>
              <w:rPr>
                <w:w w:val="100"/>
                <w:sz w:val="22"/>
              </w:rPr>
              <w:t>2</w:t>
            </w:r>
          </w:p>
        </w:tc>
        <w:tc>
          <w:tcPr>
            <w:tcW w:w="437" w:type="dxa"/>
          </w:tcPr>
          <w:p>
            <w:pPr>
              <w:pStyle w:val="TableParagraph"/>
              <w:spacing w:before="166"/>
              <w:ind w:right="2"/>
              <w:jc w:val="center"/>
              <w:rPr>
                <w:sz w:val="22"/>
              </w:rPr>
            </w:pPr>
            <w:r>
              <w:rPr>
                <w:w w:val="100"/>
                <w:sz w:val="22"/>
              </w:rPr>
              <w:t>6</w:t>
            </w:r>
          </w:p>
        </w:tc>
        <w:tc>
          <w:tcPr>
            <w:tcW w:w="470" w:type="dxa"/>
          </w:tcPr>
          <w:p>
            <w:pPr>
              <w:pStyle w:val="TableParagraph"/>
              <w:spacing w:before="166"/>
              <w:ind w:left="119"/>
              <w:rPr>
                <w:sz w:val="22"/>
              </w:rPr>
            </w:pPr>
            <w:r>
              <w:rPr>
                <w:sz w:val="22"/>
              </w:rPr>
              <w:t>10</w:t>
            </w:r>
          </w:p>
        </w:tc>
        <w:tc>
          <w:tcPr>
            <w:tcW w:w="2576" w:type="dxa"/>
          </w:tcPr>
          <w:p>
            <w:pPr>
              <w:pStyle w:val="TableParagraph"/>
              <w:spacing w:before="5"/>
              <w:rPr>
                <w:b/>
                <w:sz w:val="29"/>
              </w:rPr>
            </w:pPr>
          </w:p>
          <w:p>
            <w:pPr>
              <w:pStyle w:val="TableParagraph"/>
              <w:spacing w:before="1"/>
              <w:ind w:left="62" w:right="816"/>
              <w:rPr>
                <w:sz w:val="22"/>
              </w:rPr>
            </w:pPr>
            <w:r>
              <w:rPr>
                <w:sz w:val="22"/>
              </w:rPr>
              <w:t>Acentuación</w:t>
            </w:r>
          </w:p>
        </w:tc>
      </w:tr>
      <w:tr>
        <w:trPr>
          <w:trHeight w:val="910" w:hRule="exact"/>
        </w:trPr>
        <w:tc>
          <w:tcPr>
            <w:tcW w:w="437" w:type="dxa"/>
          </w:tcPr>
          <w:p>
            <w:pPr>
              <w:pStyle w:val="TableParagraph"/>
              <w:rPr>
                <w:b/>
                <w:sz w:val="22"/>
              </w:rPr>
            </w:pPr>
          </w:p>
          <w:p>
            <w:pPr>
              <w:pStyle w:val="TableParagraph"/>
              <w:rPr>
                <w:b/>
                <w:sz w:val="22"/>
              </w:rPr>
            </w:pPr>
          </w:p>
          <w:p>
            <w:pPr>
              <w:pStyle w:val="TableParagraph"/>
              <w:spacing w:before="136"/>
              <w:ind w:right="65"/>
              <w:jc w:val="right"/>
              <w:rPr>
                <w:sz w:val="22"/>
              </w:rPr>
            </w:pPr>
            <w:r>
              <w:rPr>
                <w:w w:val="100"/>
                <w:sz w:val="22"/>
              </w:rPr>
              <w:t>3</w:t>
            </w:r>
          </w:p>
        </w:tc>
        <w:tc>
          <w:tcPr>
            <w:tcW w:w="2933" w:type="dxa"/>
          </w:tcPr>
          <w:p>
            <w:pPr>
              <w:pStyle w:val="TableParagraph"/>
              <w:rPr>
                <w:b/>
                <w:sz w:val="22"/>
              </w:rPr>
            </w:pPr>
          </w:p>
          <w:p>
            <w:pPr>
              <w:pStyle w:val="TableParagraph"/>
              <w:spacing w:before="134"/>
              <w:ind w:left="62" w:right="80"/>
              <w:rPr>
                <w:sz w:val="22"/>
              </w:rPr>
            </w:pPr>
            <w:r>
              <w:rPr>
                <w:sz w:val="22"/>
              </w:rPr>
              <w:t>Tópicos avanzados de economía (modelos dinámicos)</w:t>
            </w:r>
          </w:p>
        </w:tc>
        <w:tc>
          <w:tcPr>
            <w:tcW w:w="408" w:type="dxa"/>
          </w:tcPr>
          <w:p>
            <w:pPr>
              <w:pStyle w:val="TableParagraph"/>
              <w:spacing w:before="7"/>
              <w:rPr>
                <w:b/>
                <w:sz w:val="27"/>
              </w:rPr>
            </w:pPr>
          </w:p>
          <w:p>
            <w:pPr>
              <w:pStyle w:val="TableParagraph"/>
              <w:ind w:right="2"/>
              <w:jc w:val="center"/>
              <w:rPr>
                <w:sz w:val="22"/>
              </w:rPr>
            </w:pPr>
            <w:r>
              <w:rPr>
                <w:w w:val="100"/>
                <w:sz w:val="22"/>
              </w:rPr>
              <w:t>4</w:t>
            </w:r>
          </w:p>
        </w:tc>
        <w:tc>
          <w:tcPr>
            <w:tcW w:w="396" w:type="dxa"/>
          </w:tcPr>
          <w:p>
            <w:pPr>
              <w:pStyle w:val="TableParagraph"/>
              <w:spacing w:before="7"/>
              <w:rPr>
                <w:b/>
                <w:sz w:val="27"/>
              </w:rPr>
            </w:pPr>
          </w:p>
          <w:p>
            <w:pPr>
              <w:pStyle w:val="TableParagraph"/>
              <w:ind w:right="137"/>
              <w:jc w:val="right"/>
              <w:rPr>
                <w:sz w:val="22"/>
              </w:rPr>
            </w:pPr>
            <w:r>
              <w:rPr>
                <w:w w:val="100"/>
                <w:sz w:val="22"/>
              </w:rPr>
              <w:t>2</w:t>
            </w:r>
          </w:p>
        </w:tc>
        <w:tc>
          <w:tcPr>
            <w:tcW w:w="437" w:type="dxa"/>
          </w:tcPr>
          <w:p>
            <w:pPr>
              <w:pStyle w:val="TableParagraph"/>
              <w:spacing w:before="7"/>
              <w:rPr>
                <w:b/>
                <w:sz w:val="27"/>
              </w:rPr>
            </w:pPr>
          </w:p>
          <w:p>
            <w:pPr>
              <w:pStyle w:val="TableParagraph"/>
              <w:ind w:right="2"/>
              <w:jc w:val="center"/>
              <w:rPr>
                <w:sz w:val="22"/>
              </w:rPr>
            </w:pPr>
            <w:r>
              <w:rPr>
                <w:w w:val="100"/>
                <w:sz w:val="22"/>
              </w:rPr>
              <w:t>6</w:t>
            </w:r>
          </w:p>
        </w:tc>
        <w:tc>
          <w:tcPr>
            <w:tcW w:w="470" w:type="dxa"/>
          </w:tcPr>
          <w:p>
            <w:pPr>
              <w:pStyle w:val="TableParagraph"/>
              <w:spacing w:before="7"/>
              <w:rPr>
                <w:b/>
                <w:sz w:val="27"/>
              </w:rPr>
            </w:pPr>
          </w:p>
          <w:p>
            <w:pPr>
              <w:pStyle w:val="TableParagraph"/>
              <w:ind w:left="119"/>
              <w:rPr>
                <w:sz w:val="22"/>
              </w:rPr>
            </w:pPr>
            <w:r>
              <w:rPr>
                <w:sz w:val="22"/>
              </w:rPr>
              <w:t>10</w:t>
            </w:r>
          </w:p>
        </w:tc>
        <w:tc>
          <w:tcPr>
            <w:tcW w:w="2576" w:type="dxa"/>
          </w:tcPr>
          <w:p>
            <w:pPr>
              <w:pStyle w:val="TableParagraph"/>
              <w:rPr>
                <w:b/>
                <w:sz w:val="22"/>
              </w:rPr>
            </w:pPr>
          </w:p>
          <w:p>
            <w:pPr>
              <w:pStyle w:val="TableParagraph"/>
              <w:rPr>
                <w:b/>
                <w:sz w:val="22"/>
              </w:rPr>
            </w:pPr>
          </w:p>
          <w:p>
            <w:pPr>
              <w:pStyle w:val="TableParagraph"/>
              <w:spacing w:before="136"/>
              <w:ind w:left="62" w:right="816"/>
              <w:rPr>
                <w:sz w:val="22"/>
              </w:rPr>
            </w:pPr>
            <w:r>
              <w:rPr>
                <w:sz w:val="22"/>
              </w:rPr>
              <w:t>Acentuación</w:t>
            </w:r>
          </w:p>
        </w:tc>
      </w:tr>
      <w:tr>
        <w:trPr>
          <w:trHeight w:val="610" w:hRule="exact"/>
        </w:trPr>
        <w:tc>
          <w:tcPr>
            <w:tcW w:w="437" w:type="dxa"/>
          </w:tcPr>
          <w:p>
            <w:pPr>
              <w:pStyle w:val="TableParagraph"/>
              <w:spacing w:before="8"/>
              <w:rPr>
                <w:b/>
                <w:sz w:val="29"/>
              </w:rPr>
            </w:pPr>
          </w:p>
          <w:p>
            <w:pPr>
              <w:pStyle w:val="TableParagraph"/>
              <w:ind w:right="65"/>
              <w:jc w:val="right"/>
              <w:rPr>
                <w:sz w:val="22"/>
              </w:rPr>
            </w:pPr>
            <w:r>
              <w:rPr>
                <w:w w:val="100"/>
                <w:sz w:val="22"/>
              </w:rPr>
              <w:t>4</w:t>
            </w:r>
          </w:p>
        </w:tc>
        <w:tc>
          <w:tcPr>
            <w:tcW w:w="2933" w:type="dxa"/>
          </w:tcPr>
          <w:p>
            <w:pPr>
              <w:pStyle w:val="TableParagraph"/>
              <w:spacing w:before="87"/>
              <w:ind w:left="62" w:right="899"/>
              <w:rPr>
                <w:sz w:val="22"/>
              </w:rPr>
            </w:pPr>
            <w:r>
              <w:rPr>
                <w:sz w:val="22"/>
              </w:rPr>
              <w:t>Tópicos avanzados de econometría</w:t>
            </w:r>
          </w:p>
        </w:tc>
        <w:tc>
          <w:tcPr>
            <w:tcW w:w="408" w:type="dxa"/>
          </w:tcPr>
          <w:p>
            <w:pPr>
              <w:pStyle w:val="TableParagraph"/>
              <w:spacing w:before="169"/>
              <w:ind w:right="2"/>
              <w:jc w:val="center"/>
              <w:rPr>
                <w:sz w:val="22"/>
              </w:rPr>
            </w:pPr>
            <w:r>
              <w:rPr>
                <w:w w:val="100"/>
                <w:sz w:val="22"/>
              </w:rPr>
              <w:t>4</w:t>
            </w:r>
          </w:p>
        </w:tc>
        <w:tc>
          <w:tcPr>
            <w:tcW w:w="396" w:type="dxa"/>
          </w:tcPr>
          <w:p>
            <w:pPr>
              <w:pStyle w:val="TableParagraph"/>
              <w:spacing w:before="169"/>
              <w:ind w:right="137"/>
              <w:jc w:val="right"/>
              <w:rPr>
                <w:sz w:val="22"/>
              </w:rPr>
            </w:pPr>
            <w:r>
              <w:rPr>
                <w:w w:val="100"/>
                <w:sz w:val="22"/>
              </w:rPr>
              <w:t>2</w:t>
            </w:r>
          </w:p>
        </w:tc>
        <w:tc>
          <w:tcPr>
            <w:tcW w:w="437" w:type="dxa"/>
          </w:tcPr>
          <w:p>
            <w:pPr>
              <w:pStyle w:val="TableParagraph"/>
              <w:spacing w:before="169"/>
              <w:ind w:right="2"/>
              <w:jc w:val="center"/>
              <w:rPr>
                <w:sz w:val="22"/>
              </w:rPr>
            </w:pPr>
            <w:r>
              <w:rPr>
                <w:w w:val="100"/>
                <w:sz w:val="22"/>
              </w:rPr>
              <w:t>6</w:t>
            </w:r>
          </w:p>
        </w:tc>
        <w:tc>
          <w:tcPr>
            <w:tcW w:w="470" w:type="dxa"/>
          </w:tcPr>
          <w:p>
            <w:pPr>
              <w:pStyle w:val="TableParagraph"/>
              <w:spacing w:before="169"/>
              <w:ind w:left="119"/>
              <w:rPr>
                <w:sz w:val="22"/>
              </w:rPr>
            </w:pPr>
            <w:r>
              <w:rPr>
                <w:sz w:val="22"/>
              </w:rPr>
              <w:t>10</w:t>
            </w:r>
          </w:p>
        </w:tc>
        <w:tc>
          <w:tcPr>
            <w:tcW w:w="2576" w:type="dxa"/>
          </w:tcPr>
          <w:p>
            <w:pPr>
              <w:pStyle w:val="TableParagraph"/>
              <w:spacing w:before="8"/>
              <w:rPr>
                <w:b/>
                <w:sz w:val="29"/>
              </w:rPr>
            </w:pPr>
          </w:p>
          <w:p>
            <w:pPr>
              <w:pStyle w:val="TableParagraph"/>
              <w:ind w:left="62" w:right="816"/>
              <w:rPr>
                <w:sz w:val="22"/>
              </w:rPr>
            </w:pPr>
            <w:r>
              <w:rPr>
                <w:sz w:val="22"/>
              </w:rPr>
              <w:t>Acentuación</w:t>
            </w:r>
          </w:p>
        </w:tc>
      </w:tr>
    </w:tbl>
    <w:p>
      <w:pPr>
        <w:pStyle w:val="BodyText"/>
        <w:spacing w:before="8"/>
        <w:rPr>
          <w:b/>
          <w:sz w:val="10"/>
        </w:rPr>
      </w:pPr>
    </w:p>
    <w:p>
      <w:pPr>
        <w:spacing w:before="72" w:after="3"/>
        <w:ind w:left="641" w:right="0" w:firstLine="0"/>
        <w:jc w:val="left"/>
        <w:rPr>
          <w:b/>
          <w:sz w:val="22"/>
        </w:rPr>
      </w:pPr>
      <w:r>
        <w:rPr>
          <w:b/>
          <w:sz w:val="22"/>
        </w:rPr>
        <w:t>Métodos cuantitativos</w:t>
      </w:r>
    </w:p>
    <w:tbl>
      <w:tblPr>
        <w:tblW w:w="0" w:type="auto"/>
        <w:jc w:val="left"/>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2933"/>
        <w:gridCol w:w="408"/>
        <w:gridCol w:w="396"/>
        <w:gridCol w:w="437"/>
        <w:gridCol w:w="470"/>
        <w:gridCol w:w="2576"/>
      </w:tblGrid>
      <w:tr>
        <w:trPr>
          <w:trHeight w:val="310" w:hRule="exact"/>
        </w:trPr>
        <w:tc>
          <w:tcPr>
            <w:tcW w:w="437" w:type="dxa"/>
          </w:tcPr>
          <w:p>
            <w:pPr>
              <w:pStyle w:val="TableParagraph"/>
              <w:spacing w:before="63"/>
              <w:ind w:right="67"/>
              <w:jc w:val="right"/>
              <w:rPr>
                <w:sz w:val="20"/>
              </w:rPr>
            </w:pPr>
            <w:r>
              <w:rPr>
                <w:w w:val="95"/>
                <w:sz w:val="20"/>
              </w:rPr>
              <w:t>No.</w:t>
            </w:r>
          </w:p>
        </w:tc>
        <w:tc>
          <w:tcPr>
            <w:tcW w:w="2933" w:type="dxa"/>
          </w:tcPr>
          <w:p>
            <w:pPr>
              <w:pStyle w:val="TableParagraph"/>
              <w:spacing w:before="63"/>
              <w:ind w:left="62" w:right="80"/>
              <w:rPr>
                <w:sz w:val="20"/>
              </w:rPr>
            </w:pPr>
            <w:r>
              <w:rPr>
                <w:sz w:val="20"/>
              </w:rPr>
              <w:t>Unidad de aprendizaje (UA)</w:t>
            </w:r>
          </w:p>
        </w:tc>
        <w:tc>
          <w:tcPr>
            <w:tcW w:w="408" w:type="dxa"/>
          </w:tcPr>
          <w:p>
            <w:pPr>
              <w:pStyle w:val="TableParagraph"/>
              <w:spacing w:before="63"/>
              <w:ind w:left="44" w:right="44"/>
              <w:jc w:val="center"/>
              <w:rPr>
                <w:sz w:val="20"/>
              </w:rPr>
            </w:pPr>
            <w:r>
              <w:rPr>
                <w:sz w:val="20"/>
              </w:rPr>
              <w:t>HT</w:t>
            </w:r>
          </w:p>
        </w:tc>
        <w:tc>
          <w:tcPr>
            <w:tcW w:w="396" w:type="dxa"/>
          </w:tcPr>
          <w:p>
            <w:pPr>
              <w:pStyle w:val="TableParagraph"/>
              <w:spacing w:before="63"/>
              <w:ind w:right="65"/>
              <w:jc w:val="right"/>
              <w:rPr>
                <w:sz w:val="20"/>
              </w:rPr>
            </w:pPr>
            <w:r>
              <w:rPr>
                <w:w w:val="95"/>
                <w:sz w:val="20"/>
              </w:rPr>
              <w:t>HP</w:t>
            </w:r>
          </w:p>
        </w:tc>
        <w:tc>
          <w:tcPr>
            <w:tcW w:w="437" w:type="dxa"/>
          </w:tcPr>
          <w:p>
            <w:pPr>
              <w:pStyle w:val="TableParagraph"/>
              <w:spacing w:before="63"/>
              <w:ind w:left="22" w:right="45"/>
              <w:jc w:val="center"/>
              <w:rPr>
                <w:sz w:val="20"/>
              </w:rPr>
            </w:pPr>
            <w:r>
              <w:rPr>
                <w:sz w:val="20"/>
              </w:rPr>
              <w:t>TH</w:t>
            </w:r>
          </w:p>
        </w:tc>
        <w:tc>
          <w:tcPr>
            <w:tcW w:w="470" w:type="dxa"/>
          </w:tcPr>
          <w:p>
            <w:pPr>
              <w:pStyle w:val="TableParagraph"/>
              <w:spacing w:before="63"/>
              <w:ind w:left="64"/>
              <w:rPr>
                <w:sz w:val="20"/>
              </w:rPr>
            </w:pPr>
            <w:r>
              <w:rPr>
                <w:sz w:val="20"/>
              </w:rPr>
              <w:t>CR</w:t>
            </w:r>
          </w:p>
        </w:tc>
        <w:tc>
          <w:tcPr>
            <w:tcW w:w="2576" w:type="dxa"/>
          </w:tcPr>
          <w:p>
            <w:pPr>
              <w:pStyle w:val="TableParagraph"/>
              <w:spacing w:before="63"/>
              <w:ind w:left="62" w:right="816"/>
              <w:rPr>
                <w:sz w:val="20"/>
              </w:rPr>
            </w:pPr>
            <w:r>
              <w:rPr>
                <w:sz w:val="20"/>
              </w:rPr>
              <w:t>Área curricular</w:t>
            </w:r>
          </w:p>
        </w:tc>
      </w:tr>
      <w:tr>
        <w:trPr>
          <w:trHeight w:val="610" w:hRule="exact"/>
        </w:trPr>
        <w:tc>
          <w:tcPr>
            <w:tcW w:w="437" w:type="dxa"/>
          </w:tcPr>
          <w:p>
            <w:pPr>
              <w:pStyle w:val="TableParagraph"/>
              <w:spacing w:before="8"/>
              <w:rPr>
                <w:b/>
                <w:sz w:val="29"/>
              </w:rPr>
            </w:pPr>
          </w:p>
          <w:p>
            <w:pPr>
              <w:pStyle w:val="TableParagraph"/>
              <w:ind w:right="65"/>
              <w:jc w:val="right"/>
              <w:rPr>
                <w:sz w:val="22"/>
              </w:rPr>
            </w:pPr>
            <w:r>
              <w:rPr>
                <w:w w:val="100"/>
                <w:sz w:val="22"/>
              </w:rPr>
              <w:t>1</w:t>
            </w:r>
          </w:p>
        </w:tc>
        <w:tc>
          <w:tcPr>
            <w:tcW w:w="2933" w:type="dxa"/>
          </w:tcPr>
          <w:p>
            <w:pPr>
              <w:pStyle w:val="TableParagraph"/>
              <w:spacing w:before="8"/>
              <w:rPr>
                <w:b/>
                <w:sz w:val="29"/>
              </w:rPr>
            </w:pPr>
          </w:p>
          <w:p>
            <w:pPr>
              <w:pStyle w:val="TableParagraph"/>
              <w:ind w:left="62"/>
              <w:rPr>
                <w:sz w:val="22"/>
              </w:rPr>
            </w:pPr>
            <w:r>
              <w:rPr>
                <w:sz w:val="22"/>
              </w:rPr>
              <w:t>Cálculo variacional y economía</w:t>
            </w:r>
          </w:p>
        </w:tc>
        <w:tc>
          <w:tcPr>
            <w:tcW w:w="408" w:type="dxa"/>
          </w:tcPr>
          <w:p>
            <w:pPr>
              <w:pStyle w:val="TableParagraph"/>
              <w:spacing w:before="169"/>
              <w:ind w:right="2"/>
              <w:jc w:val="center"/>
              <w:rPr>
                <w:sz w:val="22"/>
              </w:rPr>
            </w:pPr>
            <w:r>
              <w:rPr>
                <w:w w:val="100"/>
                <w:sz w:val="22"/>
              </w:rPr>
              <w:t>4</w:t>
            </w:r>
          </w:p>
        </w:tc>
        <w:tc>
          <w:tcPr>
            <w:tcW w:w="396" w:type="dxa"/>
          </w:tcPr>
          <w:p>
            <w:pPr>
              <w:pStyle w:val="TableParagraph"/>
              <w:spacing w:before="169"/>
              <w:ind w:right="137"/>
              <w:jc w:val="right"/>
              <w:rPr>
                <w:sz w:val="22"/>
              </w:rPr>
            </w:pPr>
            <w:r>
              <w:rPr>
                <w:w w:val="100"/>
                <w:sz w:val="22"/>
              </w:rPr>
              <w:t>2</w:t>
            </w:r>
          </w:p>
        </w:tc>
        <w:tc>
          <w:tcPr>
            <w:tcW w:w="437" w:type="dxa"/>
          </w:tcPr>
          <w:p>
            <w:pPr>
              <w:pStyle w:val="TableParagraph"/>
              <w:spacing w:before="169"/>
              <w:ind w:right="2"/>
              <w:jc w:val="center"/>
              <w:rPr>
                <w:sz w:val="22"/>
              </w:rPr>
            </w:pPr>
            <w:r>
              <w:rPr>
                <w:w w:val="100"/>
                <w:sz w:val="22"/>
              </w:rPr>
              <w:t>6</w:t>
            </w:r>
          </w:p>
        </w:tc>
        <w:tc>
          <w:tcPr>
            <w:tcW w:w="470" w:type="dxa"/>
          </w:tcPr>
          <w:p>
            <w:pPr>
              <w:pStyle w:val="TableParagraph"/>
              <w:spacing w:before="169"/>
              <w:ind w:left="119"/>
              <w:rPr>
                <w:sz w:val="22"/>
              </w:rPr>
            </w:pPr>
            <w:r>
              <w:rPr>
                <w:sz w:val="22"/>
              </w:rPr>
              <w:t>10</w:t>
            </w:r>
          </w:p>
        </w:tc>
        <w:tc>
          <w:tcPr>
            <w:tcW w:w="2576" w:type="dxa"/>
          </w:tcPr>
          <w:p>
            <w:pPr>
              <w:pStyle w:val="TableParagraph"/>
              <w:spacing w:before="8"/>
              <w:rPr>
                <w:b/>
                <w:sz w:val="29"/>
              </w:rPr>
            </w:pPr>
          </w:p>
          <w:p>
            <w:pPr>
              <w:pStyle w:val="TableParagraph"/>
              <w:ind w:left="62" w:right="816"/>
              <w:rPr>
                <w:sz w:val="22"/>
              </w:rPr>
            </w:pPr>
            <w:r>
              <w:rPr>
                <w:sz w:val="22"/>
              </w:rPr>
              <w:t>Acentuación</w:t>
            </w:r>
          </w:p>
        </w:tc>
      </w:tr>
      <w:tr>
        <w:trPr>
          <w:trHeight w:val="310" w:hRule="exact"/>
        </w:trPr>
        <w:tc>
          <w:tcPr>
            <w:tcW w:w="437" w:type="dxa"/>
          </w:tcPr>
          <w:p>
            <w:pPr>
              <w:pStyle w:val="TableParagraph"/>
              <w:spacing w:before="42"/>
              <w:ind w:right="65"/>
              <w:jc w:val="right"/>
              <w:rPr>
                <w:sz w:val="22"/>
              </w:rPr>
            </w:pPr>
            <w:r>
              <w:rPr>
                <w:w w:val="100"/>
                <w:sz w:val="22"/>
              </w:rPr>
              <w:t>2</w:t>
            </w:r>
          </w:p>
        </w:tc>
        <w:tc>
          <w:tcPr>
            <w:tcW w:w="2933" w:type="dxa"/>
          </w:tcPr>
          <w:p>
            <w:pPr>
              <w:pStyle w:val="TableParagraph"/>
              <w:spacing w:before="42"/>
              <w:ind w:left="62" w:right="80"/>
              <w:rPr>
                <w:sz w:val="22"/>
              </w:rPr>
            </w:pPr>
            <w:r>
              <w:rPr>
                <w:sz w:val="22"/>
              </w:rPr>
              <w:t>Optimización económica</w:t>
            </w:r>
          </w:p>
        </w:tc>
        <w:tc>
          <w:tcPr>
            <w:tcW w:w="408" w:type="dxa"/>
          </w:tcPr>
          <w:p>
            <w:pPr>
              <w:pStyle w:val="TableParagraph"/>
              <w:spacing w:before="18"/>
              <w:ind w:right="2"/>
              <w:jc w:val="center"/>
              <w:rPr>
                <w:sz w:val="22"/>
              </w:rPr>
            </w:pPr>
            <w:r>
              <w:rPr>
                <w:w w:val="100"/>
                <w:sz w:val="22"/>
              </w:rPr>
              <w:t>4</w:t>
            </w:r>
          </w:p>
        </w:tc>
        <w:tc>
          <w:tcPr>
            <w:tcW w:w="396" w:type="dxa"/>
          </w:tcPr>
          <w:p>
            <w:pPr>
              <w:pStyle w:val="TableParagraph"/>
              <w:spacing w:before="18"/>
              <w:ind w:right="137"/>
              <w:jc w:val="right"/>
              <w:rPr>
                <w:sz w:val="22"/>
              </w:rPr>
            </w:pPr>
            <w:r>
              <w:rPr>
                <w:w w:val="100"/>
                <w:sz w:val="22"/>
              </w:rPr>
              <w:t>2</w:t>
            </w:r>
          </w:p>
        </w:tc>
        <w:tc>
          <w:tcPr>
            <w:tcW w:w="437" w:type="dxa"/>
          </w:tcPr>
          <w:p>
            <w:pPr>
              <w:pStyle w:val="TableParagraph"/>
              <w:spacing w:before="18"/>
              <w:ind w:right="2"/>
              <w:jc w:val="center"/>
              <w:rPr>
                <w:sz w:val="22"/>
              </w:rPr>
            </w:pPr>
            <w:r>
              <w:rPr>
                <w:w w:val="100"/>
                <w:sz w:val="22"/>
              </w:rPr>
              <w:t>6</w:t>
            </w:r>
          </w:p>
        </w:tc>
        <w:tc>
          <w:tcPr>
            <w:tcW w:w="470" w:type="dxa"/>
          </w:tcPr>
          <w:p>
            <w:pPr>
              <w:pStyle w:val="TableParagraph"/>
              <w:spacing w:before="18"/>
              <w:ind w:left="119"/>
              <w:rPr>
                <w:sz w:val="22"/>
              </w:rPr>
            </w:pPr>
            <w:r>
              <w:rPr>
                <w:sz w:val="22"/>
              </w:rPr>
              <w:t>10</w:t>
            </w:r>
          </w:p>
        </w:tc>
        <w:tc>
          <w:tcPr>
            <w:tcW w:w="2576" w:type="dxa"/>
          </w:tcPr>
          <w:p>
            <w:pPr>
              <w:pStyle w:val="TableParagraph"/>
              <w:spacing w:before="42"/>
              <w:ind w:left="62" w:right="816"/>
              <w:rPr>
                <w:sz w:val="22"/>
              </w:rPr>
            </w:pPr>
            <w:r>
              <w:rPr>
                <w:sz w:val="22"/>
              </w:rPr>
              <w:t>Acentuación</w:t>
            </w:r>
          </w:p>
        </w:tc>
      </w:tr>
      <w:tr>
        <w:trPr>
          <w:trHeight w:val="312" w:hRule="exact"/>
        </w:trPr>
        <w:tc>
          <w:tcPr>
            <w:tcW w:w="437" w:type="dxa"/>
          </w:tcPr>
          <w:p>
            <w:pPr>
              <w:pStyle w:val="TableParagraph"/>
              <w:spacing w:before="42"/>
              <w:ind w:right="65"/>
              <w:jc w:val="right"/>
              <w:rPr>
                <w:sz w:val="22"/>
              </w:rPr>
            </w:pPr>
            <w:r>
              <w:rPr>
                <w:w w:val="100"/>
                <w:sz w:val="22"/>
              </w:rPr>
              <w:t>3</w:t>
            </w:r>
          </w:p>
        </w:tc>
        <w:tc>
          <w:tcPr>
            <w:tcW w:w="2933" w:type="dxa"/>
          </w:tcPr>
          <w:p>
            <w:pPr>
              <w:pStyle w:val="TableParagraph"/>
              <w:spacing w:before="42"/>
              <w:ind w:left="62" w:right="80"/>
              <w:rPr>
                <w:sz w:val="22"/>
              </w:rPr>
            </w:pPr>
            <w:r>
              <w:rPr>
                <w:sz w:val="22"/>
              </w:rPr>
              <w:t>Estadística matemática</w:t>
            </w:r>
          </w:p>
        </w:tc>
        <w:tc>
          <w:tcPr>
            <w:tcW w:w="408" w:type="dxa"/>
          </w:tcPr>
          <w:p>
            <w:pPr>
              <w:pStyle w:val="TableParagraph"/>
              <w:spacing w:before="18"/>
              <w:ind w:right="2"/>
              <w:jc w:val="center"/>
              <w:rPr>
                <w:sz w:val="22"/>
              </w:rPr>
            </w:pPr>
            <w:r>
              <w:rPr>
                <w:w w:val="100"/>
                <w:sz w:val="22"/>
              </w:rPr>
              <w:t>4</w:t>
            </w:r>
          </w:p>
        </w:tc>
        <w:tc>
          <w:tcPr>
            <w:tcW w:w="396" w:type="dxa"/>
          </w:tcPr>
          <w:p>
            <w:pPr>
              <w:pStyle w:val="TableParagraph"/>
              <w:spacing w:before="18"/>
              <w:ind w:right="137"/>
              <w:jc w:val="right"/>
              <w:rPr>
                <w:sz w:val="22"/>
              </w:rPr>
            </w:pPr>
            <w:r>
              <w:rPr>
                <w:w w:val="100"/>
                <w:sz w:val="22"/>
              </w:rPr>
              <w:t>2</w:t>
            </w:r>
          </w:p>
        </w:tc>
        <w:tc>
          <w:tcPr>
            <w:tcW w:w="437" w:type="dxa"/>
          </w:tcPr>
          <w:p>
            <w:pPr>
              <w:pStyle w:val="TableParagraph"/>
              <w:spacing w:before="18"/>
              <w:ind w:right="2"/>
              <w:jc w:val="center"/>
              <w:rPr>
                <w:sz w:val="22"/>
              </w:rPr>
            </w:pPr>
            <w:r>
              <w:rPr>
                <w:w w:val="100"/>
                <w:sz w:val="22"/>
              </w:rPr>
              <w:t>6</w:t>
            </w:r>
          </w:p>
        </w:tc>
        <w:tc>
          <w:tcPr>
            <w:tcW w:w="470" w:type="dxa"/>
          </w:tcPr>
          <w:p>
            <w:pPr>
              <w:pStyle w:val="TableParagraph"/>
              <w:spacing w:before="18"/>
              <w:ind w:left="119"/>
              <w:rPr>
                <w:sz w:val="22"/>
              </w:rPr>
            </w:pPr>
            <w:r>
              <w:rPr>
                <w:sz w:val="22"/>
              </w:rPr>
              <w:t>10</w:t>
            </w:r>
          </w:p>
        </w:tc>
        <w:tc>
          <w:tcPr>
            <w:tcW w:w="2576" w:type="dxa"/>
          </w:tcPr>
          <w:p>
            <w:pPr>
              <w:pStyle w:val="TableParagraph"/>
              <w:spacing w:before="42"/>
              <w:ind w:left="62" w:right="816"/>
              <w:rPr>
                <w:sz w:val="22"/>
              </w:rPr>
            </w:pPr>
            <w:r>
              <w:rPr>
                <w:sz w:val="22"/>
              </w:rPr>
              <w:t>Acentuación</w:t>
            </w:r>
          </w:p>
        </w:tc>
      </w:tr>
      <w:tr>
        <w:trPr>
          <w:trHeight w:val="610" w:hRule="exact"/>
        </w:trPr>
        <w:tc>
          <w:tcPr>
            <w:tcW w:w="437" w:type="dxa"/>
          </w:tcPr>
          <w:p>
            <w:pPr>
              <w:pStyle w:val="TableParagraph"/>
              <w:spacing w:before="5"/>
              <w:rPr>
                <w:b/>
                <w:sz w:val="29"/>
              </w:rPr>
            </w:pPr>
          </w:p>
          <w:p>
            <w:pPr>
              <w:pStyle w:val="TableParagraph"/>
              <w:spacing w:before="1"/>
              <w:ind w:right="65"/>
              <w:jc w:val="right"/>
              <w:rPr>
                <w:sz w:val="22"/>
              </w:rPr>
            </w:pPr>
            <w:r>
              <w:rPr>
                <w:w w:val="100"/>
                <w:sz w:val="22"/>
              </w:rPr>
              <w:t>4</w:t>
            </w:r>
          </w:p>
        </w:tc>
        <w:tc>
          <w:tcPr>
            <w:tcW w:w="2933" w:type="dxa"/>
          </w:tcPr>
          <w:p>
            <w:pPr>
              <w:pStyle w:val="TableParagraph"/>
              <w:spacing w:before="87"/>
              <w:ind w:left="62" w:right="477"/>
              <w:rPr>
                <w:sz w:val="22"/>
              </w:rPr>
            </w:pPr>
            <w:r>
              <w:rPr>
                <w:sz w:val="22"/>
              </w:rPr>
              <w:t>Econometría de espacio de estados</w:t>
            </w:r>
          </w:p>
        </w:tc>
        <w:tc>
          <w:tcPr>
            <w:tcW w:w="408" w:type="dxa"/>
          </w:tcPr>
          <w:p>
            <w:pPr>
              <w:pStyle w:val="TableParagraph"/>
              <w:spacing w:before="166"/>
              <w:ind w:right="2"/>
              <w:jc w:val="center"/>
              <w:rPr>
                <w:sz w:val="22"/>
              </w:rPr>
            </w:pPr>
            <w:r>
              <w:rPr>
                <w:w w:val="100"/>
                <w:sz w:val="22"/>
              </w:rPr>
              <w:t>4</w:t>
            </w:r>
          </w:p>
        </w:tc>
        <w:tc>
          <w:tcPr>
            <w:tcW w:w="396" w:type="dxa"/>
          </w:tcPr>
          <w:p>
            <w:pPr>
              <w:pStyle w:val="TableParagraph"/>
              <w:spacing w:before="166"/>
              <w:ind w:right="137"/>
              <w:jc w:val="right"/>
              <w:rPr>
                <w:sz w:val="22"/>
              </w:rPr>
            </w:pPr>
            <w:r>
              <w:rPr>
                <w:w w:val="100"/>
                <w:sz w:val="22"/>
              </w:rPr>
              <w:t>2</w:t>
            </w:r>
          </w:p>
        </w:tc>
        <w:tc>
          <w:tcPr>
            <w:tcW w:w="437" w:type="dxa"/>
          </w:tcPr>
          <w:p>
            <w:pPr>
              <w:pStyle w:val="TableParagraph"/>
              <w:spacing w:before="166"/>
              <w:ind w:right="2"/>
              <w:jc w:val="center"/>
              <w:rPr>
                <w:sz w:val="22"/>
              </w:rPr>
            </w:pPr>
            <w:r>
              <w:rPr>
                <w:w w:val="100"/>
                <w:sz w:val="22"/>
              </w:rPr>
              <w:t>6</w:t>
            </w:r>
          </w:p>
        </w:tc>
        <w:tc>
          <w:tcPr>
            <w:tcW w:w="470" w:type="dxa"/>
          </w:tcPr>
          <w:p>
            <w:pPr>
              <w:pStyle w:val="TableParagraph"/>
              <w:spacing w:before="166"/>
              <w:ind w:left="119"/>
              <w:rPr>
                <w:sz w:val="22"/>
              </w:rPr>
            </w:pPr>
            <w:r>
              <w:rPr>
                <w:sz w:val="22"/>
              </w:rPr>
              <w:t>10</w:t>
            </w:r>
          </w:p>
        </w:tc>
        <w:tc>
          <w:tcPr>
            <w:tcW w:w="2576" w:type="dxa"/>
          </w:tcPr>
          <w:p>
            <w:pPr>
              <w:pStyle w:val="TableParagraph"/>
              <w:spacing w:before="5"/>
              <w:rPr>
                <w:b/>
                <w:sz w:val="29"/>
              </w:rPr>
            </w:pPr>
          </w:p>
          <w:p>
            <w:pPr>
              <w:pStyle w:val="TableParagraph"/>
              <w:spacing w:before="1"/>
              <w:ind w:left="62" w:right="816"/>
              <w:rPr>
                <w:sz w:val="22"/>
              </w:rPr>
            </w:pPr>
            <w:r>
              <w:rPr>
                <w:sz w:val="22"/>
              </w:rPr>
              <w:t>Acentuación</w:t>
            </w:r>
          </w:p>
        </w:tc>
      </w:tr>
    </w:tbl>
    <w:p>
      <w:pPr>
        <w:pStyle w:val="BodyText"/>
        <w:spacing w:before="2"/>
        <w:rPr>
          <w:b/>
          <w:sz w:val="9"/>
        </w:rPr>
      </w:pPr>
    </w:p>
    <w:tbl>
      <w:tblPr>
        <w:tblW w:w="0" w:type="auto"/>
        <w:jc w:val="left"/>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70"/>
        <w:gridCol w:w="408"/>
        <w:gridCol w:w="396"/>
        <w:gridCol w:w="437"/>
        <w:gridCol w:w="470"/>
        <w:gridCol w:w="2576"/>
      </w:tblGrid>
      <w:tr>
        <w:trPr>
          <w:trHeight w:val="759" w:hRule="exact"/>
        </w:trPr>
        <w:tc>
          <w:tcPr>
            <w:tcW w:w="3370" w:type="dxa"/>
          </w:tcPr>
          <w:p>
            <w:pPr>
              <w:pStyle w:val="TableParagraph"/>
              <w:spacing w:before="8"/>
              <w:rPr>
                <w:b/>
                <w:sz w:val="20"/>
              </w:rPr>
            </w:pPr>
          </w:p>
          <w:p>
            <w:pPr>
              <w:pStyle w:val="TableParagraph"/>
              <w:spacing w:line="253" w:lineRule="exact"/>
              <w:ind w:right="65"/>
              <w:jc w:val="right"/>
              <w:rPr>
                <w:sz w:val="22"/>
              </w:rPr>
            </w:pPr>
            <w:r>
              <w:rPr>
                <w:sz w:val="22"/>
              </w:rPr>
              <w:t>Subtotal de optativas de líneas de</w:t>
            </w:r>
          </w:p>
          <w:p>
            <w:pPr>
              <w:pStyle w:val="TableParagraph"/>
              <w:ind w:right="61"/>
              <w:jc w:val="right"/>
              <w:rPr>
                <w:sz w:val="22"/>
              </w:rPr>
            </w:pPr>
            <w:r>
              <w:rPr>
                <w:sz w:val="22"/>
              </w:rPr>
              <w:t>acentuación</w:t>
            </w:r>
          </w:p>
        </w:tc>
        <w:tc>
          <w:tcPr>
            <w:tcW w:w="408" w:type="dxa"/>
          </w:tcPr>
          <w:p>
            <w:pPr>
              <w:pStyle w:val="TableParagraph"/>
              <w:spacing w:before="11"/>
              <w:rPr>
                <w:b/>
                <w:sz w:val="20"/>
              </w:rPr>
            </w:pPr>
          </w:p>
          <w:p>
            <w:pPr>
              <w:pStyle w:val="TableParagraph"/>
              <w:ind w:left="86"/>
              <w:rPr>
                <w:sz w:val="22"/>
              </w:rPr>
            </w:pPr>
            <w:r>
              <w:rPr>
                <w:sz w:val="22"/>
              </w:rPr>
              <w:t>16</w:t>
            </w:r>
          </w:p>
        </w:tc>
        <w:tc>
          <w:tcPr>
            <w:tcW w:w="396" w:type="dxa"/>
          </w:tcPr>
          <w:p>
            <w:pPr>
              <w:pStyle w:val="TableParagraph"/>
              <w:spacing w:before="11"/>
              <w:rPr>
                <w:b/>
                <w:sz w:val="20"/>
              </w:rPr>
            </w:pPr>
          </w:p>
          <w:p>
            <w:pPr>
              <w:pStyle w:val="TableParagraph"/>
              <w:jc w:val="center"/>
              <w:rPr>
                <w:sz w:val="22"/>
              </w:rPr>
            </w:pPr>
            <w:r>
              <w:rPr>
                <w:w w:val="100"/>
                <w:sz w:val="22"/>
              </w:rPr>
              <w:t>8</w:t>
            </w:r>
          </w:p>
        </w:tc>
        <w:tc>
          <w:tcPr>
            <w:tcW w:w="437" w:type="dxa"/>
          </w:tcPr>
          <w:p>
            <w:pPr>
              <w:pStyle w:val="TableParagraph"/>
              <w:spacing w:before="11"/>
              <w:rPr>
                <w:b/>
                <w:sz w:val="20"/>
              </w:rPr>
            </w:pPr>
          </w:p>
          <w:p>
            <w:pPr>
              <w:pStyle w:val="TableParagraph"/>
              <w:ind w:left="100"/>
              <w:rPr>
                <w:sz w:val="22"/>
              </w:rPr>
            </w:pPr>
            <w:r>
              <w:rPr>
                <w:sz w:val="22"/>
              </w:rPr>
              <w:t>24</w:t>
            </w:r>
          </w:p>
        </w:tc>
        <w:tc>
          <w:tcPr>
            <w:tcW w:w="470" w:type="dxa"/>
          </w:tcPr>
          <w:p>
            <w:pPr>
              <w:pStyle w:val="TableParagraph"/>
              <w:spacing w:before="11"/>
              <w:rPr>
                <w:b/>
                <w:sz w:val="20"/>
              </w:rPr>
            </w:pPr>
          </w:p>
          <w:p>
            <w:pPr>
              <w:pStyle w:val="TableParagraph"/>
              <w:ind w:left="119"/>
              <w:rPr>
                <w:sz w:val="22"/>
              </w:rPr>
            </w:pPr>
            <w:r>
              <w:rPr>
                <w:sz w:val="22"/>
              </w:rPr>
              <w:t>40</w:t>
            </w:r>
          </w:p>
        </w:tc>
        <w:tc>
          <w:tcPr>
            <w:tcW w:w="2576" w:type="dxa"/>
          </w:tcPr>
          <w:p>
            <w:pPr/>
          </w:p>
        </w:tc>
      </w:tr>
    </w:tbl>
    <w:p>
      <w:pPr>
        <w:pStyle w:val="BodyText"/>
        <w:spacing w:before="4"/>
        <w:rPr>
          <w:b/>
          <w:sz w:val="14"/>
        </w:rPr>
      </w:pPr>
    </w:p>
    <w:tbl>
      <w:tblPr>
        <w:tblW w:w="0" w:type="auto"/>
        <w:jc w:val="left"/>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7"/>
        <w:gridCol w:w="2933"/>
        <w:gridCol w:w="408"/>
        <w:gridCol w:w="396"/>
        <w:gridCol w:w="437"/>
        <w:gridCol w:w="470"/>
        <w:gridCol w:w="2576"/>
      </w:tblGrid>
      <w:tr>
        <w:trPr>
          <w:trHeight w:val="312" w:hRule="exact"/>
        </w:trPr>
        <w:tc>
          <w:tcPr>
            <w:tcW w:w="437" w:type="dxa"/>
          </w:tcPr>
          <w:p>
            <w:pPr>
              <w:pStyle w:val="TableParagraph"/>
              <w:spacing w:before="18"/>
              <w:ind w:left="139"/>
              <w:rPr>
                <w:sz w:val="22"/>
              </w:rPr>
            </w:pPr>
            <w:r>
              <w:rPr>
                <w:sz w:val="22"/>
              </w:rPr>
              <w:t>14</w:t>
            </w:r>
          </w:p>
        </w:tc>
        <w:tc>
          <w:tcPr>
            <w:tcW w:w="2933" w:type="dxa"/>
          </w:tcPr>
          <w:p>
            <w:pPr>
              <w:pStyle w:val="TableParagraph"/>
              <w:spacing w:before="42"/>
              <w:ind w:left="62" w:right="80"/>
              <w:rPr>
                <w:sz w:val="22"/>
              </w:rPr>
            </w:pPr>
            <w:r>
              <w:rPr>
                <w:sz w:val="22"/>
              </w:rPr>
              <w:t>Total del núcleo integral</w:t>
            </w:r>
          </w:p>
        </w:tc>
        <w:tc>
          <w:tcPr>
            <w:tcW w:w="408" w:type="dxa"/>
          </w:tcPr>
          <w:p>
            <w:pPr>
              <w:pStyle w:val="TableParagraph"/>
              <w:spacing w:before="42"/>
              <w:ind w:left="110"/>
              <w:rPr>
                <w:sz w:val="22"/>
              </w:rPr>
            </w:pPr>
            <w:r>
              <w:rPr>
                <w:sz w:val="22"/>
              </w:rPr>
              <w:t>38</w:t>
            </w:r>
          </w:p>
        </w:tc>
        <w:tc>
          <w:tcPr>
            <w:tcW w:w="396" w:type="dxa"/>
          </w:tcPr>
          <w:p>
            <w:pPr>
              <w:pStyle w:val="TableParagraph"/>
              <w:spacing w:before="42"/>
              <w:ind w:left="100"/>
              <w:rPr>
                <w:sz w:val="22"/>
              </w:rPr>
            </w:pPr>
            <w:r>
              <w:rPr>
                <w:sz w:val="22"/>
              </w:rPr>
              <w:t>28</w:t>
            </w:r>
          </w:p>
        </w:tc>
        <w:tc>
          <w:tcPr>
            <w:tcW w:w="437" w:type="dxa"/>
          </w:tcPr>
          <w:p>
            <w:pPr>
              <w:pStyle w:val="TableParagraph"/>
              <w:spacing w:before="42"/>
              <w:ind w:left="139"/>
              <w:rPr>
                <w:sz w:val="22"/>
              </w:rPr>
            </w:pPr>
            <w:r>
              <w:rPr>
                <w:sz w:val="22"/>
              </w:rPr>
              <w:t>66</w:t>
            </w:r>
          </w:p>
        </w:tc>
        <w:tc>
          <w:tcPr>
            <w:tcW w:w="470" w:type="dxa"/>
          </w:tcPr>
          <w:p>
            <w:pPr>
              <w:pStyle w:val="TableParagraph"/>
              <w:spacing w:before="42"/>
              <w:ind w:left="64"/>
              <w:rPr>
                <w:sz w:val="22"/>
              </w:rPr>
            </w:pPr>
            <w:r>
              <w:rPr>
                <w:sz w:val="22"/>
              </w:rPr>
              <w:t>104</w:t>
            </w:r>
          </w:p>
        </w:tc>
        <w:tc>
          <w:tcPr>
            <w:tcW w:w="2576" w:type="dxa"/>
          </w:tcPr>
          <w:p>
            <w:pPr/>
          </w:p>
        </w:tc>
      </w:tr>
    </w:tbl>
    <w:p>
      <w:pPr>
        <w:pStyle w:val="BodyText"/>
        <w:spacing w:line="270" w:lineRule="exact"/>
        <w:ind w:left="1323"/>
      </w:pPr>
      <w:r>
        <w:rPr/>
        <w:t>Fuente: Departamento de desarrollo curricular, UAEMéx, 2013.</w:t>
      </w:r>
    </w:p>
    <w:p>
      <w:pPr>
        <w:spacing w:after="0" w:line="270" w:lineRule="exact"/>
        <w:sectPr>
          <w:footerReference w:type="default" r:id="rId233"/>
          <w:pgSz w:w="12240" w:h="15840"/>
          <w:pgMar w:footer="1003" w:header="0" w:top="1440" w:bottom="1200" w:left="1720" w:right="1580"/>
          <w:pgNumType w:start="230"/>
        </w:sectPr>
      </w:pPr>
    </w:p>
    <w:p>
      <w:pPr>
        <w:pStyle w:val="Heading3"/>
        <w:ind w:right="19"/>
        <w:jc w:val="center"/>
      </w:pPr>
      <w:r>
        <w:rPr/>
        <w:drawing>
          <wp:anchor distT="0" distB="0" distL="0" distR="0" allowOverlap="1" layoutInCell="1" locked="0" behindDoc="0" simplePos="0" relativeHeight="8896">
            <wp:simplePos x="0" y="0"/>
            <wp:positionH relativeFrom="page">
              <wp:posOffset>3437001</wp:posOffset>
            </wp:positionH>
            <wp:positionV relativeFrom="paragraph">
              <wp:posOffset>237910</wp:posOffset>
            </wp:positionV>
            <wp:extent cx="916863" cy="654176"/>
            <wp:effectExtent l="0" t="0" r="0" b="0"/>
            <wp:wrapTopAndBottom/>
            <wp:docPr id="87" name="image128.jpeg" descr=""/>
            <wp:cNvGraphicFramePr>
              <a:graphicFrameLocks noChangeAspect="1"/>
            </wp:cNvGraphicFramePr>
            <a:graphic>
              <a:graphicData uri="http://schemas.openxmlformats.org/drawingml/2006/picture">
                <pic:pic>
                  <pic:nvPicPr>
                    <pic:cNvPr id="88" name="image128.jpeg"/>
                    <pic:cNvPicPr/>
                  </pic:nvPicPr>
                  <pic:blipFill>
                    <a:blip r:embed="rId234" cstate="print"/>
                    <a:stretch>
                      <a:fillRect/>
                    </a:stretch>
                  </pic:blipFill>
                  <pic:spPr>
                    <a:xfrm>
                      <a:off x="0" y="0"/>
                      <a:ext cx="916863" cy="654176"/>
                    </a:xfrm>
                    <a:prstGeom prst="rect">
                      <a:avLst/>
                    </a:prstGeom>
                  </pic:spPr>
                </pic:pic>
              </a:graphicData>
            </a:graphic>
          </wp:anchor>
        </w:drawing>
      </w:r>
      <w:bookmarkStart w:name="_bookmark96" w:id="170"/>
      <w:bookmarkEnd w:id="170"/>
      <w:r>
        <w:rPr>
          <w:b w:val="0"/>
        </w:rPr>
      </w:r>
      <w:r>
        <w:rPr/>
        <w:t>Anexo 4</w:t>
      </w:r>
    </w:p>
    <w:p>
      <w:pPr>
        <w:spacing w:before="213"/>
        <w:ind w:left="397" w:right="0" w:firstLine="0"/>
        <w:jc w:val="left"/>
        <w:rPr>
          <w:b/>
          <w:sz w:val="24"/>
        </w:rPr>
      </w:pPr>
      <w:r>
        <w:rPr/>
        <w:drawing>
          <wp:inline distT="0" distB="0" distL="0" distR="0">
            <wp:extent cx="747826" cy="534034"/>
            <wp:effectExtent l="0" t="0" r="0" b="0"/>
            <wp:docPr id="89" name="image128.jpeg" descr=""/>
            <wp:cNvGraphicFramePr>
              <a:graphicFrameLocks noChangeAspect="1"/>
            </wp:cNvGraphicFramePr>
            <a:graphic>
              <a:graphicData uri="http://schemas.openxmlformats.org/drawingml/2006/picture">
                <pic:pic>
                  <pic:nvPicPr>
                    <pic:cNvPr id="90" name="image128.jpeg"/>
                    <pic:cNvPicPr/>
                  </pic:nvPicPr>
                  <pic:blipFill>
                    <a:blip r:embed="rId234" cstate="print"/>
                    <a:stretch>
                      <a:fillRect/>
                    </a:stretch>
                  </pic:blipFill>
                  <pic:spPr>
                    <a:xfrm>
                      <a:off x="0" y="0"/>
                      <a:ext cx="747826" cy="534034"/>
                    </a:xfrm>
                    <a:prstGeom prst="rect">
                      <a:avLst/>
                    </a:prstGeom>
                  </pic:spPr>
                </pic:pic>
              </a:graphicData>
            </a:graphic>
          </wp:inline>
        </w:drawing>
      </w:r>
      <w:r>
        <w:rPr/>
      </w:r>
      <w:r>
        <w:rPr>
          <w:b/>
          <w:sz w:val="24"/>
        </w:rPr>
        <w:t>UNIVERSIDAD AUTÓNOMA DEL ESTADO DE</w:t>
      </w:r>
      <w:r>
        <w:rPr>
          <w:b/>
          <w:spacing w:val="-7"/>
          <w:sz w:val="24"/>
        </w:rPr>
        <w:t> </w:t>
      </w:r>
      <w:r>
        <w:rPr>
          <w:b/>
          <w:sz w:val="24"/>
        </w:rPr>
        <w:t>MÉXICO </w:t>
      </w:r>
      <w:r>
        <w:rPr>
          <w:b/>
          <w:spacing w:val="-29"/>
          <w:sz w:val="24"/>
        </w:rPr>
        <w:drawing>
          <wp:inline distT="0" distB="0" distL="0" distR="0">
            <wp:extent cx="502678" cy="525779"/>
            <wp:effectExtent l="0" t="0" r="0" b="0"/>
            <wp:docPr id="91" name="image129.jpeg" descr=""/>
            <wp:cNvGraphicFramePr>
              <a:graphicFrameLocks noChangeAspect="1"/>
            </wp:cNvGraphicFramePr>
            <a:graphic>
              <a:graphicData uri="http://schemas.openxmlformats.org/drawingml/2006/picture">
                <pic:pic>
                  <pic:nvPicPr>
                    <pic:cNvPr id="92" name="image129.jpeg"/>
                    <pic:cNvPicPr/>
                  </pic:nvPicPr>
                  <pic:blipFill>
                    <a:blip r:embed="rId235" cstate="print"/>
                    <a:stretch>
                      <a:fillRect/>
                    </a:stretch>
                  </pic:blipFill>
                  <pic:spPr>
                    <a:xfrm>
                      <a:off x="0" y="0"/>
                      <a:ext cx="502678" cy="525779"/>
                    </a:xfrm>
                    <a:prstGeom prst="rect">
                      <a:avLst/>
                    </a:prstGeom>
                  </pic:spPr>
                </pic:pic>
              </a:graphicData>
            </a:graphic>
          </wp:inline>
        </w:drawing>
      </w:r>
      <w:r>
        <w:rPr>
          <w:b/>
          <w:spacing w:val="-29"/>
          <w:sz w:val="24"/>
        </w:rPr>
      </w:r>
    </w:p>
    <w:p>
      <w:pPr>
        <w:pStyle w:val="BodyText"/>
        <w:spacing w:before="236"/>
        <w:ind w:left="2053"/>
      </w:pPr>
      <w:r>
        <w:rPr/>
        <w:t>Doctorado en Ciencias Económico Administrativas</w:t>
      </w:r>
    </w:p>
    <w:p>
      <w:pPr>
        <w:pStyle w:val="BodyText"/>
      </w:pPr>
    </w:p>
    <w:p>
      <w:pPr>
        <w:pStyle w:val="BodyText"/>
      </w:pPr>
    </w:p>
    <w:p>
      <w:pPr>
        <w:pStyle w:val="BodyText"/>
      </w:pPr>
    </w:p>
    <w:p>
      <w:pPr>
        <w:pStyle w:val="BodyText"/>
      </w:pPr>
    </w:p>
    <w:p>
      <w:pPr>
        <w:pStyle w:val="Heading3"/>
        <w:spacing w:line="276" w:lineRule="auto" w:before="178"/>
        <w:ind w:left="130" w:right="149"/>
        <w:jc w:val="center"/>
      </w:pPr>
      <w:r>
        <w:rPr/>
        <w:t>CUESTIONARIO TRANSICIÓN EGRESADOS UNIVERSITARIOS-MERCADO DE TRABAJO. FACULTAD DE ECONOMÍA UAEMéx.</w:t>
      </w:r>
    </w:p>
    <w:p>
      <w:pPr>
        <w:pStyle w:val="BodyText"/>
        <w:rPr>
          <w:b/>
        </w:rPr>
      </w:pPr>
    </w:p>
    <w:p>
      <w:pPr>
        <w:pStyle w:val="BodyText"/>
        <w:rPr>
          <w:b/>
        </w:rPr>
      </w:pPr>
    </w:p>
    <w:p>
      <w:pPr>
        <w:pStyle w:val="BodyText"/>
        <w:spacing w:before="3"/>
        <w:rPr>
          <w:b/>
        </w:rPr>
      </w:pPr>
    </w:p>
    <w:p>
      <w:pPr>
        <w:pStyle w:val="BodyText"/>
        <w:spacing w:line="276" w:lineRule="auto"/>
        <w:ind w:left="102" w:right="117" w:firstLine="707"/>
        <w:jc w:val="both"/>
      </w:pPr>
      <w:r>
        <w:rPr/>
        <w:t>Este cuestionario está diseñado para conocer el proceso de transición de la universidad al mercado de trabajo (primer empleo) de los egresados de la Licenciatura en Economía de la Universidad Autónoma del Estado de México (UAEMéx), de las generaciones del año 2000 a 2010, y forma parte de la investigación de tesis doctoral. No le tomará más de 15 minutos contestarlo. La información proporcionada será confidencial y  en ningún momento su identidad quedará comprometida. Agradecemos su</w:t>
      </w:r>
      <w:r>
        <w:rPr>
          <w:spacing w:val="-15"/>
        </w:rPr>
        <w:t> </w:t>
      </w:r>
      <w:r>
        <w:rPr/>
        <w:t>participación.</w:t>
      </w:r>
    </w:p>
    <w:p>
      <w:pPr>
        <w:pStyle w:val="BodyText"/>
        <w:spacing w:before="9"/>
        <w:rPr>
          <w:sz w:val="27"/>
        </w:rPr>
      </w:pPr>
    </w:p>
    <w:p>
      <w:pPr>
        <w:pStyle w:val="BodyText"/>
        <w:spacing w:line="276" w:lineRule="auto"/>
        <w:ind w:left="102"/>
      </w:pPr>
      <w:r>
        <w:rPr/>
        <w:pict>
          <v:group style="position:absolute;margin-left:507.950012pt;margin-top:31.543127pt;width:14.65pt;height:13.1pt;mso-position-horizontal-relative:page;mso-position-vertical-relative:paragraph;z-index:-393736" coordorigin="10159,631" coordsize="293,262">
            <v:shape style="position:absolute;left:10176;top:669;width:276;height:223" type="#_x0000_t75" stroked="false">
              <v:imagedata r:id="rId236" o:title=""/>
            </v:shape>
            <v:shape style="position:absolute;left:10169;top:641;width:251;height:200" type="#_x0000_t75" stroked="false">
              <v:imagedata r:id="rId237" o:title=""/>
            </v:shape>
            <v:rect style="position:absolute;left:10169;top:641;width:251;height:200" filled="false" stroked="true" strokeweight="1pt" strokecolor="#666666"/>
            <w10:wrap type="none"/>
          </v:group>
        </w:pict>
      </w:r>
      <w:r>
        <w:rPr>
          <w:i/>
        </w:rPr>
        <w:t>Instrucciones: </w:t>
      </w:r>
      <w:r>
        <w:rPr/>
        <w:t>Responder según corresponda a cada cuestión, considerando las siguientes recomendaciones:</w:t>
      </w:r>
    </w:p>
    <w:p>
      <w:pPr>
        <w:pStyle w:val="ListParagraph"/>
        <w:numPr>
          <w:ilvl w:val="0"/>
          <w:numId w:val="81"/>
        </w:numPr>
        <w:tabs>
          <w:tab w:pos="821" w:val="left" w:leader="none"/>
          <w:tab w:pos="822" w:val="left" w:leader="none"/>
          <w:tab w:pos="8677" w:val="left" w:leader="none"/>
        </w:tabs>
        <w:spacing w:line="240" w:lineRule="auto" w:before="1" w:after="0"/>
        <w:ind w:left="822" w:right="0" w:hanging="360"/>
        <w:jc w:val="left"/>
        <w:rPr>
          <w:sz w:val="24"/>
        </w:rPr>
      </w:pPr>
      <w:r>
        <w:rPr>
          <w:sz w:val="24"/>
        </w:rPr>
        <w:t>Marcar la respuesta rellenando completamente el recuadro del</w:t>
      </w:r>
      <w:r>
        <w:rPr>
          <w:spacing w:val="-8"/>
          <w:sz w:val="24"/>
        </w:rPr>
        <w:t> </w:t>
      </w:r>
      <w:r>
        <w:rPr>
          <w:sz w:val="24"/>
        </w:rPr>
        <w:t>siguiente</w:t>
      </w:r>
      <w:r>
        <w:rPr>
          <w:spacing w:val="-2"/>
          <w:sz w:val="24"/>
        </w:rPr>
        <w:t> </w:t>
      </w:r>
      <w:r>
        <w:rPr>
          <w:sz w:val="24"/>
        </w:rPr>
        <w:t>modo</w:t>
        <w:tab/>
        <w:t>.</w:t>
      </w:r>
    </w:p>
    <w:p>
      <w:pPr>
        <w:pStyle w:val="ListParagraph"/>
        <w:numPr>
          <w:ilvl w:val="0"/>
          <w:numId w:val="81"/>
        </w:numPr>
        <w:tabs>
          <w:tab w:pos="821" w:val="left" w:leader="none"/>
          <w:tab w:pos="822" w:val="left" w:leader="none"/>
        </w:tabs>
        <w:spacing w:line="276" w:lineRule="auto" w:before="41" w:after="0"/>
        <w:ind w:left="822" w:right="122" w:hanging="360"/>
        <w:jc w:val="left"/>
        <w:rPr>
          <w:sz w:val="24"/>
        </w:rPr>
      </w:pPr>
      <w:r>
        <w:rPr>
          <w:sz w:val="24"/>
        </w:rPr>
        <w:t>Algunas preguntas admiten varias respuestas. Cuando éste sea el caso viene claramente</w:t>
      </w:r>
      <w:r>
        <w:rPr>
          <w:spacing w:val="-4"/>
          <w:sz w:val="24"/>
        </w:rPr>
        <w:t> </w:t>
      </w:r>
      <w:r>
        <w:rPr>
          <w:sz w:val="24"/>
        </w:rPr>
        <w:t>indicado.</w:t>
      </w:r>
    </w:p>
    <w:p>
      <w:pPr>
        <w:pStyle w:val="ListParagraph"/>
        <w:numPr>
          <w:ilvl w:val="0"/>
          <w:numId w:val="81"/>
        </w:numPr>
        <w:tabs>
          <w:tab w:pos="821" w:val="left" w:leader="none"/>
          <w:tab w:pos="822" w:val="left" w:leader="none"/>
        </w:tabs>
        <w:spacing w:line="240" w:lineRule="auto" w:before="3" w:after="0"/>
        <w:ind w:left="822" w:right="0" w:hanging="360"/>
        <w:jc w:val="left"/>
        <w:rPr>
          <w:sz w:val="24"/>
        </w:rPr>
      </w:pPr>
      <w:r>
        <w:rPr>
          <w:sz w:val="24"/>
        </w:rPr>
        <w:t>Si la respuesta es un número. por favor escriba una cifra por</w:t>
      </w:r>
      <w:r>
        <w:rPr>
          <w:spacing w:val="-11"/>
          <w:sz w:val="24"/>
        </w:rPr>
        <w:t> </w:t>
      </w:r>
      <w:r>
        <w:rPr>
          <w:sz w:val="24"/>
        </w:rPr>
        <w:t>recuadro.</w:t>
      </w:r>
    </w:p>
    <w:p>
      <w:pPr>
        <w:pStyle w:val="BodyText"/>
        <w:spacing w:before="6"/>
        <w:rPr>
          <w:sz w:val="31"/>
        </w:rPr>
      </w:pPr>
    </w:p>
    <w:p>
      <w:pPr>
        <w:pStyle w:val="Heading4"/>
        <w:numPr>
          <w:ilvl w:val="0"/>
          <w:numId w:val="82"/>
        </w:numPr>
        <w:tabs>
          <w:tab w:pos="383" w:val="left" w:leader="none"/>
        </w:tabs>
        <w:spacing w:line="240" w:lineRule="auto" w:before="0" w:after="0"/>
        <w:ind w:left="382" w:right="0" w:hanging="280"/>
        <w:jc w:val="left"/>
        <w:rPr>
          <w:i/>
        </w:rPr>
      </w:pPr>
      <w:r>
        <w:rPr>
          <w:i/>
        </w:rPr>
        <w:t>Factores</w:t>
      </w:r>
      <w:r>
        <w:rPr>
          <w:i/>
          <w:spacing w:val="-8"/>
        </w:rPr>
        <w:t> </w:t>
      </w:r>
      <w:r>
        <w:rPr>
          <w:i/>
        </w:rPr>
        <w:t>socio-demográficos.</w:t>
      </w:r>
    </w:p>
    <w:p>
      <w:pPr>
        <w:pStyle w:val="BodyText"/>
        <w:spacing w:before="10"/>
        <w:rPr>
          <w:b/>
          <w:i/>
          <w:sz w:val="30"/>
        </w:rPr>
      </w:pPr>
    </w:p>
    <w:p>
      <w:pPr>
        <w:pStyle w:val="ListParagraph"/>
        <w:numPr>
          <w:ilvl w:val="1"/>
          <w:numId w:val="82"/>
        </w:numPr>
        <w:tabs>
          <w:tab w:pos="462" w:val="left" w:leader="none"/>
        </w:tabs>
        <w:spacing w:line="240" w:lineRule="auto" w:before="0" w:after="0"/>
        <w:ind w:left="462" w:right="0" w:hanging="360"/>
        <w:jc w:val="left"/>
        <w:rPr>
          <w:sz w:val="24"/>
        </w:rPr>
      </w:pPr>
      <w:r>
        <w:rPr/>
        <w:pict>
          <v:rect style="position:absolute;margin-left:109.099998pt;margin-top:18.313126pt;width:11.25pt;height:9.4pt;mso-position-horizontal-relative:page;mso-position-vertical-relative:paragraph;z-index:-393712" filled="false" stroked="true" strokeweight=".75pt" strokecolor="#000000">
            <w10:wrap type="none"/>
          </v:rect>
        </w:pict>
      </w:r>
      <w:r>
        <w:rPr/>
        <w:pict>
          <v:rect style="position:absolute;margin-left:109.400002pt;margin-top:43.833126pt;width:11.25pt;height:9.4pt;mso-position-horizontal-relative:page;mso-position-vertical-relative:paragraph;z-index:-393688" filled="false" stroked="true" strokeweight=".75pt" strokecolor="#000000">
            <w10:wrap type="none"/>
          </v:rect>
        </w:pict>
      </w:r>
      <w:r>
        <w:rPr/>
        <w:pict>
          <v:rect style="position:absolute;margin-left:109.400002pt;margin-top:69.703125pt;width:11.25pt;height:9.4pt;mso-position-horizontal-relative:page;mso-position-vertical-relative:paragraph;z-index:-393664" filled="false" stroked="true" strokeweight=".75pt" strokecolor="#000000">
            <w10:wrap type="none"/>
          </v:rect>
        </w:pict>
      </w:r>
      <w:r>
        <w:rPr/>
        <w:pict>
          <v:rect style="position:absolute;margin-left:109.050003pt;margin-top:95.071129pt;width:11.25pt;height:9.4pt;mso-position-horizontal-relative:page;mso-position-vertical-relative:paragraph;z-index:-393640" filled="false" stroked="true" strokeweight=".75pt" strokecolor="#000000">
            <w10:wrap type="none"/>
          </v:rect>
        </w:pict>
      </w:r>
      <w:r>
        <w:rPr>
          <w:sz w:val="24"/>
        </w:rPr>
        <w:t>Año de egreso de la licenciatura en Economía de la</w:t>
      </w:r>
      <w:r>
        <w:rPr>
          <w:spacing w:val="-7"/>
          <w:sz w:val="24"/>
        </w:rPr>
        <w:t> </w:t>
      </w:r>
      <w:r>
        <w:rPr>
          <w:sz w:val="24"/>
        </w:rPr>
        <w:t>UAEMéx:</w:t>
      </w:r>
    </w:p>
    <w:p>
      <w:pPr>
        <w:pStyle w:val="BodyText"/>
        <w:spacing w:before="2"/>
        <w:rPr>
          <w:sz w:val="6"/>
        </w:rPr>
      </w:pPr>
    </w:p>
    <w:tbl>
      <w:tblPr>
        <w:tblW w:w="0" w:type="auto"/>
        <w:jc w:val="left"/>
        <w:tblInd w:w="7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80"/>
      </w:tblGrid>
      <w:tr>
        <w:trPr>
          <w:trHeight w:val="379" w:hRule="exact"/>
        </w:trPr>
        <w:tc>
          <w:tcPr>
            <w:tcW w:w="880" w:type="dxa"/>
          </w:tcPr>
          <w:p>
            <w:pPr>
              <w:pStyle w:val="TableParagraph"/>
              <w:spacing w:line="245" w:lineRule="exact"/>
              <w:ind w:left="200"/>
              <w:rPr>
                <w:sz w:val="24"/>
              </w:rPr>
            </w:pPr>
            <w:r>
              <w:rPr>
                <w:sz w:val="24"/>
              </w:rPr>
              <w:t>2000</w:t>
            </w:r>
          </w:p>
        </w:tc>
      </w:tr>
      <w:tr>
        <w:trPr>
          <w:trHeight w:val="517" w:hRule="exact"/>
        </w:trPr>
        <w:tc>
          <w:tcPr>
            <w:tcW w:w="880" w:type="dxa"/>
          </w:tcPr>
          <w:p>
            <w:pPr>
              <w:pStyle w:val="TableParagraph"/>
              <w:spacing w:before="108"/>
              <w:ind w:left="200"/>
              <w:rPr>
                <w:sz w:val="24"/>
              </w:rPr>
            </w:pPr>
            <w:r>
              <w:rPr>
                <w:sz w:val="24"/>
              </w:rPr>
              <w:t>2001</w:t>
            </w:r>
          </w:p>
        </w:tc>
      </w:tr>
      <w:tr>
        <w:trPr>
          <w:trHeight w:val="517" w:hRule="exact"/>
        </w:trPr>
        <w:tc>
          <w:tcPr>
            <w:tcW w:w="880" w:type="dxa"/>
          </w:tcPr>
          <w:p>
            <w:pPr>
              <w:pStyle w:val="TableParagraph"/>
              <w:spacing w:before="107"/>
              <w:ind w:left="200"/>
              <w:rPr>
                <w:sz w:val="24"/>
              </w:rPr>
            </w:pPr>
            <w:r>
              <w:rPr>
                <w:sz w:val="24"/>
              </w:rPr>
              <w:t>2002</w:t>
            </w:r>
          </w:p>
        </w:tc>
      </w:tr>
      <w:tr>
        <w:trPr>
          <w:trHeight w:val="379" w:hRule="exact"/>
        </w:trPr>
        <w:tc>
          <w:tcPr>
            <w:tcW w:w="880" w:type="dxa"/>
          </w:tcPr>
          <w:p>
            <w:pPr>
              <w:pStyle w:val="TableParagraph"/>
              <w:spacing w:before="108"/>
              <w:ind w:left="200"/>
              <w:rPr>
                <w:sz w:val="24"/>
              </w:rPr>
            </w:pPr>
            <w:r>
              <w:rPr>
                <w:sz w:val="24"/>
              </w:rPr>
              <w:t>2003</w:t>
            </w:r>
          </w:p>
        </w:tc>
      </w:tr>
    </w:tbl>
    <w:p>
      <w:pPr>
        <w:spacing w:after="0"/>
        <w:rPr>
          <w:sz w:val="24"/>
        </w:rPr>
        <w:sectPr>
          <w:pgSz w:w="12240" w:h="15840"/>
          <w:pgMar w:header="0" w:footer="1003" w:top="1360" w:bottom="1200" w:left="1600" w:right="1580"/>
        </w:sectPr>
      </w:pPr>
    </w:p>
    <w:tbl>
      <w:tblPr>
        <w:tblW w:w="0" w:type="auto"/>
        <w:jc w:val="left"/>
        <w:tblInd w:w="7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80"/>
      </w:tblGrid>
      <w:tr>
        <w:trPr>
          <w:trHeight w:val="379" w:hRule="exact"/>
        </w:trPr>
        <w:tc>
          <w:tcPr>
            <w:tcW w:w="880" w:type="dxa"/>
          </w:tcPr>
          <w:p>
            <w:pPr>
              <w:pStyle w:val="TableParagraph"/>
              <w:spacing w:line="245" w:lineRule="exact"/>
              <w:ind w:left="200"/>
              <w:rPr>
                <w:sz w:val="24"/>
              </w:rPr>
            </w:pPr>
            <w:r>
              <w:rPr>
                <w:sz w:val="24"/>
              </w:rPr>
              <w:t>2004</w:t>
            </w:r>
          </w:p>
        </w:tc>
      </w:tr>
      <w:tr>
        <w:trPr>
          <w:trHeight w:val="518" w:hRule="exact"/>
        </w:trPr>
        <w:tc>
          <w:tcPr>
            <w:tcW w:w="880" w:type="dxa"/>
          </w:tcPr>
          <w:p>
            <w:pPr>
              <w:pStyle w:val="TableParagraph"/>
              <w:spacing w:before="108"/>
              <w:ind w:left="200"/>
              <w:rPr>
                <w:sz w:val="24"/>
              </w:rPr>
            </w:pPr>
            <w:r>
              <w:rPr>
                <w:sz w:val="24"/>
              </w:rPr>
              <w:t>2005</w:t>
            </w:r>
          </w:p>
        </w:tc>
      </w:tr>
      <w:tr>
        <w:trPr>
          <w:trHeight w:val="517" w:hRule="exact"/>
        </w:trPr>
        <w:tc>
          <w:tcPr>
            <w:tcW w:w="880" w:type="dxa"/>
          </w:tcPr>
          <w:p>
            <w:pPr>
              <w:pStyle w:val="TableParagraph"/>
              <w:spacing w:before="108"/>
              <w:ind w:left="200"/>
              <w:rPr>
                <w:sz w:val="24"/>
              </w:rPr>
            </w:pPr>
            <w:r>
              <w:rPr>
                <w:sz w:val="24"/>
              </w:rPr>
              <w:t>2006</w:t>
            </w:r>
          </w:p>
        </w:tc>
      </w:tr>
      <w:tr>
        <w:trPr>
          <w:trHeight w:val="517" w:hRule="exact"/>
        </w:trPr>
        <w:tc>
          <w:tcPr>
            <w:tcW w:w="880" w:type="dxa"/>
          </w:tcPr>
          <w:p>
            <w:pPr>
              <w:pStyle w:val="TableParagraph"/>
              <w:spacing w:before="107"/>
              <w:ind w:left="200"/>
              <w:rPr>
                <w:sz w:val="24"/>
              </w:rPr>
            </w:pPr>
            <w:r>
              <w:rPr>
                <w:sz w:val="24"/>
              </w:rPr>
              <w:t>2007</w:t>
            </w:r>
          </w:p>
        </w:tc>
      </w:tr>
      <w:tr>
        <w:trPr>
          <w:trHeight w:val="517" w:hRule="exact"/>
        </w:trPr>
        <w:tc>
          <w:tcPr>
            <w:tcW w:w="880" w:type="dxa"/>
          </w:tcPr>
          <w:p>
            <w:pPr>
              <w:pStyle w:val="TableParagraph"/>
              <w:spacing w:before="108"/>
              <w:ind w:left="200"/>
              <w:rPr>
                <w:sz w:val="24"/>
              </w:rPr>
            </w:pPr>
            <w:r>
              <w:rPr>
                <w:sz w:val="24"/>
              </w:rPr>
              <w:t>2008</w:t>
            </w:r>
          </w:p>
        </w:tc>
      </w:tr>
      <w:tr>
        <w:trPr>
          <w:trHeight w:val="517" w:hRule="exact"/>
        </w:trPr>
        <w:tc>
          <w:tcPr>
            <w:tcW w:w="880" w:type="dxa"/>
          </w:tcPr>
          <w:p>
            <w:pPr>
              <w:pStyle w:val="TableParagraph"/>
              <w:spacing w:before="107"/>
              <w:ind w:left="200"/>
              <w:rPr>
                <w:sz w:val="24"/>
              </w:rPr>
            </w:pPr>
            <w:r>
              <w:rPr>
                <w:sz w:val="24"/>
              </w:rPr>
              <w:t>2009</w:t>
            </w:r>
          </w:p>
        </w:tc>
      </w:tr>
      <w:tr>
        <w:trPr>
          <w:trHeight w:val="379" w:hRule="exact"/>
        </w:trPr>
        <w:tc>
          <w:tcPr>
            <w:tcW w:w="880" w:type="dxa"/>
          </w:tcPr>
          <w:p>
            <w:pPr>
              <w:pStyle w:val="TableParagraph"/>
              <w:spacing w:before="108"/>
              <w:ind w:left="200"/>
              <w:rPr>
                <w:sz w:val="24"/>
              </w:rPr>
            </w:pPr>
            <w:r>
              <w:rPr>
                <w:sz w:val="24"/>
              </w:rPr>
              <w:t>2010</w:t>
            </w:r>
          </w:p>
        </w:tc>
      </w:tr>
    </w:tbl>
    <w:p>
      <w:pPr>
        <w:pStyle w:val="BodyText"/>
        <w:rPr>
          <w:sz w:val="20"/>
        </w:rPr>
      </w:pPr>
      <w:r>
        <w:rPr/>
        <w:pict>
          <v:rect style="position:absolute;margin-left:109.400002pt;margin-top:72.849998pt;width:11.25pt;height:9.4pt;mso-position-horizontal-relative:page;mso-position-vertical-relative:page;z-index:-393616" filled="false" stroked="true" strokeweight=".75pt" strokecolor="#000000">
            <w10:wrap type="none"/>
          </v:rect>
        </w:pict>
      </w:r>
      <w:r>
        <w:rPr/>
        <w:pict>
          <v:rect style="position:absolute;margin-left:109.050003pt;margin-top:98.419998pt;width:11.25pt;height:9.4pt;mso-position-horizontal-relative:page;mso-position-vertical-relative:page;z-index:-393592" filled="false" stroked="true" strokeweight=".75pt" strokecolor="#000000">
            <w10:wrap type="none"/>
          </v:rect>
        </w:pict>
      </w:r>
      <w:r>
        <w:rPr/>
        <w:pict>
          <v:rect style="position:absolute;margin-left:109.699997pt;margin-top:124.290001pt;width:11.25pt;height:9.4pt;mso-position-horizontal-relative:page;mso-position-vertical-relative:page;z-index:-393568" filled="false" stroked="true" strokeweight=".75pt" strokecolor="#000000">
            <w10:wrap type="none"/>
          </v:rect>
        </w:pict>
      </w:r>
      <w:r>
        <w:rPr/>
        <w:pict>
          <v:rect style="position:absolute;margin-left:109.349998pt;margin-top:150.309998pt;width:11.25pt;height:9.4pt;mso-position-horizontal-relative:page;mso-position-vertical-relative:page;z-index:-393544" filled="false" stroked="true" strokeweight=".75pt" strokecolor="#000000">
            <w10:wrap type="none"/>
          </v:rect>
        </w:pict>
      </w:r>
    </w:p>
    <w:p>
      <w:pPr>
        <w:pStyle w:val="BodyText"/>
        <w:rPr>
          <w:sz w:val="20"/>
        </w:rPr>
      </w:pPr>
    </w:p>
    <w:p>
      <w:pPr>
        <w:pStyle w:val="BodyText"/>
        <w:spacing w:before="5"/>
        <w:rPr>
          <w:sz w:val="20"/>
        </w:rPr>
      </w:pPr>
    </w:p>
    <w:p>
      <w:pPr>
        <w:pStyle w:val="ListParagraph"/>
        <w:numPr>
          <w:ilvl w:val="1"/>
          <w:numId w:val="82"/>
        </w:numPr>
        <w:tabs>
          <w:tab w:pos="462" w:val="left" w:leader="none"/>
        </w:tabs>
        <w:spacing w:line="240" w:lineRule="auto" w:before="69" w:after="0"/>
        <w:ind w:left="462" w:right="0" w:hanging="360"/>
        <w:jc w:val="left"/>
        <w:rPr>
          <w:sz w:val="24"/>
        </w:rPr>
      </w:pPr>
      <w:r>
        <w:rPr/>
        <w:pict>
          <v:rect style="position:absolute;margin-left:109.400002pt;margin-top:-97.446861pt;width:11.25pt;height:9.4pt;mso-position-horizontal-relative:page;mso-position-vertical-relative:paragraph;z-index:-393520" filled="false" stroked="true" strokeweight=".75pt" strokecolor="#000000">
            <w10:wrap type="none"/>
          </v:rect>
        </w:pict>
      </w:r>
      <w:r>
        <w:rPr/>
        <w:pict>
          <v:rect style="position:absolute;margin-left:109.050003pt;margin-top:-71.276863pt;width:11.25pt;height:9.4pt;mso-position-horizontal-relative:page;mso-position-vertical-relative:paragraph;z-index:-393496" filled="false" stroked="true" strokeweight=".75pt" strokecolor="#000000">
            <w10:wrap type="none"/>
          </v:rect>
        </w:pict>
      </w:r>
      <w:r>
        <w:rPr/>
        <w:pict>
          <v:rect style="position:absolute;margin-left:109.050003pt;margin-top:-46.056866pt;width:11.25pt;height:9.4pt;mso-position-horizontal-relative:page;mso-position-vertical-relative:paragraph;z-index:-393472" filled="false" stroked="true" strokeweight=".75pt" strokecolor="#000000">
            <w10:wrap type="none"/>
          </v:rect>
        </w:pict>
      </w:r>
      <w:r>
        <w:rPr>
          <w:sz w:val="24"/>
        </w:rPr>
        <w:t>Sexo:</w:t>
      </w:r>
    </w:p>
    <w:p>
      <w:pPr>
        <w:pStyle w:val="BodyText"/>
        <w:tabs>
          <w:tab w:pos="3821" w:val="left" w:leader="none"/>
        </w:tabs>
        <w:spacing w:before="41"/>
        <w:ind w:left="1001"/>
      </w:pPr>
      <w:r>
        <w:rPr/>
        <w:pict>
          <v:rect style="position:absolute;margin-left:117.800003pt;margin-top:6.813139pt;width:11.25pt;height:9.4pt;mso-position-horizontal-relative:page;mso-position-vertical-relative:paragraph;z-index:9208" filled="false" stroked="true" strokeweight=".75pt" strokecolor="#000000">
            <w10:wrap type="none"/>
          </v:rect>
        </w:pict>
      </w:r>
      <w:r>
        <w:rPr/>
        <w:pict>
          <v:rect style="position:absolute;margin-left:255.600006pt;margin-top:6.86314pt;width:11.25pt;height:9.4pt;mso-position-horizontal-relative:page;mso-position-vertical-relative:paragraph;z-index:-393424" filled="false" stroked="true" strokeweight=".75pt" strokecolor="#000000">
            <w10:wrap type="none"/>
          </v:rect>
        </w:pict>
      </w:r>
      <w:r>
        <w:rPr/>
        <w:t>Femenino</w:t>
        <w:tab/>
        <w:t>Masculino</w:t>
      </w:r>
    </w:p>
    <w:p>
      <w:pPr>
        <w:pStyle w:val="BodyText"/>
      </w:pPr>
    </w:p>
    <w:p>
      <w:pPr>
        <w:pStyle w:val="BodyText"/>
      </w:pPr>
    </w:p>
    <w:p>
      <w:pPr>
        <w:pStyle w:val="BodyText"/>
      </w:pPr>
    </w:p>
    <w:p>
      <w:pPr>
        <w:pStyle w:val="Heading4"/>
        <w:numPr>
          <w:ilvl w:val="0"/>
          <w:numId w:val="82"/>
        </w:numPr>
        <w:tabs>
          <w:tab w:pos="383" w:val="left" w:leader="none"/>
        </w:tabs>
        <w:spacing w:line="240" w:lineRule="auto" w:before="170" w:after="0"/>
        <w:ind w:left="382" w:right="0" w:hanging="280"/>
        <w:jc w:val="left"/>
        <w:rPr>
          <w:i/>
        </w:rPr>
      </w:pPr>
      <w:r>
        <w:rPr>
          <w:i/>
        </w:rPr>
        <w:t>Asertividad de la</w:t>
      </w:r>
      <w:r>
        <w:rPr>
          <w:i/>
          <w:spacing w:val="-4"/>
        </w:rPr>
        <w:t> </w:t>
      </w:r>
      <w:r>
        <w:rPr>
          <w:i/>
        </w:rPr>
        <w:t>transición.</w:t>
      </w:r>
    </w:p>
    <w:p>
      <w:pPr>
        <w:pStyle w:val="BodyText"/>
        <w:spacing w:before="10"/>
        <w:rPr>
          <w:b/>
          <w:i/>
          <w:sz w:val="30"/>
        </w:rPr>
      </w:pPr>
    </w:p>
    <w:p>
      <w:pPr>
        <w:pStyle w:val="ListParagraph"/>
        <w:numPr>
          <w:ilvl w:val="0"/>
          <w:numId w:val="83"/>
        </w:numPr>
        <w:tabs>
          <w:tab w:pos="462" w:val="left" w:leader="none"/>
        </w:tabs>
        <w:spacing w:line="240" w:lineRule="auto" w:before="0" w:after="0"/>
        <w:ind w:left="462" w:right="0" w:hanging="360"/>
        <w:jc w:val="left"/>
        <w:rPr>
          <w:sz w:val="24"/>
        </w:rPr>
      </w:pPr>
      <w:r>
        <w:rPr>
          <w:sz w:val="24"/>
        </w:rPr>
        <w:t>¿Qué calificación promedio obtuvo en la</w:t>
      </w:r>
      <w:r>
        <w:rPr>
          <w:spacing w:val="-9"/>
          <w:sz w:val="24"/>
        </w:rPr>
        <w:t> </w:t>
      </w:r>
      <w:r>
        <w:rPr>
          <w:sz w:val="24"/>
        </w:rPr>
        <w:t>licenciatura?</w:t>
      </w:r>
    </w:p>
    <w:p>
      <w:pPr>
        <w:pStyle w:val="BodyText"/>
        <w:spacing w:before="1"/>
        <w:rPr>
          <w:sz w:val="31"/>
        </w:rPr>
      </w:pPr>
    </w:p>
    <w:p>
      <w:pPr>
        <w:pStyle w:val="BodyText"/>
        <w:tabs>
          <w:tab w:pos="2461" w:val="left" w:leader="none"/>
          <w:tab w:pos="4081" w:val="left" w:leader="none"/>
          <w:tab w:pos="5420" w:val="left" w:leader="none"/>
        </w:tabs>
        <w:ind w:left="1121"/>
      </w:pPr>
      <w:r>
        <w:rPr/>
        <w:pict>
          <v:rect style="position:absolute;margin-left:119.75pt;margin-top:3.883129pt;width:11.25pt;height:9.4pt;mso-position-horizontal-relative:page;mso-position-vertical-relative:paragraph;z-index:9256" filled="false" stroked="true" strokeweight=".75pt" strokecolor="#000000">
            <w10:wrap type="none"/>
          </v:rect>
        </w:pict>
      </w:r>
      <w:r>
        <w:rPr/>
        <w:pict>
          <v:rect style="position:absolute;margin-left:189.199997pt;margin-top:3.883129pt;width:11.25pt;height:9.4pt;mso-position-horizontal-relative:page;mso-position-vertical-relative:paragraph;z-index:-393376" filled="false" stroked="true" strokeweight=".75pt" strokecolor="#000000">
            <w10:wrap type="none"/>
          </v:rect>
        </w:pict>
      </w:r>
      <w:r>
        <w:rPr/>
        <w:pict>
          <v:rect style="position:absolute;margin-left:270.450012pt;margin-top:3.933129pt;width:11.25pt;height:9.4pt;mso-position-horizontal-relative:page;mso-position-vertical-relative:paragraph;z-index:-393352" filled="false" stroked="true" strokeweight=".75pt" strokecolor="#000000">
            <w10:wrap type="none"/>
          </v:rect>
        </w:pict>
      </w:r>
      <w:r>
        <w:rPr/>
        <w:pict>
          <v:rect style="position:absolute;margin-left:339.850006pt;margin-top:3.883129pt;width:11.25pt;height:9.4pt;mso-position-horizontal-relative:page;mso-position-vertical-relative:paragraph;z-index:-393328" filled="false" stroked="true" strokeweight=".75pt" strokecolor="#000000">
            <w10:wrap type="none"/>
          </v:rect>
        </w:pict>
      </w:r>
      <w:r>
        <w:rPr/>
        <w:t>6 -</w:t>
      </w:r>
      <w:r>
        <w:rPr>
          <w:spacing w:val="-1"/>
        </w:rPr>
        <w:t> </w:t>
      </w:r>
      <w:r>
        <w:rPr/>
        <w:t>6.9</w:t>
        <w:tab/>
        <w:t>7.0 – 7.9</w:t>
        <w:tab/>
        <w:t>8.0-</w:t>
      </w:r>
      <w:r>
        <w:rPr>
          <w:spacing w:val="-1"/>
        </w:rPr>
        <w:t> </w:t>
      </w:r>
      <w:r>
        <w:rPr/>
        <w:t>8.9</w:t>
        <w:tab/>
        <w:t>9.0 – 10</w:t>
      </w:r>
    </w:p>
    <w:p>
      <w:pPr>
        <w:pStyle w:val="BodyText"/>
        <w:spacing w:before="3"/>
        <w:rPr>
          <w:sz w:val="31"/>
        </w:rPr>
      </w:pPr>
    </w:p>
    <w:p>
      <w:pPr>
        <w:pStyle w:val="ListParagraph"/>
        <w:numPr>
          <w:ilvl w:val="0"/>
          <w:numId w:val="83"/>
        </w:numPr>
        <w:tabs>
          <w:tab w:pos="462" w:val="left" w:leader="none"/>
        </w:tabs>
        <w:spacing w:line="240" w:lineRule="auto" w:before="0" w:after="0"/>
        <w:ind w:left="462" w:right="0" w:hanging="360"/>
        <w:jc w:val="left"/>
        <w:rPr>
          <w:sz w:val="24"/>
        </w:rPr>
      </w:pPr>
      <w:r>
        <w:rPr>
          <w:sz w:val="24"/>
        </w:rPr>
        <w:t>¿Tiene alguna especialidad en</w:t>
      </w:r>
      <w:r>
        <w:rPr>
          <w:spacing w:val="-10"/>
          <w:sz w:val="24"/>
        </w:rPr>
        <w:t> </w:t>
      </w:r>
      <w:r>
        <w:rPr>
          <w:sz w:val="24"/>
        </w:rPr>
        <w:t>Economía?</w:t>
      </w:r>
    </w:p>
    <w:p>
      <w:pPr>
        <w:pStyle w:val="BodyText"/>
        <w:spacing w:before="1"/>
        <w:rPr>
          <w:sz w:val="31"/>
        </w:rPr>
      </w:pPr>
    </w:p>
    <w:p>
      <w:pPr>
        <w:pStyle w:val="BodyText"/>
        <w:tabs>
          <w:tab w:pos="4063" w:val="left" w:leader="none"/>
        </w:tabs>
        <w:spacing w:line="276" w:lineRule="auto"/>
        <w:ind w:left="810" w:right="4994"/>
      </w:pPr>
      <w:r>
        <w:rPr/>
        <w:pict>
          <v:rect style="position:absolute;margin-left:102.349998pt;margin-top:.223118pt;width:11.25pt;height:9.4pt;mso-position-horizontal-relative:page;mso-position-vertical-relative:paragraph;z-index:9448" filled="false" stroked="true" strokeweight=".75pt" strokecolor="#000000">
            <w10:wrap type="none"/>
          </v:rect>
        </w:pict>
      </w:r>
      <w:r>
        <w:rPr/>
        <w:pict>
          <v:rect style="position:absolute;margin-left:103.099998pt;margin-top:18.443117pt;width:11.25pt;height:9.4pt;mso-position-horizontal-relative:page;mso-position-vertical-relative:paragraph;z-index:9472" filled="false" stroked="true" strokeweight=".75pt" strokecolor="#000000">
            <w10:wrap type="none"/>
          </v:rect>
        </w:pict>
      </w:r>
      <w:r>
        <w:rPr/>
        <w:t>Sí</w:t>
      </w:r>
      <w:r>
        <w:rPr>
          <w:spacing w:val="56"/>
        </w:rPr>
        <w:t> </w:t>
      </w:r>
      <w:r>
        <w:rPr/>
        <w:t>Especifique: </w:t>
      </w:r>
      <w:r>
        <w:rPr>
          <w:u w:val="single"/>
        </w:rPr>
        <w:t> </w:t>
        <w:tab/>
      </w:r>
      <w:r>
        <w:rPr/>
        <w:t> No</w:t>
      </w:r>
    </w:p>
    <w:p>
      <w:pPr>
        <w:pStyle w:val="BodyText"/>
        <w:spacing w:before="9"/>
        <w:rPr>
          <w:sz w:val="27"/>
        </w:rPr>
      </w:pPr>
    </w:p>
    <w:p>
      <w:pPr>
        <w:pStyle w:val="ListParagraph"/>
        <w:numPr>
          <w:ilvl w:val="0"/>
          <w:numId w:val="83"/>
        </w:numPr>
        <w:tabs>
          <w:tab w:pos="462" w:val="left" w:leader="none"/>
        </w:tabs>
        <w:spacing w:line="240" w:lineRule="auto" w:before="0" w:after="0"/>
        <w:ind w:left="462" w:right="0" w:hanging="360"/>
        <w:jc w:val="left"/>
        <w:rPr>
          <w:sz w:val="24"/>
        </w:rPr>
      </w:pPr>
      <w:r>
        <w:rPr>
          <w:sz w:val="24"/>
        </w:rPr>
        <w:t>¿Estudió otra carrera profesional distinta a la de</w:t>
      </w:r>
      <w:r>
        <w:rPr>
          <w:spacing w:val="-11"/>
          <w:sz w:val="24"/>
        </w:rPr>
        <w:t> </w:t>
      </w:r>
      <w:r>
        <w:rPr>
          <w:sz w:val="24"/>
        </w:rPr>
        <w:t>Economía?</w:t>
      </w:r>
    </w:p>
    <w:p>
      <w:pPr>
        <w:pStyle w:val="BodyText"/>
        <w:spacing w:before="1"/>
        <w:rPr>
          <w:sz w:val="31"/>
        </w:rPr>
      </w:pPr>
    </w:p>
    <w:p>
      <w:pPr>
        <w:pStyle w:val="BodyText"/>
        <w:tabs>
          <w:tab w:pos="4063" w:val="left" w:leader="none"/>
        </w:tabs>
        <w:spacing w:line="278" w:lineRule="auto"/>
        <w:ind w:left="810" w:right="4994"/>
      </w:pPr>
      <w:r>
        <w:rPr/>
        <w:pict>
          <v:rect style="position:absolute;margin-left:102.349998pt;margin-top:.253126pt;width:11.25pt;height:9.4pt;mso-position-horizontal-relative:page;mso-position-vertical-relative:paragraph;z-index:9400" filled="false" stroked="true" strokeweight=".75pt" strokecolor="#000000">
            <w10:wrap type="none"/>
          </v:rect>
        </w:pict>
      </w:r>
      <w:r>
        <w:rPr/>
        <w:pict>
          <v:rect style="position:absolute;margin-left:103.099998pt;margin-top:18.463125pt;width:11.25pt;height:9.4pt;mso-position-horizontal-relative:page;mso-position-vertical-relative:paragraph;z-index:9424" filled="false" stroked="true" strokeweight=".75pt" strokecolor="#000000">
            <w10:wrap type="none"/>
          </v:rect>
        </w:pict>
      </w:r>
      <w:r>
        <w:rPr/>
        <w:t>Sí</w:t>
      </w:r>
      <w:r>
        <w:rPr>
          <w:spacing w:val="56"/>
        </w:rPr>
        <w:t> </w:t>
      </w:r>
      <w:r>
        <w:rPr/>
        <w:t>Especifique: </w:t>
      </w:r>
      <w:r>
        <w:rPr>
          <w:u w:val="single"/>
        </w:rPr>
        <w:t> </w:t>
        <w:tab/>
      </w:r>
      <w:r>
        <w:rPr/>
        <w:t> No</w:t>
      </w:r>
    </w:p>
    <w:p>
      <w:pPr>
        <w:pStyle w:val="BodyText"/>
      </w:pPr>
    </w:p>
    <w:p>
      <w:pPr>
        <w:pStyle w:val="BodyText"/>
        <w:spacing w:before="10"/>
        <w:rPr>
          <w:sz w:val="30"/>
        </w:rPr>
      </w:pPr>
    </w:p>
    <w:p>
      <w:pPr>
        <w:pStyle w:val="ListParagraph"/>
        <w:numPr>
          <w:ilvl w:val="0"/>
          <w:numId w:val="83"/>
        </w:numPr>
        <w:tabs>
          <w:tab w:pos="462" w:val="left" w:leader="none"/>
        </w:tabs>
        <w:spacing w:line="240" w:lineRule="auto" w:before="1" w:after="0"/>
        <w:ind w:left="462" w:right="0" w:hanging="360"/>
        <w:jc w:val="left"/>
        <w:rPr>
          <w:sz w:val="24"/>
        </w:rPr>
      </w:pPr>
      <w:r>
        <w:rPr>
          <w:sz w:val="24"/>
        </w:rPr>
        <w:t>Está usted titulado en la licenciatura en</w:t>
      </w:r>
      <w:r>
        <w:rPr>
          <w:spacing w:val="-10"/>
          <w:sz w:val="24"/>
        </w:rPr>
        <w:t> </w:t>
      </w:r>
      <w:r>
        <w:rPr>
          <w:sz w:val="24"/>
        </w:rPr>
        <w:t>Economía:</w:t>
      </w:r>
    </w:p>
    <w:p>
      <w:pPr>
        <w:pStyle w:val="BodyText"/>
        <w:spacing w:before="3"/>
        <w:rPr>
          <w:sz w:val="31"/>
        </w:rPr>
      </w:pPr>
    </w:p>
    <w:p>
      <w:pPr>
        <w:pStyle w:val="BodyText"/>
        <w:tabs>
          <w:tab w:pos="1250" w:val="left" w:leader="none"/>
          <w:tab w:pos="4985" w:val="left" w:leader="none"/>
        </w:tabs>
        <w:spacing w:line="276" w:lineRule="auto"/>
        <w:ind w:left="810" w:right="4072"/>
      </w:pPr>
      <w:r>
        <w:rPr/>
        <w:pict>
          <v:rect style="position:absolute;margin-left:102.349998pt;margin-top:.153128pt;width:11.25pt;height:9.4pt;mso-position-horizontal-relative:page;mso-position-vertical-relative:paragraph;z-index:9352" filled="false" stroked="true" strokeweight=".75pt" strokecolor="#000000">
            <w10:wrap type="none"/>
          </v:rect>
        </w:pict>
      </w:r>
      <w:r>
        <w:rPr/>
        <w:pict>
          <v:rect style="position:absolute;margin-left:103.099998pt;margin-top:18.373129pt;width:11.25pt;height:9.4pt;mso-position-horizontal-relative:page;mso-position-vertical-relative:paragraph;z-index:9376" filled="false" stroked="true" strokeweight=".75pt" strokecolor="#000000">
            <w10:wrap type="none"/>
          </v:rect>
        </w:pict>
      </w:r>
      <w:r>
        <w:rPr/>
        <w:t>Sí</w:t>
        <w:tab/>
        <w:t>Año en que</w:t>
      </w:r>
      <w:r>
        <w:rPr>
          <w:spacing w:val="58"/>
        </w:rPr>
        <w:t> </w:t>
      </w:r>
      <w:r>
        <w:rPr/>
        <w:t>se</w:t>
      </w:r>
      <w:r>
        <w:rPr>
          <w:spacing w:val="-1"/>
        </w:rPr>
        <w:t> </w:t>
      </w:r>
      <w:r>
        <w:rPr/>
        <w:t>tituló: </w:t>
      </w:r>
      <w:r>
        <w:rPr>
          <w:u w:val="single"/>
        </w:rPr>
        <w:t> </w:t>
        <w:tab/>
      </w:r>
      <w:r>
        <w:rPr/>
        <w:t> No</w:t>
      </w:r>
    </w:p>
    <w:p>
      <w:pPr>
        <w:pStyle w:val="BodyText"/>
        <w:spacing w:before="7"/>
        <w:rPr>
          <w:sz w:val="27"/>
        </w:rPr>
      </w:pPr>
    </w:p>
    <w:p>
      <w:pPr>
        <w:pStyle w:val="ListParagraph"/>
        <w:numPr>
          <w:ilvl w:val="0"/>
          <w:numId w:val="83"/>
        </w:numPr>
        <w:tabs>
          <w:tab w:pos="462" w:val="left" w:leader="none"/>
        </w:tabs>
        <w:spacing w:line="240" w:lineRule="auto" w:before="0" w:after="0"/>
        <w:ind w:left="462" w:right="0" w:hanging="360"/>
        <w:jc w:val="left"/>
        <w:rPr>
          <w:sz w:val="24"/>
        </w:rPr>
      </w:pPr>
      <w:r>
        <w:rPr>
          <w:sz w:val="24"/>
        </w:rPr>
        <w:t>¿Cuál era su situación ocupacional durante los dos últimos semestres de la</w:t>
      </w:r>
      <w:r>
        <w:rPr>
          <w:spacing w:val="-22"/>
          <w:sz w:val="24"/>
        </w:rPr>
        <w:t> </w:t>
      </w:r>
      <w:r>
        <w:rPr>
          <w:sz w:val="24"/>
        </w:rPr>
        <w:t>carrera?</w:t>
      </w:r>
    </w:p>
    <w:p>
      <w:pPr>
        <w:spacing w:after="0" w:line="240" w:lineRule="auto"/>
        <w:jc w:val="left"/>
        <w:rPr>
          <w:sz w:val="24"/>
        </w:rPr>
        <w:sectPr>
          <w:pgSz w:w="12240" w:h="15840"/>
          <w:pgMar w:header="0" w:footer="1003" w:top="1440" w:bottom="1200" w:left="1600" w:right="1580"/>
        </w:sectPr>
      </w:pPr>
    </w:p>
    <w:p>
      <w:pPr>
        <w:pStyle w:val="BodyText"/>
        <w:spacing w:before="50"/>
        <w:ind w:left="1064"/>
      </w:pPr>
      <w:r>
        <w:rPr/>
        <w:pict>
          <v:rect style="position:absolute;margin-left:117.150002pt;margin-top:6.413135pt;width:11.25pt;height:9.4pt;mso-position-horizontal-relative:page;mso-position-vertical-relative:paragraph;z-index:9496" filled="false" stroked="true" strokeweight=".75pt" strokecolor="#000000">
            <w10:wrap type="none"/>
          </v:rect>
        </w:pict>
      </w:r>
      <w:r>
        <w:rPr/>
        <w:t>Los estudios eran su única actividad</w:t>
      </w:r>
    </w:p>
    <w:p>
      <w:pPr>
        <w:pStyle w:val="BodyText"/>
        <w:spacing w:line="276" w:lineRule="auto" w:before="43"/>
        <w:ind w:left="1061" w:right="1061"/>
      </w:pPr>
      <w:r>
        <w:rPr/>
        <w:pict>
          <v:rect style="position:absolute;margin-left:117.150002pt;margin-top:5.123113pt;width:11.25pt;height:9.4pt;mso-position-horizontal-relative:page;mso-position-vertical-relative:paragraph;z-index:9520" filled="false" stroked="true" strokeweight=".75pt" strokecolor="#000000">
            <w10:wrap type="none"/>
          </v:rect>
        </w:pict>
      </w:r>
      <w:r>
        <w:rPr/>
        <w:pict>
          <v:rect style="position:absolute;margin-left:117.150002pt;margin-top:19.493113pt;width:11.25pt;height:9.4pt;mso-position-horizontal-relative:page;mso-position-vertical-relative:paragraph;z-index:9544" filled="false" stroked="true" strokeweight=".75pt" strokecolor="#000000">
            <w10:wrap type="none"/>
          </v:rect>
        </w:pict>
      </w:r>
      <w:r>
        <w:rPr/>
        <w:t>Estudiaba y trabajaba en alguna actividad relacionada a Economía Estudiaba y trabajaba en alguna actividad no relacionada a Economía</w:t>
      </w:r>
    </w:p>
    <w:p>
      <w:pPr>
        <w:pStyle w:val="BodyText"/>
      </w:pPr>
    </w:p>
    <w:p>
      <w:pPr>
        <w:pStyle w:val="BodyText"/>
        <w:spacing w:before="4"/>
        <w:rPr>
          <w:sz w:val="31"/>
        </w:rPr>
      </w:pPr>
    </w:p>
    <w:p>
      <w:pPr>
        <w:pStyle w:val="ListParagraph"/>
        <w:numPr>
          <w:ilvl w:val="0"/>
          <w:numId w:val="83"/>
        </w:numPr>
        <w:tabs>
          <w:tab w:pos="462" w:val="left" w:leader="none"/>
        </w:tabs>
        <w:spacing w:line="240" w:lineRule="auto" w:before="0" w:after="0"/>
        <w:ind w:left="462" w:right="0" w:hanging="360"/>
        <w:jc w:val="left"/>
        <w:rPr>
          <w:sz w:val="24"/>
        </w:rPr>
      </w:pPr>
      <w:r>
        <w:rPr>
          <w:sz w:val="24"/>
        </w:rPr>
        <w:t>¿Realizó  prácticas</w:t>
      </w:r>
      <w:r>
        <w:rPr>
          <w:spacing w:val="-8"/>
          <w:sz w:val="24"/>
        </w:rPr>
        <w:t> </w:t>
      </w:r>
      <w:r>
        <w:rPr>
          <w:sz w:val="24"/>
        </w:rPr>
        <w:t>profesionales?</w:t>
      </w:r>
    </w:p>
    <w:p>
      <w:pPr>
        <w:pStyle w:val="BodyText"/>
        <w:tabs>
          <w:tab w:pos="3061" w:val="left" w:leader="none"/>
          <w:tab w:pos="7889" w:val="left" w:leader="none"/>
        </w:tabs>
        <w:spacing w:line="276" w:lineRule="auto" w:before="41"/>
        <w:ind w:left="1121" w:right="1168"/>
      </w:pPr>
      <w:r>
        <w:rPr/>
        <w:pict>
          <v:rect style="position:absolute;margin-left:117.800003pt;margin-top:5.443106pt;width:11.25pt;height:9.4pt;mso-position-horizontal-relative:page;mso-position-vertical-relative:paragraph;z-index:9568" filled="false" stroked="true" strokeweight=".75pt" strokecolor="#000000">
            <w10:wrap type="none"/>
          </v:rect>
        </w:pict>
      </w:r>
      <w:r>
        <w:rPr/>
        <w:pict>
          <v:shape style="position:absolute;margin-left:210.5pt;margin-top:5.443106pt;width:22.5pt;height:9.4pt;mso-position-horizontal-relative:page;mso-position-vertical-relative:paragraph;z-index:-393064" coordorigin="4210,109" coordsize="450,188" path="m4210,297l4435,297,4435,109,4210,109,4210,297xm4435,297l4660,297,4660,109,4435,109,4435,297xe" filled="false" stroked="true" strokeweight=".75pt" strokecolor="#000000">
            <v:path arrowok="t"/>
            <w10:wrap type="none"/>
          </v:shape>
        </w:pict>
      </w:r>
      <w:r>
        <w:rPr/>
        <w:pict>
          <v:rect style="position:absolute;margin-left:117.800003pt;margin-top:21.163105pt;width:11.25pt;height:9.4pt;mso-position-horizontal-relative:page;mso-position-vertical-relative:paragraph;z-index:9616" filled="false" stroked="true" strokeweight=".75pt" strokecolor="#000000">
            <w10:wrap type="none"/>
          </v:rect>
        </w:pict>
      </w:r>
      <w:r>
        <w:rPr/>
        <w:t>Sí,</w:t>
      </w:r>
      <w:r>
        <w:rPr>
          <w:spacing w:val="-1"/>
        </w:rPr>
        <w:t> </w:t>
      </w:r>
      <w:r>
        <w:rPr/>
        <w:t>durante</w:t>
        <w:tab/>
        <w:t>meses</w:t>
      </w:r>
      <w:r>
        <w:rPr>
          <w:spacing w:val="57"/>
        </w:rPr>
        <w:t> </w:t>
      </w:r>
      <w:r>
        <w:rPr/>
        <w:t>¿En</w:t>
      </w:r>
      <w:r>
        <w:rPr>
          <w:spacing w:val="-2"/>
        </w:rPr>
        <w:t> </w:t>
      </w:r>
      <w:r>
        <w:rPr/>
        <w:t>dónde?</w:t>
      </w:r>
      <w:r>
        <w:rPr>
          <w:spacing w:val="3"/>
        </w:rPr>
        <w:t> </w:t>
      </w:r>
      <w:r>
        <w:rPr>
          <w:u w:val="single"/>
        </w:rPr>
        <w:t> </w:t>
        <w:tab/>
      </w:r>
      <w:r>
        <w:rPr/>
        <w:t> No</w:t>
      </w:r>
    </w:p>
    <w:p>
      <w:pPr>
        <w:pStyle w:val="BodyText"/>
        <w:spacing w:before="9"/>
        <w:rPr>
          <w:sz w:val="27"/>
        </w:rPr>
      </w:pPr>
    </w:p>
    <w:p>
      <w:pPr>
        <w:pStyle w:val="BodyText"/>
        <w:spacing w:line="276" w:lineRule="auto"/>
        <w:ind w:left="461" w:right="123"/>
      </w:pPr>
      <w:r>
        <w:rPr/>
        <w:t>Sí su respuesta en la pregunta 8 fue “no”, por favor pase a la pregunta 10. Sí su respuesta fue “si” continúe a la pregunta 9.</w:t>
      </w:r>
    </w:p>
    <w:p>
      <w:pPr>
        <w:pStyle w:val="BodyText"/>
        <w:spacing w:before="7"/>
        <w:rPr>
          <w:sz w:val="27"/>
        </w:rPr>
      </w:pPr>
    </w:p>
    <w:p>
      <w:pPr>
        <w:pStyle w:val="ListParagraph"/>
        <w:numPr>
          <w:ilvl w:val="0"/>
          <w:numId w:val="83"/>
        </w:numPr>
        <w:tabs>
          <w:tab w:pos="462" w:val="left" w:leader="none"/>
        </w:tabs>
        <w:spacing w:line="278" w:lineRule="auto" w:before="1" w:after="0"/>
        <w:ind w:left="462" w:right="126" w:hanging="360"/>
        <w:jc w:val="left"/>
        <w:rPr>
          <w:sz w:val="24"/>
        </w:rPr>
      </w:pPr>
      <w:r>
        <w:rPr>
          <w:sz w:val="24"/>
        </w:rPr>
        <w:t>De las siguientes opciones seleccione la que corresponda a dónde realizó sus prácticas profesionales</w:t>
      </w:r>
      <w:r>
        <w:rPr>
          <w:spacing w:val="-4"/>
          <w:sz w:val="24"/>
        </w:rPr>
        <w:t> </w:t>
      </w:r>
      <w:r>
        <w:rPr>
          <w:sz w:val="24"/>
        </w:rPr>
        <w:t>…</w:t>
      </w:r>
    </w:p>
    <w:p>
      <w:pPr>
        <w:pStyle w:val="BodyText"/>
        <w:spacing w:before="4"/>
        <w:rPr>
          <w:sz w:val="27"/>
        </w:rPr>
      </w:pPr>
    </w:p>
    <w:p>
      <w:pPr>
        <w:pStyle w:val="BodyText"/>
        <w:ind w:left="810"/>
      </w:pPr>
      <w:r>
        <w:rPr/>
        <w:pict>
          <v:rect style="position:absolute;margin-left:106.550003pt;margin-top:1.083119pt;width:11.25pt;height:9.4pt;mso-position-horizontal-relative:page;mso-position-vertical-relative:paragraph;z-index:9640" filled="false" stroked="true" strokeweight=".75pt" strokecolor="#000000">
            <w10:wrap type="none"/>
          </v:rect>
        </w:pict>
      </w:r>
      <w:r>
        <w:rPr/>
        <w:t>Empresas</w:t>
      </w:r>
    </w:p>
    <w:p>
      <w:pPr>
        <w:pStyle w:val="BodyText"/>
        <w:spacing w:line="276" w:lineRule="auto" w:before="41"/>
        <w:ind w:left="810" w:right="4610"/>
      </w:pPr>
      <w:r>
        <w:rPr/>
        <w:pict>
          <v:rect style="position:absolute;margin-left:106.550003pt;margin-top:4.613122pt;width:11.25pt;height:9.4pt;mso-position-horizontal-relative:page;mso-position-vertical-relative:paragraph;z-index:9664" filled="false" stroked="true" strokeweight=".75pt" strokecolor="#000000">
            <w10:wrap type="none"/>
          </v:rect>
        </w:pict>
      </w:r>
      <w:r>
        <w:rPr/>
        <w:pict>
          <v:rect style="position:absolute;margin-left:106.550003pt;margin-top:17.933123pt;width:11.25pt;height:9.4pt;mso-position-horizontal-relative:page;mso-position-vertical-relative:paragraph;z-index:9688" filled="false" stroked="true" strokeweight=".75pt" strokecolor="#000000">
            <w10:wrap type="none"/>
          </v:rect>
        </w:pict>
      </w:r>
      <w:r>
        <w:rPr/>
        <w:pict>
          <v:rect style="position:absolute;margin-left:106.550003pt;margin-top:33.933121pt;width:11.25pt;height:9.4pt;mso-position-horizontal-relative:page;mso-position-vertical-relative:paragraph;z-index:9712" filled="false" stroked="true" strokeweight=".75pt" strokecolor="#000000">
            <w10:wrap type="none"/>
          </v:rect>
        </w:pict>
      </w:r>
      <w:r>
        <w:rPr/>
        <w:t>Instituciones gubernamental o similar Institución educativa</w:t>
      </w:r>
    </w:p>
    <w:p>
      <w:pPr>
        <w:pStyle w:val="BodyText"/>
        <w:spacing w:line="276" w:lineRule="auto" w:before="3"/>
        <w:ind w:left="810" w:right="6410"/>
      </w:pPr>
      <w:r>
        <w:rPr/>
        <w:pict>
          <v:rect style="position:absolute;margin-left:106.550003pt;margin-top:18.613134pt;width:11.25pt;height:9.4pt;mso-position-horizontal-relative:page;mso-position-vertical-relative:paragraph;z-index:9736" filled="false" stroked="true" strokeweight=".75pt" strokecolor="#000000">
            <w10:wrap type="none"/>
          </v:rect>
        </w:pict>
      </w:r>
      <w:r>
        <w:rPr/>
        <w:pict>
          <v:rect style="position:absolute;margin-left:106.550003pt;margin-top:31.933134pt;width:11.25pt;height:9.4pt;mso-position-horizontal-relative:page;mso-position-vertical-relative:paragraph;z-index:9760" filled="false" stroked="true" strokeweight=".75pt" strokecolor="#000000">
            <w10:wrap type="none"/>
          </v:rect>
        </w:pict>
      </w:r>
      <w:r>
        <w:rPr/>
        <w:t>Comercio Despacho jurídico Despacho contable</w:t>
      </w:r>
    </w:p>
    <w:p>
      <w:pPr>
        <w:pStyle w:val="BodyText"/>
        <w:tabs>
          <w:tab w:pos="5818" w:val="left" w:leader="none"/>
        </w:tabs>
        <w:spacing w:before="1"/>
        <w:ind w:left="810"/>
      </w:pPr>
      <w:r>
        <w:rPr/>
        <w:pict>
          <v:rect style="position:absolute;margin-left:106.550003pt;margin-top:1.613126pt;width:11.25pt;height:9.4pt;mso-position-horizontal-relative:page;mso-position-vertical-relative:paragraph;z-index:9784" filled="false" stroked="true" strokeweight=".75pt" strokecolor="#000000">
            <w10:wrap type="none"/>
          </v:rect>
        </w:pict>
      </w:r>
      <w:r>
        <w:rPr/>
        <w:t>Otro,</w:t>
      </w:r>
      <w:r>
        <w:rPr>
          <w:spacing w:val="-3"/>
        </w:rPr>
        <w:t> </w:t>
      </w:r>
      <w:r>
        <w:rPr/>
        <w:t>especifique</w:t>
      </w:r>
      <w:r>
        <w:rPr>
          <w:spacing w:val="-1"/>
        </w:rPr>
        <w:t> </w:t>
      </w:r>
      <w:r>
        <w:rPr>
          <w:u w:val="single"/>
        </w:rPr>
        <w:t> </w:t>
        <w:tab/>
      </w:r>
    </w:p>
    <w:p>
      <w:pPr>
        <w:pStyle w:val="BodyText"/>
        <w:spacing w:before="3"/>
        <w:rPr>
          <w:sz w:val="25"/>
        </w:rPr>
      </w:pPr>
    </w:p>
    <w:p>
      <w:pPr>
        <w:pStyle w:val="ListParagraph"/>
        <w:numPr>
          <w:ilvl w:val="0"/>
          <w:numId w:val="83"/>
        </w:numPr>
        <w:tabs>
          <w:tab w:pos="462" w:val="left" w:leader="none"/>
        </w:tabs>
        <w:spacing w:line="240" w:lineRule="auto" w:before="69" w:after="0"/>
        <w:ind w:left="462" w:right="0" w:hanging="360"/>
        <w:jc w:val="left"/>
        <w:rPr>
          <w:sz w:val="24"/>
        </w:rPr>
      </w:pPr>
      <w:r>
        <w:rPr>
          <w:sz w:val="24"/>
        </w:rPr>
        <w:t>¿Realizó  Servicio</w:t>
      </w:r>
      <w:r>
        <w:rPr>
          <w:spacing w:val="-7"/>
          <w:sz w:val="24"/>
        </w:rPr>
        <w:t> </w:t>
      </w:r>
      <w:r>
        <w:rPr>
          <w:sz w:val="24"/>
        </w:rPr>
        <w:t>Social?</w:t>
      </w:r>
    </w:p>
    <w:p>
      <w:pPr>
        <w:pStyle w:val="BodyText"/>
        <w:tabs>
          <w:tab w:pos="3061" w:val="left" w:leader="none"/>
          <w:tab w:pos="8699" w:val="left" w:leader="none"/>
        </w:tabs>
        <w:spacing w:line="276" w:lineRule="auto" w:before="41"/>
        <w:ind w:left="1121" w:right="358"/>
      </w:pPr>
      <w:r>
        <w:rPr/>
        <w:pict>
          <v:rect style="position:absolute;margin-left:117.800003pt;margin-top:5.433112pt;width:11.25pt;height:9.4pt;mso-position-horizontal-relative:page;mso-position-vertical-relative:paragraph;z-index:9808" filled="false" stroked="true" strokeweight=".75pt" strokecolor="#000000">
            <w10:wrap type="none"/>
          </v:rect>
        </w:pict>
      </w:r>
      <w:r>
        <w:rPr/>
        <w:pict>
          <v:shape style="position:absolute;margin-left:210.5pt;margin-top:5.433112pt;width:22.5pt;height:9.4pt;mso-position-horizontal-relative:page;mso-position-vertical-relative:paragraph;z-index:-392824" coordorigin="4210,109" coordsize="450,188" path="m4210,297l4435,297,4435,109,4210,109,4210,297xm4435,297l4660,297,4660,109,4435,109,4435,297xe" filled="false" stroked="true" strokeweight=".75pt" strokecolor="#000000">
            <v:path arrowok="t"/>
            <w10:wrap type="none"/>
          </v:shape>
        </w:pict>
      </w:r>
      <w:r>
        <w:rPr/>
        <w:pict>
          <v:rect style="position:absolute;margin-left:117.800003pt;margin-top:21.153112pt;width:11.25pt;height:9.4pt;mso-position-horizontal-relative:page;mso-position-vertical-relative:paragraph;z-index:9856" filled="false" stroked="true" strokeweight=".75pt" strokecolor="#000000">
            <w10:wrap type="none"/>
          </v:rect>
        </w:pict>
      </w:r>
      <w:r>
        <w:rPr/>
        <w:t>Sí,</w:t>
      </w:r>
      <w:r>
        <w:rPr>
          <w:spacing w:val="-1"/>
        </w:rPr>
        <w:t> </w:t>
      </w:r>
      <w:r>
        <w:rPr/>
        <w:t>durante</w:t>
        <w:tab/>
        <w:t>meses  ¿Dónde realizó</w:t>
      </w:r>
      <w:r>
        <w:rPr>
          <w:spacing w:val="-8"/>
        </w:rPr>
        <w:t> </w:t>
      </w:r>
      <w:r>
        <w:rPr/>
        <w:t>su</w:t>
      </w:r>
      <w:r>
        <w:rPr>
          <w:spacing w:val="-1"/>
        </w:rPr>
        <w:t> </w:t>
      </w:r>
      <w:r>
        <w:rPr/>
        <w:t>servicio?</w:t>
      </w:r>
      <w:r>
        <w:rPr>
          <w:spacing w:val="3"/>
        </w:rPr>
        <w:t> </w:t>
      </w:r>
      <w:r>
        <w:rPr>
          <w:u w:val="single"/>
        </w:rPr>
        <w:t> </w:t>
        <w:tab/>
      </w:r>
      <w:r>
        <w:rPr/>
        <w:t> No</w:t>
      </w:r>
    </w:p>
    <w:p>
      <w:pPr>
        <w:pStyle w:val="BodyText"/>
        <w:spacing w:before="9"/>
        <w:rPr>
          <w:sz w:val="27"/>
        </w:rPr>
      </w:pPr>
    </w:p>
    <w:p>
      <w:pPr>
        <w:pStyle w:val="BodyText"/>
        <w:spacing w:line="276" w:lineRule="auto"/>
        <w:ind w:left="461" w:right="123"/>
      </w:pPr>
      <w:r>
        <w:rPr/>
        <w:t>Sí su respuesta en la pregunta 10 fue “no”, por favor pase a la pregunta 12. Sí su respuesta fue “si” continúe.</w:t>
      </w:r>
    </w:p>
    <w:p>
      <w:pPr>
        <w:pStyle w:val="BodyText"/>
      </w:pPr>
    </w:p>
    <w:p>
      <w:pPr>
        <w:pStyle w:val="BodyText"/>
        <w:spacing w:before="4"/>
        <w:rPr>
          <w:sz w:val="31"/>
        </w:rPr>
      </w:pPr>
    </w:p>
    <w:p>
      <w:pPr>
        <w:pStyle w:val="ListParagraph"/>
        <w:numPr>
          <w:ilvl w:val="0"/>
          <w:numId w:val="83"/>
        </w:numPr>
        <w:tabs>
          <w:tab w:pos="462" w:val="left" w:leader="none"/>
        </w:tabs>
        <w:spacing w:line="276" w:lineRule="auto" w:before="0" w:after="0"/>
        <w:ind w:left="462" w:right="125" w:hanging="360"/>
        <w:jc w:val="left"/>
        <w:rPr>
          <w:sz w:val="24"/>
        </w:rPr>
      </w:pPr>
      <w:r>
        <w:rPr>
          <w:sz w:val="24"/>
        </w:rPr>
        <w:t>De las siguientes opciones seleccione la que corresponda a dónde realizó su servicio social</w:t>
      </w:r>
      <w:r>
        <w:rPr>
          <w:spacing w:val="-1"/>
          <w:sz w:val="24"/>
        </w:rPr>
        <w:t> </w:t>
      </w:r>
      <w:r>
        <w:rPr>
          <w:sz w:val="24"/>
        </w:rPr>
        <w:t>…</w:t>
      </w:r>
    </w:p>
    <w:p>
      <w:pPr>
        <w:pStyle w:val="BodyText"/>
        <w:spacing w:before="9"/>
        <w:rPr>
          <w:sz w:val="27"/>
        </w:rPr>
      </w:pPr>
    </w:p>
    <w:p>
      <w:pPr>
        <w:pStyle w:val="BodyText"/>
        <w:ind w:left="810"/>
      </w:pPr>
      <w:r>
        <w:rPr/>
        <w:pict>
          <v:rect style="position:absolute;margin-left:106.550003pt;margin-top:.973118pt;width:11.25pt;height:9.4pt;mso-position-horizontal-relative:page;mso-position-vertical-relative:paragraph;z-index:9880" filled="false" stroked="true" strokeweight=".75pt" strokecolor="#000000">
            <w10:wrap type="none"/>
          </v:rect>
        </w:pict>
      </w:r>
      <w:r>
        <w:rPr/>
        <w:t>Empresas</w:t>
      </w:r>
    </w:p>
    <w:p>
      <w:pPr>
        <w:pStyle w:val="BodyText"/>
        <w:spacing w:line="276" w:lineRule="auto" w:before="41"/>
        <w:ind w:left="810" w:right="4610"/>
      </w:pPr>
      <w:r>
        <w:rPr/>
        <w:pict>
          <v:rect style="position:absolute;margin-left:106.550003pt;margin-top:4.503122pt;width:11.25pt;height:9.4pt;mso-position-horizontal-relative:page;mso-position-vertical-relative:paragraph;z-index:9904" filled="false" stroked="true" strokeweight=".75pt" strokecolor="#000000">
            <w10:wrap type="none"/>
          </v:rect>
        </w:pict>
      </w:r>
      <w:r>
        <w:rPr/>
        <w:pict>
          <v:rect style="position:absolute;margin-left:106.550003pt;margin-top:17.823122pt;width:11.25pt;height:9.4pt;mso-position-horizontal-relative:page;mso-position-vertical-relative:paragraph;z-index:9928" filled="false" stroked="true" strokeweight=".75pt" strokecolor="#000000">
            <w10:wrap type="none"/>
          </v:rect>
        </w:pict>
      </w:r>
      <w:r>
        <w:rPr/>
        <w:pict>
          <v:rect style="position:absolute;margin-left:106.550003pt;margin-top:33.823120pt;width:11.25pt;height:9.4pt;mso-position-horizontal-relative:page;mso-position-vertical-relative:paragraph;z-index:9952" filled="false" stroked="true" strokeweight=".75pt" strokecolor="#000000">
            <w10:wrap type="none"/>
          </v:rect>
        </w:pict>
      </w:r>
      <w:r>
        <w:rPr/>
        <w:t>Instituciones gubernamental o similar Institución educativa</w:t>
      </w:r>
    </w:p>
    <w:p>
      <w:pPr>
        <w:pStyle w:val="BodyText"/>
        <w:spacing w:line="276" w:lineRule="auto" w:before="1"/>
        <w:ind w:left="810" w:right="6410"/>
      </w:pPr>
      <w:r>
        <w:rPr/>
        <w:pict>
          <v:rect style="position:absolute;margin-left:106.550003pt;margin-top:18.533121pt;width:11.25pt;height:9.4pt;mso-position-horizontal-relative:page;mso-position-vertical-relative:paragraph;z-index:9976" filled="false" stroked="true" strokeweight=".75pt" strokecolor="#000000">
            <w10:wrap type="none"/>
          </v:rect>
        </w:pict>
      </w:r>
      <w:r>
        <w:rPr/>
        <w:pict>
          <v:rect style="position:absolute;margin-left:106.550003pt;margin-top:31.851122pt;width:11.25pt;height:9.4pt;mso-position-horizontal-relative:page;mso-position-vertical-relative:paragraph;z-index:10000" filled="false" stroked="true" strokeweight=".75pt" strokecolor="#000000">
            <w10:wrap type="none"/>
          </v:rect>
        </w:pict>
      </w:r>
      <w:r>
        <w:rPr/>
        <w:t>Comercio Despacho jurídico Despacho contable</w:t>
      </w:r>
    </w:p>
    <w:p>
      <w:pPr>
        <w:pStyle w:val="BodyText"/>
        <w:tabs>
          <w:tab w:pos="5878" w:val="left" w:leader="none"/>
        </w:tabs>
        <w:spacing w:before="1"/>
        <w:ind w:left="810"/>
      </w:pPr>
      <w:r>
        <w:rPr/>
        <w:pict>
          <v:rect style="position:absolute;margin-left:106.550003pt;margin-top:1.533128pt;width:11.25pt;height:9.4pt;mso-position-horizontal-relative:page;mso-position-vertical-relative:paragraph;z-index:10024" filled="false" stroked="true" strokeweight=".75pt" strokecolor="#000000">
            <w10:wrap type="none"/>
          </v:rect>
        </w:pict>
      </w:r>
      <w:r>
        <w:rPr/>
        <w:t>Otro ,</w:t>
      </w:r>
      <w:r>
        <w:rPr>
          <w:spacing w:val="-3"/>
        </w:rPr>
        <w:t> </w:t>
      </w:r>
      <w:r>
        <w:rPr/>
        <w:t>especifique</w:t>
      </w:r>
      <w:r>
        <w:rPr>
          <w:spacing w:val="-1"/>
        </w:rPr>
        <w:t> </w:t>
      </w:r>
      <w:r>
        <w:rPr>
          <w:u w:val="single"/>
        </w:rPr>
        <w:t> </w:t>
        <w:tab/>
      </w:r>
    </w:p>
    <w:p>
      <w:pPr>
        <w:spacing w:after="0"/>
        <w:sectPr>
          <w:pgSz w:w="12240" w:h="15840"/>
          <w:pgMar w:header="0" w:footer="1003" w:top="1360" w:bottom="1200" w:left="1600" w:right="1580"/>
        </w:sectPr>
      </w:pPr>
    </w:p>
    <w:p>
      <w:pPr>
        <w:pStyle w:val="BodyText"/>
        <w:rPr>
          <w:sz w:val="20"/>
        </w:rPr>
      </w:pPr>
    </w:p>
    <w:p>
      <w:pPr>
        <w:pStyle w:val="BodyText"/>
        <w:spacing w:before="6"/>
        <w:rPr>
          <w:sz w:val="21"/>
        </w:rPr>
      </w:pPr>
    </w:p>
    <w:p>
      <w:pPr>
        <w:pStyle w:val="ListParagraph"/>
        <w:numPr>
          <w:ilvl w:val="0"/>
          <w:numId w:val="83"/>
        </w:numPr>
        <w:tabs>
          <w:tab w:pos="462" w:val="left" w:leader="none"/>
        </w:tabs>
        <w:spacing w:line="240" w:lineRule="auto" w:before="69" w:after="0"/>
        <w:ind w:left="462" w:right="0" w:hanging="360"/>
        <w:jc w:val="left"/>
        <w:rPr>
          <w:sz w:val="24"/>
        </w:rPr>
      </w:pPr>
      <w:r>
        <w:rPr>
          <w:sz w:val="24"/>
        </w:rPr>
        <w:t>Tiempo que tardó en encontrar su primer empleo, después de</w:t>
      </w:r>
      <w:r>
        <w:rPr>
          <w:spacing w:val="-11"/>
          <w:sz w:val="24"/>
        </w:rPr>
        <w:t> </w:t>
      </w:r>
      <w:r>
        <w:rPr>
          <w:sz w:val="24"/>
        </w:rPr>
        <w:t>egresar:</w:t>
      </w:r>
    </w:p>
    <w:p>
      <w:pPr>
        <w:pStyle w:val="BodyText"/>
        <w:tabs>
          <w:tab w:pos="1887" w:val="left" w:leader="none"/>
          <w:tab w:pos="3553" w:val="left" w:leader="none"/>
          <w:tab w:pos="5102" w:val="left" w:leader="none"/>
          <w:tab w:pos="6839" w:val="left" w:leader="none"/>
        </w:tabs>
        <w:spacing w:before="41"/>
        <w:ind w:left="401"/>
      </w:pPr>
      <w:r>
        <w:rPr/>
        <w:pict>
          <v:shape style="position:absolute;margin-left:243.350006pt;margin-top:3.597035pt;width:11.35pt;height:12pt;mso-position-horizontal-relative:page;mso-position-vertical-relative:paragraph;z-index:-392608" type="#_x0000_t202" filled="false" stroked="false">
            <v:textbox inset="0,0,0,0">
              <w:txbxContent>
                <w:p>
                  <w:pPr>
                    <w:pStyle w:val="BodyText"/>
                    <w:spacing w:line="240" w:lineRule="exact"/>
                    <w:ind w:left="106"/>
                  </w:pPr>
                  <w:r>
                    <w:rPr/>
                    <w:t>7</w:t>
                  </w:r>
                </w:p>
              </w:txbxContent>
            </v:textbox>
            <w10:wrap type="none"/>
          </v:shape>
        </w:pict>
      </w:r>
      <w:r>
        <w:rPr/>
        <w:pict>
          <v:shape style="position:absolute;margin-left:321.799988pt;margin-top:3.597035pt;width:13.3pt;height:12pt;mso-position-horizontal-relative:page;mso-position-vertical-relative:paragraph;z-index:-392584" type="#_x0000_t202" filled="false" stroked="false">
            <v:textbox inset="0,0,0,0">
              <w:txbxContent>
                <w:p>
                  <w:pPr>
                    <w:pStyle w:val="BodyText"/>
                    <w:spacing w:line="240" w:lineRule="exact"/>
                    <w:ind w:left="25" w:right="-19"/>
                  </w:pPr>
                  <w:r>
                    <w:rPr/>
                    <w:t>10</w:t>
                  </w:r>
                </w:p>
              </w:txbxContent>
            </v:textbox>
            <w10:wrap type="none"/>
          </v:shape>
        </w:pict>
      </w:r>
      <w:r>
        <w:rPr/>
        <w:pict>
          <v:shape style="position:absolute;margin-left:407.338013pt;margin-top:3.597035pt;width:14.7pt;height:12pt;mso-position-horizontal-relative:page;mso-position-vertical-relative:paragraph;z-index:-392560" type="#_x0000_t202" filled="false" stroked="false">
            <v:textbox inset="0,0,0,0">
              <w:txbxContent>
                <w:p>
                  <w:pPr>
                    <w:pStyle w:val="BodyText"/>
                    <w:spacing w:line="240" w:lineRule="exact"/>
                    <w:ind w:right="-20"/>
                  </w:pPr>
                  <w:r>
                    <w:rPr/>
                    <w:t>má</w:t>
                  </w:r>
                </w:p>
              </w:txbxContent>
            </v:textbox>
            <w10:wrap type="none"/>
          </v:shape>
        </w:pict>
      </w:r>
      <w:r>
        <w:rPr/>
        <w:pict>
          <v:rect style="position:absolute;margin-left:87.199997pt;margin-top:4.233120pt;width:11.25pt;height:9.4pt;mso-position-horizontal-relative:page;mso-position-vertical-relative:paragraph;z-index:10120" filled="false" stroked="true" strokeweight=".75pt" strokecolor="#000000">
            <w10:wrap type="none"/>
          </v:rect>
        </w:pict>
      </w:r>
      <w:r>
        <w:rPr/>
        <w:pict>
          <v:group style="position:absolute;margin-left:164.274994pt;margin-top:3.85812pt;width:12pt;height:10.15pt;mso-position-horizontal-relative:page;mso-position-vertical-relative:paragraph;z-index:-392512" coordorigin="3285,77" coordsize="240,203">
            <v:rect style="position:absolute;left:3293;top:85;width:225;height:188" filled="true" fillcolor="#ffffff" stroked="false">
              <v:fill type="solid"/>
            </v:rect>
            <v:rect style="position:absolute;left:3293;top:85;width:225;height:188" filled="false" stroked="true" strokeweight=".75pt" strokecolor="#000000"/>
            <w10:wrap type="none"/>
          </v:group>
        </w:pict>
      </w:r>
      <w:r>
        <w:rPr/>
        <w:pict>
          <v:group style="position:absolute;margin-left:242.975006pt;margin-top:3.85812pt;width:12pt;height:10.15pt;mso-position-horizontal-relative:page;mso-position-vertical-relative:paragraph;z-index:-392488" coordorigin="4860,77" coordsize="240,203">
            <v:rect style="position:absolute;left:4867;top:85;width:225;height:188" filled="true" fillcolor="#ffffff" stroked="false">
              <v:fill type="solid"/>
            </v:rect>
            <v:rect style="position:absolute;left:4867;top:85;width:225;height:188" filled="false" stroked="true" strokeweight=".75pt" strokecolor="#000000"/>
            <w10:wrap type="none"/>
          </v:group>
        </w:pict>
      </w:r>
      <w:r>
        <w:rPr/>
        <w:pict>
          <v:group style="position:absolute;margin-left:321.424988pt;margin-top:3.85812pt;width:12pt;height:10.15pt;mso-position-horizontal-relative:page;mso-position-vertical-relative:paragraph;z-index:-392464" coordorigin="6428,77" coordsize="240,203">
            <v:rect style="position:absolute;left:6436;top:85;width:225;height:188" filled="true" fillcolor="#ffffff" stroked="false">
              <v:fill type="solid"/>
            </v:rect>
            <v:rect style="position:absolute;left:6436;top:85;width:225;height:188" filled="false" stroked="true" strokeweight=".75pt" strokecolor="#000000"/>
            <w10:wrap type="none"/>
          </v:group>
        </w:pict>
      </w:r>
      <w:r>
        <w:rPr/>
        <w:pict>
          <v:group style="position:absolute;margin-left:409.075012pt;margin-top:3.85812pt;width:12pt;height:10.15pt;mso-position-horizontal-relative:page;mso-position-vertical-relative:paragraph;z-index:-392440" coordorigin="8182,77" coordsize="240,203">
            <v:rect style="position:absolute;left:8189;top:85;width:225;height:188" filled="true" fillcolor="#ffffff" stroked="false">
              <v:fill type="solid"/>
            </v:rect>
            <v:rect style="position:absolute;left:8189;top:85;width:225;height:188" filled="false" stroked="true" strokeweight=".75pt" strokecolor="#000000"/>
            <w10:wrap type="none"/>
          </v:group>
        </w:pict>
      </w:r>
      <w:r>
        <w:rPr/>
        <w:t>0 –</w:t>
      </w:r>
      <w:r>
        <w:rPr>
          <w:spacing w:val="-1"/>
        </w:rPr>
        <w:t> </w:t>
      </w:r>
      <w:r>
        <w:rPr/>
        <w:t>3</w:t>
      </w:r>
      <w:r>
        <w:rPr>
          <w:spacing w:val="-1"/>
        </w:rPr>
        <w:t> </w:t>
      </w:r>
      <w:r>
        <w:rPr/>
        <w:t>meses</w:t>
        <w:tab/>
        <w:t>4 –</w:t>
      </w:r>
      <w:r>
        <w:rPr>
          <w:spacing w:val="-1"/>
        </w:rPr>
        <w:t> </w:t>
      </w:r>
      <w:r>
        <w:rPr/>
        <w:t>6</w:t>
      </w:r>
      <w:r>
        <w:rPr>
          <w:spacing w:val="-1"/>
        </w:rPr>
        <w:t> </w:t>
      </w:r>
      <w:r>
        <w:rPr/>
        <w:t>meses</w:t>
        <w:tab/>
        <w:t>–</w:t>
      </w:r>
      <w:r>
        <w:rPr>
          <w:spacing w:val="-1"/>
        </w:rPr>
        <w:t> </w:t>
      </w:r>
      <w:r>
        <w:rPr/>
        <w:t>9</w:t>
      </w:r>
      <w:r>
        <w:rPr>
          <w:spacing w:val="-1"/>
        </w:rPr>
        <w:t> </w:t>
      </w:r>
      <w:r>
        <w:rPr/>
        <w:t>meses</w:t>
        <w:tab/>
        <w:t>-</w:t>
      </w:r>
      <w:r>
        <w:rPr>
          <w:spacing w:val="-2"/>
        </w:rPr>
        <w:t> </w:t>
      </w:r>
      <w:r>
        <w:rPr/>
        <w:t>12</w:t>
      </w:r>
      <w:r>
        <w:rPr>
          <w:spacing w:val="-1"/>
        </w:rPr>
        <w:t> </w:t>
      </w:r>
      <w:r>
        <w:rPr/>
        <w:t>meses</w:t>
        <w:tab/>
        <w:t>s de 12</w:t>
      </w:r>
      <w:r>
        <w:rPr>
          <w:spacing w:val="-2"/>
        </w:rPr>
        <w:t> </w:t>
      </w:r>
      <w:r>
        <w:rPr/>
        <w:t>meses</w:t>
      </w:r>
    </w:p>
    <w:p>
      <w:pPr>
        <w:pStyle w:val="BodyText"/>
        <w:spacing w:before="3"/>
        <w:rPr>
          <w:sz w:val="31"/>
        </w:rPr>
      </w:pPr>
    </w:p>
    <w:p>
      <w:pPr>
        <w:pStyle w:val="ListParagraph"/>
        <w:numPr>
          <w:ilvl w:val="0"/>
          <w:numId w:val="83"/>
        </w:numPr>
        <w:tabs>
          <w:tab w:pos="462" w:val="left" w:leader="none"/>
        </w:tabs>
        <w:spacing w:line="240" w:lineRule="auto" w:before="0" w:after="0"/>
        <w:ind w:left="462" w:right="0" w:hanging="360"/>
        <w:jc w:val="left"/>
        <w:rPr>
          <w:sz w:val="24"/>
        </w:rPr>
      </w:pPr>
      <w:r>
        <w:rPr>
          <w:sz w:val="24"/>
        </w:rPr>
        <w:t>¿En qué tipo de organización se contrató en su primer</w:t>
      </w:r>
      <w:r>
        <w:rPr>
          <w:spacing w:val="-12"/>
          <w:sz w:val="24"/>
        </w:rPr>
        <w:t> </w:t>
      </w:r>
      <w:r>
        <w:rPr>
          <w:sz w:val="24"/>
        </w:rPr>
        <w:t>empleo?</w:t>
      </w:r>
    </w:p>
    <w:p>
      <w:pPr>
        <w:pStyle w:val="BodyText"/>
        <w:spacing w:before="1"/>
        <w:rPr>
          <w:sz w:val="31"/>
        </w:rPr>
      </w:pPr>
    </w:p>
    <w:p>
      <w:pPr>
        <w:pStyle w:val="BodyText"/>
        <w:ind w:left="810"/>
      </w:pPr>
      <w:r>
        <w:rPr/>
        <w:pict>
          <v:rect style="position:absolute;margin-left:106.550003pt;margin-top:1.12314pt;width:11.25pt;height:9.4pt;mso-position-horizontal-relative:page;mso-position-vertical-relative:paragraph;z-index:10552" filled="false" stroked="true" strokeweight=".75pt" strokecolor="#000000">
            <w10:wrap type="none"/>
          </v:rect>
        </w:pict>
      </w:r>
      <w:r>
        <w:rPr/>
        <w:t>Empresa / Industria</w:t>
      </w:r>
    </w:p>
    <w:p>
      <w:pPr>
        <w:pStyle w:val="BodyText"/>
        <w:spacing w:line="278" w:lineRule="auto" w:before="41"/>
        <w:ind w:left="810" w:right="4610"/>
      </w:pPr>
      <w:r>
        <w:rPr/>
        <w:pict>
          <v:rect style="position:absolute;margin-left:106.550003pt;margin-top:4.653113pt;width:11.25pt;height:9.4pt;mso-position-horizontal-relative:page;mso-position-vertical-relative:paragraph;z-index:10576" filled="false" stroked="true" strokeweight=".75pt" strokecolor="#000000">
            <w10:wrap type="none"/>
          </v:rect>
        </w:pict>
      </w:r>
      <w:r>
        <w:rPr/>
        <w:pict>
          <v:rect style="position:absolute;margin-left:106.550003pt;margin-top:17.973112pt;width:11.25pt;height:9.4pt;mso-position-horizontal-relative:page;mso-position-vertical-relative:paragraph;z-index:10600" filled="false" stroked="true" strokeweight=".75pt" strokecolor="#000000">
            <w10:wrap type="none"/>
          </v:rect>
        </w:pict>
      </w:r>
      <w:r>
        <w:rPr/>
        <w:t>Instituciones gubernamental o similar Institución educativa</w:t>
      </w:r>
    </w:p>
    <w:p>
      <w:pPr>
        <w:pStyle w:val="BodyText"/>
        <w:spacing w:line="276" w:lineRule="auto"/>
        <w:ind w:left="810" w:right="6410"/>
      </w:pPr>
      <w:r>
        <w:rPr/>
        <w:pict>
          <v:rect style="position:absolute;margin-left:106.550003pt;margin-top:1.643125pt;width:11.25pt;height:9.4pt;mso-position-horizontal-relative:page;mso-position-vertical-relative:paragraph;z-index:10624" filled="false" stroked="true" strokeweight=".75pt" strokecolor="#000000">
            <w10:wrap type="none"/>
          </v:rect>
        </w:pict>
      </w:r>
      <w:r>
        <w:rPr/>
        <w:pict>
          <v:rect style="position:absolute;margin-left:106.550003pt;margin-top:18.513124pt;width:11.25pt;height:9.4pt;mso-position-horizontal-relative:page;mso-position-vertical-relative:paragraph;z-index:10648" filled="false" stroked="true" strokeweight=".75pt" strokecolor="#000000">
            <w10:wrap type="none"/>
          </v:rect>
        </w:pict>
      </w:r>
      <w:r>
        <w:rPr/>
        <w:pict>
          <v:rect style="position:absolute;margin-left:106.550003pt;margin-top:31.823126pt;width:11.25pt;height:9.4pt;mso-position-horizontal-relative:page;mso-position-vertical-relative:paragraph;z-index:10672" filled="false" stroked="true" strokeweight=".75pt" strokecolor="#000000">
            <w10:wrap type="none"/>
          </v:rect>
        </w:pict>
      </w:r>
      <w:r>
        <w:rPr/>
        <w:t>Comercio Despacho jurídico Despacho contable</w:t>
      </w:r>
    </w:p>
    <w:p>
      <w:pPr>
        <w:pStyle w:val="BodyText"/>
        <w:tabs>
          <w:tab w:pos="5878" w:val="left" w:leader="none"/>
        </w:tabs>
        <w:spacing w:before="3"/>
        <w:ind w:left="810"/>
      </w:pPr>
      <w:r>
        <w:rPr/>
        <w:pict>
          <v:rect style="position:absolute;margin-left:106.550003pt;margin-top:1.623112pt;width:11.25pt;height:9.4pt;mso-position-horizontal-relative:page;mso-position-vertical-relative:paragraph;z-index:10696" filled="false" stroked="true" strokeweight=".75pt" strokecolor="#000000">
            <w10:wrap type="none"/>
          </v:rect>
        </w:pict>
      </w:r>
      <w:r>
        <w:rPr/>
        <w:t>Otro ,</w:t>
      </w:r>
      <w:r>
        <w:rPr>
          <w:spacing w:val="-3"/>
        </w:rPr>
        <w:t> </w:t>
      </w:r>
      <w:r>
        <w:rPr/>
        <w:t>especifique</w:t>
      </w:r>
      <w:r>
        <w:rPr>
          <w:spacing w:val="-1"/>
        </w:rPr>
        <w:t> </w:t>
      </w:r>
      <w:r>
        <w:rPr>
          <w:u w:val="single"/>
        </w:rPr>
        <w:t> </w:t>
        <w:tab/>
      </w:r>
    </w:p>
    <w:p>
      <w:pPr>
        <w:pStyle w:val="BodyText"/>
        <w:spacing w:before="1"/>
        <w:rPr>
          <w:sz w:val="25"/>
        </w:rPr>
      </w:pPr>
    </w:p>
    <w:p>
      <w:pPr>
        <w:pStyle w:val="ListParagraph"/>
        <w:numPr>
          <w:ilvl w:val="0"/>
          <w:numId w:val="83"/>
        </w:numPr>
        <w:tabs>
          <w:tab w:pos="462" w:val="left" w:leader="none"/>
        </w:tabs>
        <w:spacing w:line="240" w:lineRule="auto" w:before="69" w:after="0"/>
        <w:ind w:left="462" w:right="0" w:hanging="360"/>
        <w:jc w:val="left"/>
        <w:rPr>
          <w:sz w:val="24"/>
        </w:rPr>
      </w:pPr>
      <w:r>
        <w:rPr>
          <w:sz w:val="24"/>
        </w:rPr>
        <w:t>La formación recibida en la Licenciatura en Economía se adecua a la realidad</w:t>
      </w:r>
      <w:r>
        <w:rPr>
          <w:spacing w:val="-18"/>
          <w:sz w:val="24"/>
        </w:rPr>
        <w:t> </w:t>
      </w:r>
      <w:r>
        <w:rPr>
          <w:sz w:val="24"/>
        </w:rPr>
        <w:t>laboral:</w:t>
      </w:r>
    </w:p>
    <w:p>
      <w:pPr>
        <w:pStyle w:val="BodyText"/>
        <w:spacing w:before="1"/>
        <w:rPr>
          <w:sz w:val="31"/>
        </w:rPr>
      </w:pPr>
    </w:p>
    <w:p>
      <w:pPr>
        <w:pStyle w:val="BodyText"/>
        <w:spacing w:line="276" w:lineRule="auto"/>
        <w:ind w:left="810" w:right="5871"/>
      </w:pPr>
      <w:r>
        <w:rPr/>
        <w:pict>
          <v:rect style="position:absolute;margin-left:104.599998pt;margin-top:1.893126pt;width:11.25pt;height:9.4pt;mso-position-horizontal-relative:page;mso-position-vertical-relative:paragraph;z-index:10360" filled="false" stroked="true" strokeweight=".75pt" strokecolor="#000000">
            <w10:wrap type="none"/>
          </v:rect>
        </w:pict>
      </w:r>
      <w:r>
        <w:rPr/>
        <w:pict>
          <v:rect style="position:absolute;margin-left:104.699997pt;margin-top:19.463127pt;width:11.25pt;height:9.4pt;mso-position-horizontal-relative:page;mso-position-vertical-relative:paragraph;z-index:10384" filled="false" stroked="true" strokeweight=".75pt" strokecolor="#000000">
            <w10:wrap type="none"/>
          </v:rect>
        </w:pict>
      </w:r>
      <w:r>
        <w:rPr/>
        <w:pict>
          <v:rect style="position:absolute;margin-left:105.25pt;margin-top:33.423126pt;width:11.25pt;height:9.4pt;mso-position-horizontal-relative:page;mso-position-vertical-relative:paragraph;z-index:10408" filled="false" stroked="true" strokeweight=".75pt" strokecolor="#000000">
            <w10:wrap type="none"/>
          </v:rect>
        </w:pict>
      </w:r>
      <w:r>
        <w:rPr/>
        <w:pict>
          <v:rect style="position:absolute;margin-left:105.25pt;margin-top:48.393127pt;width:11.25pt;height:9.4pt;mso-position-horizontal-relative:page;mso-position-vertical-relative:paragraph;z-index:10432" filled="false" stroked="true" strokeweight=".75pt" strokecolor="#000000">
            <w10:wrap type="none"/>
          </v:rect>
        </w:pict>
      </w:r>
      <w:r>
        <w:rPr/>
        <w:t>Muy adecuada Adecuada Medianamente</w:t>
      </w:r>
      <w:r>
        <w:rPr>
          <w:spacing w:val="-4"/>
        </w:rPr>
        <w:t> </w:t>
      </w:r>
      <w:r>
        <w:rPr/>
        <w:t>adecuada Poco</w:t>
      </w:r>
      <w:r>
        <w:rPr>
          <w:spacing w:val="-4"/>
        </w:rPr>
        <w:t> </w:t>
      </w:r>
      <w:r>
        <w:rPr/>
        <w:t>adecuada</w:t>
      </w:r>
    </w:p>
    <w:p>
      <w:pPr>
        <w:pStyle w:val="BodyText"/>
        <w:spacing w:before="1"/>
        <w:ind w:left="810"/>
      </w:pPr>
      <w:r>
        <w:rPr/>
        <w:pict>
          <v:rect style="position:absolute;margin-left:105.349998pt;margin-top:.813126pt;width:11.25pt;height:9.4pt;mso-position-horizontal-relative:page;mso-position-vertical-relative:paragraph;z-index:10456" filled="false" stroked="true" strokeweight=".75pt" strokecolor="#000000">
            <w10:wrap type="none"/>
          </v:rect>
        </w:pict>
      </w:r>
      <w:r>
        <w:rPr/>
        <w:t>Nada adecuada</w:t>
      </w:r>
    </w:p>
    <w:p>
      <w:pPr>
        <w:pStyle w:val="BodyText"/>
        <w:rPr>
          <w:sz w:val="28"/>
        </w:rPr>
      </w:pPr>
    </w:p>
    <w:p>
      <w:pPr>
        <w:pStyle w:val="ListParagraph"/>
        <w:numPr>
          <w:ilvl w:val="0"/>
          <w:numId w:val="83"/>
        </w:numPr>
        <w:tabs>
          <w:tab w:pos="462" w:val="left" w:leader="none"/>
        </w:tabs>
        <w:spacing w:line="630" w:lineRule="atLeast" w:before="1" w:after="0"/>
        <w:ind w:left="810" w:right="2427" w:hanging="708"/>
        <w:jc w:val="left"/>
        <w:rPr>
          <w:sz w:val="24"/>
        </w:rPr>
      </w:pPr>
      <w:r>
        <w:rPr/>
        <w:pict>
          <v:rect style="position:absolute;margin-left:104.599998pt;margin-top:51.324284pt;width:11.25pt;height:9.4pt;mso-position-horizontal-relative:page;mso-position-vertical-relative:paragraph;z-index:-392416" filled="false" stroked="true" strokeweight=".75pt" strokecolor="#000000">
            <w10:wrap type="none"/>
          </v:rect>
        </w:pict>
      </w:r>
      <w:r>
        <w:rPr>
          <w:sz w:val="24"/>
        </w:rPr>
        <w:t>Su primer empleo estaba relacionado con su carrera</w:t>
      </w:r>
      <w:r>
        <w:rPr>
          <w:spacing w:val="-10"/>
          <w:sz w:val="24"/>
        </w:rPr>
        <w:t> </w:t>
      </w:r>
      <w:r>
        <w:rPr>
          <w:sz w:val="24"/>
        </w:rPr>
        <w:t>profesional: Muy</w:t>
      </w:r>
      <w:r>
        <w:rPr>
          <w:spacing w:val="-6"/>
          <w:sz w:val="24"/>
        </w:rPr>
        <w:t> </w:t>
      </w:r>
      <w:r>
        <w:rPr>
          <w:sz w:val="24"/>
        </w:rPr>
        <w:t>relacionado</w:t>
      </w:r>
    </w:p>
    <w:p>
      <w:pPr>
        <w:pStyle w:val="BodyText"/>
        <w:spacing w:line="276" w:lineRule="auto" w:before="41"/>
        <w:ind w:left="810" w:right="5624"/>
      </w:pPr>
      <w:r>
        <w:rPr/>
        <w:pict>
          <v:rect style="position:absolute;margin-left:104.699997pt;margin-top:5.543128pt;width:11.25pt;height:9.4pt;mso-position-horizontal-relative:page;mso-position-vertical-relative:paragraph;z-index:10264" filled="false" stroked="true" strokeweight=".75pt" strokecolor="#000000">
            <w10:wrap type="none"/>
          </v:rect>
        </w:pict>
      </w:r>
      <w:r>
        <w:rPr/>
        <w:pict>
          <v:rect style="position:absolute;margin-left:105.25pt;margin-top:19.513128pt;width:11.25pt;height:9.4pt;mso-position-horizontal-relative:page;mso-position-vertical-relative:paragraph;z-index:10288" filled="false" stroked="true" strokeweight=".75pt" strokecolor="#000000">
            <w10:wrap type="none"/>
          </v:rect>
        </w:pict>
      </w:r>
      <w:r>
        <w:rPr/>
        <w:pict>
          <v:rect style="position:absolute;margin-left:105.25pt;margin-top:34.483128pt;width:11.25pt;height:9.4pt;mso-position-horizontal-relative:page;mso-position-vertical-relative:paragraph;z-index:10312" filled="false" stroked="true" strokeweight=".75pt" strokecolor="#000000">
            <w10:wrap type="none"/>
          </v:rect>
        </w:pict>
      </w:r>
      <w:r>
        <w:rPr/>
        <w:t>Relacionado Medianamente relacionado Poco relacionado</w:t>
      </w:r>
    </w:p>
    <w:p>
      <w:pPr>
        <w:pStyle w:val="BodyText"/>
        <w:spacing w:before="3"/>
        <w:ind w:left="810"/>
      </w:pPr>
      <w:r>
        <w:rPr/>
        <w:pict>
          <v:rect style="position:absolute;margin-left:105.550003pt;margin-top:.863128pt;width:11.25pt;height:9.4pt;mso-position-horizontal-relative:page;mso-position-vertical-relative:paragraph;z-index:10336" filled="false" stroked="true" strokeweight=".75pt" strokecolor="#000000">
            <w10:wrap type="none"/>
          </v:rect>
        </w:pict>
      </w:r>
      <w:r>
        <w:rPr/>
        <w:t>Nada relacionado</w:t>
      </w:r>
    </w:p>
    <w:p>
      <w:pPr>
        <w:pStyle w:val="ListParagraph"/>
        <w:numPr>
          <w:ilvl w:val="0"/>
          <w:numId w:val="83"/>
        </w:numPr>
        <w:tabs>
          <w:tab w:pos="462" w:val="left" w:leader="none"/>
        </w:tabs>
        <w:spacing w:line="636" w:lineRule="exact" w:before="73" w:after="0"/>
        <w:ind w:left="810" w:right="1061" w:hanging="708"/>
        <w:jc w:val="left"/>
        <w:rPr>
          <w:sz w:val="24"/>
        </w:rPr>
      </w:pPr>
      <w:r>
        <w:rPr/>
        <w:pict>
          <v:rect style="position:absolute;margin-left:104.599998pt;margin-top:51.409996pt;width:11.25pt;height:9.4pt;mso-position-horizontal-relative:page;mso-position-vertical-relative:paragraph;z-index:-392176" filled="false" stroked="true" strokeweight=".75pt" strokecolor="#000000">
            <w10:wrap type="none"/>
          </v:rect>
        </w:pict>
      </w:r>
      <w:r>
        <w:rPr>
          <w:sz w:val="24"/>
        </w:rPr>
        <w:t>La enseñanza en la facultad de Economía considera que ofrece una</w:t>
      </w:r>
      <w:r>
        <w:rPr>
          <w:spacing w:val="-11"/>
          <w:sz w:val="24"/>
        </w:rPr>
        <w:t> </w:t>
      </w:r>
      <w:r>
        <w:rPr>
          <w:sz w:val="24"/>
        </w:rPr>
        <w:t>formación: Muy completa</w:t>
      </w:r>
      <w:r>
        <w:rPr>
          <w:spacing w:val="-8"/>
          <w:sz w:val="24"/>
        </w:rPr>
        <w:t> </w:t>
      </w:r>
      <w:r>
        <w:rPr>
          <w:sz w:val="24"/>
        </w:rPr>
        <w:t>(teórica-práctica)</w:t>
      </w:r>
    </w:p>
    <w:p>
      <w:pPr>
        <w:pStyle w:val="BodyText"/>
        <w:spacing w:line="242" w:lineRule="exact"/>
        <w:ind w:left="810"/>
      </w:pPr>
      <w:r>
        <w:rPr/>
        <w:pict>
          <v:rect style="position:absolute;margin-left:104.699997pt;margin-top:1.729993pt;width:11.25pt;height:9.4pt;mso-position-horizontal-relative:page;mso-position-vertical-relative:paragraph;z-index:10504" filled="false" stroked="true" strokeweight=".75pt" strokecolor="#000000">
            <w10:wrap type="none"/>
          </v:rect>
        </w:pict>
      </w:r>
      <w:r>
        <w:rPr/>
        <w:t>Teórica</w:t>
      </w:r>
    </w:p>
    <w:p>
      <w:pPr>
        <w:pStyle w:val="BodyText"/>
        <w:spacing w:before="41"/>
        <w:ind w:left="810"/>
      </w:pPr>
      <w:r>
        <w:rPr/>
        <w:pict>
          <v:rect style="position:absolute;margin-left:105.25pt;margin-top:3.633126pt;width:11.25pt;height:9.4pt;mso-position-horizontal-relative:page;mso-position-vertical-relative:paragraph;z-index:10528" filled="false" stroked="true" strokeweight=".75pt" strokecolor="#000000">
            <w10:wrap type="none"/>
          </v:rect>
        </w:pict>
      </w:r>
      <w:r>
        <w:rPr/>
        <w:t>Práctica</w:t>
      </w:r>
    </w:p>
    <w:p>
      <w:pPr>
        <w:pStyle w:val="BodyText"/>
        <w:spacing w:before="1"/>
        <w:rPr>
          <w:sz w:val="31"/>
        </w:rPr>
      </w:pPr>
    </w:p>
    <w:p>
      <w:pPr>
        <w:pStyle w:val="ListParagraph"/>
        <w:numPr>
          <w:ilvl w:val="0"/>
          <w:numId w:val="83"/>
        </w:numPr>
        <w:tabs>
          <w:tab w:pos="462" w:val="left" w:leader="none"/>
        </w:tabs>
        <w:spacing w:line="278" w:lineRule="auto" w:before="0" w:after="0"/>
        <w:ind w:left="462" w:right="1126" w:hanging="360"/>
        <w:jc w:val="left"/>
        <w:rPr>
          <w:sz w:val="24"/>
        </w:rPr>
      </w:pPr>
      <w:r>
        <w:rPr>
          <w:sz w:val="24"/>
        </w:rPr>
        <w:t>¿Se deberían incluir más asignaturas al plan de estudios de la Licenciatura de Economía?</w:t>
      </w:r>
    </w:p>
    <w:p>
      <w:pPr>
        <w:spacing w:after="0" w:line="278" w:lineRule="auto"/>
        <w:jc w:val="left"/>
        <w:rPr>
          <w:sz w:val="24"/>
        </w:rPr>
        <w:sectPr>
          <w:pgSz w:w="12240" w:h="15840"/>
          <w:pgMar w:header="0" w:footer="1003" w:top="1500" w:bottom="1200" w:left="1600" w:right="1580"/>
        </w:sectPr>
      </w:pPr>
    </w:p>
    <w:p>
      <w:pPr>
        <w:pStyle w:val="BodyText"/>
        <w:tabs>
          <w:tab w:pos="8668" w:val="left" w:leader="none"/>
          <w:tab w:pos="8800" w:val="left" w:leader="none"/>
        </w:tabs>
        <w:spacing w:line="276" w:lineRule="auto" w:before="50"/>
        <w:ind w:left="810" w:right="257"/>
      </w:pPr>
      <w:r>
        <w:rPr/>
        <w:pict>
          <v:rect style="position:absolute;margin-left:105.550003pt;margin-top:3.913135pt;width:11.25pt;height:9.4pt;mso-position-horizontal-relative:page;mso-position-vertical-relative:paragraph;z-index:10936" filled="false" stroked="true" strokeweight=".75pt" strokecolor="#000000">
            <w10:wrap type="none"/>
          </v:rect>
        </w:pict>
      </w:r>
      <w:r>
        <w:rPr/>
        <w:pict>
          <v:rect style="position:absolute;margin-left:106.199997pt;margin-top:21.333136pt;width:11.25pt;height:9.4pt;mso-position-horizontal-relative:page;mso-position-vertical-relative:paragraph;z-index:10960" filled="false" stroked="true" strokeweight=".75pt" strokecolor="#000000">
            <w10:wrap type="none"/>
          </v:rect>
        </w:pict>
      </w:r>
      <w:r>
        <w:rPr/>
        <w:pict>
          <v:rect style="position:absolute;margin-left:106.199997pt;margin-top:36.303135pt;width:11.25pt;height:9.4pt;mso-position-horizontal-relative:page;mso-position-vertical-relative:paragraph;z-index:10984" filled="false" stroked="true" strokeweight=".75pt" strokecolor="#000000">
            <w10:wrap type="none"/>
          </v:rect>
        </w:pict>
      </w:r>
      <w:r>
        <w:rPr/>
        <w:t>Asignaturas con contenido</w:t>
      </w:r>
      <w:r>
        <w:rPr>
          <w:spacing w:val="-5"/>
        </w:rPr>
        <w:t> </w:t>
      </w:r>
      <w:r>
        <w:rPr/>
        <w:t>práctico,</w:t>
      </w:r>
      <w:r>
        <w:rPr>
          <w:spacing w:val="-2"/>
        </w:rPr>
        <w:t> </w:t>
      </w:r>
      <w:r>
        <w:rPr/>
        <w:t>¿cuáles?</w:t>
      </w:r>
      <w:r>
        <w:rPr>
          <w:u w:val="single"/>
        </w:rPr>
        <w:t> </w:t>
        <w:tab/>
      </w:r>
      <w:r>
        <w:rPr/>
        <w:t> Asignaturas con contenido</w:t>
      </w:r>
      <w:r>
        <w:rPr>
          <w:spacing w:val="-4"/>
        </w:rPr>
        <w:t> </w:t>
      </w:r>
      <w:r>
        <w:rPr/>
        <w:t>teórico,</w:t>
      </w:r>
      <w:r>
        <w:rPr>
          <w:spacing w:val="-3"/>
        </w:rPr>
        <w:t> </w:t>
      </w:r>
      <w:r>
        <w:rPr/>
        <w:t>¿cuáles?</w:t>
      </w:r>
      <w:r>
        <w:rPr>
          <w:u w:val="single"/>
        </w:rPr>
        <w:t> </w:t>
        <w:tab/>
        <w:tab/>
      </w:r>
      <w:r>
        <w:rPr/>
        <w:t> Ninguna</w:t>
      </w:r>
    </w:p>
    <w:p>
      <w:pPr>
        <w:pStyle w:val="BodyText"/>
        <w:spacing w:before="7"/>
        <w:rPr>
          <w:sz w:val="27"/>
        </w:rPr>
      </w:pPr>
    </w:p>
    <w:p>
      <w:pPr>
        <w:pStyle w:val="ListParagraph"/>
        <w:numPr>
          <w:ilvl w:val="0"/>
          <w:numId w:val="83"/>
        </w:numPr>
        <w:tabs>
          <w:tab w:pos="462" w:val="left" w:leader="none"/>
        </w:tabs>
        <w:spacing w:line="278" w:lineRule="auto" w:before="0" w:after="0"/>
        <w:ind w:left="462" w:right="267" w:hanging="360"/>
        <w:jc w:val="left"/>
        <w:rPr>
          <w:sz w:val="24"/>
        </w:rPr>
      </w:pPr>
      <w:r>
        <w:rPr>
          <w:sz w:val="24"/>
        </w:rPr>
        <w:t>Sus fuentes de información sobre las posibilidades de empleo durante la carrera</w:t>
      </w:r>
      <w:r>
        <w:rPr>
          <w:spacing w:val="-15"/>
          <w:sz w:val="24"/>
        </w:rPr>
        <w:t> </w:t>
      </w:r>
      <w:r>
        <w:rPr>
          <w:sz w:val="24"/>
        </w:rPr>
        <w:t>fueron (seleccione más de uno si es</w:t>
      </w:r>
      <w:r>
        <w:rPr>
          <w:spacing w:val="-9"/>
          <w:sz w:val="24"/>
        </w:rPr>
        <w:t> </w:t>
      </w:r>
      <w:r>
        <w:rPr>
          <w:sz w:val="24"/>
        </w:rPr>
        <w:t>necesario):</w:t>
      </w:r>
    </w:p>
    <w:p>
      <w:pPr>
        <w:pStyle w:val="BodyText"/>
        <w:spacing w:before="4"/>
        <w:rPr>
          <w:sz w:val="27"/>
        </w:rPr>
      </w:pPr>
    </w:p>
    <w:p>
      <w:pPr>
        <w:pStyle w:val="BodyText"/>
        <w:spacing w:line="276" w:lineRule="auto"/>
        <w:ind w:left="810" w:right="6516"/>
      </w:pPr>
      <w:r>
        <w:rPr/>
        <w:pict>
          <v:rect style="position:absolute;margin-left:104.599998pt;margin-top:.77314pt;width:11.25pt;height:9.4pt;mso-position-horizontal-relative:page;mso-position-vertical-relative:paragraph;z-index:11008" filled="false" stroked="true" strokeweight=".75pt" strokecolor="#000000">
            <w10:wrap type="none"/>
          </v:rect>
        </w:pict>
      </w:r>
      <w:r>
        <w:rPr/>
        <w:pict>
          <v:shape style="position:absolute;margin-left:104.699997pt;margin-top:17.023140pt;width:11.8pt;height:22.05pt;mso-position-horizontal-relative:page;mso-position-vertical-relative:paragraph;z-index:11032" coordorigin="2094,340" coordsize="236,441" path="m2094,528l2319,528,2319,340,2094,340,2094,528xm2105,781l2330,781,2330,593,2105,593,2105,781xe" filled="false" stroked="true" strokeweight=".75pt" strokecolor="#000000">
            <v:path arrowok="t"/>
            <w10:wrap type="none"/>
          </v:shape>
        </w:pict>
      </w:r>
      <w:r>
        <w:rPr/>
        <w:pict>
          <v:rect style="position:absolute;margin-left:105.25pt;margin-top:43.323139pt;width:11.25pt;height:9.4pt;mso-position-horizontal-relative:page;mso-position-vertical-relative:paragraph;z-index:11056" filled="false" stroked="true" strokeweight=".75pt" strokecolor="#000000">
            <w10:wrap type="none"/>
          </v:rect>
        </w:pict>
      </w:r>
      <w:r>
        <w:rPr/>
        <w:t>Profesores Compañeros Bolsa de trabajo</w:t>
      </w:r>
    </w:p>
    <w:p>
      <w:pPr>
        <w:pStyle w:val="BodyText"/>
        <w:spacing w:line="276" w:lineRule="auto" w:before="1"/>
        <w:ind w:left="810" w:right="2678"/>
      </w:pPr>
      <w:r>
        <w:rPr/>
        <w:pict>
          <v:rect style="position:absolute;margin-left:105.550003pt;margin-top:10.283125pt;width:11.25pt;height:9.4pt;mso-position-horizontal-relative:page;mso-position-vertical-relative:paragraph;z-index:11080" filled="false" stroked="true" strokeweight=".75pt" strokecolor="#000000">
            <w10:wrap type="none"/>
          </v:rect>
        </w:pict>
      </w:r>
      <w:r>
        <w:rPr/>
        <w:t>Departamento de vinculación de la Facultad de Economía Familiares</w:t>
      </w:r>
    </w:p>
    <w:p>
      <w:pPr>
        <w:pStyle w:val="BodyText"/>
        <w:tabs>
          <w:tab w:pos="7551" w:val="left" w:leader="none"/>
        </w:tabs>
        <w:spacing w:line="278" w:lineRule="auto" w:before="1"/>
        <w:ind w:left="810" w:right="1507"/>
      </w:pPr>
      <w:r>
        <w:rPr/>
        <w:pict>
          <v:rect style="position:absolute;margin-left:106.199997pt;margin-top:17.333103pt;width:11.25pt;height:9.4pt;mso-position-horizontal-relative:page;mso-position-vertical-relative:paragraph;z-index:11104" filled="false" stroked="true" strokeweight=".75pt" strokecolor="#000000">
            <w10:wrap type="none"/>
          </v:rect>
        </w:pict>
      </w:r>
      <w:r>
        <w:rPr/>
        <w:pict>
          <v:rect style="position:absolute;margin-left:105.449997pt;margin-top:.863103pt;width:11.25pt;height:9.4pt;mso-position-horizontal-relative:page;mso-position-vertical-relative:paragraph;z-index:11128" filled="false" stroked="true" strokeweight=".75pt" strokecolor="#000000">
            <w10:wrap type="none"/>
          </v:rect>
        </w:pict>
      </w:r>
      <w:r>
        <w:rPr/>
        <w:t>Otra,</w:t>
      </w:r>
      <w:r>
        <w:rPr>
          <w:spacing w:val="-5"/>
        </w:rPr>
        <w:t> </w:t>
      </w:r>
      <w:r>
        <w:rPr/>
        <w:t>especifique: </w:t>
      </w:r>
      <w:r>
        <w:rPr>
          <w:u w:val="single"/>
        </w:rPr>
        <w:t> </w:t>
        <w:tab/>
      </w:r>
      <w:r>
        <w:rPr/>
        <w:t> Ninguna</w:t>
      </w:r>
    </w:p>
    <w:p>
      <w:pPr>
        <w:pStyle w:val="BodyText"/>
        <w:spacing w:before="4"/>
        <w:rPr>
          <w:sz w:val="27"/>
        </w:rPr>
      </w:pPr>
    </w:p>
    <w:p>
      <w:pPr>
        <w:pStyle w:val="ListParagraph"/>
        <w:numPr>
          <w:ilvl w:val="0"/>
          <w:numId w:val="83"/>
        </w:numPr>
        <w:tabs>
          <w:tab w:pos="462" w:val="left" w:leader="none"/>
        </w:tabs>
        <w:spacing w:line="276" w:lineRule="auto" w:before="0" w:after="0"/>
        <w:ind w:left="462" w:right="121" w:hanging="360"/>
        <w:jc w:val="left"/>
        <w:rPr>
          <w:sz w:val="24"/>
        </w:rPr>
      </w:pPr>
      <w:r>
        <w:rPr>
          <w:sz w:val="24"/>
        </w:rPr>
        <w:t>¿Considera que el aprendizaje obtenido durante su carrera fue compatible con los puestos disponibles al momento de</w:t>
      </w:r>
      <w:r>
        <w:rPr>
          <w:spacing w:val="-8"/>
          <w:sz w:val="24"/>
        </w:rPr>
        <w:t> </w:t>
      </w:r>
      <w:r>
        <w:rPr>
          <w:sz w:val="24"/>
        </w:rPr>
        <w:t>egresar?</w:t>
      </w:r>
    </w:p>
    <w:p>
      <w:pPr>
        <w:pStyle w:val="BodyText"/>
        <w:spacing w:before="9"/>
        <w:rPr>
          <w:sz w:val="27"/>
        </w:rPr>
      </w:pPr>
    </w:p>
    <w:p>
      <w:pPr>
        <w:pStyle w:val="BodyText"/>
        <w:spacing w:line="276" w:lineRule="auto"/>
        <w:ind w:left="1050" w:right="5351" w:firstLine="12"/>
      </w:pPr>
      <w:r>
        <w:rPr/>
        <w:pict>
          <v:rect style="position:absolute;margin-left:115.849998pt;margin-top:.903135pt;width:11.25pt;height:9.4pt;mso-position-horizontal-relative:page;mso-position-vertical-relative:paragraph;z-index:10816" filled="false" stroked="true" strokeweight=".75pt" strokecolor="#000000">
            <w10:wrap type="none"/>
          </v:rect>
        </w:pict>
      </w:r>
      <w:r>
        <w:rPr/>
        <w:pict>
          <v:rect style="position:absolute;margin-left:115.949997pt;margin-top:16.313135pt;width:11.25pt;height:9.4pt;mso-position-horizontal-relative:page;mso-position-vertical-relative:paragraph;z-index:10840" filled="false" stroked="true" strokeweight=".75pt" strokecolor="#000000">
            <w10:wrap type="none"/>
          </v:rect>
        </w:pict>
      </w:r>
      <w:r>
        <w:rPr/>
        <w:pict>
          <v:rect style="position:absolute;margin-left:115.949997pt;margin-top:33.033134pt;width:11.25pt;height:9.4pt;mso-position-horizontal-relative:page;mso-position-vertical-relative:paragraph;z-index:10864" filled="false" stroked="true" strokeweight=".75pt" strokecolor="#000000">
            <w10:wrap type="none"/>
          </v:rect>
        </w:pict>
      </w:r>
      <w:r>
        <w:rPr/>
        <w:pict>
          <v:rect style="position:absolute;margin-left:115.949997pt;margin-top:49.103134pt;width:11.25pt;height:9.4pt;mso-position-horizontal-relative:page;mso-position-vertical-relative:paragraph;z-index:10888" filled="false" stroked="true" strokeweight=".75pt" strokecolor="#000000">
            <w10:wrap type="none"/>
          </v:rect>
        </w:pict>
      </w:r>
      <w:r>
        <w:rPr/>
        <w:t>Muy compatibles Compatibles Medianamente compatibles Poco</w:t>
      </w:r>
      <w:r>
        <w:rPr>
          <w:spacing w:val="-4"/>
        </w:rPr>
        <w:t> </w:t>
      </w:r>
      <w:r>
        <w:rPr/>
        <w:t>compatibles</w:t>
      </w:r>
    </w:p>
    <w:p>
      <w:pPr>
        <w:pStyle w:val="BodyText"/>
        <w:spacing w:before="3"/>
        <w:ind w:left="1061"/>
      </w:pPr>
      <w:r>
        <w:rPr/>
        <w:pict>
          <v:rect style="position:absolute;margin-left:115.949997pt;margin-top:1.773135pt;width:11.25pt;height:9.4pt;mso-position-horizontal-relative:page;mso-position-vertical-relative:paragraph;z-index:10912" filled="false" stroked="true" strokeweight=".75pt" strokecolor="#000000">
            <w10:wrap type="none"/>
          </v:rect>
        </w:pict>
      </w:r>
      <w:r>
        <w:rPr/>
        <w:t>Nada compatibles</w:t>
      </w:r>
    </w:p>
    <w:p>
      <w:pPr>
        <w:pStyle w:val="BodyText"/>
        <w:spacing w:before="1"/>
        <w:rPr>
          <w:sz w:val="31"/>
        </w:rPr>
      </w:pPr>
    </w:p>
    <w:p>
      <w:pPr>
        <w:pStyle w:val="ListParagraph"/>
        <w:numPr>
          <w:ilvl w:val="0"/>
          <w:numId w:val="83"/>
        </w:numPr>
        <w:tabs>
          <w:tab w:pos="462" w:val="left" w:leader="none"/>
        </w:tabs>
        <w:spacing w:line="276" w:lineRule="auto" w:before="0" w:after="0"/>
        <w:ind w:left="1422" w:right="1670" w:hanging="1320"/>
        <w:jc w:val="left"/>
        <w:rPr>
          <w:sz w:val="24"/>
        </w:rPr>
      </w:pPr>
      <w:r>
        <w:rPr/>
        <w:pict>
          <v:shape style="position:absolute;margin-left:125pt;margin-top:18.803112pt;width:22.5pt;height:9.4pt;mso-position-horizontal-relative:page;mso-position-vertical-relative:paragraph;z-index:-391504" coordorigin="2500,376" coordsize="450,188" path="m2500,564l2725,564,2725,376,2500,376,2500,564xm2725,564l2950,564,2950,376,2725,376,2725,564xe" filled="false" stroked="true" strokeweight=".75pt" strokecolor="#000000">
            <v:path arrowok="t"/>
            <w10:wrap type="none"/>
          </v:shape>
        </w:pict>
      </w:r>
      <w:r>
        <w:rPr>
          <w:sz w:val="24"/>
        </w:rPr>
        <w:t>¿Para cuántos empleos ha trabajado desde que egresó de la</w:t>
      </w:r>
      <w:r>
        <w:rPr>
          <w:spacing w:val="-14"/>
          <w:sz w:val="24"/>
        </w:rPr>
        <w:t> </w:t>
      </w:r>
      <w:r>
        <w:rPr>
          <w:sz w:val="24"/>
        </w:rPr>
        <w:t>licenciatura? Empleos</w:t>
      </w:r>
    </w:p>
    <w:p>
      <w:pPr>
        <w:pStyle w:val="BodyText"/>
        <w:spacing w:before="9"/>
        <w:rPr>
          <w:sz w:val="27"/>
        </w:rPr>
      </w:pPr>
    </w:p>
    <w:p>
      <w:pPr>
        <w:pStyle w:val="ListParagraph"/>
        <w:numPr>
          <w:ilvl w:val="0"/>
          <w:numId w:val="83"/>
        </w:numPr>
        <w:tabs>
          <w:tab w:pos="462" w:val="left" w:leader="none"/>
        </w:tabs>
        <w:spacing w:line="276" w:lineRule="auto" w:before="0" w:after="0"/>
        <w:ind w:left="462" w:right="117" w:hanging="360"/>
        <w:jc w:val="left"/>
        <w:rPr>
          <w:sz w:val="24"/>
        </w:rPr>
      </w:pPr>
      <w:r>
        <w:rPr>
          <w:sz w:val="24"/>
        </w:rPr>
        <w:t>¿Considera que el prestigio que tiene la Facultad de Economía de la UAEMéx ayudó a que fuera contratado en su primer</w:t>
      </w:r>
      <w:r>
        <w:rPr>
          <w:spacing w:val="-9"/>
          <w:sz w:val="24"/>
        </w:rPr>
        <w:t> </w:t>
      </w:r>
      <w:r>
        <w:rPr>
          <w:sz w:val="24"/>
        </w:rPr>
        <w:t>empleo?</w:t>
      </w:r>
    </w:p>
    <w:p>
      <w:pPr>
        <w:pStyle w:val="BodyText"/>
        <w:tabs>
          <w:tab w:pos="3960" w:val="left" w:leader="none"/>
        </w:tabs>
        <w:spacing w:before="1"/>
        <w:ind w:left="1061"/>
      </w:pPr>
      <w:r>
        <w:rPr/>
        <w:pict>
          <v:rect style="position:absolute;margin-left:113.75pt;margin-top:1.30312pt;width:11.25pt;height:9.4pt;mso-position-horizontal-relative:page;mso-position-vertical-relative:paragraph;z-index:10720" filled="false" stroked="true" strokeweight=".75pt" strokecolor="#000000">
            <w10:wrap type="none"/>
          </v:rect>
        </w:pict>
      </w:r>
      <w:r>
        <w:rPr/>
        <w:pict>
          <v:rect style="position:absolute;margin-left:265pt;margin-top:1.30312pt;width:11.25pt;height:9.4pt;mso-position-horizontal-relative:page;mso-position-vertical-relative:paragraph;z-index:-391912" filled="false" stroked="true" strokeweight=".75pt" strokecolor="#000000">
            <w10:wrap type="none"/>
          </v:rect>
        </w:pict>
      </w:r>
      <w:r>
        <w:rPr/>
        <w:t>Sí</w:t>
        <w:tab/>
        <w:t>No</w:t>
      </w:r>
    </w:p>
    <w:p>
      <w:pPr>
        <w:pStyle w:val="BodyText"/>
        <w:spacing w:before="3"/>
        <w:rPr>
          <w:sz w:val="31"/>
        </w:rPr>
      </w:pPr>
    </w:p>
    <w:p>
      <w:pPr>
        <w:pStyle w:val="ListParagraph"/>
        <w:numPr>
          <w:ilvl w:val="0"/>
          <w:numId w:val="83"/>
        </w:numPr>
        <w:tabs>
          <w:tab w:pos="462" w:val="left" w:leader="none"/>
        </w:tabs>
        <w:spacing w:line="276" w:lineRule="auto" w:before="0" w:after="0"/>
        <w:ind w:left="1122" w:right="1050" w:hanging="1020"/>
        <w:jc w:val="left"/>
        <w:rPr>
          <w:sz w:val="24"/>
        </w:rPr>
      </w:pPr>
      <w:r>
        <w:rPr/>
        <w:pict>
          <v:rect style="position:absolute;margin-left:115.849998pt;margin-top:16.763132pt;width:11.25pt;height:9.4pt;mso-position-horizontal-relative:page;mso-position-vertical-relative:paragraph;z-index:-391888" filled="false" stroked="true" strokeweight=".75pt" strokecolor="#000000">
            <w10:wrap type="none"/>
          </v:rect>
        </w:pict>
      </w:r>
      <w:r>
        <w:rPr>
          <w:sz w:val="24"/>
        </w:rPr>
        <w:t>¿Qué calificación cree usted que dan los empleadores a su carrera</w:t>
      </w:r>
      <w:r>
        <w:rPr>
          <w:spacing w:val="-16"/>
          <w:sz w:val="24"/>
        </w:rPr>
        <w:t> </w:t>
      </w:r>
      <w:r>
        <w:rPr>
          <w:sz w:val="24"/>
        </w:rPr>
        <w:t>profesional? Excelente</w:t>
      </w:r>
    </w:p>
    <w:p>
      <w:pPr>
        <w:pStyle w:val="BodyText"/>
        <w:spacing w:line="276" w:lineRule="auto" w:before="1"/>
        <w:ind w:left="1121" w:right="6958" w:hanging="12"/>
      </w:pPr>
      <w:r>
        <w:rPr/>
        <w:pict>
          <v:rect style="position:absolute;margin-left:115.949997pt;margin-top:.523125pt;width:11.25pt;height:9.4pt;mso-position-horizontal-relative:page;mso-position-vertical-relative:paragraph;z-index:10792" filled="false" stroked="true" strokeweight=".75pt" strokecolor="#000000">
            <w10:wrap type="none"/>
          </v:rect>
        </w:pict>
      </w:r>
      <w:r>
        <w:rPr/>
        <w:t>Buena Regular Mala Muy</w:t>
      </w:r>
      <w:r>
        <w:rPr>
          <w:spacing w:val="-4"/>
        </w:rPr>
        <w:t> </w:t>
      </w:r>
      <w:r>
        <w:rPr/>
        <w:t>mala</w:t>
      </w:r>
    </w:p>
    <w:p>
      <w:pPr>
        <w:pStyle w:val="BodyText"/>
      </w:pPr>
    </w:p>
    <w:p>
      <w:pPr>
        <w:pStyle w:val="BodyText"/>
        <w:spacing w:before="9"/>
        <w:rPr>
          <w:sz w:val="31"/>
        </w:rPr>
      </w:pPr>
    </w:p>
    <w:p>
      <w:pPr>
        <w:pStyle w:val="Heading4"/>
        <w:numPr>
          <w:ilvl w:val="0"/>
          <w:numId w:val="82"/>
        </w:numPr>
        <w:tabs>
          <w:tab w:pos="383" w:val="left" w:leader="none"/>
        </w:tabs>
        <w:spacing w:line="240" w:lineRule="auto" w:before="0" w:after="0"/>
        <w:ind w:left="382" w:right="0" w:hanging="280"/>
        <w:jc w:val="left"/>
        <w:rPr>
          <w:i/>
        </w:rPr>
      </w:pPr>
      <w:r>
        <w:rPr>
          <w:i/>
        </w:rPr>
        <w:t>Calidad de la</w:t>
      </w:r>
      <w:r>
        <w:rPr>
          <w:i/>
          <w:spacing w:val="-7"/>
        </w:rPr>
        <w:t> </w:t>
      </w:r>
      <w:r>
        <w:rPr>
          <w:i/>
        </w:rPr>
        <w:t>transición.</w:t>
      </w:r>
    </w:p>
    <w:p>
      <w:pPr>
        <w:spacing w:after="0" w:line="240" w:lineRule="auto"/>
        <w:jc w:val="left"/>
        <w:sectPr>
          <w:footerReference w:type="default" r:id="rId238"/>
          <w:pgSz w:w="12240" w:h="15840"/>
          <w:pgMar w:footer="1513" w:header="0" w:top="1360" w:bottom="1700" w:left="1600" w:right="1580"/>
        </w:sectPr>
      </w:pPr>
    </w:p>
    <w:p>
      <w:pPr>
        <w:pStyle w:val="ListParagraph"/>
        <w:numPr>
          <w:ilvl w:val="0"/>
          <w:numId w:val="83"/>
        </w:numPr>
        <w:tabs>
          <w:tab w:pos="462" w:val="left" w:leader="none"/>
        </w:tabs>
        <w:spacing w:line="240" w:lineRule="auto" w:before="50" w:after="0"/>
        <w:ind w:left="462" w:right="0" w:hanging="360"/>
        <w:jc w:val="left"/>
        <w:rPr>
          <w:sz w:val="24"/>
        </w:rPr>
      </w:pPr>
      <w:r>
        <w:rPr/>
        <w:pict>
          <v:rect style="position:absolute;margin-left:89.800003pt;margin-top:732.677002pt;width:11.25pt;height:9.4pt;mso-position-horizontal-relative:page;mso-position-vertical-relative:page;z-index:11416" filled="false" stroked="true" strokeweight=".75pt" strokecolor="#000000">
            <w10:wrap type="none"/>
          </v:rect>
        </w:pict>
      </w:r>
      <w:r>
        <w:rPr/>
        <w:pict>
          <v:rect style="position:absolute;margin-left:89.800003pt;margin-top:748.078003pt;width:11.25pt;height:9.4pt;mso-position-horizontal-relative:page;mso-position-vertical-relative:page;z-index:11440" filled="false" stroked="true" strokeweight=".75pt" strokecolor="#000000">
            <w10:wrap type="none"/>
          </v:rect>
        </w:pict>
      </w:r>
      <w:r>
        <w:rPr/>
        <w:pict>
          <v:rect style="position:absolute;margin-left:89.150002pt;margin-top:762.228027pt;width:11.25pt;height:9.4pt;mso-position-horizontal-relative:page;mso-position-vertical-relative:page;z-index:11464" filled="false" stroked="true" strokeweight=".75pt" strokecolor="#000000">
            <w10:wrap type="none"/>
          </v:rect>
        </w:pict>
      </w:r>
      <w:r>
        <w:rPr>
          <w:sz w:val="24"/>
        </w:rPr>
        <w:t>¿Cuánto tiempo ha estado trabajando en total desde que</w:t>
      </w:r>
      <w:r>
        <w:rPr>
          <w:spacing w:val="-12"/>
          <w:sz w:val="24"/>
        </w:rPr>
        <w:t> </w:t>
      </w:r>
      <w:r>
        <w:rPr>
          <w:sz w:val="24"/>
        </w:rPr>
        <w:t>egresó?</w:t>
      </w:r>
    </w:p>
    <w:p>
      <w:pPr>
        <w:pStyle w:val="BodyText"/>
        <w:spacing w:before="3"/>
        <w:rPr>
          <w:sz w:val="31"/>
        </w:rPr>
      </w:pPr>
    </w:p>
    <w:p>
      <w:pPr>
        <w:pStyle w:val="BodyText"/>
        <w:tabs>
          <w:tab w:pos="3027" w:val="left" w:leader="none"/>
          <w:tab w:pos="4426" w:val="left" w:leader="none"/>
        </w:tabs>
        <w:ind w:left="461"/>
      </w:pPr>
      <w:r>
        <w:rPr/>
        <w:pict>
          <v:shape style="position:absolute;margin-left:201.399994pt;margin-top:2.303147pt;width:22.5pt;height:9.4pt;mso-position-horizontal-relative:page;mso-position-vertical-relative:paragraph;z-index:-390856" coordorigin="4028,46" coordsize="450,188" path="m4028,234l4253,234,4253,46,4028,46,4028,234xm4253,234l4478,234,4478,46,4253,46,4253,234xe" filled="false" stroked="true" strokeweight=".75pt" strokecolor="#000000">
            <v:path arrowok="t"/>
            <w10:wrap type="none"/>
          </v:shape>
        </w:pict>
      </w:r>
      <w:r>
        <w:rPr/>
        <w:pict>
          <v:shape style="position:absolute;margin-left:273.549988pt;margin-top:2.303147pt;width:22.5pt;height:9.4pt;mso-position-horizontal-relative:page;mso-position-vertical-relative:paragraph;z-index:-390832" coordorigin="5471,46" coordsize="450,188" path="m5471,234l5696,234,5696,46,5471,46,5471,234xm5696,234l5921,234,5921,46,5696,46,5696,234xe" filled="false" stroked="true" strokeweight=".75pt" strokecolor="#000000">
            <v:path arrowok="t"/>
            <w10:wrap type="none"/>
          </v:shape>
        </w:pict>
      </w:r>
      <w:r>
        <w:rPr/>
        <w:t>Aproximadamente</w:t>
        <w:tab/>
        <w:t>años</w:t>
        <w:tab/>
        <w:t>meses</w:t>
      </w:r>
    </w:p>
    <w:p>
      <w:pPr>
        <w:pStyle w:val="BodyText"/>
        <w:spacing w:before="1"/>
        <w:rPr>
          <w:sz w:val="31"/>
        </w:rPr>
      </w:pPr>
    </w:p>
    <w:p>
      <w:pPr>
        <w:pStyle w:val="ListParagraph"/>
        <w:numPr>
          <w:ilvl w:val="0"/>
          <w:numId w:val="83"/>
        </w:numPr>
        <w:tabs>
          <w:tab w:pos="462" w:val="left" w:leader="none"/>
        </w:tabs>
        <w:spacing w:line="278" w:lineRule="auto" w:before="0" w:after="0"/>
        <w:ind w:left="1062" w:right="3665" w:hanging="960"/>
        <w:jc w:val="left"/>
        <w:rPr>
          <w:sz w:val="24"/>
        </w:rPr>
      </w:pPr>
      <w:r>
        <w:rPr/>
        <w:pict>
          <v:rect style="position:absolute;margin-left:113.75pt;margin-top:18.023155pt;width:11.25pt;height:9.4pt;mso-position-horizontal-relative:page;mso-position-vertical-relative:paragraph;z-index:-391024" filled="false" stroked="true" strokeweight=".75pt" strokecolor="#000000">
            <w10:wrap type="none"/>
          </v:rect>
        </w:pict>
      </w:r>
      <w:r>
        <w:rPr>
          <w:sz w:val="24"/>
        </w:rPr>
        <w:t>¿Qué tipo de contrato obtuvo en su primer</w:t>
      </w:r>
      <w:r>
        <w:rPr>
          <w:spacing w:val="-6"/>
          <w:sz w:val="24"/>
        </w:rPr>
        <w:t> </w:t>
      </w:r>
      <w:r>
        <w:rPr>
          <w:sz w:val="24"/>
        </w:rPr>
        <w:t>empleo? Contrato</w:t>
      </w:r>
      <w:r>
        <w:rPr>
          <w:spacing w:val="-3"/>
          <w:sz w:val="24"/>
        </w:rPr>
        <w:t> </w:t>
      </w:r>
      <w:r>
        <w:rPr>
          <w:sz w:val="24"/>
        </w:rPr>
        <w:t>indefinido</w:t>
      </w:r>
    </w:p>
    <w:p>
      <w:pPr>
        <w:pStyle w:val="BodyText"/>
        <w:tabs>
          <w:tab w:pos="4551" w:val="left" w:leader="none"/>
        </w:tabs>
        <w:spacing w:line="276" w:lineRule="auto"/>
        <w:ind w:left="1110" w:right="3921" w:hanging="48"/>
      </w:pPr>
      <w:r>
        <w:rPr/>
        <w:pict>
          <v:rect style="position:absolute;margin-left:113.75pt;margin-top:1.843105pt;width:11.25pt;height:9.4pt;mso-position-horizontal-relative:page;mso-position-vertical-relative:paragraph;z-index:11656" filled="false" stroked="true" strokeweight=".75pt" strokecolor="#000000">
            <w10:wrap type="none"/>
          </v:rect>
        </w:pict>
      </w:r>
      <w:r>
        <w:rPr/>
        <w:pict>
          <v:shape style="position:absolute;margin-left:276.25pt;margin-top:1.843105pt;width:22.5pt;height:9.4pt;mso-position-horizontal-relative:page;mso-position-vertical-relative:paragraph;z-index:-390976" coordorigin="5525,37" coordsize="450,188" path="m5525,225l5750,225,5750,37,5525,37,5525,225xm5750,225l5975,225,5975,37,5750,37,5750,225xe" filled="false" stroked="true" strokeweight=".75pt" strokecolor="#000000">
            <v:path arrowok="t"/>
            <w10:wrap type="none"/>
          </v:shape>
        </w:pict>
      </w:r>
      <w:r>
        <w:rPr/>
        <w:pict>
          <v:rect style="position:absolute;margin-left:113.75pt;margin-top:20.013105pt;width:11.25pt;height:9.4pt;mso-position-horizontal-relative:page;mso-position-vertical-relative:paragraph;z-index:11776" filled="false" stroked="true" strokeweight=".75pt" strokecolor="#000000">
            <w10:wrap type="none"/>
          </v:rect>
        </w:pict>
      </w:r>
      <w:r>
        <w:rPr/>
        <w:t>Contrato</w:t>
      </w:r>
      <w:r>
        <w:rPr>
          <w:spacing w:val="-2"/>
        </w:rPr>
        <w:t> </w:t>
      </w:r>
      <w:r>
        <w:rPr/>
        <w:t>temporal,</w:t>
      </w:r>
      <w:r>
        <w:rPr>
          <w:spacing w:val="-2"/>
        </w:rPr>
        <w:t> </w:t>
      </w:r>
      <w:r>
        <w:rPr/>
        <w:t>durante</w:t>
        <w:tab/>
        <w:t>meses</w:t>
      </w:r>
      <w:r>
        <w:rPr>
          <w:w w:val="99"/>
        </w:rPr>
        <w:t> </w:t>
      </w:r>
      <w:r>
        <w:rPr/>
        <w:t>Sin</w:t>
      </w:r>
      <w:r>
        <w:rPr>
          <w:spacing w:val="-3"/>
        </w:rPr>
        <w:t> </w:t>
      </w:r>
      <w:r>
        <w:rPr/>
        <w:t>contrato</w:t>
      </w:r>
    </w:p>
    <w:p>
      <w:pPr>
        <w:pStyle w:val="BodyText"/>
        <w:spacing w:before="9"/>
        <w:rPr>
          <w:sz w:val="27"/>
        </w:rPr>
      </w:pPr>
    </w:p>
    <w:p>
      <w:pPr>
        <w:pStyle w:val="ListParagraph"/>
        <w:numPr>
          <w:ilvl w:val="0"/>
          <w:numId w:val="83"/>
        </w:numPr>
        <w:tabs>
          <w:tab w:pos="462" w:val="left" w:leader="none"/>
        </w:tabs>
        <w:spacing w:line="276" w:lineRule="auto" w:before="0" w:after="0"/>
        <w:ind w:left="1122" w:right="3498" w:hanging="1020"/>
        <w:jc w:val="left"/>
        <w:rPr>
          <w:sz w:val="24"/>
        </w:rPr>
      </w:pPr>
      <w:r>
        <w:rPr/>
        <w:pict>
          <v:rect style="position:absolute;margin-left:115.949997pt;margin-top:18.083153pt;width:11.25pt;height:9.4pt;mso-position-horizontal-relative:page;mso-position-vertical-relative:paragraph;z-index:-390952" filled="false" stroked="true" strokeweight=".75pt" strokecolor="#000000">
            <w10:wrap type="none"/>
          </v:rect>
        </w:pict>
      </w:r>
      <w:r>
        <w:rPr>
          <w:sz w:val="24"/>
        </w:rPr>
        <w:t>En su primer empleo fue contratado como</w:t>
      </w:r>
      <w:r>
        <w:rPr>
          <w:spacing w:val="-8"/>
          <w:sz w:val="24"/>
        </w:rPr>
        <w:t> </w:t>
      </w:r>
      <w:r>
        <w:rPr>
          <w:sz w:val="24"/>
        </w:rPr>
        <w:t>empleado: De</w:t>
      </w:r>
      <w:r>
        <w:rPr>
          <w:spacing w:val="-3"/>
          <w:sz w:val="24"/>
        </w:rPr>
        <w:t> </w:t>
      </w:r>
      <w:r>
        <w:rPr>
          <w:sz w:val="24"/>
        </w:rPr>
        <w:t>confianza</w:t>
      </w:r>
    </w:p>
    <w:p>
      <w:pPr>
        <w:pStyle w:val="BodyText"/>
        <w:spacing w:before="1"/>
        <w:ind w:left="1121"/>
      </w:pPr>
      <w:r>
        <w:rPr/>
        <w:pict>
          <v:rect style="position:absolute;margin-left:115.949997pt;margin-top:3.34313pt;width:11.25pt;height:9.4pt;mso-position-horizontal-relative:page;mso-position-vertical-relative:paragraph;z-index:11728" filled="false" stroked="true" strokeweight=".75pt" strokecolor="#000000">
            <w10:wrap type="none"/>
          </v:rect>
        </w:pict>
      </w:r>
      <w:r>
        <w:rPr/>
        <w:t>Sindicalizado</w:t>
      </w:r>
    </w:p>
    <w:p>
      <w:pPr>
        <w:pStyle w:val="BodyText"/>
        <w:tabs>
          <w:tab w:pos="5324" w:val="left" w:leader="none"/>
        </w:tabs>
        <w:spacing w:before="41"/>
        <w:ind w:left="1170"/>
      </w:pPr>
      <w:r>
        <w:rPr/>
        <w:pict>
          <v:rect style="position:absolute;margin-left:116.050003pt;margin-top:3.513103pt;width:11.25pt;height:9.4pt;mso-position-horizontal-relative:page;mso-position-vertical-relative:paragraph;z-index:11752" filled="false" stroked="true" strokeweight=".75pt" strokecolor="#000000">
            <w10:wrap type="none"/>
          </v:rect>
        </w:pict>
      </w:r>
      <w:r>
        <w:rPr/>
        <w:t>Otro</w:t>
      </w:r>
      <w:r>
        <w:rPr>
          <w:spacing w:val="-1"/>
        </w:rPr>
        <w:t> </w:t>
      </w:r>
      <w:r>
        <w:rPr>
          <w:u w:val="single"/>
        </w:rPr>
        <w:t> </w:t>
        <w:tab/>
      </w:r>
    </w:p>
    <w:p>
      <w:pPr>
        <w:pStyle w:val="BodyText"/>
        <w:spacing w:before="3"/>
        <w:rPr>
          <w:sz w:val="25"/>
        </w:rPr>
      </w:pPr>
    </w:p>
    <w:p>
      <w:pPr>
        <w:pStyle w:val="ListParagraph"/>
        <w:numPr>
          <w:ilvl w:val="0"/>
          <w:numId w:val="83"/>
        </w:numPr>
        <w:tabs>
          <w:tab w:pos="462" w:val="left" w:leader="none"/>
        </w:tabs>
        <w:spacing w:line="240" w:lineRule="auto" w:before="69" w:after="0"/>
        <w:ind w:left="462" w:right="0" w:hanging="360"/>
        <w:jc w:val="left"/>
        <w:rPr>
          <w:sz w:val="24"/>
        </w:rPr>
      </w:pPr>
      <w:r>
        <w:rPr>
          <w:sz w:val="24"/>
        </w:rPr>
        <w:t>Su primer salario fue</w:t>
      </w:r>
      <w:r>
        <w:rPr>
          <w:spacing w:val="-7"/>
          <w:sz w:val="24"/>
        </w:rPr>
        <w:t> </w:t>
      </w:r>
      <w:r>
        <w:rPr>
          <w:sz w:val="24"/>
        </w:rPr>
        <w:t>de:</w:t>
      </w:r>
    </w:p>
    <w:p>
      <w:pPr>
        <w:pStyle w:val="BodyText"/>
        <w:spacing w:before="41"/>
        <w:ind w:left="1061"/>
      </w:pPr>
      <w:r>
        <w:rPr/>
        <w:pict>
          <v:rect style="position:absolute;margin-left:115.949997pt;margin-top:4.083119pt;width:11.25pt;height:9.4pt;mso-position-horizontal-relative:page;mso-position-vertical-relative:paragraph;z-index:11848" filled="false" stroked="true" strokeweight=".75pt" strokecolor="#000000">
            <w10:wrap type="none"/>
          </v:rect>
        </w:pict>
      </w:r>
      <w:r>
        <w:rPr/>
        <w:t>1 – 3000 pesos mensuales</w:t>
      </w:r>
    </w:p>
    <w:p>
      <w:pPr>
        <w:pStyle w:val="BodyText"/>
        <w:spacing w:before="41"/>
        <w:ind w:left="1061"/>
      </w:pPr>
      <w:r>
        <w:rPr/>
        <w:pict>
          <v:rect style="position:absolute;margin-left:115.949997pt;margin-top:3.163123pt;width:11.25pt;height:9.4pt;mso-position-horizontal-relative:page;mso-position-vertical-relative:paragraph;z-index:11872" filled="false" stroked="true" strokeweight=".75pt" strokecolor="#000000">
            <w10:wrap type="none"/>
          </v:rect>
        </w:pict>
      </w:r>
      <w:r>
        <w:rPr/>
        <w:t>3001 – 6000 pesos</w:t>
      </w:r>
      <w:r>
        <w:rPr>
          <w:spacing w:val="56"/>
        </w:rPr>
        <w:t> </w:t>
      </w:r>
      <w:r>
        <w:rPr/>
        <w:t>mensuales</w:t>
      </w:r>
    </w:p>
    <w:p>
      <w:pPr>
        <w:pStyle w:val="BodyText"/>
        <w:spacing w:before="41"/>
        <w:ind w:left="1121"/>
      </w:pPr>
      <w:r>
        <w:rPr/>
        <w:pict>
          <v:rect style="position:absolute;margin-left:115.849998pt;margin-top:2.193126pt;width:11.25pt;height:9.4pt;mso-position-horizontal-relative:page;mso-position-vertical-relative:paragraph;z-index:11896" filled="false" stroked="true" strokeweight=".75pt" strokecolor="#000000">
            <w10:wrap type="none"/>
          </v:rect>
        </w:pict>
      </w:r>
      <w:r>
        <w:rPr/>
        <w:t>6001 – 9000 pesos</w:t>
      </w:r>
      <w:r>
        <w:rPr>
          <w:spacing w:val="56"/>
        </w:rPr>
        <w:t> </w:t>
      </w:r>
      <w:r>
        <w:rPr/>
        <w:t>mensuales</w:t>
      </w:r>
    </w:p>
    <w:p>
      <w:pPr>
        <w:pStyle w:val="BodyText"/>
        <w:spacing w:line="276" w:lineRule="auto" w:before="43"/>
        <w:ind w:left="1121" w:right="4846"/>
      </w:pPr>
      <w:r>
        <w:rPr/>
        <w:pict>
          <v:rect style="position:absolute;margin-left:115.949997pt;margin-top:2.453135pt;width:11.25pt;height:9.4pt;mso-position-horizontal-relative:page;mso-position-vertical-relative:paragraph;z-index:11920" filled="false" stroked="true" strokeweight=".75pt" strokecolor="#000000">
            <w10:wrap type="none"/>
          </v:rect>
        </w:pict>
      </w:r>
      <w:r>
        <w:rPr/>
        <w:pict>
          <v:rect style="position:absolute;margin-left:115.949997pt;margin-top:19.163136pt;width:11.25pt;height:9.4pt;mso-position-horizontal-relative:page;mso-position-vertical-relative:paragraph;z-index:11944" filled="false" stroked="true" strokeweight=".75pt" strokecolor="#000000">
            <w10:wrap type="none"/>
          </v:rect>
        </w:pict>
      </w:r>
      <w:r>
        <w:rPr/>
        <w:t>9001 - 12000 pesos mensuales Más de  12000 pesos mensuales</w:t>
      </w:r>
    </w:p>
    <w:p>
      <w:pPr>
        <w:pStyle w:val="ListParagraph"/>
        <w:numPr>
          <w:ilvl w:val="0"/>
          <w:numId w:val="83"/>
        </w:numPr>
        <w:tabs>
          <w:tab w:pos="522" w:val="left" w:leader="none"/>
        </w:tabs>
        <w:spacing w:line="240" w:lineRule="auto" w:before="1" w:after="0"/>
        <w:ind w:left="522" w:right="0" w:hanging="420"/>
        <w:jc w:val="left"/>
        <w:rPr>
          <w:sz w:val="24"/>
        </w:rPr>
      </w:pPr>
      <w:r>
        <w:rPr>
          <w:sz w:val="24"/>
        </w:rPr>
        <w:t>Para encontrar  su primer empleo, tuvo ayuda</w:t>
      </w:r>
      <w:r>
        <w:rPr>
          <w:spacing w:val="-11"/>
          <w:sz w:val="24"/>
        </w:rPr>
        <w:t> </w:t>
      </w:r>
      <w:r>
        <w:rPr>
          <w:sz w:val="24"/>
        </w:rPr>
        <w:t>de:</w:t>
      </w:r>
    </w:p>
    <w:p>
      <w:pPr>
        <w:pStyle w:val="BodyText"/>
        <w:spacing w:before="3"/>
        <w:rPr>
          <w:sz w:val="31"/>
        </w:rPr>
      </w:pPr>
    </w:p>
    <w:p>
      <w:pPr>
        <w:pStyle w:val="BodyText"/>
        <w:spacing w:line="276" w:lineRule="auto" w:before="1"/>
        <w:ind w:left="461" w:right="1514"/>
      </w:pPr>
      <w:r>
        <w:rPr/>
        <w:pict>
          <v:rect style="position:absolute;margin-left:89.25pt;margin-top:2.023135pt;width:11.25pt;height:9.4pt;mso-position-horizontal-relative:page;mso-position-vertical-relative:paragraph;z-index:11176" filled="false" stroked="true" strokeweight=".75pt" strokecolor="#000000">
            <w10:wrap type="none"/>
          </v:rect>
        </w:pict>
      </w:r>
      <w:r>
        <w:rPr/>
        <w:pict>
          <v:rect style="position:absolute;margin-left:89.25pt;margin-top:15.623135pt;width:11.25pt;height:9.4pt;mso-position-horizontal-relative:page;mso-position-vertical-relative:paragraph;z-index:11200" filled="false" stroked="true" strokeweight=".75pt" strokecolor="#000000">
            <w10:wrap type="none"/>
          </v:rect>
        </w:pict>
      </w:r>
      <w:r>
        <w:rPr/>
        <w:pict>
          <v:rect style="position:absolute;margin-left:89.150002pt;margin-top:29.173134pt;width:11.25pt;height:9.4pt;mso-position-horizontal-relative:page;mso-position-vertical-relative:paragraph;z-index:11224" filled="false" stroked="true" strokeweight=".75pt" strokecolor="#000000">
            <w10:wrap type="none"/>
          </v:rect>
        </w:pict>
      </w:r>
      <w:r>
        <w:rPr/>
        <w:t>Departamento de vinculación de la Facultad de Economía de la UAEMéx Familiar</w:t>
      </w:r>
    </w:p>
    <w:p>
      <w:pPr>
        <w:pStyle w:val="BodyText"/>
        <w:spacing w:line="276" w:lineRule="auto" w:before="1"/>
        <w:ind w:left="461" w:right="7039"/>
      </w:pPr>
      <w:r>
        <w:rPr/>
        <w:pict>
          <v:rect style="position:absolute;margin-left:89.25pt;margin-top:12.293112pt;width:11.25pt;height:9.4pt;mso-position-horizontal-relative:page;mso-position-vertical-relative:paragraph;z-index:11248" filled="false" stroked="true" strokeweight=".75pt" strokecolor="#000000">
            <w10:wrap type="none"/>
          </v:rect>
        </w:pict>
      </w:r>
      <w:r>
        <w:rPr/>
        <w:pict>
          <v:rect style="position:absolute;margin-left:89.25pt;margin-top:27.693111pt;width:11.25pt;height:9.4pt;mso-position-horizontal-relative:page;mso-position-vertical-relative:paragraph;z-index:11272" filled="false" stroked="true" strokeweight=".75pt" strokecolor="#000000">
            <w10:wrap type="none"/>
          </v:rect>
        </w:pict>
      </w:r>
      <w:r>
        <w:rPr/>
        <w:t>Un amigo Profesores Bolsa de</w:t>
      </w:r>
      <w:r>
        <w:rPr>
          <w:spacing w:val="-5"/>
        </w:rPr>
        <w:t> </w:t>
      </w:r>
      <w:r>
        <w:rPr/>
        <w:t>trabajo</w:t>
      </w:r>
    </w:p>
    <w:p>
      <w:pPr>
        <w:pStyle w:val="BodyText"/>
        <w:spacing w:line="276" w:lineRule="auto" w:before="1"/>
        <w:ind w:left="461" w:right="5846"/>
      </w:pPr>
      <w:r>
        <w:rPr/>
        <w:pict>
          <v:rect style="position:absolute;margin-left:88.599998pt;margin-top:.793127pt;width:11.25pt;height:9.4pt;mso-position-horizontal-relative:page;mso-position-vertical-relative:paragraph;z-index:11296" filled="false" stroked="true" strokeweight=".75pt" strokecolor="#000000">
            <w10:wrap type="none"/>
          </v:rect>
        </w:pict>
      </w:r>
      <w:r>
        <w:rPr/>
        <w:pict>
          <v:rect style="position:absolute;margin-left:88.5pt;margin-top:17.713127pt;width:11.25pt;height:9.4pt;mso-position-horizontal-relative:page;mso-position-vertical-relative:paragraph;z-index:11488" filled="false" stroked="true" strokeweight=".75pt" strokecolor="#000000">
            <w10:wrap type="none"/>
          </v:rect>
        </w:pict>
      </w:r>
      <w:r>
        <w:rPr/>
        <w:pict>
          <v:rect style="position:absolute;margin-left:88.599998pt;margin-top:34.683128pt;width:11.25pt;height:9.4pt;mso-position-horizontal-relative:page;mso-position-vertical-relative:paragraph;z-index:11512" filled="false" stroked="true" strokeweight=".75pt" strokecolor="#000000">
            <w10:wrap type="none"/>
          </v:rect>
        </w:pict>
      </w:r>
      <w:r>
        <w:rPr/>
        <w:pict>
          <v:rect style="position:absolute;margin-left:89.699997pt;margin-top:48.803127pt;width:11.25pt;height:9.4pt;mso-position-horizontal-relative:page;mso-position-vertical-relative:paragraph;z-index:11536" filled="false" stroked="true" strokeweight=".75pt" strokecolor="#000000">
            <w10:wrap type="none"/>
          </v:rect>
        </w:pict>
      </w:r>
      <w:r>
        <w:rPr/>
        <w:pict>
          <v:rect style="position:absolute;margin-left:90pt;margin-top:66.123131pt;width:11.25pt;height:9.4pt;mso-position-horizontal-relative:page;mso-position-vertical-relative:paragraph;z-index:11560" filled="false" stroked="true" strokeweight=".75pt" strokecolor="#000000">
            <w10:wrap type="none"/>
          </v:rect>
        </w:pict>
      </w:r>
      <w:r>
        <w:rPr/>
        <w:t>Compañero de la carrera Avisos periódicos Relaciones laborales previas Relaciones servicio social Autoempleo</w:t>
      </w:r>
    </w:p>
    <w:p>
      <w:pPr>
        <w:pStyle w:val="BodyText"/>
        <w:spacing w:line="276" w:lineRule="auto" w:before="1"/>
        <w:ind w:left="461" w:right="5846"/>
      </w:pPr>
      <w:r>
        <w:rPr/>
        <w:pict>
          <v:rect style="position:absolute;margin-left:89.349998pt;margin-top:.923121pt;width:11.25pt;height:9.4pt;mso-position-horizontal-relative:page;mso-position-vertical-relative:paragraph;z-index:11584" filled="false" stroked="true" strokeweight=".75pt" strokecolor="#000000">
            <w10:wrap type="none"/>
          </v:rect>
        </w:pict>
      </w:r>
      <w:r>
        <w:rPr/>
        <w:pict>
          <v:rect style="position:absolute;margin-left:89.150002pt;margin-top:17.513121pt;width:11.25pt;height:9.4pt;mso-position-horizontal-relative:page;mso-position-vertical-relative:paragraph;z-index:11608" filled="false" stroked="true" strokeweight=".75pt" strokecolor="#000000">
            <w10:wrap type="none"/>
          </v:rect>
        </w:pict>
      </w:r>
      <w:r>
        <w:rPr/>
        <w:pict>
          <v:rect style="position:absolute;margin-left:88.699997pt;margin-top:32.123123pt;width:11.25pt;height:9.4pt;mso-position-horizontal-relative:page;mso-position-vertical-relative:paragraph;z-index:11968" filled="false" stroked="true" strokeweight=".75pt" strokecolor="#000000">
            <w10:wrap type="none"/>
          </v:rect>
        </w:pict>
      </w:r>
      <w:r>
        <w:rPr/>
        <w:t>Integración negocio familiar Iniciativa propia</w:t>
      </w:r>
    </w:p>
    <w:p>
      <w:pPr>
        <w:pStyle w:val="BodyText"/>
        <w:spacing w:before="3"/>
        <w:ind w:left="461"/>
      </w:pPr>
      <w:r>
        <w:rPr/>
        <w:t>Internet</w:t>
      </w:r>
    </w:p>
    <w:p>
      <w:pPr>
        <w:pStyle w:val="BodyText"/>
        <w:tabs>
          <w:tab w:pos="7620" w:val="left" w:leader="none"/>
        </w:tabs>
        <w:spacing w:before="41"/>
        <w:ind w:left="461"/>
      </w:pPr>
      <w:r>
        <w:rPr/>
        <w:pict>
          <v:rect style="position:absolute;margin-left:88.550003pt;margin-top:3.203122pt;width:11.25pt;height:9.4pt;mso-position-horizontal-relative:page;mso-position-vertical-relative:paragraph;z-index:11320" filled="false" stroked="true" strokeweight=".75pt" strokecolor="#000000">
            <w10:wrap type="none"/>
          </v:rect>
        </w:pict>
      </w:r>
      <w:r>
        <w:rPr/>
        <w:t>Ninguno de los anteriores,</w:t>
      </w:r>
      <w:r>
        <w:rPr>
          <w:spacing w:val="-9"/>
        </w:rPr>
        <w:t> </w:t>
      </w:r>
      <w:r>
        <w:rPr/>
        <w:t>especifique</w:t>
      </w:r>
      <w:r>
        <w:rPr>
          <w:spacing w:val="-1"/>
        </w:rPr>
        <w:t> </w:t>
      </w:r>
      <w:r>
        <w:rPr>
          <w:u w:val="single"/>
        </w:rPr>
        <w:t> </w:t>
        <w:tab/>
      </w:r>
    </w:p>
    <w:p>
      <w:pPr>
        <w:pStyle w:val="BodyText"/>
        <w:spacing w:before="1"/>
        <w:rPr>
          <w:sz w:val="25"/>
        </w:rPr>
      </w:pPr>
    </w:p>
    <w:p>
      <w:pPr>
        <w:pStyle w:val="ListParagraph"/>
        <w:numPr>
          <w:ilvl w:val="0"/>
          <w:numId w:val="83"/>
        </w:numPr>
        <w:tabs>
          <w:tab w:pos="462" w:val="left" w:leader="none"/>
        </w:tabs>
        <w:spacing w:line="240" w:lineRule="auto" w:before="69" w:after="0"/>
        <w:ind w:left="462" w:right="0" w:hanging="360"/>
        <w:jc w:val="left"/>
        <w:rPr>
          <w:sz w:val="24"/>
        </w:rPr>
      </w:pPr>
      <w:r>
        <w:rPr>
          <w:sz w:val="24"/>
        </w:rPr>
        <w:t>¿Cómo fue su incorporación al mercado laboral por primera</w:t>
      </w:r>
      <w:r>
        <w:rPr>
          <w:spacing w:val="-13"/>
          <w:sz w:val="24"/>
        </w:rPr>
        <w:t> </w:t>
      </w:r>
      <w:r>
        <w:rPr>
          <w:sz w:val="24"/>
        </w:rPr>
        <w:t>vez?</w:t>
      </w:r>
    </w:p>
    <w:p>
      <w:pPr>
        <w:pStyle w:val="BodyText"/>
        <w:spacing w:before="3"/>
        <w:rPr>
          <w:sz w:val="31"/>
        </w:rPr>
      </w:pPr>
    </w:p>
    <w:p>
      <w:pPr>
        <w:pStyle w:val="BodyText"/>
        <w:spacing w:line="276" w:lineRule="auto"/>
        <w:ind w:left="461" w:right="7639"/>
      </w:pPr>
      <w:r>
        <w:rPr/>
        <w:pict>
          <v:rect style="position:absolute;margin-left:89.800003pt;margin-top:1.155124pt;width:11.25pt;height:9.4pt;mso-position-horizontal-relative:page;mso-position-vertical-relative:paragraph;z-index:11344" filled="false" stroked="true" strokeweight=".75pt" strokecolor="#000000">
            <w10:wrap type="none"/>
          </v:rect>
        </w:pict>
      </w:r>
      <w:r>
        <w:rPr/>
        <w:pict>
          <v:rect style="position:absolute;margin-left:89.800003pt;margin-top:14.755124pt;width:11.25pt;height:9.4pt;mso-position-horizontal-relative:page;mso-position-vertical-relative:paragraph;z-index:11368" filled="false" stroked="true" strokeweight=".75pt" strokecolor="#000000">
            <w10:wrap type="none"/>
          </v:rect>
        </w:pict>
      </w:r>
      <w:r>
        <w:rPr/>
        <w:pict>
          <v:rect style="position:absolute;margin-left:89.699997pt;margin-top:28.304125pt;width:11.25pt;height:9.4pt;mso-position-horizontal-relative:page;mso-position-vertical-relative:paragraph;z-index:11392" filled="false" stroked="true" strokeweight=".75pt" strokecolor="#000000">
            <w10:wrap type="none"/>
          </v:rect>
        </w:pict>
      </w:r>
      <w:r>
        <w:rPr/>
        <w:t>Muy fácil Fácil</w:t>
      </w:r>
    </w:p>
    <w:p>
      <w:pPr>
        <w:spacing w:after="0" w:line="276" w:lineRule="auto"/>
        <w:sectPr>
          <w:footerReference w:type="default" r:id="rId239"/>
          <w:pgSz w:w="12240" w:h="15840"/>
          <w:pgMar w:footer="1003" w:header="0" w:top="1360" w:bottom="1200" w:left="1600" w:right="1580"/>
          <w:pgNumType w:start="236"/>
        </w:sectPr>
      </w:pPr>
    </w:p>
    <w:p>
      <w:pPr>
        <w:pStyle w:val="BodyText"/>
        <w:spacing w:line="276" w:lineRule="auto" w:before="50"/>
        <w:ind w:left="461" w:right="7512"/>
      </w:pPr>
      <w:r>
        <w:rPr/>
        <w:t>Difícil Muy</w:t>
      </w:r>
      <w:r>
        <w:rPr>
          <w:spacing w:val="-5"/>
        </w:rPr>
        <w:t> </w:t>
      </w:r>
      <w:r>
        <w:rPr/>
        <w:t>difícil No</w:t>
      </w:r>
      <w:r>
        <w:rPr>
          <w:spacing w:val="-1"/>
        </w:rPr>
        <w:t> </w:t>
      </w:r>
      <w:r>
        <w:rPr/>
        <w:t>busqué</w:t>
      </w:r>
    </w:p>
    <w:p>
      <w:pPr>
        <w:pStyle w:val="BodyText"/>
        <w:spacing w:before="1"/>
        <w:ind w:left="461"/>
      </w:pPr>
      <w:r>
        <w:rPr/>
        <w:t>No encontré</w:t>
      </w:r>
    </w:p>
    <w:p>
      <w:pPr>
        <w:pStyle w:val="BodyText"/>
        <w:spacing w:before="3"/>
        <w:rPr>
          <w:sz w:val="31"/>
        </w:rPr>
      </w:pPr>
    </w:p>
    <w:p>
      <w:pPr>
        <w:pStyle w:val="ListParagraph"/>
        <w:numPr>
          <w:ilvl w:val="0"/>
          <w:numId w:val="83"/>
        </w:numPr>
        <w:tabs>
          <w:tab w:pos="462" w:val="left" w:leader="none"/>
          <w:tab w:pos="3840" w:val="left" w:leader="none"/>
        </w:tabs>
        <w:spacing w:line="276" w:lineRule="auto" w:before="0" w:after="0"/>
        <w:ind w:left="1002" w:right="4081" w:hanging="900"/>
        <w:jc w:val="left"/>
        <w:rPr>
          <w:sz w:val="24"/>
        </w:rPr>
      </w:pPr>
      <w:r>
        <w:rPr/>
        <w:pict>
          <v:rect style="position:absolute;margin-left:113.849998pt;margin-top:17.983131pt;width:11.25pt;height:9.4pt;mso-position-horizontal-relative:page;mso-position-vertical-relative:paragraph;z-index:-390664" filled="false" stroked="true" strokeweight=".75pt" strokecolor="#000000">
            <w10:wrap type="none"/>
          </v:rect>
        </w:pict>
      </w:r>
      <w:r>
        <w:rPr/>
        <w:pict>
          <v:rect style="position:absolute;margin-left:260.200012pt;margin-top:17.983131pt;width:11.25pt;height:9.4pt;mso-position-horizontal-relative:page;mso-position-vertical-relative:paragraph;z-index:-390640" filled="false" stroked="true" strokeweight=".75pt" strokecolor="#000000">
            <w10:wrap type="none"/>
          </v:rect>
        </w:pict>
      </w:r>
      <w:r>
        <w:rPr>
          <w:sz w:val="24"/>
        </w:rPr>
        <w:t>Al momento de egresar, usted </w:t>
      </w:r>
      <w:r>
        <w:rPr>
          <w:spacing w:val="-3"/>
          <w:sz w:val="24"/>
        </w:rPr>
        <w:t>ya </w:t>
      </w:r>
      <w:r>
        <w:rPr>
          <w:sz w:val="24"/>
        </w:rPr>
        <w:t>tenía empleo: Sí</w:t>
        <w:tab/>
        <w:t>No</w:t>
      </w:r>
    </w:p>
    <w:p>
      <w:pPr>
        <w:pStyle w:val="BodyText"/>
        <w:spacing w:before="7"/>
        <w:rPr>
          <w:sz w:val="27"/>
        </w:rPr>
      </w:pPr>
    </w:p>
    <w:p>
      <w:pPr>
        <w:pStyle w:val="ListParagraph"/>
        <w:numPr>
          <w:ilvl w:val="0"/>
          <w:numId w:val="83"/>
        </w:numPr>
        <w:tabs>
          <w:tab w:pos="462" w:val="left" w:leader="none"/>
        </w:tabs>
        <w:spacing w:line="240" w:lineRule="auto" w:before="0" w:after="0"/>
        <w:ind w:left="462" w:right="0" w:hanging="360"/>
        <w:jc w:val="left"/>
        <w:rPr>
          <w:sz w:val="24"/>
        </w:rPr>
      </w:pPr>
      <w:r>
        <w:rPr>
          <w:sz w:val="24"/>
        </w:rPr>
        <w:t>¿Cuánto tiempo tardó en encontrar su primer empleo, después de haber</w:t>
      </w:r>
      <w:r>
        <w:rPr>
          <w:spacing w:val="-14"/>
          <w:sz w:val="24"/>
        </w:rPr>
        <w:t> </w:t>
      </w:r>
      <w:r>
        <w:rPr>
          <w:sz w:val="24"/>
        </w:rPr>
        <w:t>egresado?</w:t>
      </w:r>
    </w:p>
    <w:p>
      <w:pPr>
        <w:pStyle w:val="BodyText"/>
        <w:spacing w:before="3"/>
        <w:rPr>
          <w:sz w:val="31"/>
        </w:rPr>
      </w:pPr>
    </w:p>
    <w:p>
      <w:pPr>
        <w:pStyle w:val="BodyText"/>
        <w:tabs>
          <w:tab w:pos="1947" w:val="left" w:leader="none"/>
          <w:tab w:pos="3433" w:val="left" w:leader="none"/>
          <w:tab w:pos="4921" w:val="left" w:leader="none"/>
          <w:tab w:pos="6606" w:val="left" w:leader="none"/>
        </w:tabs>
        <w:ind w:left="461"/>
      </w:pPr>
      <w:r>
        <w:rPr/>
        <w:pict>
          <v:rect style="position:absolute;margin-left:87.199997pt;margin-top:2.143125pt;width:11.25pt;height:9.4pt;mso-position-horizontal-relative:page;mso-position-vertical-relative:paragraph;z-index:12376" filled="false" stroked="true" strokeweight=".75pt" strokecolor="#000000">
            <w10:wrap type="none"/>
          </v:rect>
        </w:pict>
      </w:r>
      <w:r>
        <w:rPr/>
        <w:pict>
          <v:rect style="position:absolute;margin-left:164.649994pt;margin-top:2.143125pt;width:11.25pt;height:9.4pt;mso-position-horizontal-relative:page;mso-position-vertical-relative:paragraph;z-index:-390256" filled="false" stroked="true" strokeweight=".75pt" strokecolor="#000000">
            <w10:wrap type="none"/>
          </v:rect>
        </w:pict>
      </w:r>
      <w:r>
        <w:rPr/>
        <w:pict>
          <v:rect style="position:absolute;margin-left:237.050003pt;margin-top:2.143125pt;width:11.25pt;height:9.4pt;mso-position-horizontal-relative:page;mso-position-vertical-relative:paragraph;z-index:-390232" filled="false" stroked="true" strokeweight=".75pt" strokecolor="#000000">
            <w10:wrap type="none"/>
          </v:rect>
        </w:pict>
      </w:r>
      <w:r>
        <w:rPr/>
        <w:pict>
          <v:group style="position:absolute;margin-left:315.774994pt;margin-top:1.768125pt;width:12pt;height:10.15pt;mso-position-horizontal-relative:page;mso-position-vertical-relative:paragraph;z-index:-390208" coordorigin="6315,35" coordsize="240,203">
            <v:rect style="position:absolute;left:6323;top:43;width:225;height:188" filled="true" fillcolor="#ffffff" stroked="false">
              <v:fill type="solid"/>
            </v:rect>
            <v:rect style="position:absolute;left:6323;top:43;width:225;height:188" filled="false" stroked="true" strokeweight=".75pt" strokecolor="#000000"/>
            <w10:wrap type="none"/>
          </v:group>
        </w:pict>
      </w:r>
      <w:r>
        <w:rPr/>
        <w:pict>
          <v:rect style="position:absolute;margin-left:398.200012pt;margin-top:2.143125pt;width:11.25pt;height:9.4pt;mso-position-horizontal-relative:page;mso-position-vertical-relative:paragraph;z-index:-390184" filled="false" stroked="true" strokeweight=".75pt" strokecolor="#000000">
            <w10:wrap type="none"/>
          </v:rect>
        </w:pict>
      </w:r>
      <w:r>
        <w:rPr/>
        <w:t>0 –</w:t>
      </w:r>
      <w:r>
        <w:rPr>
          <w:spacing w:val="-1"/>
        </w:rPr>
        <w:t> </w:t>
      </w:r>
      <w:r>
        <w:rPr/>
        <w:t>3</w:t>
      </w:r>
      <w:r>
        <w:rPr>
          <w:spacing w:val="-1"/>
        </w:rPr>
        <w:t> </w:t>
      </w:r>
      <w:r>
        <w:rPr/>
        <w:t>meses</w:t>
        <w:tab/>
        <w:t>4 –</w:t>
      </w:r>
      <w:r>
        <w:rPr>
          <w:spacing w:val="-1"/>
        </w:rPr>
        <w:t> </w:t>
      </w:r>
      <w:r>
        <w:rPr/>
        <w:t>6</w:t>
      </w:r>
      <w:r>
        <w:rPr>
          <w:spacing w:val="-1"/>
        </w:rPr>
        <w:t> </w:t>
      </w:r>
      <w:r>
        <w:rPr/>
        <w:t>meses</w:t>
        <w:tab/>
        <w:t>7 –</w:t>
      </w:r>
      <w:r>
        <w:rPr>
          <w:spacing w:val="-1"/>
        </w:rPr>
        <w:t> </w:t>
      </w:r>
      <w:r>
        <w:rPr/>
        <w:t>9</w:t>
      </w:r>
      <w:r>
        <w:rPr>
          <w:spacing w:val="-1"/>
        </w:rPr>
        <w:t> </w:t>
      </w:r>
      <w:r>
        <w:rPr/>
        <w:t>meses</w:t>
        <w:tab/>
        <w:t>10-</w:t>
      </w:r>
      <w:r>
        <w:rPr>
          <w:spacing w:val="-2"/>
        </w:rPr>
        <w:t> </w:t>
      </w:r>
      <w:r>
        <w:rPr/>
        <w:t>12</w:t>
      </w:r>
      <w:r>
        <w:rPr>
          <w:spacing w:val="-1"/>
        </w:rPr>
        <w:t> </w:t>
      </w:r>
      <w:r>
        <w:rPr/>
        <w:t>meses</w:t>
        <w:tab/>
        <w:t>más de 12</w:t>
      </w:r>
      <w:r>
        <w:rPr>
          <w:spacing w:val="-3"/>
        </w:rPr>
        <w:t> </w:t>
      </w:r>
      <w:r>
        <w:rPr/>
        <w:t>meses</w:t>
      </w:r>
    </w:p>
    <w:p>
      <w:pPr>
        <w:pStyle w:val="BodyText"/>
        <w:spacing w:before="1"/>
        <w:rPr>
          <w:sz w:val="31"/>
        </w:rPr>
      </w:pPr>
    </w:p>
    <w:p>
      <w:pPr>
        <w:pStyle w:val="ListParagraph"/>
        <w:numPr>
          <w:ilvl w:val="0"/>
          <w:numId w:val="83"/>
        </w:numPr>
        <w:tabs>
          <w:tab w:pos="462" w:val="left" w:leader="none"/>
        </w:tabs>
        <w:spacing w:line="240" w:lineRule="auto" w:before="0" w:after="0"/>
        <w:ind w:left="462" w:right="0" w:hanging="360"/>
        <w:jc w:val="left"/>
        <w:rPr>
          <w:sz w:val="24"/>
        </w:rPr>
      </w:pPr>
      <w:r>
        <w:rPr>
          <w:sz w:val="24"/>
        </w:rPr>
        <w:t>¿Cuánto tiempo duró contratado en su primer</w:t>
      </w:r>
      <w:r>
        <w:rPr>
          <w:spacing w:val="-7"/>
          <w:sz w:val="24"/>
        </w:rPr>
        <w:t> </w:t>
      </w:r>
      <w:r>
        <w:rPr>
          <w:sz w:val="24"/>
        </w:rPr>
        <w:t>empleo?</w:t>
      </w:r>
    </w:p>
    <w:p>
      <w:pPr>
        <w:pStyle w:val="BodyText"/>
        <w:spacing w:before="3"/>
        <w:rPr>
          <w:sz w:val="31"/>
        </w:rPr>
      </w:pPr>
    </w:p>
    <w:p>
      <w:pPr>
        <w:pStyle w:val="BodyText"/>
        <w:tabs>
          <w:tab w:pos="1947" w:val="left" w:leader="none"/>
          <w:tab w:pos="3433" w:val="left" w:leader="none"/>
          <w:tab w:pos="4921" w:val="left" w:leader="none"/>
          <w:tab w:pos="6606" w:val="left" w:leader="none"/>
        </w:tabs>
        <w:ind w:left="461"/>
      </w:pPr>
      <w:r>
        <w:rPr/>
        <w:pict>
          <v:rect style="position:absolute;margin-left:87.199997pt;margin-top:2.103115pt;width:11.25pt;height:9.4pt;mso-position-horizontal-relative:page;mso-position-vertical-relative:paragraph;z-index:12040" filled="false" stroked="true" strokeweight=".75pt" strokecolor="#000000">
            <w10:wrap type="none"/>
          </v:rect>
        </w:pict>
      </w:r>
      <w:r>
        <w:rPr/>
        <w:pict>
          <v:rect style="position:absolute;margin-left:164.649994pt;margin-top:2.103115pt;width:11.25pt;height:9.4pt;mso-position-horizontal-relative:page;mso-position-vertical-relative:paragraph;z-index:-390592" filled="false" stroked="true" strokeweight=".75pt" strokecolor="#000000">
            <w10:wrap type="none"/>
          </v:rect>
        </w:pict>
      </w:r>
      <w:r>
        <w:rPr/>
        <w:pict>
          <v:rect style="position:absolute;margin-left:238.949997pt;margin-top:2.103115pt;width:11.25pt;height:9.4pt;mso-position-horizontal-relative:page;mso-position-vertical-relative:paragraph;z-index:-390568" filled="false" stroked="true" strokeweight=".75pt" strokecolor="#000000">
            <w10:wrap type="none"/>
          </v:rect>
        </w:pict>
      </w:r>
      <w:r>
        <w:rPr/>
        <w:pict>
          <v:rect style="position:absolute;margin-left:314pt;margin-top:2.103115pt;width:11.25pt;height:9.4pt;mso-position-horizontal-relative:page;mso-position-vertical-relative:paragraph;z-index:-390544" filled="false" stroked="true" strokeweight=".75pt" strokecolor="#000000">
            <w10:wrap type="none"/>
          </v:rect>
        </w:pict>
      </w:r>
      <w:r>
        <w:rPr/>
        <w:pict>
          <v:rect style="position:absolute;margin-left:398.399994pt;margin-top:2.103115pt;width:11.25pt;height:9.4pt;mso-position-horizontal-relative:page;mso-position-vertical-relative:paragraph;z-index:-390520" filled="false" stroked="true" strokeweight=".75pt" strokecolor="#000000">
            <w10:wrap type="none"/>
          </v:rect>
        </w:pict>
      </w:r>
      <w:r>
        <w:rPr/>
        <w:t>0 –</w:t>
      </w:r>
      <w:r>
        <w:rPr>
          <w:spacing w:val="-1"/>
        </w:rPr>
        <w:t> </w:t>
      </w:r>
      <w:r>
        <w:rPr/>
        <w:t>3</w:t>
      </w:r>
      <w:r>
        <w:rPr>
          <w:spacing w:val="-1"/>
        </w:rPr>
        <w:t> </w:t>
      </w:r>
      <w:r>
        <w:rPr/>
        <w:t>meses</w:t>
        <w:tab/>
        <w:t>4 –</w:t>
      </w:r>
      <w:r>
        <w:rPr>
          <w:spacing w:val="-1"/>
        </w:rPr>
        <w:t> </w:t>
      </w:r>
      <w:r>
        <w:rPr/>
        <w:t>6</w:t>
      </w:r>
      <w:r>
        <w:rPr>
          <w:spacing w:val="-1"/>
        </w:rPr>
        <w:t> </w:t>
      </w:r>
      <w:r>
        <w:rPr/>
        <w:t>meses</w:t>
        <w:tab/>
        <w:t>7 –</w:t>
      </w:r>
      <w:r>
        <w:rPr>
          <w:spacing w:val="-1"/>
        </w:rPr>
        <w:t> </w:t>
      </w:r>
      <w:r>
        <w:rPr/>
        <w:t>9</w:t>
      </w:r>
      <w:r>
        <w:rPr>
          <w:spacing w:val="-1"/>
        </w:rPr>
        <w:t> </w:t>
      </w:r>
      <w:r>
        <w:rPr/>
        <w:t>meses</w:t>
        <w:tab/>
        <w:t>10-</w:t>
      </w:r>
      <w:r>
        <w:rPr>
          <w:spacing w:val="-2"/>
        </w:rPr>
        <w:t> </w:t>
      </w:r>
      <w:r>
        <w:rPr/>
        <w:t>12</w:t>
      </w:r>
      <w:r>
        <w:rPr>
          <w:spacing w:val="-1"/>
        </w:rPr>
        <w:t> </w:t>
      </w:r>
      <w:r>
        <w:rPr/>
        <w:t>meses</w:t>
        <w:tab/>
        <w:t>más de 12</w:t>
      </w:r>
      <w:r>
        <w:rPr>
          <w:spacing w:val="-3"/>
        </w:rPr>
        <w:t> </w:t>
      </w:r>
      <w:r>
        <w:rPr/>
        <w:t>meses</w:t>
      </w:r>
    </w:p>
    <w:p>
      <w:pPr>
        <w:pStyle w:val="BodyText"/>
        <w:spacing w:before="1"/>
        <w:rPr>
          <w:sz w:val="31"/>
        </w:rPr>
      </w:pPr>
    </w:p>
    <w:p>
      <w:pPr>
        <w:pStyle w:val="ListParagraph"/>
        <w:numPr>
          <w:ilvl w:val="0"/>
          <w:numId w:val="83"/>
        </w:numPr>
        <w:tabs>
          <w:tab w:pos="462" w:val="left" w:leader="none"/>
        </w:tabs>
        <w:spacing w:line="276" w:lineRule="auto" w:before="0" w:after="0"/>
        <w:ind w:left="462" w:right="122" w:hanging="360"/>
        <w:jc w:val="left"/>
        <w:rPr>
          <w:sz w:val="24"/>
        </w:rPr>
      </w:pPr>
      <w:r>
        <w:rPr>
          <w:sz w:val="24"/>
        </w:rPr>
        <w:t>¿Por cuál de las siguientes características considera que logró obtener su primer empleo?  (Seleccione más de una de ser</w:t>
      </w:r>
      <w:r>
        <w:rPr>
          <w:spacing w:val="-10"/>
          <w:sz w:val="24"/>
        </w:rPr>
        <w:t> </w:t>
      </w:r>
      <w:r>
        <w:rPr>
          <w:sz w:val="24"/>
        </w:rPr>
        <w:t>necesario)</w:t>
      </w:r>
    </w:p>
    <w:p>
      <w:pPr>
        <w:pStyle w:val="BodyText"/>
        <w:spacing w:before="9"/>
        <w:rPr>
          <w:sz w:val="27"/>
        </w:rPr>
      </w:pPr>
    </w:p>
    <w:p>
      <w:pPr>
        <w:pStyle w:val="BodyText"/>
        <w:spacing w:line="276" w:lineRule="auto"/>
        <w:ind w:left="701" w:right="6885"/>
      </w:pPr>
      <w:r>
        <w:rPr/>
        <w:pict>
          <v:rect style="position:absolute;margin-left:98.5pt;margin-top:2.173138pt;width:11.25pt;height:9.4pt;mso-position-horizontal-relative:page;mso-position-vertical-relative:paragraph;z-index:12160" filled="false" stroked="true" strokeweight=".75pt" strokecolor="#000000">
            <w10:wrap type="none"/>
          </v:rect>
        </w:pict>
      </w:r>
      <w:r>
        <w:rPr/>
        <w:pict>
          <v:rect style="position:absolute;margin-left:98.599998pt;margin-top:17.593138pt;width:11.25pt;height:9.4pt;mso-position-horizontal-relative:page;mso-position-vertical-relative:paragraph;z-index:12184" filled="false" stroked="true" strokeweight=".75pt" strokecolor="#000000">
            <w10:wrap type="none"/>
          </v:rect>
        </w:pict>
      </w:r>
      <w:r>
        <w:rPr/>
        <w:t>Habilidades Conocimientos</w:t>
      </w:r>
    </w:p>
    <w:p>
      <w:pPr>
        <w:pStyle w:val="BodyText"/>
        <w:spacing w:before="1"/>
        <w:ind w:left="701"/>
      </w:pPr>
      <w:r>
        <w:rPr/>
        <w:pict>
          <v:rect style="position:absolute;margin-left:99.300003pt;margin-top:2.663126pt;width:11.25pt;height:9.4pt;mso-position-horizontal-relative:page;mso-position-vertical-relative:paragraph;z-index:12208" filled="false" stroked="true" strokeweight=".75pt" strokecolor="#000000">
            <w10:wrap type="none"/>
          </v:rect>
        </w:pict>
      </w:r>
      <w:r>
        <w:rPr/>
        <w:t>Habilidades y conocimientos</w:t>
      </w:r>
    </w:p>
    <w:p>
      <w:pPr>
        <w:pStyle w:val="BodyText"/>
        <w:tabs>
          <w:tab w:pos="7574" w:val="left" w:leader="none"/>
        </w:tabs>
        <w:spacing w:before="43"/>
        <w:ind w:left="701"/>
      </w:pPr>
      <w:r>
        <w:rPr/>
        <w:pict>
          <v:rect style="position:absolute;margin-left:100.099998pt;margin-top:3.523135pt;width:11.25pt;height:9.4pt;mso-position-horizontal-relative:page;mso-position-vertical-relative:paragraph;z-index:12232" filled="false" stroked="true" strokeweight=".75pt" strokecolor="#000000">
            <w10:wrap type="none"/>
          </v:rect>
        </w:pict>
      </w:r>
      <w:r>
        <w:rPr/>
        <w:t>Otro,</w:t>
      </w:r>
      <w:r>
        <w:rPr>
          <w:spacing w:val="-5"/>
        </w:rPr>
        <w:t> </w:t>
      </w:r>
      <w:r>
        <w:rPr/>
        <w:t>especifique: </w:t>
      </w:r>
      <w:r>
        <w:rPr>
          <w:u w:val="single"/>
        </w:rPr>
        <w:t> </w:t>
        <w:tab/>
      </w:r>
    </w:p>
    <w:p>
      <w:pPr>
        <w:pStyle w:val="BodyText"/>
        <w:rPr>
          <w:sz w:val="20"/>
        </w:rPr>
      </w:pPr>
    </w:p>
    <w:p>
      <w:pPr>
        <w:pStyle w:val="BodyText"/>
        <w:rPr>
          <w:sz w:val="20"/>
        </w:rPr>
      </w:pPr>
    </w:p>
    <w:p>
      <w:pPr>
        <w:pStyle w:val="ListParagraph"/>
        <w:numPr>
          <w:ilvl w:val="0"/>
          <w:numId w:val="83"/>
        </w:numPr>
        <w:tabs>
          <w:tab w:pos="462" w:val="left" w:leader="none"/>
        </w:tabs>
        <w:spacing w:line="278" w:lineRule="auto" w:before="214" w:after="0"/>
        <w:ind w:left="462" w:right="122" w:hanging="360"/>
        <w:jc w:val="left"/>
        <w:rPr>
          <w:sz w:val="24"/>
        </w:rPr>
      </w:pPr>
      <w:r>
        <w:rPr>
          <w:sz w:val="24"/>
        </w:rPr>
        <w:t>¿Fueron importantes los conocimientos adquiridos en su carrera profesional para tener un buen desempeño laboral en su primer</w:t>
      </w:r>
      <w:r>
        <w:rPr>
          <w:spacing w:val="-9"/>
          <w:sz w:val="24"/>
        </w:rPr>
        <w:t> </w:t>
      </w:r>
      <w:r>
        <w:rPr>
          <w:sz w:val="24"/>
        </w:rPr>
        <w:t>empleo?</w:t>
      </w:r>
    </w:p>
    <w:p>
      <w:pPr>
        <w:pStyle w:val="BodyText"/>
        <w:spacing w:before="4"/>
        <w:rPr>
          <w:sz w:val="27"/>
        </w:rPr>
      </w:pPr>
    </w:p>
    <w:p>
      <w:pPr>
        <w:pStyle w:val="BodyText"/>
        <w:spacing w:line="276" w:lineRule="auto"/>
        <w:ind w:left="810" w:right="5630" w:hanging="48"/>
      </w:pPr>
      <w:r>
        <w:rPr/>
        <w:pict>
          <v:rect style="position:absolute;margin-left:103.099998pt;margin-top:1.573131pt;width:11.25pt;height:9.4pt;mso-position-horizontal-relative:page;mso-position-vertical-relative:paragraph;z-index:12256" filled="false" stroked="true" strokeweight=".75pt" strokecolor="#000000">
            <w10:wrap type="none"/>
          </v:rect>
        </w:pict>
      </w:r>
      <w:r>
        <w:rPr/>
        <w:pict>
          <v:rect style="position:absolute;margin-left:103.800003pt;margin-top:16.973131pt;width:11.25pt;height:9.4pt;mso-position-horizontal-relative:page;mso-position-vertical-relative:paragraph;z-index:12280" filled="false" stroked="true" strokeweight=".75pt" strokecolor="#000000">
            <w10:wrap type="none"/>
          </v:rect>
        </w:pict>
      </w:r>
      <w:r>
        <w:rPr/>
        <w:pict>
          <v:rect style="position:absolute;margin-left:104.599998pt;margin-top:30.373131pt;width:11.25pt;height:9.4pt;mso-position-horizontal-relative:page;mso-position-vertical-relative:paragraph;z-index:12304" filled="false" stroked="true" strokeweight=".75pt" strokecolor="#000000">
            <w10:wrap type="none"/>
          </v:rect>
        </w:pict>
      </w:r>
      <w:r>
        <w:rPr/>
        <w:pict>
          <v:rect style="position:absolute;margin-left:103.099998pt;margin-top:50.183132pt;width:11.25pt;height:9.4pt;mso-position-horizontal-relative:page;mso-position-vertical-relative:paragraph;z-index:12328" filled="false" stroked="true" strokeweight=".75pt" strokecolor="#000000">
            <w10:wrap type="none"/>
          </v:rect>
        </w:pict>
      </w:r>
      <w:r>
        <w:rPr/>
        <w:t>Muy importantes Importantes Medianamente</w:t>
      </w:r>
      <w:r>
        <w:rPr>
          <w:spacing w:val="-5"/>
        </w:rPr>
        <w:t> </w:t>
      </w:r>
      <w:r>
        <w:rPr/>
        <w:t>importantes Poco</w:t>
      </w:r>
      <w:r>
        <w:rPr>
          <w:spacing w:val="-4"/>
        </w:rPr>
        <w:t> </w:t>
      </w:r>
      <w:r>
        <w:rPr/>
        <w:t>importantes</w:t>
      </w:r>
    </w:p>
    <w:p>
      <w:pPr>
        <w:pStyle w:val="BodyText"/>
        <w:spacing w:before="1"/>
        <w:ind w:left="810"/>
      </w:pPr>
      <w:r>
        <w:rPr/>
        <w:pict>
          <v:rect style="position:absolute;margin-left:103.800003pt;margin-top:2.123121pt;width:11.25pt;height:9.4pt;mso-position-horizontal-relative:page;mso-position-vertical-relative:paragraph;z-index:12352" filled="false" stroked="true" strokeweight=".75pt" strokecolor="#000000">
            <w10:wrap type="none"/>
          </v:rect>
        </w:pict>
      </w:r>
      <w:r>
        <w:rPr/>
        <w:t>Nada importantes</w:t>
      </w:r>
    </w:p>
    <w:p>
      <w:pPr>
        <w:pStyle w:val="BodyText"/>
        <w:spacing w:before="3"/>
        <w:rPr>
          <w:sz w:val="31"/>
        </w:rPr>
      </w:pPr>
    </w:p>
    <w:p>
      <w:pPr>
        <w:pStyle w:val="ListParagraph"/>
        <w:numPr>
          <w:ilvl w:val="0"/>
          <w:numId w:val="83"/>
        </w:numPr>
        <w:tabs>
          <w:tab w:pos="462" w:val="left" w:leader="none"/>
        </w:tabs>
        <w:spacing w:line="276" w:lineRule="auto" w:before="0" w:after="0"/>
        <w:ind w:left="462" w:right="122" w:hanging="360"/>
        <w:jc w:val="left"/>
        <w:rPr>
          <w:sz w:val="24"/>
        </w:rPr>
      </w:pPr>
      <w:r>
        <w:rPr>
          <w:sz w:val="24"/>
        </w:rPr>
        <w:t>Para obtener su primer empleo fue importante … (numere del 1 al 10, en donde el 1 corresponde al de mayor importancia y 10 al de</w:t>
      </w:r>
      <w:r>
        <w:rPr>
          <w:spacing w:val="-9"/>
          <w:sz w:val="24"/>
        </w:rPr>
        <w:t> </w:t>
      </w:r>
      <w:r>
        <w:rPr>
          <w:sz w:val="24"/>
        </w:rPr>
        <w:t>menor):</w:t>
      </w:r>
    </w:p>
    <w:p>
      <w:pPr>
        <w:pStyle w:val="BodyText"/>
        <w:spacing w:before="7"/>
        <w:rPr>
          <w:sz w:val="27"/>
        </w:rPr>
      </w:pPr>
    </w:p>
    <w:p>
      <w:pPr>
        <w:pStyle w:val="BodyText"/>
        <w:spacing w:line="276" w:lineRule="auto"/>
        <w:ind w:left="810" w:right="5871"/>
      </w:pPr>
      <w:r>
        <w:rPr/>
        <w:pict>
          <v:rect style="position:absolute;margin-left:105.25pt;margin-top:.513122pt;width:11.25pt;height:9.4pt;mso-position-horizontal-relative:page;mso-position-vertical-relative:paragraph;z-index:12496" filled="false" stroked="true" strokeweight=".75pt" strokecolor="#000000">
            <w10:wrap type="none"/>
          </v:rect>
        </w:pict>
      </w:r>
      <w:r>
        <w:rPr/>
        <w:pict>
          <v:rect style="position:absolute;margin-left:105.349998pt;margin-top:16.733122pt;width:11.25pt;height:9.4pt;mso-position-horizontal-relative:page;mso-position-vertical-relative:paragraph;z-index:12520" filled="false" stroked="true" strokeweight=".75pt" strokecolor="#000000">
            <w10:wrap type="none"/>
          </v:rect>
        </w:pict>
      </w:r>
      <w:r>
        <w:rPr/>
        <w:t>Su titulación superior Expediente académico</w:t>
      </w:r>
    </w:p>
    <w:p>
      <w:pPr>
        <w:pStyle w:val="BodyText"/>
        <w:spacing w:line="276" w:lineRule="auto" w:before="3"/>
        <w:ind w:left="810" w:right="4778"/>
      </w:pPr>
      <w:r>
        <w:rPr/>
        <w:pict>
          <v:rect style="position:absolute;margin-left:104.300003pt;margin-top:2.055124pt;width:11.25pt;height:9.4pt;mso-position-horizontal-relative:page;mso-position-vertical-relative:paragraph;z-index:12544" filled="false" stroked="true" strokeweight=".75pt" strokecolor="#000000">
            <w10:wrap type="none"/>
          </v:rect>
        </w:pict>
      </w:r>
      <w:r>
        <w:rPr/>
        <w:pict>
          <v:rect style="position:absolute;margin-left:104.400002pt;margin-top:16.105124pt;width:11.25pt;height:9.4pt;mso-position-horizontal-relative:page;mso-position-vertical-relative:paragraph;z-index:12568" filled="false" stroked="true" strokeweight=".75pt" strokecolor="#000000">
            <w10:wrap type="none"/>
          </v:rect>
        </w:pict>
      </w:r>
      <w:r>
        <w:rPr/>
        <w:t>Experiencia laboral previa/prácticas Conocimientos de idiomas</w:t>
      </w:r>
    </w:p>
    <w:p>
      <w:pPr>
        <w:spacing w:after="0" w:line="276" w:lineRule="auto"/>
        <w:sectPr>
          <w:pgSz w:w="12240" w:h="15840"/>
          <w:pgMar w:header="0" w:footer="1003" w:top="1360" w:bottom="1200" w:left="1600" w:right="1580"/>
        </w:sectPr>
      </w:pPr>
    </w:p>
    <w:p>
      <w:pPr>
        <w:pStyle w:val="BodyText"/>
        <w:spacing w:line="278" w:lineRule="auto" w:before="50"/>
        <w:ind w:left="1170" w:right="3754"/>
      </w:pPr>
      <w:r>
        <w:rPr/>
        <w:pict>
          <v:rect style="position:absolute;margin-left:104.5pt;margin-top:4.513135pt;width:11.25pt;height:9.4pt;mso-position-horizontal-relative:page;mso-position-vertical-relative:paragraph;z-index:12784" filled="false" stroked="true" strokeweight=".75pt" strokecolor="#000000">
            <w10:wrap type="none"/>
          </v:rect>
        </w:pict>
      </w:r>
      <w:r>
        <w:rPr/>
        <w:pict>
          <v:rect style="position:absolute;margin-left:104.599998pt;margin-top:20.783134pt;width:11.25pt;height:9.4pt;mso-position-horizontal-relative:page;mso-position-vertical-relative:paragraph;z-index:12808" filled="false" stroked="true" strokeweight=".75pt" strokecolor="#000000">
            <w10:wrap type="none"/>
          </v:rect>
        </w:pict>
      </w:r>
      <w:r>
        <w:rPr/>
        <w:t>Conocimientos de informática/computación Cursos de formación especializada</w:t>
      </w:r>
    </w:p>
    <w:p>
      <w:pPr>
        <w:pStyle w:val="BodyText"/>
        <w:spacing w:line="274" w:lineRule="exact"/>
        <w:ind w:left="1170" w:right="3754"/>
      </w:pPr>
      <w:r>
        <w:rPr/>
        <w:pict>
          <v:rect style="position:absolute;margin-left:105.5pt;margin-top:2.068035pt;width:11.25pt;height:9.4pt;mso-position-horizontal-relative:page;mso-position-vertical-relative:paragraph;z-index:12832" filled="false" stroked="true" strokeweight=".75pt" strokecolor="#000000">
            <w10:wrap type="none"/>
          </v:rect>
        </w:pict>
      </w:r>
      <w:r>
        <w:rPr/>
        <w:t>Suerte</w:t>
      </w:r>
    </w:p>
    <w:p>
      <w:pPr>
        <w:pStyle w:val="BodyText"/>
        <w:spacing w:before="41"/>
        <w:ind w:left="1170" w:right="3754"/>
      </w:pPr>
      <w:r>
        <w:rPr/>
        <w:pict>
          <v:rect style="position:absolute;margin-left:104.949997pt;margin-top:4.38312pt;width:11.25pt;height:9.4pt;mso-position-horizontal-relative:page;mso-position-vertical-relative:paragraph;z-index:12856" filled="false" stroked="true" strokeweight=".75pt" strokecolor="#000000">
            <w10:wrap type="none"/>
          </v:rect>
        </w:pict>
      </w:r>
      <w:r>
        <w:rPr/>
        <w:t>Tener contactos sociales</w:t>
      </w:r>
    </w:p>
    <w:p>
      <w:pPr>
        <w:pStyle w:val="BodyText"/>
        <w:tabs>
          <w:tab w:pos="5418" w:val="left" w:leader="none"/>
        </w:tabs>
        <w:spacing w:line="278" w:lineRule="auto" w:before="41"/>
        <w:ind w:left="1170" w:right="1069"/>
      </w:pPr>
      <w:r>
        <w:rPr/>
        <w:pict>
          <v:rect style="position:absolute;margin-left:105.349998pt;margin-top:21.023155pt;width:11.25pt;height:9.4pt;mso-position-horizontal-relative:page;mso-position-vertical-relative:paragraph;z-index:12592" filled="false" stroked="true" strokeweight=".75pt" strokecolor="#000000">
            <w10:wrap type="none"/>
          </v:rect>
        </w:pict>
      </w:r>
      <w:r>
        <w:rPr/>
        <w:pict>
          <v:rect style="position:absolute;margin-left:105.349998pt;margin-top:5.153154pt;width:11.25pt;height:9.4pt;mso-position-horizontal-relative:page;mso-position-vertical-relative:paragraph;z-index:12760" filled="false" stroked="true" strokeweight=".75pt" strokecolor="#000000">
            <w10:wrap type="none"/>
          </v:rect>
        </w:pict>
      </w:r>
      <w:r>
        <w:rPr/>
        <w:t>Ser constante en la búsqueda</w:t>
      </w:r>
      <w:r>
        <w:rPr>
          <w:spacing w:val="-7"/>
        </w:rPr>
        <w:t> </w:t>
      </w:r>
      <w:r>
        <w:rPr/>
        <w:t>de empleo</w:t>
        <w:tab/>
        <w:t>Conocimientos sobre</w:t>
      </w:r>
      <w:r>
        <w:rPr>
          <w:spacing w:val="-6"/>
        </w:rPr>
        <w:t> </w:t>
      </w:r>
      <w:r>
        <w:rPr/>
        <w:t>su</w:t>
      </w:r>
      <w:r>
        <w:rPr>
          <w:spacing w:val="-2"/>
        </w:rPr>
        <w:t> </w:t>
      </w:r>
      <w:r>
        <w:rPr/>
        <w:t>profesión Conocimientos sobre</w:t>
      </w:r>
      <w:r>
        <w:rPr>
          <w:spacing w:val="-5"/>
        </w:rPr>
        <w:t> </w:t>
      </w:r>
      <w:r>
        <w:rPr/>
        <w:t>computación</w:t>
      </w:r>
    </w:p>
    <w:p>
      <w:pPr>
        <w:pStyle w:val="BodyText"/>
        <w:spacing w:line="276" w:lineRule="auto"/>
        <w:ind w:left="1170" w:right="6003"/>
      </w:pPr>
      <w:r>
        <w:rPr/>
        <w:pict>
          <v:rect style="position:absolute;margin-left:105.349998pt;margin-top:.543105pt;width:11.25pt;height:9.4pt;mso-position-horizontal-relative:page;mso-position-vertical-relative:paragraph;z-index:12616" filled="false" stroked="true" strokeweight=".75pt" strokecolor="#000000">
            <w10:wrap type="none"/>
          </v:rect>
        </w:pict>
      </w:r>
      <w:r>
        <w:rPr/>
        <w:pict>
          <v:rect style="position:absolute;margin-left:105.349998pt;margin-top:31.833105pt;width:11.25pt;height:9.4pt;mso-position-horizontal-relative:page;mso-position-vertical-relative:paragraph;z-index:12640" filled="false" stroked="true" strokeweight=".75pt" strokecolor="#000000">
            <w10:wrap type="none"/>
          </v:rect>
        </w:pict>
      </w:r>
      <w:r>
        <w:rPr/>
        <w:pict>
          <v:rect style="position:absolute;margin-left:105.349998pt;margin-top:15.913105pt;width:11.25pt;height:9.4pt;mso-position-horizontal-relative:page;mso-position-vertical-relative:paragraph;z-index:12688" filled="false" stroked="true" strokeweight=".75pt" strokecolor="#000000">
            <w10:wrap type="none"/>
          </v:rect>
        </w:pict>
      </w:r>
      <w:r>
        <w:rPr/>
        <w:t>Dominio del idioma inglés Recomendaciones</w:t>
      </w:r>
    </w:p>
    <w:p>
      <w:pPr>
        <w:pStyle w:val="BodyText"/>
        <w:spacing w:line="276" w:lineRule="auto" w:before="1"/>
        <w:ind w:left="1170" w:right="6570"/>
      </w:pPr>
      <w:r>
        <w:rPr/>
        <w:pict>
          <v:rect style="position:absolute;margin-left:105.349998pt;margin-top:16.523113pt;width:11.25pt;height:9.4pt;mso-position-horizontal-relative:page;mso-position-vertical-relative:paragraph;z-index:12664" filled="false" stroked="true" strokeweight=".75pt" strokecolor="#000000">
            <w10:wrap type="none"/>
          </v:rect>
        </w:pict>
      </w:r>
      <w:r>
        <w:rPr/>
        <w:pict>
          <v:rect style="position:absolute;margin-left:106.099998pt;margin-top:34.143112pt;width:11.25pt;height:9.4pt;mso-position-horizontal-relative:page;mso-position-vertical-relative:paragraph;z-index:12712" filled="false" stroked="true" strokeweight=".75pt" strokecolor="#000000">
            <w10:wrap type="none"/>
          </v:rect>
        </w:pict>
      </w:r>
      <w:r>
        <w:rPr/>
        <w:t>Género (ser hombre) Género (ser mujer) Edad</w:t>
      </w:r>
    </w:p>
    <w:p>
      <w:pPr>
        <w:pStyle w:val="BodyText"/>
        <w:tabs>
          <w:tab w:pos="6823" w:val="left" w:leader="none"/>
        </w:tabs>
        <w:spacing w:before="1"/>
        <w:ind w:left="1170" w:right="1069"/>
      </w:pPr>
      <w:r>
        <w:rPr/>
        <w:pict>
          <v:rect style="position:absolute;margin-left:106.099998pt;margin-top:2.79313pt;width:11.25pt;height:9.4pt;mso-position-horizontal-relative:page;mso-position-vertical-relative:paragraph;z-index:12736" filled="false" stroked="true" strokeweight=".75pt" strokecolor="#000000">
            <w10:wrap type="none"/>
          </v:rect>
        </w:pict>
      </w:r>
      <w:r>
        <w:rPr/>
        <w:t>Estado civil,</w:t>
      </w:r>
      <w:r>
        <w:rPr>
          <w:spacing w:val="-8"/>
        </w:rPr>
        <w:t> </w:t>
      </w:r>
      <w:r>
        <w:rPr/>
        <w:t>especifique:</w:t>
      </w:r>
      <w:r>
        <w:rPr>
          <w:spacing w:val="2"/>
        </w:rPr>
        <w:t> </w:t>
      </w:r>
      <w:r>
        <w:rPr>
          <w:u w:val="single"/>
        </w:rPr>
        <w:t> </w:t>
        <w:tab/>
      </w:r>
    </w:p>
    <w:p>
      <w:pPr>
        <w:pStyle w:val="BodyText"/>
        <w:tabs>
          <w:tab w:pos="8823" w:val="left" w:leader="none"/>
        </w:tabs>
        <w:spacing w:before="41"/>
        <w:ind w:left="1170"/>
      </w:pPr>
      <w:r>
        <w:rPr/>
        <w:pict>
          <v:rect style="position:absolute;margin-left:106.550003pt;margin-top:3.213103pt;width:11.25pt;height:9.4pt;mso-position-horizontal-relative:page;mso-position-vertical-relative:paragraph;z-index:12880" filled="false" stroked="true" strokeweight=".75pt" strokecolor="#000000">
            <w10:wrap type="none"/>
          </v:rect>
        </w:pict>
      </w:r>
      <w:r>
        <w:rPr/>
        <w:t>Otro,</w:t>
      </w:r>
      <w:r>
        <w:rPr>
          <w:spacing w:val="-4"/>
        </w:rPr>
        <w:t> </w:t>
      </w:r>
      <w:r>
        <w:rPr/>
        <w:t>especifique:</w:t>
      </w:r>
      <w:r>
        <w:rPr>
          <w:u w:val="single"/>
        </w:rPr>
        <w:t> </w:t>
        <w:tab/>
      </w:r>
    </w:p>
    <w:p>
      <w:pPr>
        <w:pStyle w:val="BodyText"/>
        <w:rPr>
          <w:sz w:val="20"/>
        </w:rPr>
      </w:pPr>
    </w:p>
    <w:p>
      <w:pPr>
        <w:pStyle w:val="BodyText"/>
        <w:rPr>
          <w:sz w:val="20"/>
        </w:rPr>
      </w:pPr>
    </w:p>
    <w:p>
      <w:pPr>
        <w:pStyle w:val="BodyText"/>
        <w:rPr>
          <w:sz w:val="20"/>
        </w:rPr>
      </w:pPr>
    </w:p>
    <w:p>
      <w:pPr>
        <w:pStyle w:val="BodyText"/>
        <w:spacing w:before="4"/>
        <w:rPr>
          <w:sz w:val="20"/>
        </w:rPr>
      </w:pPr>
    </w:p>
    <w:p>
      <w:pPr>
        <w:pStyle w:val="ListParagraph"/>
        <w:numPr>
          <w:ilvl w:val="0"/>
          <w:numId w:val="83"/>
        </w:numPr>
        <w:tabs>
          <w:tab w:pos="822" w:val="left" w:leader="none"/>
        </w:tabs>
        <w:spacing w:line="276" w:lineRule="auto" w:before="69" w:after="7"/>
        <w:ind w:left="822" w:right="459" w:hanging="360"/>
        <w:jc w:val="both"/>
        <w:rPr>
          <w:sz w:val="20"/>
        </w:rPr>
      </w:pPr>
      <w:r>
        <w:rPr>
          <w:sz w:val="24"/>
        </w:rPr>
        <w:t>Señale si realizó alguna de estas actividades complementarias (extracurriculares, no contenidas en el plan de estudios) durante o después de la carrera (seleccione más de uno si es</w:t>
      </w:r>
      <w:r>
        <w:rPr>
          <w:spacing w:val="-5"/>
          <w:sz w:val="24"/>
        </w:rPr>
        <w:t> </w:t>
      </w:r>
      <w:r>
        <w:rPr>
          <w:sz w:val="24"/>
        </w:rPr>
        <w:t>necesario):</w:t>
      </w: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72"/>
        <w:gridCol w:w="1260"/>
        <w:gridCol w:w="1292"/>
        <w:gridCol w:w="1291"/>
      </w:tblGrid>
      <w:tr>
        <w:trPr>
          <w:trHeight w:val="475" w:hRule="exact"/>
        </w:trPr>
        <w:tc>
          <w:tcPr>
            <w:tcW w:w="5672" w:type="dxa"/>
            <w:shd w:val="clear" w:color="auto" w:fill="D9D9D9"/>
          </w:tcPr>
          <w:p>
            <w:pPr>
              <w:pStyle w:val="TableParagraph"/>
              <w:spacing w:line="226" w:lineRule="exact"/>
              <w:ind w:left="103"/>
              <w:rPr>
                <w:sz w:val="20"/>
              </w:rPr>
            </w:pPr>
            <w:r>
              <w:rPr>
                <w:sz w:val="20"/>
              </w:rPr>
              <w:t>ACTIVIDAD</w:t>
            </w:r>
          </w:p>
        </w:tc>
        <w:tc>
          <w:tcPr>
            <w:tcW w:w="1260" w:type="dxa"/>
            <w:shd w:val="clear" w:color="auto" w:fill="D9D9D9"/>
          </w:tcPr>
          <w:p>
            <w:pPr>
              <w:pStyle w:val="TableParagraph"/>
              <w:spacing w:line="226" w:lineRule="exact"/>
              <w:ind w:left="100"/>
              <w:rPr>
                <w:sz w:val="20"/>
              </w:rPr>
            </w:pPr>
            <w:r>
              <w:rPr>
                <w:sz w:val="20"/>
              </w:rPr>
              <w:t>DURANTE</w:t>
            </w:r>
          </w:p>
        </w:tc>
        <w:tc>
          <w:tcPr>
            <w:tcW w:w="1292" w:type="dxa"/>
            <w:shd w:val="clear" w:color="auto" w:fill="D9D9D9"/>
          </w:tcPr>
          <w:p>
            <w:pPr>
              <w:pStyle w:val="TableParagraph"/>
              <w:spacing w:line="226" w:lineRule="exact"/>
              <w:ind w:left="100"/>
              <w:rPr>
                <w:sz w:val="20"/>
              </w:rPr>
            </w:pPr>
            <w:r>
              <w:rPr>
                <w:sz w:val="20"/>
              </w:rPr>
              <w:t>DESPUÉS</w:t>
            </w:r>
          </w:p>
        </w:tc>
        <w:tc>
          <w:tcPr>
            <w:tcW w:w="1291" w:type="dxa"/>
            <w:shd w:val="clear" w:color="auto" w:fill="D9D9D9"/>
          </w:tcPr>
          <w:p>
            <w:pPr>
              <w:pStyle w:val="TableParagraph"/>
              <w:spacing w:line="226" w:lineRule="exact"/>
              <w:ind w:left="103"/>
              <w:rPr>
                <w:sz w:val="20"/>
              </w:rPr>
            </w:pPr>
            <w:r>
              <w:rPr>
                <w:sz w:val="20"/>
              </w:rPr>
              <w:t>AMBOS</w:t>
            </w:r>
          </w:p>
        </w:tc>
      </w:tr>
      <w:tr>
        <w:trPr>
          <w:trHeight w:val="526" w:hRule="exact"/>
        </w:trPr>
        <w:tc>
          <w:tcPr>
            <w:tcW w:w="5672" w:type="dxa"/>
          </w:tcPr>
          <w:p>
            <w:pPr>
              <w:pStyle w:val="TableParagraph"/>
              <w:spacing w:line="275" w:lineRule="exact"/>
              <w:ind w:left="103"/>
              <w:rPr>
                <w:b/>
                <w:sz w:val="24"/>
              </w:rPr>
            </w:pPr>
            <w:r>
              <w:rPr>
                <w:b/>
                <w:sz w:val="24"/>
              </w:rPr>
              <w:t>1. Cursos de idiomas</w:t>
            </w:r>
          </w:p>
        </w:tc>
        <w:tc>
          <w:tcPr>
            <w:tcW w:w="1260" w:type="dxa"/>
          </w:tcPr>
          <w:p>
            <w:pPr/>
          </w:p>
        </w:tc>
        <w:tc>
          <w:tcPr>
            <w:tcW w:w="1292" w:type="dxa"/>
          </w:tcPr>
          <w:p>
            <w:pPr/>
          </w:p>
        </w:tc>
        <w:tc>
          <w:tcPr>
            <w:tcW w:w="1291" w:type="dxa"/>
          </w:tcPr>
          <w:p>
            <w:pPr/>
          </w:p>
        </w:tc>
      </w:tr>
      <w:tr>
        <w:trPr>
          <w:trHeight w:val="528" w:hRule="exact"/>
        </w:trPr>
        <w:tc>
          <w:tcPr>
            <w:tcW w:w="5672" w:type="dxa"/>
          </w:tcPr>
          <w:p>
            <w:pPr>
              <w:pStyle w:val="TableParagraph"/>
              <w:spacing w:before="1"/>
              <w:ind w:left="103"/>
              <w:rPr>
                <w:b/>
                <w:sz w:val="24"/>
              </w:rPr>
            </w:pPr>
            <w:r>
              <w:rPr>
                <w:b/>
                <w:sz w:val="24"/>
              </w:rPr>
              <w:t>2. Cursos de computación</w:t>
            </w:r>
          </w:p>
        </w:tc>
        <w:tc>
          <w:tcPr>
            <w:tcW w:w="1260" w:type="dxa"/>
          </w:tcPr>
          <w:p>
            <w:pPr/>
          </w:p>
        </w:tc>
        <w:tc>
          <w:tcPr>
            <w:tcW w:w="1292" w:type="dxa"/>
          </w:tcPr>
          <w:p>
            <w:pPr/>
          </w:p>
        </w:tc>
        <w:tc>
          <w:tcPr>
            <w:tcW w:w="1291" w:type="dxa"/>
          </w:tcPr>
          <w:p>
            <w:pPr/>
          </w:p>
        </w:tc>
      </w:tr>
      <w:tr>
        <w:trPr>
          <w:trHeight w:val="528" w:hRule="exact"/>
        </w:trPr>
        <w:tc>
          <w:tcPr>
            <w:tcW w:w="5672" w:type="dxa"/>
          </w:tcPr>
          <w:p>
            <w:pPr>
              <w:pStyle w:val="TableParagraph"/>
              <w:spacing w:line="275" w:lineRule="exact"/>
              <w:ind w:left="103"/>
              <w:rPr>
                <w:b/>
                <w:sz w:val="24"/>
              </w:rPr>
            </w:pPr>
            <w:r>
              <w:rPr>
                <w:b/>
                <w:sz w:val="24"/>
              </w:rPr>
              <w:t>3. Cursos de técnicas estadísticas</w:t>
            </w:r>
          </w:p>
        </w:tc>
        <w:tc>
          <w:tcPr>
            <w:tcW w:w="1260" w:type="dxa"/>
          </w:tcPr>
          <w:p>
            <w:pPr/>
          </w:p>
        </w:tc>
        <w:tc>
          <w:tcPr>
            <w:tcW w:w="1292" w:type="dxa"/>
          </w:tcPr>
          <w:p>
            <w:pPr/>
          </w:p>
        </w:tc>
        <w:tc>
          <w:tcPr>
            <w:tcW w:w="1291" w:type="dxa"/>
          </w:tcPr>
          <w:p>
            <w:pPr/>
          </w:p>
        </w:tc>
      </w:tr>
      <w:tr>
        <w:trPr>
          <w:trHeight w:val="528" w:hRule="exact"/>
        </w:trPr>
        <w:tc>
          <w:tcPr>
            <w:tcW w:w="5672" w:type="dxa"/>
          </w:tcPr>
          <w:p>
            <w:pPr>
              <w:pStyle w:val="TableParagraph"/>
              <w:spacing w:line="275" w:lineRule="exact"/>
              <w:ind w:left="103"/>
              <w:rPr>
                <w:b/>
                <w:sz w:val="24"/>
              </w:rPr>
            </w:pPr>
            <w:r>
              <w:rPr>
                <w:b/>
                <w:sz w:val="24"/>
              </w:rPr>
              <w:t>4. Cursos de econometría</w:t>
            </w:r>
          </w:p>
        </w:tc>
        <w:tc>
          <w:tcPr>
            <w:tcW w:w="1260" w:type="dxa"/>
          </w:tcPr>
          <w:p>
            <w:pPr/>
          </w:p>
        </w:tc>
        <w:tc>
          <w:tcPr>
            <w:tcW w:w="1292" w:type="dxa"/>
          </w:tcPr>
          <w:p>
            <w:pPr/>
          </w:p>
        </w:tc>
        <w:tc>
          <w:tcPr>
            <w:tcW w:w="1291" w:type="dxa"/>
          </w:tcPr>
          <w:p>
            <w:pPr/>
          </w:p>
        </w:tc>
      </w:tr>
      <w:tr>
        <w:trPr>
          <w:trHeight w:val="526" w:hRule="exact"/>
        </w:trPr>
        <w:tc>
          <w:tcPr>
            <w:tcW w:w="5672" w:type="dxa"/>
          </w:tcPr>
          <w:p>
            <w:pPr>
              <w:pStyle w:val="TableParagraph"/>
              <w:spacing w:line="275" w:lineRule="exact"/>
              <w:ind w:left="103"/>
              <w:rPr>
                <w:b/>
                <w:sz w:val="24"/>
              </w:rPr>
            </w:pPr>
            <w:r>
              <w:rPr>
                <w:b/>
                <w:sz w:val="24"/>
              </w:rPr>
              <w:t>5. Cursos de redacción</w:t>
            </w:r>
          </w:p>
        </w:tc>
        <w:tc>
          <w:tcPr>
            <w:tcW w:w="1260" w:type="dxa"/>
          </w:tcPr>
          <w:p>
            <w:pPr/>
          </w:p>
        </w:tc>
        <w:tc>
          <w:tcPr>
            <w:tcW w:w="1292" w:type="dxa"/>
          </w:tcPr>
          <w:p>
            <w:pPr/>
          </w:p>
        </w:tc>
        <w:tc>
          <w:tcPr>
            <w:tcW w:w="1291" w:type="dxa"/>
          </w:tcPr>
          <w:p>
            <w:pPr/>
          </w:p>
        </w:tc>
      </w:tr>
      <w:tr>
        <w:trPr>
          <w:trHeight w:val="528" w:hRule="exact"/>
        </w:trPr>
        <w:tc>
          <w:tcPr>
            <w:tcW w:w="5672" w:type="dxa"/>
          </w:tcPr>
          <w:p>
            <w:pPr>
              <w:pStyle w:val="TableParagraph"/>
              <w:spacing w:before="1"/>
              <w:ind w:left="103"/>
              <w:rPr>
                <w:b/>
                <w:sz w:val="24"/>
              </w:rPr>
            </w:pPr>
            <w:r>
              <w:rPr>
                <w:b/>
                <w:sz w:val="24"/>
              </w:rPr>
              <w:t>6. Cursos de orientación laboral</w:t>
            </w:r>
          </w:p>
        </w:tc>
        <w:tc>
          <w:tcPr>
            <w:tcW w:w="1260" w:type="dxa"/>
          </w:tcPr>
          <w:p>
            <w:pPr/>
          </w:p>
        </w:tc>
        <w:tc>
          <w:tcPr>
            <w:tcW w:w="1292" w:type="dxa"/>
          </w:tcPr>
          <w:p>
            <w:pPr/>
          </w:p>
        </w:tc>
        <w:tc>
          <w:tcPr>
            <w:tcW w:w="1291" w:type="dxa"/>
          </w:tcPr>
          <w:p>
            <w:pPr/>
          </w:p>
        </w:tc>
      </w:tr>
      <w:tr>
        <w:trPr>
          <w:trHeight w:val="528" w:hRule="exact"/>
        </w:trPr>
        <w:tc>
          <w:tcPr>
            <w:tcW w:w="5672" w:type="dxa"/>
          </w:tcPr>
          <w:p>
            <w:pPr>
              <w:pStyle w:val="TableParagraph"/>
              <w:spacing w:line="275" w:lineRule="exact"/>
              <w:ind w:left="103"/>
              <w:rPr>
                <w:b/>
                <w:sz w:val="24"/>
              </w:rPr>
            </w:pPr>
            <w:r>
              <w:rPr>
                <w:b/>
                <w:sz w:val="24"/>
              </w:rPr>
              <w:t>7. Cursos de posgrado (maestrías, doctorado, etc.).</w:t>
            </w:r>
          </w:p>
        </w:tc>
        <w:tc>
          <w:tcPr>
            <w:tcW w:w="1260" w:type="dxa"/>
          </w:tcPr>
          <w:p>
            <w:pPr/>
          </w:p>
        </w:tc>
        <w:tc>
          <w:tcPr>
            <w:tcW w:w="1292" w:type="dxa"/>
          </w:tcPr>
          <w:p>
            <w:pPr/>
          </w:p>
        </w:tc>
        <w:tc>
          <w:tcPr>
            <w:tcW w:w="1291" w:type="dxa"/>
          </w:tcPr>
          <w:p>
            <w:pPr/>
          </w:p>
        </w:tc>
      </w:tr>
      <w:tr>
        <w:trPr>
          <w:trHeight w:val="644" w:hRule="exact"/>
        </w:trPr>
        <w:tc>
          <w:tcPr>
            <w:tcW w:w="5672" w:type="dxa"/>
          </w:tcPr>
          <w:p>
            <w:pPr>
              <w:pStyle w:val="TableParagraph"/>
              <w:spacing w:line="276" w:lineRule="auto"/>
              <w:ind w:left="103"/>
              <w:rPr>
                <w:b/>
                <w:sz w:val="24"/>
              </w:rPr>
            </w:pPr>
            <w:r>
              <w:rPr>
                <w:b/>
                <w:sz w:val="24"/>
              </w:rPr>
              <w:t>8. Programas de intercambio de estudiantes a nivel estatal</w:t>
            </w:r>
          </w:p>
        </w:tc>
        <w:tc>
          <w:tcPr>
            <w:tcW w:w="1260" w:type="dxa"/>
          </w:tcPr>
          <w:p>
            <w:pPr/>
          </w:p>
        </w:tc>
        <w:tc>
          <w:tcPr>
            <w:tcW w:w="1292" w:type="dxa"/>
          </w:tcPr>
          <w:p>
            <w:pPr/>
          </w:p>
        </w:tc>
        <w:tc>
          <w:tcPr>
            <w:tcW w:w="1291" w:type="dxa"/>
          </w:tcPr>
          <w:p>
            <w:pPr/>
          </w:p>
        </w:tc>
      </w:tr>
      <w:tr>
        <w:trPr>
          <w:trHeight w:val="646" w:hRule="exact"/>
        </w:trPr>
        <w:tc>
          <w:tcPr>
            <w:tcW w:w="5672" w:type="dxa"/>
          </w:tcPr>
          <w:p>
            <w:pPr>
              <w:pStyle w:val="TableParagraph"/>
              <w:spacing w:line="276" w:lineRule="auto" w:before="1"/>
              <w:ind w:left="103" w:right="326"/>
              <w:rPr>
                <w:b/>
                <w:sz w:val="24"/>
              </w:rPr>
            </w:pPr>
            <w:r>
              <w:rPr>
                <w:b/>
                <w:sz w:val="24"/>
              </w:rPr>
              <w:t>9. Programas de intercambio de estudiantes a nivel nacional</w:t>
            </w:r>
          </w:p>
        </w:tc>
        <w:tc>
          <w:tcPr>
            <w:tcW w:w="1260" w:type="dxa"/>
          </w:tcPr>
          <w:p>
            <w:pPr/>
          </w:p>
        </w:tc>
        <w:tc>
          <w:tcPr>
            <w:tcW w:w="1292" w:type="dxa"/>
          </w:tcPr>
          <w:p>
            <w:pPr/>
          </w:p>
        </w:tc>
        <w:tc>
          <w:tcPr>
            <w:tcW w:w="1291" w:type="dxa"/>
          </w:tcPr>
          <w:p>
            <w:pPr/>
          </w:p>
        </w:tc>
      </w:tr>
      <w:tr>
        <w:trPr>
          <w:trHeight w:val="845" w:hRule="exact"/>
        </w:trPr>
        <w:tc>
          <w:tcPr>
            <w:tcW w:w="5672" w:type="dxa"/>
          </w:tcPr>
          <w:p>
            <w:pPr>
              <w:pStyle w:val="TableParagraph"/>
              <w:spacing w:line="278" w:lineRule="auto"/>
              <w:ind w:left="103" w:right="406"/>
              <w:rPr>
                <w:b/>
                <w:sz w:val="24"/>
              </w:rPr>
            </w:pPr>
            <w:r>
              <w:rPr>
                <w:b/>
                <w:sz w:val="24"/>
              </w:rPr>
              <w:t>10. Programas de intercambio de estudiantes en el extranjero</w:t>
            </w:r>
          </w:p>
        </w:tc>
        <w:tc>
          <w:tcPr>
            <w:tcW w:w="1260" w:type="dxa"/>
          </w:tcPr>
          <w:p>
            <w:pPr/>
          </w:p>
        </w:tc>
        <w:tc>
          <w:tcPr>
            <w:tcW w:w="1292" w:type="dxa"/>
          </w:tcPr>
          <w:p>
            <w:pPr/>
          </w:p>
        </w:tc>
        <w:tc>
          <w:tcPr>
            <w:tcW w:w="1291" w:type="dxa"/>
          </w:tcPr>
          <w:p>
            <w:pPr/>
          </w:p>
        </w:tc>
      </w:tr>
      <w:tr>
        <w:trPr>
          <w:trHeight w:val="528" w:hRule="exact"/>
        </w:trPr>
        <w:tc>
          <w:tcPr>
            <w:tcW w:w="5672" w:type="dxa"/>
          </w:tcPr>
          <w:p>
            <w:pPr>
              <w:pStyle w:val="TableParagraph"/>
              <w:tabs>
                <w:tab w:pos="5437" w:val="left" w:leader="none"/>
              </w:tabs>
              <w:spacing w:line="275" w:lineRule="exact"/>
              <w:ind w:left="103"/>
              <w:rPr>
                <w:b/>
                <w:sz w:val="24"/>
              </w:rPr>
            </w:pPr>
            <w:r>
              <w:rPr>
                <w:b/>
                <w:sz w:val="24"/>
              </w:rPr>
              <w:t>11. Otros,</w:t>
            </w:r>
            <w:r>
              <w:rPr>
                <w:b/>
                <w:spacing w:val="-5"/>
                <w:sz w:val="24"/>
              </w:rPr>
              <w:t> </w:t>
            </w:r>
            <w:r>
              <w:rPr>
                <w:b/>
                <w:sz w:val="24"/>
              </w:rPr>
              <w:t>especifique:</w:t>
            </w:r>
            <w:r>
              <w:rPr>
                <w:b/>
                <w:sz w:val="24"/>
                <w:u w:val="single"/>
              </w:rPr>
              <w:t> </w:t>
              <w:tab/>
            </w:r>
          </w:p>
        </w:tc>
        <w:tc>
          <w:tcPr>
            <w:tcW w:w="1260" w:type="dxa"/>
          </w:tcPr>
          <w:p>
            <w:pPr/>
          </w:p>
        </w:tc>
        <w:tc>
          <w:tcPr>
            <w:tcW w:w="1292" w:type="dxa"/>
          </w:tcPr>
          <w:p>
            <w:pPr/>
          </w:p>
        </w:tc>
        <w:tc>
          <w:tcPr>
            <w:tcW w:w="1291" w:type="dxa"/>
          </w:tcPr>
          <w:p>
            <w:pPr/>
          </w:p>
        </w:tc>
      </w:tr>
    </w:tbl>
    <w:p>
      <w:pPr>
        <w:spacing w:after="0"/>
        <w:sectPr>
          <w:pgSz w:w="12240" w:h="15840"/>
          <w:pgMar w:header="0" w:footer="1003" w:top="1360" w:bottom="1200" w:left="1240" w:right="1240"/>
        </w:sect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72"/>
        <w:gridCol w:w="1260"/>
        <w:gridCol w:w="1292"/>
        <w:gridCol w:w="1291"/>
      </w:tblGrid>
      <w:tr>
        <w:trPr>
          <w:trHeight w:val="528" w:hRule="exact"/>
        </w:trPr>
        <w:tc>
          <w:tcPr>
            <w:tcW w:w="5672" w:type="dxa"/>
          </w:tcPr>
          <w:p>
            <w:pPr>
              <w:pStyle w:val="TableParagraph"/>
              <w:spacing w:line="274" w:lineRule="exact"/>
              <w:ind w:left="103"/>
              <w:rPr>
                <w:b/>
                <w:sz w:val="24"/>
              </w:rPr>
            </w:pPr>
            <w:r>
              <w:rPr>
                <w:b/>
                <w:sz w:val="24"/>
              </w:rPr>
              <w:t>12. Ninguno</w:t>
            </w:r>
          </w:p>
        </w:tc>
        <w:tc>
          <w:tcPr>
            <w:tcW w:w="1260" w:type="dxa"/>
          </w:tcPr>
          <w:p>
            <w:pPr/>
          </w:p>
        </w:tc>
        <w:tc>
          <w:tcPr>
            <w:tcW w:w="1292" w:type="dxa"/>
          </w:tcPr>
          <w:p>
            <w:pPr/>
          </w:p>
        </w:tc>
        <w:tc>
          <w:tcPr>
            <w:tcW w:w="1291" w:type="dxa"/>
          </w:tcPr>
          <w:p>
            <w:pPr/>
          </w:p>
        </w:tc>
      </w:tr>
    </w:tbl>
    <w:p>
      <w:pPr>
        <w:pStyle w:val="BodyText"/>
        <w:spacing w:before="10"/>
        <w:rPr>
          <w:sz w:val="20"/>
        </w:rPr>
      </w:pPr>
    </w:p>
    <w:p>
      <w:pPr>
        <w:pStyle w:val="BodyText"/>
        <w:spacing w:line="276" w:lineRule="auto" w:before="69"/>
        <w:ind w:left="821"/>
      </w:pPr>
      <w:r>
        <w:rPr/>
        <w:t>Si su respuesta a la pregunta 34 fue “Ninguno” pase a la pregunta 36, en caso contrario continúe a la pregunta 35.</w:t>
      </w:r>
    </w:p>
    <w:p>
      <w:pPr>
        <w:pStyle w:val="BodyText"/>
        <w:spacing w:before="6"/>
      </w:pPr>
    </w:p>
    <w:p>
      <w:pPr>
        <w:pStyle w:val="ListParagraph"/>
        <w:numPr>
          <w:ilvl w:val="0"/>
          <w:numId w:val="83"/>
        </w:numPr>
        <w:tabs>
          <w:tab w:pos="822" w:val="left" w:leader="none"/>
        </w:tabs>
        <w:spacing w:line="630" w:lineRule="atLeast" w:before="1" w:after="0"/>
        <w:ind w:left="1170" w:right="949" w:hanging="708"/>
        <w:jc w:val="left"/>
        <w:rPr>
          <w:sz w:val="24"/>
        </w:rPr>
      </w:pPr>
      <w:r>
        <w:rPr/>
        <w:pict>
          <v:rect style="position:absolute;margin-left:102.300003pt;margin-top:50.844299pt;width:11.25pt;height:9.4pt;mso-position-horizontal-relative:page;mso-position-vertical-relative:paragraph;z-index:-389416" filled="false" stroked="true" strokeweight=".75pt" strokecolor="#000000">
            <w10:wrap type="none"/>
          </v:rect>
        </w:pict>
      </w:r>
      <w:r>
        <w:rPr>
          <w:sz w:val="24"/>
        </w:rPr>
        <w:t>El motivo que le impulsó para obtener esa formación complementaria fue</w:t>
      </w:r>
      <w:r>
        <w:rPr>
          <w:spacing w:val="-14"/>
          <w:sz w:val="24"/>
        </w:rPr>
        <w:t> </w:t>
      </w:r>
      <w:r>
        <w:rPr>
          <w:sz w:val="24"/>
        </w:rPr>
        <w:t>por/para: Interés</w:t>
      </w:r>
      <w:r>
        <w:rPr>
          <w:spacing w:val="-6"/>
          <w:sz w:val="24"/>
        </w:rPr>
        <w:t> </w:t>
      </w:r>
      <w:r>
        <w:rPr>
          <w:sz w:val="24"/>
        </w:rPr>
        <w:t>personal</w:t>
      </w:r>
    </w:p>
    <w:p>
      <w:pPr>
        <w:pStyle w:val="BodyText"/>
        <w:spacing w:line="276" w:lineRule="auto" w:before="41"/>
        <w:ind w:left="1170" w:right="5018"/>
      </w:pPr>
      <w:r>
        <w:rPr/>
        <w:pict>
          <v:rect style="position:absolute;margin-left:102.400002pt;margin-top:1.673108pt;width:11.25pt;height:9.4pt;mso-position-horizontal-relative:page;mso-position-vertical-relative:paragraph;z-index:13264" filled="false" stroked="true" strokeweight=".75pt" strokecolor="#000000">
            <w10:wrap type="none"/>
          </v:rect>
        </w:pict>
      </w:r>
      <w:r>
        <w:rPr/>
        <w:pict>
          <v:rect style="position:absolute;margin-left:102.400002pt;margin-top:19.163109pt;width:11.25pt;height:9.4pt;mso-position-horizontal-relative:page;mso-position-vertical-relative:paragraph;z-index:13288" filled="false" stroked="true" strokeweight=".75pt" strokecolor="#000000">
            <w10:wrap type="none"/>
          </v:rect>
        </w:pict>
      </w:r>
      <w:r>
        <w:rPr/>
        <w:pict>
          <v:rect style="position:absolute;margin-left:102.5pt;margin-top:33.213108pt;width:11.25pt;height:9.4pt;mso-position-horizontal-relative:page;mso-position-vertical-relative:paragraph;z-index:13312" filled="false" stroked="true" strokeweight=".75pt" strokecolor="#000000">
            <w10:wrap type="none"/>
          </v:rect>
        </w:pict>
      </w:r>
      <w:r>
        <w:rPr/>
        <w:t>Cubrir lagunas en mi formación Acceder a un empleo más fácilmente</w:t>
      </w:r>
    </w:p>
    <w:p>
      <w:pPr>
        <w:pStyle w:val="BodyText"/>
        <w:tabs>
          <w:tab w:pos="8496" w:val="left" w:leader="none"/>
        </w:tabs>
        <w:spacing w:before="3"/>
        <w:ind w:left="1170" w:right="1069"/>
      </w:pPr>
      <w:r>
        <w:rPr/>
        <w:t>Otras razones,</w:t>
      </w:r>
      <w:r>
        <w:rPr>
          <w:spacing w:val="-5"/>
        </w:rPr>
        <w:t> </w:t>
      </w:r>
      <w:r>
        <w:rPr/>
        <w:t>especifique:</w:t>
      </w:r>
      <w:r>
        <w:rPr>
          <w:u w:val="single"/>
        </w:rPr>
        <w:t> </w:t>
        <w:tab/>
      </w:r>
    </w:p>
    <w:p>
      <w:pPr>
        <w:pStyle w:val="BodyText"/>
        <w:spacing w:before="1"/>
        <w:rPr>
          <w:sz w:val="25"/>
        </w:rPr>
      </w:pPr>
    </w:p>
    <w:p>
      <w:pPr>
        <w:pStyle w:val="ListParagraph"/>
        <w:numPr>
          <w:ilvl w:val="0"/>
          <w:numId w:val="83"/>
        </w:numPr>
        <w:tabs>
          <w:tab w:pos="822" w:val="left" w:leader="none"/>
        </w:tabs>
        <w:spacing w:line="240" w:lineRule="auto" w:before="69" w:after="0"/>
        <w:ind w:left="822" w:right="0" w:hanging="360"/>
        <w:jc w:val="left"/>
        <w:rPr>
          <w:sz w:val="24"/>
        </w:rPr>
      </w:pPr>
      <w:r>
        <w:rPr>
          <w:sz w:val="24"/>
        </w:rPr>
        <w:t>Su primer</w:t>
      </w:r>
      <w:r>
        <w:rPr>
          <w:spacing w:val="-5"/>
          <w:sz w:val="24"/>
        </w:rPr>
        <w:t> </w:t>
      </w:r>
      <w:r>
        <w:rPr>
          <w:sz w:val="24"/>
        </w:rPr>
        <w:t>empleo:</w:t>
      </w:r>
    </w:p>
    <w:p>
      <w:pPr>
        <w:pStyle w:val="BodyText"/>
        <w:spacing w:before="3"/>
        <w:rPr>
          <w:sz w:val="31"/>
        </w:rPr>
      </w:pPr>
    </w:p>
    <w:p>
      <w:pPr>
        <w:pStyle w:val="BodyText"/>
        <w:spacing w:line="276" w:lineRule="auto"/>
        <w:ind w:left="1170" w:right="5045"/>
      </w:pPr>
      <w:r>
        <w:rPr/>
        <w:pict>
          <v:rect style="position:absolute;margin-left:104.199997pt;margin-top:.84311pt;width:11.25pt;height:9.4pt;mso-position-horizontal-relative:page;mso-position-vertical-relative:paragraph;z-index:13336" filled="false" stroked="true" strokeweight=".75pt" strokecolor="#000000">
            <w10:wrap type="none"/>
          </v:rect>
        </w:pict>
      </w:r>
      <w:r>
        <w:rPr/>
        <w:pict>
          <v:rect style="position:absolute;margin-left:104.300003pt;margin-top:16.263111pt;width:11.25pt;height:9.4pt;mso-position-horizontal-relative:page;mso-position-vertical-relative:paragraph;z-index:13360" filled="false" stroked="true" strokeweight=".75pt" strokecolor="#000000">
            <w10:wrap type="none"/>
          </v:rect>
        </w:pict>
      </w:r>
      <w:r>
        <w:rPr/>
        <w:t>Era el trabajo que realmente deseaba Lo aceptó como algo temporal</w:t>
      </w:r>
    </w:p>
    <w:p>
      <w:pPr>
        <w:pStyle w:val="BodyText"/>
        <w:spacing w:before="7"/>
        <w:rPr>
          <w:sz w:val="27"/>
        </w:rPr>
      </w:pPr>
    </w:p>
    <w:p>
      <w:pPr>
        <w:pStyle w:val="ListParagraph"/>
        <w:numPr>
          <w:ilvl w:val="0"/>
          <w:numId w:val="83"/>
        </w:numPr>
        <w:tabs>
          <w:tab w:pos="822" w:val="left" w:leader="none"/>
        </w:tabs>
        <w:spacing w:line="278" w:lineRule="auto" w:before="0" w:after="0"/>
        <w:ind w:left="1122" w:right="3240" w:hanging="660"/>
        <w:jc w:val="left"/>
        <w:rPr>
          <w:sz w:val="24"/>
        </w:rPr>
      </w:pPr>
      <w:r>
        <w:rPr/>
        <w:pict>
          <v:rect style="position:absolute;margin-left:102.199997pt;margin-top:18.343121pt;width:11.25pt;height:9.4pt;mso-position-horizontal-relative:page;mso-position-vertical-relative:paragraph;z-index:-389752" filled="false" stroked="true" strokeweight=".75pt" strokecolor="#000000">
            <w10:wrap type="none"/>
          </v:rect>
        </w:pict>
      </w:r>
      <w:r>
        <w:rPr>
          <w:sz w:val="24"/>
        </w:rPr>
        <w:t>En su primer empleo su nivel de decisiones correspondía</w:t>
      </w:r>
      <w:r>
        <w:rPr>
          <w:spacing w:val="-8"/>
          <w:sz w:val="24"/>
        </w:rPr>
        <w:t> </w:t>
      </w:r>
      <w:r>
        <w:rPr>
          <w:sz w:val="24"/>
        </w:rPr>
        <w:t>a: Gerencia</w:t>
      </w:r>
      <w:r>
        <w:rPr>
          <w:spacing w:val="-6"/>
          <w:sz w:val="24"/>
        </w:rPr>
        <w:t> </w:t>
      </w:r>
      <w:r>
        <w:rPr>
          <w:sz w:val="24"/>
        </w:rPr>
        <w:t>alta</w:t>
      </w:r>
    </w:p>
    <w:p>
      <w:pPr>
        <w:pStyle w:val="BodyText"/>
        <w:spacing w:line="276" w:lineRule="auto"/>
        <w:ind w:left="1121" w:right="7106"/>
      </w:pPr>
      <w:r>
        <w:rPr/>
        <w:pict>
          <v:rect style="position:absolute;margin-left:102.300003pt;margin-top:1.963134pt;width:11.25pt;height:9.4pt;mso-position-horizontal-relative:page;mso-position-vertical-relative:paragraph;z-index:12928" filled="false" stroked="true" strokeweight=".75pt" strokecolor="#000000">
            <w10:wrap type="none"/>
          </v:rect>
        </w:pict>
      </w:r>
      <w:r>
        <w:rPr/>
        <w:pict>
          <v:rect style="position:absolute;margin-left:102.300003pt;margin-top:17.283134pt;width:11.25pt;height:9.4pt;mso-position-horizontal-relative:page;mso-position-vertical-relative:paragraph;z-index:12952" filled="false" stroked="true" strokeweight=".75pt" strokecolor="#000000">
            <w10:wrap type="none"/>
          </v:rect>
        </w:pict>
      </w:r>
      <w:r>
        <w:rPr/>
        <w:t>Gerencia media Ejecutivo</w:t>
      </w:r>
    </w:p>
    <w:p>
      <w:pPr>
        <w:pStyle w:val="BodyText"/>
        <w:spacing w:before="1"/>
        <w:ind w:left="1121" w:right="3754"/>
      </w:pPr>
      <w:r>
        <w:rPr/>
        <w:pict>
          <v:rect style="position:absolute;margin-left:102.300003pt;margin-top:.953121pt;width:11.25pt;height:9.4pt;mso-position-horizontal-relative:page;mso-position-vertical-relative:paragraph;z-index:12976" filled="false" stroked="true" strokeweight=".75pt" strokecolor="#000000">
            <w10:wrap type="none"/>
          </v:rect>
        </w:pict>
      </w:r>
      <w:r>
        <w:rPr/>
        <w:t>No tomaba decisiones</w:t>
      </w:r>
    </w:p>
    <w:p>
      <w:pPr>
        <w:pStyle w:val="BodyText"/>
        <w:spacing w:before="3"/>
        <w:rPr>
          <w:sz w:val="31"/>
        </w:rPr>
      </w:pPr>
    </w:p>
    <w:p>
      <w:pPr>
        <w:pStyle w:val="ListParagraph"/>
        <w:numPr>
          <w:ilvl w:val="0"/>
          <w:numId w:val="83"/>
        </w:numPr>
        <w:tabs>
          <w:tab w:pos="822" w:val="left" w:leader="none"/>
        </w:tabs>
        <w:spacing w:line="240" w:lineRule="auto" w:before="0" w:after="0"/>
        <w:ind w:left="822" w:right="0" w:hanging="360"/>
        <w:jc w:val="left"/>
        <w:rPr>
          <w:sz w:val="24"/>
        </w:rPr>
      </w:pPr>
      <w:r>
        <w:rPr>
          <w:sz w:val="24"/>
        </w:rPr>
        <w:t>¿Cuántas personas trabajaban en la organización en su primer</w:t>
      </w:r>
      <w:r>
        <w:rPr>
          <w:spacing w:val="-14"/>
          <w:sz w:val="24"/>
        </w:rPr>
        <w:t> </w:t>
      </w:r>
      <w:r>
        <w:rPr>
          <w:sz w:val="24"/>
        </w:rPr>
        <w:t>empleo?</w:t>
      </w:r>
    </w:p>
    <w:p>
      <w:pPr>
        <w:pStyle w:val="BodyText"/>
        <w:spacing w:before="1"/>
        <w:rPr>
          <w:sz w:val="31"/>
        </w:rPr>
      </w:pPr>
    </w:p>
    <w:p>
      <w:pPr>
        <w:pStyle w:val="BodyText"/>
        <w:ind w:left="1241" w:right="3754"/>
      </w:pPr>
      <w:r>
        <w:rPr/>
        <w:pict>
          <v:rect style="position:absolute;margin-left:104.400002pt;margin-top:4.89311pt;width:11.25pt;height:9.4pt;mso-position-horizontal-relative:page;mso-position-vertical-relative:paragraph;z-index:13000" filled="false" stroked="true" strokeweight=".75pt" strokecolor="#000000">
            <w10:wrap type="none"/>
          </v:rect>
        </w:pict>
      </w:r>
      <w:r>
        <w:rPr/>
        <w:t>1-9 personas</w:t>
      </w:r>
    </w:p>
    <w:p>
      <w:pPr>
        <w:pStyle w:val="BodyText"/>
        <w:spacing w:before="43"/>
        <w:ind w:left="1241" w:right="3754"/>
      </w:pPr>
      <w:r>
        <w:rPr/>
        <w:pict>
          <v:rect style="position:absolute;margin-left:104.5pt;margin-top:6.503119pt;width:11.25pt;height:9.4pt;mso-position-horizontal-relative:page;mso-position-vertical-relative:paragraph;z-index:13024" filled="false" stroked="true" strokeweight=".75pt" strokecolor="#000000">
            <w10:wrap type="none"/>
          </v:rect>
        </w:pict>
      </w:r>
      <w:r>
        <w:rPr/>
        <w:t>10-49 personas</w:t>
      </w:r>
    </w:p>
    <w:p>
      <w:pPr>
        <w:pStyle w:val="BodyText"/>
        <w:spacing w:before="41"/>
        <w:ind w:left="1302" w:right="3754"/>
      </w:pPr>
      <w:r>
        <w:rPr/>
        <w:pict>
          <v:rect style="position:absolute;margin-left:104.5pt;margin-top:5.883122pt;width:11.25pt;height:9.4pt;mso-position-horizontal-relative:page;mso-position-vertical-relative:paragraph;z-index:13048" filled="false" stroked="true" strokeweight=".75pt" strokecolor="#000000">
            <w10:wrap type="none"/>
          </v:rect>
        </w:pict>
      </w:r>
      <w:r>
        <w:rPr/>
        <w:t>50-99 personas</w:t>
      </w:r>
    </w:p>
    <w:p>
      <w:pPr>
        <w:pStyle w:val="BodyText"/>
        <w:spacing w:before="41"/>
        <w:ind w:left="1302" w:right="3754"/>
      </w:pPr>
      <w:r>
        <w:rPr/>
        <w:pict>
          <v:rect style="position:absolute;margin-left:104.5pt;margin-top:5.363126pt;width:11.25pt;height:9.4pt;mso-position-horizontal-relative:page;mso-position-vertical-relative:paragraph;z-index:13072" filled="false" stroked="true" strokeweight=".75pt" strokecolor="#000000">
            <w10:wrap type="none"/>
          </v:rect>
        </w:pict>
      </w:r>
      <w:r>
        <w:rPr/>
        <w:t>100-249 personas</w:t>
      </w:r>
    </w:p>
    <w:p>
      <w:pPr>
        <w:pStyle w:val="BodyText"/>
        <w:spacing w:line="276" w:lineRule="auto" w:before="41"/>
        <w:ind w:left="1302" w:right="6431"/>
      </w:pPr>
      <w:r>
        <w:rPr/>
        <w:pict>
          <v:rect style="position:absolute;margin-left:104.599998pt;margin-top:4.94313pt;width:11.25pt;height:9.4pt;mso-position-horizontal-relative:page;mso-position-vertical-relative:paragraph;z-index:13096" filled="false" stroked="true" strokeweight=".75pt" strokecolor="#000000">
            <w10:wrap type="none"/>
          </v:rect>
        </w:pict>
      </w:r>
      <w:r>
        <w:rPr/>
        <w:pict>
          <v:rect style="position:absolute;margin-left:104.599998pt;margin-top:20.26313pt;width:11.25pt;height:9.4pt;mso-position-horizontal-relative:page;mso-position-vertical-relative:paragraph;z-index:13120" filled="false" stroked="true" strokeweight=".75pt" strokecolor="#000000">
            <w10:wrap type="none"/>
          </v:rect>
        </w:pict>
      </w:r>
      <w:r>
        <w:rPr/>
        <w:t>250 – 999 personas 1000 o más personas</w:t>
      </w:r>
    </w:p>
    <w:p>
      <w:pPr>
        <w:pStyle w:val="BodyText"/>
        <w:spacing w:before="6"/>
      </w:pPr>
    </w:p>
    <w:p>
      <w:pPr>
        <w:pStyle w:val="ListParagraph"/>
        <w:numPr>
          <w:ilvl w:val="0"/>
          <w:numId w:val="83"/>
        </w:numPr>
        <w:tabs>
          <w:tab w:pos="822" w:val="left" w:leader="none"/>
        </w:tabs>
        <w:spacing w:line="630" w:lineRule="atLeast" w:before="1" w:after="0"/>
        <w:ind w:left="1182" w:right="3215" w:hanging="720"/>
        <w:jc w:val="left"/>
        <w:rPr>
          <w:sz w:val="24"/>
        </w:rPr>
      </w:pPr>
      <w:r>
        <w:rPr/>
        <w:pict>
          <v:rect style="position:absolute;margin-left:105.349998pt;margin-top:51.894291pt;width:11.25pt;height:9.4pt;mso-position-horizontal-relative:page;mso-position-vertical-relative:paragraph;z-index:-389512" filled="false" stroked="true" strokeweight=".75pt" strokecolor="#000000">
            <w10:wrap type="none"/>
          </v:rect>
        </w:pict>
      </w:r>
      <w:r>
        <w:rPr>
          <w:sz w:val="24"/>
        </w:rPr>
        <w:t>¿En qué medida fue responsable en su primer empleo de … establecer objetivos para la</w:t>
      </w:r>
      <w:r>
        <w:rPr>
          <w:spacing w:val="-10"/>
          <w:sz w:val="24"/>
        </w:rPr>
        <w:t> </w:t>
      </w:r>
      <w:r>
        <w:rPr>
          <w:sz w:val="24"/>
        </w:rPr>
        <w:t>organización?</w:t>
      </w:r>
    </w:p>
    <w:p>
      <w:pPr>
        <w:pStyle w:val="BodyText"/>
        <w:spacing w:line="276" w:lineRule="auto" w:before="41"/>
        <w:ind w:left="1121" w:right="3754" w:firstLine="60"/>
      </w:pPr>
      <w:r>
        <w:rPr/>
        <w:pict>
          <v:rect style="position:absolute;margin-left:105.349998pt;margin-top:3.273128pt;width:11.25pt;height:9.4pt;mso-position-horizontal-relative:page;mso-position-vertical-relative:paragraph;z-index:13168" filled="false" stroked="true" strokeweight=".75pt" strokecolor="#000000">
            <w10:wrap type="none"/>
          </v:rect>
        </w:pict>
      </w:r>
      <w:r>
        <w:rPr/>
        <w:pict>
          <v:rect style="position:absolute;margin-left:105.449997pt;margin-top:18.592129pt;width:11.25pt;height:9.4pt;mso-position-horizontal-relative:page;mso-position-vertical-relative:paragraph;z-index:13192" filled="false" stroked="true" strokeweight=".75pt" strokecolor="#000000">
            <w10:wrap type="none"/>
          </v:rect>
        </w:pict>
      </w:r>
      <w:r>
        <w:rPr/>
        <w:pict>
          <v:rect style="position:absolute;margin-left:105.449997pt;margin-top:35.311127pt;width:11.25pt;height:9.4pt;mso-position-horizontal-relative:page;mso-position-vertical-relative:paragraph;z-index:13216" filled="false" stroked="true" strokeweight=".75pt" strokecolor="#000000">
            <w10:wrap type="none"/>
          </v:rect>
        </w:pict>
      </w:r>
      <w:r>
        <w:rPr/>
        <w:t>establecer objetivos para su propio trabajo? decidir estrategias de trabajo para la organización? decidir cómo hacer su trabajo?</w:t>
      </w:r>
    </w:p>
    <w:p>
      <w:pPr>
        <w:spacing w:after="0" w:line="276" w:lineRule="auto"/>
        <w:sectPr>
          <w:pgSz w:w="12240" w:h="15840"/>
          <w:pgMar w:header="0" w:footer="1003" w:top="1420" w:bottom="1200" w:left="1240" w:right="1240"/>
        </w:sectPr>
      </w:pPr>
    </w:p>
    <w:p>
      <w:pPr>
        <w:pStyle w:val="BodyText"/>
        <w:rPr>
          <w:sz w:val="20"/>
        </w:rPr>
      </w:pPr>
    </w:p>
    <w:p>
      <w:pPr>
        <w:pStyle w:val="BodyText"/>
        <w:spacing w:before="6"/>
        <w:rPr>
          <w:sz w:val="21"/>
        </w:rPr>
      </w:pPr>
    </w:p>
    <w:p>
      <w:pPr>
        <w:pStyle w:val="ListParagraph"/>
        <w:numPr>
          <w:ilvl w:val="0"/>
          <w:numId w:val="83"/>
        </w:numPr>
        <w:tabs>
          <w:tab w:pos="462" w:val="left" w:leader="none"/>
        </w:tabs>
        <w:spacing w:line="276" w:lineRule="auto" w:before="69" w:after="0"/>
        <w:ind w:left="462" w:right="117" w:hanging="360"/>
        <w:jc w:val="both"/>
        <w:rPr>
          <w:sz w:val="24"/>
        </w:rPr>
      </w:pPr>
      <w:r>
        <w:rPr>
          <w:sz w:val="24"/>
        </w:rPr>
        <w:t>¿Contaba con experiencia previa a su primer empleo (además de sus prácticas profesionales)?</w:t>
      </w:r>
    </w:p>
    <w:p>
      <w:pPr>
        <w:pStyle w:val="BodyText"/>
        <w:tabs>
          <w:tab w:pos="3128" w:val="left" w:leader="none"/>
        </w:tabs>
        <w:spacing w:before="1"/>
        <w:ind w:left="941"/>
      </w:pPr>
      <w:r>
        <w:rPr/>
        <w:pict>
          <v:shape style="position:absolute;margin-left:403.049988pt;margin-top:1.59707pt;width:23.95pt;height:12pt;mso-position-horizontal-relative:page;mso-position-vertical-relative:paragraph;z-index:-389248" type="#_x0000_t202" filled="false" stroked="false">
            <v:textbox inset="0,0,0,0">
              <w:txbxContent>
                <w:p>
                  <w:pPr>
                    <w:pStyle w:val="BodyText"/>
                    <w:spacing w:line="240" w:lineRule="exact"/>
                    <w:ind w:left="185" w:right="-20"/>
                  </w:pPr>
                  <w:r>
                    <w:rPr/>
                    <w:t>No</w:t>
                  </w:r>
                </w:p>
              </w:txbxContent>
            </v:textbox>
            <w10:wrap type="none"/>
          </v:shape>
        </w:pict>
      </w:r>
      <w:r>
        <w:rPr/>
        <w:pict>
          <v:shape style="position:absolute;margin-left:222.149994pt;margin-top:1.59707pt;width:14.3pt;height:12pt;mso-position-horizontal-relative:page;mso-position-vertical-relative:paragraph;z-index:-389224" type="#_x0000_t202" filled="false" stroked="false">
            <v:textbox inset="0,0,0,0">
              <w:txbxContent>
                <w:p>
                  <w:pPr>
                    <w:pStyle w:val="BodyText"/>
                    <w:spacing w:line="240" w:lineRule="exact"/>
                    <w:ind w:left="98"/>
                  </w:pPr>
                  <w:r>
                    <w:rPr/>
                    <w:t>m</w:t>
                  </w:r>
                </w:p>
              </w:txbxContent>
            </v:textbox>
            <w10:wrap type="none"/>
          </v:shape>
        </w:pict>
      </w:r>
      <w:r>
        <w:rPr/>
        <w:pict>
          <v:rect style="position:absolute;margin-left:108.5pt;margin-top:2.653154pt;width:11.25pt;height:9.4pt;mso-position-horizontal-relative:page;mso-position-vertical-relative:paragraph;z-index:13456" filled="false" stroked="true" strokeweight=".75pt" strokecolor="#000000">
            <w10:wrap type="none"/>
          </v:rect>
        </w:pict>
      </w:r>
      <w:r>
        <w:rPr/>
        <w:pict>
          <v:group style="position:absolute;margin-left:209.774994pt;margin-top:2.178154pt;width:24pt;height:10.25pt;mso-position-horizontal-relative:page;mso-position-vertical-relative:paragraph;z-index:-389176" coordorigin="4195,44" coordsize="480,205">
            <v:rect style="position:absolute;left:4203;top:51;width:225;height:188" filled="false" stroked="true" strokeweight=".75pt" strokecolor="#000000"/>
            <v:rect style="position:absolute;left:4443;top:53;width:225;height:188" filled="true" fillcolor="#ffffff" stroked="false">
              <v:fill type="solid"/>
            </v:rect>
            <v:rect style="position:absolute;left:4443;top:53;width:225;height:188" filled="false" stroked="true" strokeweight=".75pt" strokecolor="#000000"/>
            <w10:wrap type="none"/>
          </v:group>
        </w:pict>
      </w:r>
      <w:r>
        <w:rPr/>
        <w:pict>
          <v:group style="position:absolute;margin-left:402.674988pt;margin-top:2.078154pt;width:12pt;height:10.15pt;mso-position-horizontal-relative:page;mso-position-vertical-relative:paragraph;z-index:13648" coordorigin="8053,42" coordsize="240,203">
            <v:rect style="position:absolute;left:8061;top:49;width:225;height:188" filled="true" fillcolor="#ffffff" stroked="false">
              <v:fill type="solid"/>
            </v:rect>
            <v:rect style="position:absolute;left:8061;top:49;width:225;height:188" filled="false" stroked="true" strokeweight=".75pt" strokecolor="#000000"/>
            <w10:wrap type="none"/>
          </v:group>
        </w:pict>
      </w:r>
      <w:r>
        <w:rPr/>
        <w:t>Sí,</w:t>
      </w:r>
      <w:r>
        <w:rPr>
          <w:spacing w:val="-1"/>
        </w:rPr>
        <w:t> </w:t>
      </w:r>
      <w:r>
        <w:rPr/>
        <w:t>durante</w:t>
        <w:tab/>
        <w:t>eses</w:t>
      </w:r>
    </w:p>
    <w:p>
      <w:pPr>
        <w:pStyle w:val="BodyText"/>
        <w:spacing w:before="3"/>
        <w:rPr>
          <w:sz w:val="31"/>
        </w:rPr>
      </w:pPr>
    </w:p>
    <w:p>
      <w:pPr>
        <w:pStyle w:val="ListParagraph"/>
        <w:numPr>
          <w:ilvl w:val="0"/>
          <w:numId w:val="83"/>
        </w:numPr>
        <w:tabs>
          <w:tab w:pos="462" w:val="left" w:leader="none"/>
        </w:tabs>
        <w:spacing w:line="276" w:lineRule="auto" w:before="0" w:after="0"/>
        <w:ind w:left="462" w:right="120" w:hanging="360"/>
        <w:jc w:val="both"/>
        <w:rPr>
          <w:sz w:val="24"/>
        </w:rPr>
      </w:pPr>
      <w:r>
        <w:rPr>
          <w:sz w:val="24"/>
        </w:rPr>
        <w:t>¿Cuáles fueron para usted los mayores obstáculos en el período de transición desde que se graduó hasta que consiguió su primer empleo: (Seleccione más de uno de ser necesario)</w:t>
      </w:r>
    </w:p>
    <w:p>
      <w:pPr>
        <w:pStyle w:val="BodyText"/>
        <w:spacing w:before="9"/>
        <w:rPr>
          <w:sz w:val="27"/>
        </w:rPr>
      </w:pPr>
    </w:p>
    <w:p>
      <w:pPr>
        <w:pStyle w:val="BodyText"/>
        <w:spacing w:line="276" w:lineRule="auto"/>
        <w:ind w:left="810" w:right="2685"/>
      </w:pPr>
      <w:r>
        <w:rPr/>
        <w:pict>
          <v:rect style="position:absolute;margin-left:105.449997pt;margin-top:.943125pt;width:11.25pt;height:9.4pt;mso-position-horizontal-relative:page;mso-position-vertical-relative:paragraph;z-index:13672" filled="false" stroked="true" strokeweight=".75pt" strokecolor="#000000">
            <w10:wrap type="none"/>
          </v:rect>
        </w:pict>
      </w:r>
      <w:r>
        <w:rPr/>
        <w:pict>
          <v:rect style="position:absolute;margin-left:105.550003pt;margin-top:14.643125pt;width:11.25pt;height:9.4pt;mso-position-horizontal-relative:page;mso-position-vertical-relative:paragraph;z-index:13696" filled="false" stroked="true" strokeweight=".75pt" strokecolor="#000000">
            <w10:wrap type="none"/>
          </v:rect>
        </w:pict>
      </w:r>
      <w:r>
        <w:rPr/>
        <w:pict>
          <v:rect style="position:absolute;margin-left:105.550003pt;margin-top:31.723125pt;width:11.25pt;height:9.4pt;mso-position-horizontal-relative:page;mso-position-vertical-relative:paragraph;z-index:13720" filled="false" stroked="true" strokeweight=".75pt" strokecolor="#000000">
            <w10:wrap type="none"/>
          </v:rect>
        </w:pict>
      </w:r>
      <w:r>
        <w:rPr/>
        <w:t>La falta de conocimientos que debía darme la titulación La falta de formación práctica</w:t>
      </w:r>
    </w:p>
    <w:p>
      <w:pPr>
        <w:pStyle w:val="BodyText"/>
        <w:spacing w:line="278" w:lineRule="auto" w:before="1"/>
        <w:ind w:left="821" w:right="3639" w:hanging="12"/>
      </w:pPr>
      <w:r>
        <w:rPr/>
        <w:pict>
          <v:rect style="position:absolute;margin-left:106.400002pt;margin-top:15.883103pt;width:11.25pt;height:9.4pt;mso-position-horizontal-relative:page;mso-position-vertical-relative:paragraph;z-index:13744" filled="false" stroked="true" strokeweight=".75pt" strokecolor="#000000">
            <w10:wrap type="none"/>
          </v:rect>
        </w:pict>
      </w:r>
      <w:r>
        <w:rPr/>
        <w:t>La falta de orientación laboral en la universidad La falta de experiencia laboral</w:t>
      </w:r>
    </w:p>
    <w:p>
      <w:pPr>
        <w:pStyle w:val="BodyText"/>
        <w:spacing w:line="276" w:lineRule="auto"/>
        <w:ind w:left="821" w:right="4966"/>
      </w:pPr>
      <w:r>
        <w:rPr/>
        <w:pict>
          <v:rect style="position:absolute;margin-left:106.400002pt;margin-top:1.503115pt;width:11.25pt;height:9.4pt;mso-position-horizontal-relative:page;mso-position-vertical-relative:paragraph;z-index:13768" filled="false" stroked="true" strokeweight=".75pt" strokecolor="#000000">
            <w10:wrap type="none"/>
          </v:rect>
        </w:pict>
      </w:r>
      <w:r>
        <w:rPr/>
        <w:pict>
          <v:rect style="position:absolute;margin-left:106.5pt;margin-top:16.523115pt;width:11.25pt;height:9.4pt;mso-position-horizontal-relative:page;mso-position-vertical-relative:paragraph;z-index:13792" filled="false" stroked="true" strokeweight=".75pt" strokecolor="#000000">
            <w10:wrap type="none"/>
          </v:rect>
        </w:pict>
      </w:r>
      <w:r>
        <w:rPr/>
        <w:t>Discriminación por razón de edad Las condiciones laborales</w:t>
      </w:r>
    </w:p>
    <w:p>
      <w:pPr>
        <w:pStyle w:val="BodyText"/>
        <w:spacing w:before="1"/>
        <w:ind w:left="821"/>
      </w:pPr>
      <w:r>
        <w:rPr/>
        <w:pict>
          <v:rect style="position:absolute;margin-left:106.5pt;margin-top:.663123pt;width:11.25pt;height:9.4pt;mso-position-horizontal-relative:page;mso-position-vertical-relative:paragraph;z-index:13816" filled="false" stroked="true" strokeweight=".75pt" strokecolor="#000000">
            <w10:wrap type="none"/>
          </v:rect>
        </w:pict>
      </w:r>
      <w:r>
        <w:rPr/>
        <w:t>La situación personal (razones familiares…)</w:t>
      </w:r>
    </w:p>
    <w:p>
      <w:pPr>
        <w:pStyle w:val="BodyText"/>
        <w:spacing w:before="41"/>
        <w:ind w:left="821"/>
      </w:pPr>
      <w:r>
        <w:rPr/>
        <w:pict>
          <v:rect style="position:absolute;margin-left:107.349998pt;margin-top:2.593126pt;width:11.25pt;height:9.4pt;mso-position-horizontal-relative:page;mso-position-vertical-relative:paragraph;z-index:13840" filled="false" stroked="true" strokeweight=".75pt" strokecolor="#000000">
            <w10:wrap type="none"/>
          </v:rect>
        </w:pict>
      </w:r>
      <w:r>
        <w:rPr/>
        <w:t>Tener una titulación con unas pocas oportunidades profesionales</w:t>
      </w:r>
    </w:p>
    <w:p>
      <w:pPr>
        <w:pStyle w:val="BodyText"/>
        <w:spacing w:line="276" w:lineRule="auto" w:before="43"/>
        <w:ind w:left="821"/>
      </w:pPr>
      <w:r>
        <w:rPr/>
        <w:pict>
          <v:rect style="position:absolute;margin-left:106.400002pt;margin-top:3.253135pt;width:11.25pt;height:9.4pt;mso-position-horizontal-relative:page;mso-position-vertical-relative:paragraph;z-index:13864" filled="false" stroked="true" strokeweight=".75pt" strokecolor="#000000">
            <w10:wrap type="none"/>
          </v:rect>
        </w:pict>
      </w:r>
      <w:r>
        <w:rPr/>
        <w:pict>
          <v:rect style="position:absolute;margin-left:106.5pt;margin-top:18.263134pt;width:11.25pt;height:9.4pt;mso-position-horizontal-relative:page;mso-position-vertical-relative:paragraph;z-index:13888" filled="false" stroked="true" strokeweight=".75pt" strokecolor="#000000">
            <w10:wrap type="none"/>
          </v:rect>
        </w:pict>
      </w:r>
      <w:r>
        <w:rPr/>
        <w:pict>
          <v:rect style="position:absolute;margin-left:106.5pt;margin-top:32.713135pt;width:11.25pt;height:9.4pt;mso-position-horizontal-relative:page;mso-position-vertical-relative:paragraph;z-index:13912" filled="false" stroked="true" strokeweight=".75pt" strokecolor="#000000">
            <w10:wrap type="none"/>
          </v:rect>
        </w:pict>
      </w:r>
      <w:r>
        <w:rPr/>
        <w:t>Intentar acceder a un empleo que no requiere la Licenciatura en Economía Discriminación por razón de sexo (ser hombre/mujer)</w:t>
      </w:r>
    </w:p>
    <w:p>
      <w:pPr>
        <w:pStyle w:val="BodyText"/>
        <w:spacing w:before="1"/>
        <w:ind w:left="821"/>
      </w:pPr>
      <w:r>
        <w:rPr/>
        <w:t>No tener contactos</w:t>
      </w:r>
    </w:p>
    <w:p>
      <w:pPr>
        <w:pStyle w:val="BodyText"/>
        <w:spacing w:before="41"/>
        <w:ind w:left="821"/>
      </w:pPr>
      <w:r>
        <w:rPr/>
        <w:pict>
          <v:rect style="position:absolute;margin-left:107.349998pt;margin-top:3.013126pt;width:11.25pt;height:9.4pt;mso-position-horizontal-relative:page;mso-position-vertical-relative:paragraph;z-index:13936" filled="false" stroked="true" strokeweight=".75pt" strokecolor="#000000">
            <w10:wrap type="none"/>
          </v:rect>
        </w:pict>
      </w:r>
      <w:r>
        <w:rPr/>
        <w:t>Infravaloración de la carrera cursada</w:t>
      </w:r>
    </w:p>
    <w:p>
      <w:pPr>
        <w:pStyle w:val="BodyText"/>
        <w:tabs>
          <w:tab w:pos="8355" w:val="left" w:leader="none"/>
        </w:tabs>
        <w:spacing w:before="43"/>
        <w:ind w:left="821"/>
      </w:pPr>
      <w:r>
        <w:rPr/>
        <w:pict>
          <v:rect style="position:absolute;margin-left:107.449997pt;margin-top:3.023135pt;width:11.25pt;height:9.4pt;mso-position-horizontal-relative:page;mso-position-vertical-relative:paragraph;z-index:13960" filled="false" stroked="true" strokeweight=".75pt" strokecolor="#000000">
            <w10:wrap type="none"/>
          </v:rect>
        </w:pict>
      </w:r>
      <w:r>
        <w:rPr/>
        <w:t>Otro,</w:t>
      </w:r>
      <w:r>
        <w:rPr>
          <w:spacing w:val="-4"/>
        </w:rPr>
        <w:t> </w:t>
      </w:r>
      <w:r>
        <w:rPr/>
        <w:t>especifique:</w:t>
      </w:r>
      <w:r>
        <w:rPr>
          <w:u w:val="single"/>
        </w:rPr>
        <w:t> </w:t>
        <w:tab/>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8"/>
        </w:rPr>
      </w:pPr>
    </w:p>
    <w:p>
      <w:pPr>
        <w:pStyle w:val="Heading4"/>
        <w:numPr>
          <w:ilvl w:val="0"/>
          <w:numId w:val="82"/>
        </w:numPr>
        <w:tabs>
          <w:tab w:pos="395" w:val="left" w:leader="none"/>
        </w:tabs>
        <w:spacing w:line="240" w:lineRule="auto" w:before="69" w:after="0"/>
        <w:ind w:left="394" w:right="0" w:hanging="292"/>
        <w:jc w:val="left"/>
        <w:rPr>
          <w:i/>
        </w:rPr>
      </w:pPr>
      <w:r>
        <w:rPr>
          <w:i/>
        </w:rPr>
        <w:t>Consolidación de la</w:t>
      </w:r>
      <w:r>
        <w:rPr>
          <w:i/>
          <w:spacing w:val="-2"/>
        </w:rPr>
        <w:t> </w:t>
      </w:r>
      <w:r>
        <w:rPr>
          <w:i/>
        </w:rPr>
        <w:t>transición.</w:t>
      </w:r>
    </w:p>
    <w:p>
      <w:pPr>
        <w:pStyle w:val="BodyText"/>
        <w:spacing w:before="7"/>
        <w:rPr>
          <w:b/>
          <w:i/>
          <w:sz w:val="30"/>
        </w:rPr>
      </w:pPr>
    </w:p>
    <w:p>
      <w:pPr>
        <w:pStyle w:val="ListParagraph"/>
        <w:numPr>
          <w:ilvl w:val="0"/>
          <w:numId w:val="83"/>
        </w:numPr>
        <w:tabs>
          <w:tab w:pos="462" w:val="left" w:leader="none"/>
          <w:tab w:pos="3780" w:val="left" w:leader="none"/>
        </w:tabs>
        <w:spacing w:line="278" w:lineRule="auto" w:before="1" w:after="0"/>
        <w:ind w:left="1002" w:right="4408" w:hanging="900"/>
        <w:jc w:val="left"/>
        <w:rPr>
          <w:sz w:val="24"/>
        </w:rPr>
      </w:pPr>
      <w:r>
        <w:rPr/>
        <w:pict>
          <v:rect style="position:absolute;margin-left:108.5pt;margin-top:17.173119pt;width:11.25pt;height:9.4pt;mso-position-horizontal-relative:page;mso-position-vertical-relative:paragraph;z-index:-388672" filled="false" stroked="true" strokeweight=".75pt" strokecolor="#000000">
            <w10:wrap type="none"/>
          </v:rect>
        </w:pict>
      </w:r>
      <w:r>
        <w:rPr/>
        <w:pict>
          <v:rect style="position:absolute;margin-left:255pt;margin-top:17.173119pt;width:11.25pt;height:9.4pt;mso-position-horizontal-relative:page;mso-position-vertical-relative:paragraph;z-index:-388648" filled="false" stroked="true" strokeweight=".75pt" strokecolor="#000000">
            <w10:wrap type="none"/>
          </v:rect>
        </w:pict>
      </w:r>
      <w:r>
        <w:rPr>
          <w:sz w:val="24"/>
        </w:rPr>
        <w:t>¿Trabaja actualmente en su primer</w:t>
      </w:r>
      <w:r>
        <w:rPr>
          <w:spacing w:val="-7"/>
          <w:sz w:val="24"/>
        </w:rPr>
        <w:t> </w:t>
      </w:r>
      <w:r>
        <w:rPr>
          <w:sz w:val="24"/>
        </w:rPr>
        <w:t>empleo? Sí</w:t>
        <w:tab/>
        <w:t>No</w:t>
      </w:r>
    </w:p>
    <w:p>
      <w:pPr>
        <w:pStyle w:val="BodyText"/>
        <w:spacing w:before="5"/>
        <w:rPr>
          <w:sz w:val="27"/>
        </w:rPr>
      </w:pPr>
    </w:p>
    <w:p>
      <w:pPr>
        <w:pStyle w:val="ListParagraph"/>
        <w:numPr>
          <w:ilvl w:val="0"/>
          <w:numId w:val="83"/>
        </w:numPr>
        <w:tabs>
          <w:tab w:pos="462" w:val="left" w:leader="none"/>
          <w:tab w:pos="3780" w:val="left" w:leader="none"/>
        </w:tabs>
        <w:spacing w:line="276" w:lineRule="auto" w:before="0" w:after="0"/>
        <w:ind w:left="1002" w:right="1907" w:hanging="900"/>
        <w:jc w:val="left"/>
        <w:rPr>
          <w:sz w:val="24"/>
        </w:rPr>
      </w:pPr>
      <w:r>
        <w:rPr/>
        <w:pict>
          <v:rect style="position:absolute;margin-left:108.5pt;margin-top:17.063122pt;width:11.25pt;height:9.4pt;mso-position-horizontal-relative:page;mso-position-vertical-relative:paragraph;z-index:-389152" filled="false" stroked="true" strokeweight=".75pt" strokecolor="#000000">
            <w10:wrap type="none"/>
          </v:rect>
        </w:pict>
      </w:r>
      <w:r>
        <w:rPr/>
        <w:pict>
          <v:rect style="position:absolute;margin-left:255pt;margin-top:17.063122pt;width:11.25pt;height:9.4pt;mso-position-horizontal-relative:page;mso-position-vertical-relative:paragraph;z-index:-389128" filled="false" stroked="true" strokeweight=".75pt" strokecolor="#000000">
            <w10:wrap type="none"/>
          </v:rect>
        </w:pict>
      </w:r>
      <w:r>
        <w:rPr>
          <w:sz w:val="24"/>
        </w:rPr>
        <w:t>¿Tuvo la oportunidad de aprender cosas nuevas en su primer</w:t>
      </w:r>
      <w:r>
        <w:rPr>
          <w:spacing w:val="-9"/>
          <w:sz w:val="24"/>
        </w:rPr>
        <w:t> </w:t>
      </w:r>
      <w:r>
        <w:rPr>
          <w:sz w:val="24"/>
        </w:rPr>
        <w:t>empleo? Sí</w:t>
        <w:tab/>
        <w:t>No</w:t>
      </w:r>
    </w:p>
    <w:p>
      <w:pPr>
        <w:pStyle w:val="BodyText"/>
        <w:spacing w:before="9"/>
        <w:rPr>
          <w:sz w:val="27"/>
        </w:rPr>
      </w:pPr>
    </w:p>
    <w:p>
      <w:pPr>
        <w:pStyle w:val="ListParagraph"/>
        <w:numPr>
          <w:ilvl w:val="0"/>
          <w:numId w:val="83"/>
        </w:numPr>
        <w:tabs>
          <w:tab w:pos="462" w:val="left" w:leader="none"/>
          <w:tab w:pos="3781" w:val="left" w:leader="none"/>
        </w:tabs>
        <w:spacing w:line="276" w:lineRule="auto" w:before="0" w:after="0"/>
        <w:ind w:left="1002" w:right="3988" w:hanging="900"/>
        <w:jc w:val="left"/>
        <w:rPr>
          <w:sz w:val="24"/>
        </w:rPr>
      </w:pPr>
      <w:r>
        <w:rPr/>
        <w:pict>
          <v:rect style="position:absolute;margin-left:108.5pt;margin-top:17.023123pt;width:11.25pt;height:9.4pt;mso-position-horizontal-relative:page;mso-position-vertical-relative:paragraph;z-index:-389104" filled="false" stroked="true" strokeweight=".75pt" strokecolor="#000000">
            <w10:wrap type="none"/>
          </v:rect>
        </w:pict>
      </w:r>
      <w:r>
        <w:rPr/>
        <w:pict>
          <v:rect style="position:absolute;margin-left:255pt;margin-top:17.023123pt;width:11.25pt;height:9.4pt;mso-position-horizontal-relative:page;mso-position-vertical-relative:paragraph;z-index:-389080" filled="false" stroked="true" strokeweight=".75pt" strokecolor="#000000">
            <w10:wrap type="none"/>
          </v:rect>
        </w:pict>
      </w:r>
      <w:r>
        <w:rPr>
          <w:sz w:val="24"/>
        </w:rPr>
        <w:t>¿Necesitó capacitación por parte de la</w:t>
      </w:r>
      <w:r>
        <w:rPr>
          <w:spacing w:val="-11"/>
          <w:sz w:val="24"/>
        </w:rPr>
        <w:t> </w:t>
      </w:r>
      <w:r>
        <w:rPr>
          <w:sz w:val="24"/>
        </w:rPr>
        <w:t>empresa? Sí</w:t>
        <w:tab/>
        <w:t>No</w:t>
      </w:r>
    </w:p>
    <w:p>
      <w:pPr>
        <w:pStyle w:val="BodyText"/>
      </w:pPr>
    </w:p>
    <w:p>
      <w:pPr>
        <w:pStyle w:val="BodyText"/>
        <w:spacing w:before="4"/>
        <w:rPr>
          <w:sz w:val="31"/>
        </w:rPr>
      </w:pPr>
    </w:p>
    <w:p>
      <w:pPr>
        <w:pStyle w:val="ListParagraph"/>
        <w:numPr>
          <w:ilvl w:val="0"/>
          <w:numId w:val="83"/>
        </w:numPr>
        <w:tabs>
          <w:tab w:pos="462" w:val="left" w:leader="none"/>
          <w:tab w:pos="3834" w:val="left" w:leader="none"/>
        </w:tabs>
        <w:spacing w:line="276" w:lineRule="auto" w:before="0" w:after="0"/>
        <w:ind w:left="882" w:right="634" w:hanging="780"/>
        <w:jc w:val="left"/>
        <w:rPr>
          <w:sz w:val="24"/>
        </w:rPr>
      </w:pPr>
      <w:r>
        <w:rPr/>
        <w:pict>
          <v:shape style="position:absolute;margin-left:255pt;margin-top:17.023125pt;width:16.75pt;height:12.4pt;mso-position-horizontal-relative:page;mso-position-vertical-relative:paragraph;z-index:-389272" type="#_x0000_t202" filled="false" stroked="false">
            <v:textbox inset="0,0,0,0">
              <w:txbxContent>
                <w:p>
                  <w:pPr>
                    <w:pStyle w:val="BodyText"/>
                    <w:spacing w:line="247" w:lineRule="exact"/>
                    <w:ind w:left="160"/>
                  </w:pPr>
                  <w:r>
                    <w:rPr>
                      <w:w w:val="99"/>
                    </w:rPr>
                    <w:t>N</w:t>
                  </w:r>
                </w:p>
              </w:txbxContent>
            </v:textbox>
            <w10:wrap type="none"/>
          </v:shape>
        </w:pict>
      </w:r>
      <w:r>
        <w:rPr/>
        <w:pict>
          <v:rect style="position:absolute;margin-left:108.5pt;margin-top:17.023125pt;width:11.25pt;height:9.4pt;mso-position-horizontal-relative:page;mso-position-vertical-relative:paragraph;z-index:-389056" filled="false" stroked="true" strokeweight=".75pt" strokecolor="#000000">
            <w10:wrap type="none"/>
          </v:rect>
        </w:pict>
      </w:r>
      <w:r>
        <w:rPr/>
        <w:pict>
          <v:group style="position:absolute;margin-left:254.625pt;margin-top:16.648125pt;width:12pt;height:10.15pt;mso-position-horizontal-relative:page;mso-position-vertical-relative:paragraph;z-index:-389032" coordorigin="5093,333" coordsize="240,203">
            <v:rect style="position:absolute;left:5100;top:340;width:225;height:188" filled="true" fillcolor="#ffffff" stroked="false">
              <v:fill type="solid"/>
            </v:rect>
            <v:rect style="position:absolute;left:5100;top:340;width:225;height:188" filled="false" stroked="true" strokeweight=".75pt" strokecolor="#000000"/>
            <w10:wrap type="none"/>
          </v:group>
        </w:pict>
      </w:r>
      <w:r>
        <w:rPr>
          <w:sz w:val="24"/>
        </w:rPr>
        <w:t>Por parte de la Facultad de Economía, ¿existió un seguimiento después de</w:t>
      </w:r>
      <w:r>
        <w:rPr>
          <w:spacing w:val="-14"/>
          <w:sz w:val="24"/>
        </w:rPr>
        <w:t> </w:t>
      </w:r>
      <w:r>
        <w:rPr>
          <w:sz w:val="24"/>
        </w:rPr>
        <w:t>egresar? Sí</w:t>
        <w:tab/>
        <w:t>o</w:t>
      </w:r>
    </w:p>
    <w:p>
      <w:pPr>
        <w:spacing w:after="0" w:line="276" w:lineRule="auto"/>
        <w:jc w:val="left"/>
        <w:rPr>
          <w:sz w:val="24"/>
        </w:rPr>
        <w:sectPr>
          <w:footerReference w:type="default" r:id="rId240"/>
          <w:pgSz w:w="12240" w:h="15840"/>
          <w:pgMar w:footer="943" w:header="0" w:top="1500" w:bottom="1140" w:left="1600" w:right="1580"/>
          <w:pgNumType w:start="240"/>
        </w:sectPr>
      </w:pPr>
    </w:p>
    <w:p>
      <w:pPr>
        <w:pStyle w:val="BodyText"/>
        <w:spacing w:before="11"/>
        <w:rPr>
          <w:sz w:val="13"/>
        </w:rPr>
      </w:pPr>
    </w:p>
    <w:p>
      <w:pPr>
        <w:pStyle w:val="ListParagraph"/>
        <w:numPr>
          <w:ilvl w:val="0"/>
          <w:numId w:val="83"/>
        </w:numPr>
        <w:tabs>
          <w:tab w:pos="462" w:val="left" w:leader="none"/>
        </w:tabs>
        <w:spacing w:line="240" w:lineRule="auto" w:before="69" w:after="0"/>
        <w:ind w:left="462" w:right="0" w:hanging="360"/>
        <w:jc w:val="both"/>
        <w:rPr>
          <w:sz w:val="24"/>
        </w:rPr>
      </w:pPr>
      <w:r>
        <w:rPr>
          <w:sz w:val="24"/>
        </w:rPr>
        <w:t>¿Fue promovido (ascendido), en su primer</w:t>
      </w:r>
      <w:r>
        <w:rPr>
          <w:spacing w:val="-6"/>
          <w:sz w:val="24"/>
        </w:rPr>
        <w:t> </w:t>
      </w:r>
      <w:r>
        <w:rPr>
          <w:sz w:val="24"/>
        </w:rPr>
        <w:t>empleo?</w:t>
      </w:r>
    </w:p>
    <w:p>
      <w:pPr>
        <w:pStyle w:val="BodyText"/>
        <w:tabs>
          <w:tab w:pos="3028" w:val="left" w:leader="none"/>
          <w:tab w:pos="6366" w:val="left" w:leader="none"/>
        </w:tabs>
        <w:spacing w:before="41"/>
        <w:ind w:left="941"/>
      </w:pPr>
      <w:r>
        <w:rPr/>
        <w:pict>
          <v:shape style="position:absolute;margin-left:386.450012pt;margin-top:3.303147pt;width:11.9pt;height:12.3pt;mso-position-horizontal-relative:page;mso-position-vertical-relative:paragraph;z-index:-388624" type="#_x0000_t202" filled="false" stroked="false">
            <v:textbox inset="0,0,0,0">
              <w:txbxContent>
                <w:p>
                  <w:pPr>
                    <w:pStyle w:val="BodyText"/>
                    <w:spacing w:line="246" w:lineRule="exact"/>
                    <w:ind w:left="64"/>
                  </w:pPr>
                  <w:r>
                    <w:rPr>
                      <w:w w:val="99"/>
                    </w:rPr>
                    <w:t>N</w:t>
                  </w:r>
                </w:p>
              </w:txbxContent>
            </v:textbox>
            <w10:wrap type="none"/>
          </v:shape>
        </w:pict>
      </w:r>
      <w:r>
        <w:rPr/>
        <w:pict>
          <v:rect style="position:absolute;margin-left:108.5pt;margin-top:3.303147pt;width:11.25pt;height:9.4pt;mso-position-horizontal-relative:page;mso-position-vertical-relative:paragraph;z-index:14056" filled="false" stroked="true" strokeweight=".75pt" strokecolor="#000000">
            <w10:wrap type="none"/>
          </v:rect>
        </w:pict>
      </w:r>
      <w:r>
        <w:rPr/>
        <w:pict>
          <v:group style="position:absolute;margin-left:209.774994pt;margin-top:2.928147pt;width:23.25pt;height:10.15pt;mso-position-horizontal-relative:page;mso-position-vertical-relative:paragraph;z-index:-388576" coordorigin="4195,59" coordsize="465,203">
            <v:rect style="position:absolute;left:4428;top:66;width:225;height:188" filled="true" fillcolor="#ffffff" stroked="false">
              <v:fill type="solid"/>
            </v:rect>
            <v:shape style="position:absolute;left:4203;top:66;width:450;height:188" coordorigin="4203,66" coordsize="450,188" path="m4428,254l4653,254,4653,66,4428,66,4428,254xm4203,254l4428,254,4428,66,4203,66,4203,254xe" filled="false" stroked="true" strokeweight=".75pt" strokecolor="#000000">
              <v:path arrowok="t"/>
            </v:shape>
            <w10:wrap type="none"/>
          </v:group>
        </w:pict>
      </w:r>
      <w:r>
        <w:rPr/>
        <w:pict>
          <v:group style="position:absolute;margin-left:386.075012pt;margin-top:2.928147pt;width:12pt;height:10.15pt;mso-position-horizontal-relative:page;mso-position-vertical-relative:paragraph;z-index:-388552" coordorigin="7722,59" coordsize="240,203">
            <v:rect style="position:absolute;left:7729;top:66;width:225;height:188" filled="true" fillcolor="#ffffff" stroked="false">
              <v:fill type="solid"/>
            </v:rect>
            <v:rect style="position:absolute;left:7729;top:66;width:225;height:188" filled="false" stroked="true" strokeweight=".75pt" strokecolor="#000000"/>
            <w10:wrap type="none"/>
          </v:group>
        </w:pict>
      </w:r>
      <w:r>
        <w:rPr/>
        <w:t>Sí,</w:t>
      </w:r>
      <w:r>
        <w:rPr>
          <w:spacing w:val="-1"/>
        </w:rPr>
        <w:t> </w:t>
      </w:r>
      <w:r>
        <w:rPr/>
        <w:t>después</w:t>
      </w:r>
      <w:r>
        <w:rPr>
          <w:spacing w:val="-1"/>
        </w:rPr>
        <w:t> </w:t>
      </w:r>
      <w:r>
        <w:rPr/>
        <w:t>de</w:t>
        <w:tab/>
        <w:t>meses</w:t>
        <w:tab/>
        <w:t>o</w:t>
      </w:r>
    </w:p>
    <w:p>
      <w:pPr>
        <w:pStyle w:val="BodyText"/>
        <w:spacing w:before="1"/>
        <w:rPr>
          <w:sz w:val="31"/>
        </w:rPr>
      </w:pPr>
    </w:p>
    <w:p>
      <w:pPr>
        <w:pStyle w:val="ListParagraph"/>
        <w:numPr>
          <w:ilvl w:val="0"/>
          <w:numId w:val="83"/>
        </w:numPr>
        <w:tabs>
          <w:tab w:pos="462" w:val="left" w:leader="none"/>
        </w:tabs>
        <w:spacing w:line="240" w:lineRule="auto" w:before="0" w:after="0"/>
        <w:ind w:left="462" w:right="0" w:hanging="360"/>
        <w:jc w:val="both"/>
        <w:rPr>
          <w:sz w:val="24"/>
        </w:rPr>
      </w:pPr>
      <w:r>
        <w:rPr>
          <w:sz w:val="24"/>
        </w:rPr>
        <w:t>¿Cómo calificaría su proceso de</w:t>
      </w:r>
      <w:r>
        <w:rPr>
          <w:spacing w:val="-9"/>
          <w:sz w:val="24"/>
        </w:rPr>
        <w:t> </w:t>
      </w:r>
      <w:r>
        <w:rPr>
          <w:sz w:val="24"/>
        </w:rPr>
        <w:t>transición?</w:t>
      </w:r>
    </w:p>
    <w:p>
      <w:pPr>
        <w:pStyle w:val="BodyText"/>
        <w:spacing w:before="3"/>
        <w:rPr>
          <w:sz w:val="31"/>
        </w:rPr>
      </w:pPr>
    </w:p>
    <w:p>
      <w:pPr>
        <w:pStyle w:val="BodyText"/>
        <w:ind w:left="810"/>
      </w:pPr>
      <w:r>
        <w:rPr/>
        <w:pict>
          <v:rect style="position:absolute;margin-left:105.449997pt;margin-top:.443105pt;width:11.25pt;height:9.4pt;mso-position-horizontal-relative:page;mso-position-vertical-relative:paragraph;z-index:14224" filled="false" stroked="true" strokeweight=".75pt" strokecolor="#000000">
            <w10:wrap type="none"/>
          </v:rect>
        </w:pict>
      </w:r>
      <w:r>
        <w:rPr/>
        <w:t>Corto y relacionado con la carrera de Economía</w:t>
      </w:r>
    </w:p>
    <w:p>
      <w:pPr>
        <w:pStyle w:val="BodyText"/>
        <w:spacing w:line="276" w:lineRule="auto" w:before="41"/>
        <w:ind w:left="810" w:right="2652"/>
      </w:pPr>
      <w:r>
        <w:rPr/>
        <w:pict>
          <v:rect style="position:absolute;margin-left:105.449997pt;margin-top:3.62314pt;width:11.25pt;height:9.4pt;mso-position-horizontal-relative:page;mso-position-vertical-relative:paragraph;z-index:14248" filled="false" stroked="true" strokeweight=".75pt" strokecolor="#000000">
            <w10:wrap type="none"/>
          </v:rect>
        </w:pict>
      </w:r>
      <w:r>
        <w:rPr/>
        <w:pict>
          <v:rect style="position:absolute;margin-left:105.449997pt;margin-top:18.69314pt;width:11.25pt;height:9.4pt;mso-position-horizontal-relative:page;mso-position-vertical-relative:paragraph;z-index:14272" filled="false" stroked="true" strokeweight=".75pt" strokecolor="#000000">
            <w10:wrap type="none"/>
          </v:rect>
        </w:pict>
      </w:r>
      <w:r>
        <w:rPr/>
        <w:t>Corto y no estuvo relacionado con la carrera de Economía Largo y relacionado con la carrera de Economía</w:t>
      </w:r>
    </w:p>
    <w:p>
      <w:pPr>
        <w:pStyle w:val="BodyText"/>
        <w:spacing w:before="3"/>
        <w:ind w:left="810"/>
      </w:pPr>
      <w:r>
        <w:rPr/>
        <w:pict>
          <v:rect style="position:absolute;margin-left:105.449997pt;margin-top:1.363152pt;width:11.25pt;height:9.4pt;mso-position-horizontal-relative:page;mso-position-vertical-relative:paragraph;z-index:14296" filled="false" stroked="true" strokeweight=".75pt" strokecolor="#000000">
            <w10:wrap type="none"/>
          </v:rect>
        </w:pict>
      </w:r>
      <w:r>
        <w:rPr/>
        <w:t>Largo y no estuvo relacionado con la carrera de Economía</w:t>
      </w:r>
    </w:p>
    <w:p>
      <w:pPr>
        <w:pStyle w:val="BodyText"/>
      </w:pPr>
    </w:p>
    <w:p>
      <w:pPr>
        <w:pStyle w:val="BodyText"/>
        <w:spacing w:before="1"/>
        <w:rPr>
          <w:sz w:val="35"/>
        </w:rPr>
      </w:pPr>
    </w:p>
    <w:p>
      <w:pPr>
        <w:pStyle w:val="Heading4"/>
        <w:numPr>
          <w:ilvl w:val="0"/>
          <w:numId w:val="82"/>
        </w:numPr>
        <w:tabs>
          <w:tab w:pos="743" w:val="left" w:leader="none"/>
        </w:tabs>
        <w:spacing w:line="240" w:lineRule="auto" w:before="0" w:after="0"/>
        <w:ind w:left="742" w:right="0" w:hanging="280"/>
        <w:jc w:val="left"/>
        <w:rPr>
          <w:i/>
        </w:rPr>
      </w:pPr>
      <w:r>
        <w:rPr>
          <w:i/>
        </w:rPr>
        <w:t>Trabajo</w:t>
      </w:r>
      <w:r>
        <w:rPr>
          <w:i/>
          <w:spacing w:val="-1"/>
        </w:rPr>
        <w:t> </w:t>
      </w:r>
      <w:r>
        <w:rPr>
          <w:i/>
        </w:rPr>
        <w:t>actual</w:t>
      </w:r>
    </w:p>
    <w:p>
      <w:pPr>
        <w:pStyle w:val="BodyText"/>
        <w:spacing w:before="10"/>
        <w:rPr>
          <w:b/>
          <w:i/>
          <w:sz w:val="30"/>
        </w:rPr>
      </w:pPr>
    </w:p>
    <w:p>
      <w:pPr>
        <w:pStyle w:val="ListParagraph"/>
        <w:numPr>
          <w:ilvl w:val="0"/>
          <w:numId w:val="83"/>
        </w:numPr>
        <w:tabs>
          <w:tab w:pos="522" w:val="left" w:leader="none"/>
        </w:tabs>
        <w:spacing w:line="240" w:lineRule="auto" w:before="0" w:after="0"/>
        <w:ind w:left="522" w:right="0" w:hanging="420"/>
        <w:jc w:val="both"/>
        <w:rPr>
          <w:sz w:val="24"/>
        </w:rPr>
      </w:pPr>
      <w:r>
        <w:rPr>
          <w:sz w:val="24"/>
        </w:rPr>
        <w:t>¿Trabaja</w:t>
      </w:r>
      <w:r>
        <w:rPr>
          <w:spacing w:val="-4"/>
          <w:sz w:val="24"/>
        </w:rPr>
        <w:t> </w:t>
      </w:r>
      <w:r>
        <w:rPr>
          <w:sz w:val="24"/>
        </w:rPr>
        <w:t>actualmente?</w:t>
      </w:r>
    </w:p>
    <w:p>
      <w:pPr>
        <w:pStyle w:val="BodyText"/>
        <w:spacing w:before="1"/>
        <w:rPr>
          <w:sz w:val="31"/>
        </w:rPr>
      </w:pPr>
    </w:p>
    <w:p>
      <w:pPr>
        <w:pStyle w:val="BodyText"/>
        <w:spacing w:line="276" w:lineRule="auto"/>
        <w:ind w:left="810" w:right="6264"/>
      </w:pPr>
      <w:r>
        <w:rPr/>
        <w:pict>
          <v:rect style="position:absolute;margin-left:105.449997pt;margin-top:-1.956877pt;width:11.25pt;height:9.4pt;mso-position-horizontal-relative:page;mso-position-vertical-relative:paragraph;z-index:14128" filled="false" stroked="true" strokeweight=".75pt" strokecolor="#000000">
            <w10:wrap type="none"/>
          </v:rect>
        </w:pict>
      </w:r>
      <w:r>
        <w:rPr/>
        <w:pict>
          <v:rect style="position:absolute;margin-left:105.449997pt;margin-top:11.443123pt;width:11.25pt;height:9.4pt;mso-position-horizontal-relative:page;mso-position-vertical-relative:paragraph;z-index:14152" filled="false" stroked="true" strokeweight=".75pt" strokecolor="#000000">
            <w10:wrap type="none"/>
          </v:rect>
        </w:pict>
      </w:r>
      <w:r>
        <w:rPr/>
        <w:pict>
          <v:rect style="position:absolute;margin-left:105.550003pt;margin-top:25.443123pt;width:11.25pt;height:9.4pt;mso-position-horizontal-relative:page;mso-position-vertical-relative:paragraph;z-index:14176" filled="false" stroked="true" strokeweight=".75pt" strokecolor="#000000">
            <w10:wrap type="none"/>
          </v:rect>
        </w:pict>
      </w:r>
      <w:r>
        <w:rPr/>
        <w:t>Si permanentemente Si eventualmente</w:t>
      </w:r>
    </w:p>
    <w:p>
      <w:pPr>
        <w:pStyle w:val="BodyText"/>
        <w:spacing w:line="276" w:lineRule="auto" w:before="3"/>
        <w:ind w:left="810" w:right="5650"/>
      </w:pPr>
      <w:r>
        <w:rPr/>
        <w:pict>
          <v:rect style="position:absolute;margin-left:105.550003pt;margin-top:9.143135pt;width:11.25pt;height:9.4pt;mso-position-horizontal-relative:page;mso-position-vertical-relative:paragraph;z-index:14200" filled="false" stroked="true" strokeweight=".75pt" strokecolor="#000000">
            <w10:wrap type="none"/>
          </v:rect>
        </w:pict>
      </w:r>
      <w:r>
        <w:rPr/>
        <w:t>No por motivos personales No he buscado trabajo</w:t>
      </w:r>
    </w:p>
    <w:p>
      <w:pPr>
        <w:pStyle w:val="BodyText"/>
        <w:spacing w:before="7"/>
        <w:rPr>
          <w:sz w:val="27"/>
        </w:rPr>
      </w:pPr>
    </w:p>
    <w:p>
      <w:pPr>
        <w:pStyle w:val="BodyText"/>
        <w:spacing w:line="276" w:lineRule="auto"/>
        <w:ind w:left="102" w:right="121"/>
        <w:jc w:val="both"/>
      </w:pPr>
      <w:r>
        <w:rPr/>
        <w:t>Si su respuesta a la pregunta 50 fue “No por motivos personales” o “No he buscado  trabajo” por favor continúe a la pregunta 66, en cualquier otro caso continúe con  la pregunta</w:t>
      </w:r>
      <w:r>
        <w:rPr>
          <w:spacing w:val="-3"/>
        </w:rPr>
        <w:t> </w:t>
      </w:r>
      <w:r>
        <w:rPr/>
        <w:t>51.</w:t>
      </w:r>
    </w:p>
    <w:p>
      <w:pPr>
        <w:pStyle w:val="ListParagraph"/>
        <w:numPr>
          <w:ilvl w:val="0"/>
          <w:numId w:val="83"/>
        </w:numPr>
        <w:tabs>
          <w:tab w:pos="462" w:val="left" w:leader="none"/>
        </w:tabs>
        <w:spacing w:line="636" w:lineRule="exact" w:before="33" w:after="0"/>
        <w:ind w:left="810" w:right="3578" w:hanging="708"/>
        <w:jc w:val="left"/>
        <w:rPr>
          <w:sz w:val="24"/>
        </w:rPr>
      </w:pPr>
      <w:r>
        <w:rPr/>
        <w:pict>
          <v:rect style="position:absolute;margin-left:105.550003pt;margin-top:51.479992pt;width:11.25pt;height:9.4pt;mso-position-horizontal-relative:page;mso-position-vertical-relative:paragraph;z-index:-388288" filled="false" stroked="true" strokeweight=".75pt" strokecolor="#000000">
            <w10:wrap type="none"/>
          </v:rect>
        </w:pict>
      </w:r>
      <w:r>
        <w:rPr>
          <w:sz w:val="24"/>
        </w:rPr>
        <w:t>En su ocupación actual desempeña un trabajo</w:t>
      </w:r>
      <w:r>
        <w:rPr>
          <w:spacing w:val="-5"/>
          <w:sz w:val="24"/>
        </w:rPr>
        <w:t> </w:t>
      </w:r>
      <w:r>
        <w:rPr>
          <w:sz w:val="24"/>
        </w:rPr>
        <w:t>que… está por encima de mi</w:t>
      </w:r>
      <w:r>
        <w:rPr>
          <w:spacing w:val="-6"/>
          <w:sz w:val="24"/>
        </w:rPr>
        <w:t> </w:t>
      </w:r>
      <w:r>
        <w:rPr>
          <w:sz w:val="24"/>
        </w:rPr>
        <w:t>preparación</w:t>
      </w:r>
    </w:p>
    <w:p>
      <w:pPr>
        <w:pStyle w:val="BodyText"/>
        <w:spacing w:line="242" w:lineRule="exact"/>
        <w:ind w:left="810"/>
      </w:pPr>
      <w:r>
        <w:rPr/>
        <w:pict>
          <v:rect style="position:absolute;margin-left:105.550003pt;margin-top:.950002pt;width:11.25pt;height:9.4pt;mso-position-horizontal-relative:page;mso-position-vertical-relative:paragraph;z-index:14392" filled="false" stroked="true" strokeweight=".75pt" strokecolor="#000000">
            <w10:wrap type="none"/>
          </v:rect>
        </w:pict>
      </w:r>
      <w:r>
        <w:rPr/>
        <w:t>está a la altura de mi preparación</w:t>
      </w:r>
    </w:p>
    <w:p>
      <w:pPr>
        <w:pStyle w:val="BodyText"/>
        <w:spacing w:before="41"/>
        <w:ind w:left="810"/>
      </w:pPr>
      <w:r>
        <w:rPr/>
        <w:pict>
          <v:rect style="position:absolute;margin-left:105.650002pt;margin-top:4.203119pt;width:11.25pt;height:9.4pt;mso-position-horizontal-relative:page;mso-position-vertical-relative:paragraph;z-index:14416" filled="false" stroked="true" strokeweight=".75pt" strokecolor="#000000">
            <w10:wrap type="none"/>
          </v:rect>
        </w:pict>
      </w:r>
      <w:r>
        <w:rPr/>
        <w:t>está por debajo de mi preparación</w:t>
      </w:r>
    </w:p>
    <w:p>
      <w:pPr>
        <w:pStyle w:val="BodyText"/>
        <w:spacing w:line="276" w:lineRule="auto" w:before="43"/>
        <w:ind w:left="810" w:right="1743"/>
      </w:pPr>
      <w:r>
        <w:rPr/>
        <w:pict>
          <v:rect style="position:absolute;margin-left:105.650002pt;margin-top:5.013128pt;width:11.25pt;height:9.4pt;mso-position-horizontal-relative:page;mso-position-vertical-relative:paragraph;z-index:14440" filled="false" stroked="true" strokeweight=".75pt" strokecolor="#000000">
            <w10:wrap type="none"/>
          </v:rect>
        </w:pict>
      </w:r>
      <w:r>
        <w:rPr/>
        <w:pict>
          <v:rect style="position:absolute;margin-left:105.75pt;margin-top:19.983128pt;width:11.25pt;height:9.4pt;mso-position-horizontal-relative:page;mso-position-vertical-relative:paragraph;z-index:14464" filled="false" stroked="true" strokeweight=".75pt" strokecolor="#000000">
            <w10:wrap type="none"/>
          </v:rect>
        </w:pict>
      </w:r>
      <w:r>
        <w:rPr/>
        <w:t>no corresponde a la profesión de Economía para la cual se preparó no se necesita una preparación en Economía</w:t>
      </w:r>
    </w:p>
    <w:p>
      <w:pPr>
        <w:pStyle w:val="BodyText"/>
        <w:tabs>
          <w:tab w:pos="7558" w:val="left" w:leader="none"/>
        </w:tabs>
        <w:spacing w:before="1"/>
        <w:ind w:left="810"/>
      </w:pPr>
      <w:r>
        <w:rPr/>
        <w:pict>
          <v:rect style="position:absolute;margin-left:105.75pt;margin-top:2.843121pt;width:11.25pt;height:9.4pt;mso-position-horizontal-relative:page;mso-position-vertical-relative:paragraph;z-index:14488" filled="false" stroked="true" strokeweight=".75pt" strokecolor="#000000">
            <w10:wrap type="none"/>
          </v:rect>
        </w:pict>
      </w:r>
      <w:r>
        <w:rPr/>
        <w:t>otra,</w:t>
      </w:r>
      <w:r>
        <w:rPr>
          <w:spacing w:val="-5"/>
        </w:rPr>
        <w:t> </w:t>
      </w:r>
      <w:r>
        <w:rPr/>
        <w:t>especifique:</w:t>
      </w:r>
      <w:r>
        <w:rPr>
          <w:u w:val="single"/>
        </w:rPr>
        <w:t> </w:t>
        <w:tab/>
      </w:r>
    </w:p>
    <w:p>
      <w:pPr>
        <w:pStyle w:val="BodyText"/>
        <w:spacing w:before="3"/>
        <w:rPr>
          <w:sz w:val="25"/>
        </w:rPr>
      </w:pPr>
    </w:p>
    <w:p>
      <w:pPr>
        <w:pStyle w:val="ListParagraph"/>
        <w:numPr>
          <w:ilvl w:val="0"/>
          <w:numId w:val="83"/>
        </w:numPr>
        <w:tabs>
          <w:tab w:pos="462" w:val="left" w:leader="none"/>
        </w:tabs>
        <w:spacing w:line="276" w:lineRule="auto" w:before="69" w:after="0"/>
        <w:ind w:left="462" w:right="115" w:hanging="360"/>
        <w:jc w:val="left"/>
        <w:rPr>
          <w:sz w:val="24"/>
        </w:rPr>
      </w:pPr>
      <w:r>
        <w:rPr>
          <w:sz w:val="24"/>
        </w:rPr>
        <w:t>¿Tiene alguna otra ocupación profesional, además de la que considera su principal empleo?</w:t>
      </w:r>
    </w:p>
    <w:p>
      <w:pPr>
        <w:pStyle w:val="BodyText"/>
        <w:spacing w:before="7"/>
        <w:rPr>
          <w:sz w:val="27"/>
        </w:rPr>
      </w:pPr>
    </w:p>
    <w:p>
      <w:pPr>
        <w:pStyle w:val="BodyText"/>
        <w:tabs>
          <w:tab w:pos="8297" w:val="left" w:leader="none"/>
        </w:tabs>
        <w:spacing w:line="276" w:lineRule="auto"/>
        <w:ind w:left="1050" w:right="760" w:hanging="48"/>
      </w:pPr>
      <w:r>
        <w:rPr/>
        <w:pict>
          <v:rect style="position:absolute;margin-left:108.5pt;margin-top:1.213122pt;width:11.25pt;height:9.4pt;mso-position-horizontal-relative:page;mso-position-vertical-relative:paragraph;z-index:14320" filled="false" stroked="true" strokeweight=".75pt" strokecolor="#000000">
            <w10:wrap type="none"/>
          </v:rect>
        </w:pict>
      </w:r>
      <w:r>
        <w:rPr/>
        <w:pict>
          <v:rect style="position:absolute;margin-left:108.5pt;margin-top:18.083122pt;width:11.25pt;height:9.4pt;mso-position-horizontal-relative:page;mso-position-vertical-relative:paragraph;z-index:14344" filled="false" stroked="true" strokeweight=".75pt" strokecolor="#000000">
            <w10:wrap type="none"/>
          </v:rect>
        </w:pict>
      </w:r>
      <w:r>
        <w:rPr/>
        <w:t>Sí,</w:t>
      </w:r>
      <w:r>
        <w:rPr>
          <w:spacing w:val="-5"/>
        </w:rPr>
        <w:t> </w:t>
      </w:r>
      <w:r>
        <w:rPr/>
        <w:t>especifique:</w:t>
      </w:r>
      <w:r>
        <w:rPr>
          <w:u w:val="single"/>
        </w:rPr>
        <w:t> </w:t>
        <w:tab/>
      </w:r>
      <w:r>
        <w:rPr/>
        <w:t> No</w:t>
      </w:r>
    </w:p>
    <w:p>
      <w:pPr>
        <w:pStyle w:val="BodyText"/>
        <w:spacing w:before="9"/>
        <w:rPr>
          <w:sz w:val="27"/>
        </w:rPr>
      </w:pPr>
    </w:p>
    <w:p>
      <w:pPr>
        <w:pStyle w:val="ListParagraph"/>
        <w:numPr>
          <w:ilvl w:val="0"/>
          <w:numId w:val="83"/>
        </w:numPr>
        <w:tabs>
          <w:tab w:pos="522" w:val="left" w:leader="none"/>
        </w:tabs>
        <w:spacing w:line="240" w:lineRule="auto" w:before="0" w:after="0"/>
        <w:ind w:left="522" w:right="0" w:hanging="420"/>
        <w:jc w:val="left"/>
        <w:rPr>
          <w:sz w:val="24"/>
        </w:rPr>
      </w:pPr>
      <w:r>
        <w:rPr>
          <w:sz w:val="24"/>
        </w:rPr>
        <w:t>¿Cómo es la relación entre el trabajo actual y la profesión de</w:t>
      </w:r>
      <w:r>
        <w:rPr>
          <w:spacing w:val="-14"/>
          <w:sz w:val="24"/>
        </w:rPr>
        <w:t> </w:t>
      </w:r>
      <w:r>
        <w:rPr>
          <w:sz w:val="24"/>
        </w:rPr>
        <w:t>Economía?</w:t>
      </w:r>
    </w:p>
    <w:p>
      <w:pPr>
        <w:spacing w:after="0" w:line="240" w:lineRule="auto"/>
        <w:jc w:val="left"/>
        <w:rPr>
          <w:sz w:val="24"/>
        </w:rPr>
        <w:sectPr>
          <w:pgSz w:w="12240" w:h="15840"/>
          <w:pgMar w:header="0" w:footer="943" w:top="1500" w:bottom="1200" w:left="1600" w:right="1580"/>
        </w:sectPr>
      </w:pPr>
    </w:p>
    <w:p>
      <w:pPr>
        <w:pStyle w:val="BodyText"/>
        <w:spacing w:before="11"/>
        <w:rPr>
          <w:sz w:val="13"/>
        </w:rPr>
      </w:pPr>
    </w:p>
    <w:p>
      <w:pPr>
        <w:pStyle w:val="BodyText"/>
        <w:spacing w:line="276" w:lineRule="auto" w:before="69"/>
        <w:ind w:left="810" w:right="5624"/>
      </w:pPr>
      <w:r>
        <w:rPr/>
        <w:pict>
          <v:rect style="position:absolute;margin-left:105.550003pt;margin-top:4.223113pt;width:11.25pt;height:9.4pt;mso-position-horizontal-relative:page;mso-position-vertical-relative:paragraph;z-index:14512" filled="false" stroked="true" strokeweight=".75pt" strokecolor="#000000">
            <w10:wrap type="none"/>
          </v:rect>
        </w:pict>
      </w:r>
      <w:r>
        <w:rPr/>
        <w:pict>
          <v:rect style="position:absolute;margin-left:105.550003pt;margin-top:17.623114pt;width:11.25pt;height:9.4pt;mso-position-horizontal-relative:page;mso-position-vertical-relative:paragraph;z-index:14536" filled="false" stroked="true" strokeweight=".75pt" strokecolor="#000000">
            <w10:wrap type="none"/>
          </v:rect>
        </w:pict>
      </w:r>
      <w:r>
        <w:rPr/>
        <w:pict>
          <v:rect style="position:absolute;margin-left:105.650002pt;margin-top:31.623114pt;width:11.25pt;height:9.4pt;mso-position-horizontal-relative:page;mso-position-vertical-relative:paragraph;z-index:14560" filled="false" stroked="true" strokeweight=".75pt" strokecolor="#000000">
            <w10:wrap type="none"/>
          </v:rect>
        </w:pict>
      </w:r>
      <w:r>
        <w:rPr/>
        <w:t>Muy relacionado Medianamente relacionado Poco o nada relacionado</w:t>
      </w:r>
    </w:p>
    <w:p>
      <w:pPr>
        <w:pStyle w:val="BodyText"/>
      </w:pPr>
    </w:p>
    <w:p>
      <w:pPr>
        <w:pStyle w:val="BodyText"/>
      </w:pPr>
    </w:p>
    <w:p>
      <w:pPr>
        <w:pStyle w:val="BodyText"/>
        <w:spacing w:before="10"/>
        <w:rPr>
          <w:sz w:val="34"/>
        </w:rPr>
      </w:pPr>
    </w:p>
    <w:p>
      <w:pPr>
        <w:pStyle w:val="ListParagraph"/>
        <w:numPr>
          <w:ilvl w:val="0"/>
          <w:numId w:val="83"/>
        </w:numPr>
        <w:tabs>
          <w:tab w:pos="522" w:val="left" w:leader="none"/>
        </w:tabs>
        <w:spacing w:line="240" w:lineRule="auto" w:before="1" w:after="0"/>
        <w:ind w:left="522" w:right="0" w:hanging="420"/>
        <w:jc w:val="left"/>
        <w:rPr>
          <w:sz w:val="24"/>
        </w:rPr>
      </w:pPr>
      <w:r>
        <w:rPr>
          <w:sz w:val="24"/>
        </w:rPr>
        <w:t>¿Tiempo dedicado al trabajo</w:t>
      </w:r>
      <w:r>
        <w:rPr>
          <w:spacing w:val="-7"/>
          <w:sz w:val="24"/>
        </w:rPr>
        <w:t> </w:t>
      </w:r>
      <w:r>
        <w:rPr>
          <w:sz w:val="24"/>
        </w:rPr>
        <w:t>actual?</w:t>
      </w:r>
    </w:p>
    <w:p>
      <w:pPr>
        <w:pStyle w:val="BodyText"/>
        <w:spacing w:before="3"/>
        <w:rPr>
          <w:sz w:val="31"/>
        </w:rPr>
      </w:pPr>
    </w:p>
    <w:p>
      <w:pPr>
        <w:pStyle w:val="BodyText"/>
        <w:spacing w:line="276" w:lineRule="auto"/>
        <w:ind w:left="810" w:right="6530"/>
      </w:pPr>
      <w:r>
        <w:rPr/>
        <w:pict>
          <v:rect style="position:absolute;margin-left:106.300003pt;margin-top:.463152pt;width:11.25pt;height:9.4pt;mso-position-horizontal-relative:page;mso-position-vertical-relative:paragraph;z-index:14584" filled="false" stroked="true" strokeweight=".75pt" strokecolor="#000000">
            <w10:wrap type="none"/>
          </v:rect>
        </w:pict>
      </w:r>
      <w:r>
        <w:rPr/>
        <w:pict>
          <v:rect style="position:absolute;margin-left:106.300003pt;margin-top:13.863152pt;width:11.25pt;height:9.4pt;mso-position-horizontal-relative:page;mso-position-vertical-relative:paragraph;z-index:14608" filled="false" stroked="true" strokeweight=".75pt" strokecolor="#000000">
            <w10:wrap type="none"/>
          </v:rect>
        </w:pict>
      </w:r>
      <w:r>
        <w:rPr/>
        <w:t>Tiempo completo Tiempo parcial</w:t>
      </w:r>
    </w:p>
    <w:p>
      <w:pPr>
        <w:pStyle w:val="BodyText"/>
        <w:spacing w:before="7"/>
        <w:rPr>
          <w:sz w:val="27"/>
        </w:rPr>
      </w:pPr>
    </w:p>
    <w:p>
      <w:pPr>
        <w:pStyle w:val="ListParagraph"/>
        <w:numPr>
          <w:ilvl w:val="0"/>
          <w:numId w:val="83"/>
        </w:numPr>
        <w:tabs>
          <w:tab w:pos="522" w:val="left" w:leader="none"/>
        </w:tabs>
        <w:spacing w:line="240" w:lineRule="auto" w:before="1" w:after="0"/>
        <w:ind w:left="522" w:right="0" w:hanging="420"/>
        <w:jc w:val="left"/>
        <w:rPr>
          <w:sz w:val="24"/>
        </w:rPr>
      </w:pPr>
      <w:r>
        <w:rPr>
          <w:sz w:val="24"/>
        </w:rPr>
        <w:t>¿El sector del trabajo</w:t>
      </w:r>
      <w:r>
        <w:rPr>
          <w:spacing w:val="-7"/>
          <w:sz w:val="24"/>
        </w:rPr>
        <w:t> </w:t>
      </w:r>
      <w:r>
        <w:rPr>
          <w:sz w:val="24"/>
        </w:rPr>
        <w:t>es?</w:t>
      </w:r>
    </w:p>
    <w:p>
      <w:pPr>
        <w:pStyle w:val="BodyText"/>
        <w:spacing w:before="3"/>
        <w:rPr>
          <w:sz w:val="31"/>
        </w:rPr>
      </w:pPr>
    </w:p>
    <w:p>
      <w:pPr>
        <w:pStyle w:val="BodyText"/>
        <w:spacing w:line="276" w:lineRule="auto"/>
        <w:ind w:left="810" w:right="7483"/>
      </w:pPr>
      <w:r>
        <w:rPr/>
        <w:pict>
          <v:rect style="position:absolute;margin-left:106.300003pt;margin-top:1.303115pt;width:11.25pt;height:9.4pt;mso-position-horizontal-relative:page;mso-position-vertical-relative:paragraph;z-index:14632" filled="false" stroked="true" strokeweight=".75pt" strokecolor="#000000">
            <w10:wrap type="none"/>
          </v:rect>
        </w:pict>
      </w:r>
      <w:r>
        <w:rPr/>
        <w:pict>
          <v:rect style="position:absolute;margin-left:106.099998pt;margin-top:18.323114pt;width:11.25pt;height:9.4pt;mso-position-horizontal-relative:page;mso-position-vertical-relative:paragraph;z-index:14656" filled="false" stroked="true" strokeweight=".75pt" strokecolor="#000000">
            <w10:wrap type="none"/>
          </v:rect>
        </w:pict>
      </w:r>
      <w:r>
        <w:rPr/>
        <w:t>Público Privado</w:t>
      </w:r>
    </w:p>
    <w:p>
      <w:pPr>
        <w:pStyle w:val="BodyText"/>
        <w:spacing w:before="7"/>
        <w:rPr>
          <w:sz w:val="27"/>
        </w:rPr>
      </w:pPr>
    </w:p>
    <w:p>
      <w:pPr>
        <w:pStyle w:val="ListParagraph"/>
        <w:numPr>
          <w:ilvl w:val="0"/>
          <w:numId w:val="83"/>
        </w:numPr>
        <w:tabs>
          <w:tab w:pos="522" w:val="left" w:leader="none"/>
        </w:tabs>
        <w:spacing w:line="240" w:lineRule="auto" w:before="0" w:after="0"/>
        <w:ind w:left="522" w:right="0" w:hanging="420"/>
        <w:jc w:val="left"/>
        <w:rPr>
          <w:sz w:val="24"/>
        </w:rPr>
      </w:pPr>
      <w:r>
        <w:rPr>
          <w:sz w:val="24"/>
        </w:rPr>
        <w:t>¿En qué sector se ubica el</w:t>
      </w:r>
      <w:r>
        <w:rPr>
          <w:spacing w:val="-8"/>
          <w:sz w:val="24"/>
        </w:rPr>
        <w:t> </w:t>
      </w:r>
      <w:r>
        <w:rPr>
          <w:sz w:val="24"/>
        </w:rPr>
        <w:t>trabajo?</w:t>
      </w:r>
    </w:p>
    <w:p>
      <w:pPr>
        <w:pStyle w:val="BodyText"/>
        <w:spacing w:before="3"/>
        <w:rPr>
          <w:sz w:val="31"/>
        </w:rPr>
      </w:pPr>
    </w:p>
    <w:p>
      <w:pPr>
        <w:pStyle w:val="BodyText"/>
        <w:spacing w:line="276" w:lineRule="auto"/>
        <w:ind w:left="810" w:right="6910"/>
      </w:pPr>
      <w:r>
        <w:rPr/>
        <w:pict>
          <v:rect style="position:absolute;margin-left:106.5pt;margin-top:1.773138pt;width:11.25pt;height:9.4pt;mso-position-horizontal-relative:page;mso-position-vertical-relative:paragraph;z-index:14680" filled="false" stroked="true" strokeweight=".75pt" strokecolor="#000000">
            <w10:wrap type="none"/>
          </v:rect>
        </w:pict>
      </w:r>
      <w:r>
        <w:rPr/>
        <w:pict>
          <v:rect style="position:absolute;margin-left:106.300003pt;margin-top:17.473139pt;width:11.25pt;height:9.4pt;mso-position-horizontal-relative:page;mso-position-vertical-relative:paragraph;z-index:14704" filled="false" stroked="true" strokeweight=".75pt" strokecolor="#000000">
            <w10:wrap type="none"/>
          </v:rect>
        </w:pict>
      </w:r>
      <w:r>
        <w:rPr/>
        <w:pict>
          <v:rect style="position:absolute;margin-left:106.699997pt;margin-top:32.763138pt;width:11.25pt;height:9.4pt;mso-position-horizontal-relative:page;mso-position-vertical-relative:paragraph;z-index:14728" filled="false" stroked="true" strokeweight=".75pt" strokecolor="#000000">
            <w10:wrap type="none"/>
          </v:rect>
        </w:pict>
      </w:r>
      <w:r>
        <w:rPr/>
        <w:pict>
          <v:rect style="position:absolute;margin-left:106.5pt;margin-top:47.813137pt;width:11.25pt;height:9.4pt;mso-position-horizontal-relative:page;mso-position-vertical-relative:paragraph;z-index:14752" filled="false" stroked="true" strokeweight=".75pt" strokecolor="#000000">
            <w10:wrap type="none"/>
          </v:rect>
        </w:pict>
      </w:r>
      <w:r>
        <w:rPr/>
        <w:t>Agropecuario Industrial Comercio</w:t>
      </w:r>
    </w:p>
    <w:p>
      <w:pPr>
        <w:pStyle w:val="BodyText"/>
        <w:spacing w:line="276" w:lineRule="auto" w:before="3"/>
        <w:ind w:left="810" w:right="5917"/>
      </w:pPr>
      <w:r>
        <w:rPr/>
        <w:pict>
          <v:shape style="position:absolute;margin-left:107.25pt;margin-top:16.243135pt;width:11.65pt;height:34.5pt;mso-position-horizontal-relative:page;mso-position-vertical-relative:paragraph;z-index:14776" coordorigin="2145,325" coordsize="233,690" path="m2149,513l2374,513,2374,325,2149,325,2149,513xm2145,774l2370,774,2370,586,2145,586,2145,774xm2153,1014l2378,1014,2378,826,2153,826,2153,1014xe" filled="false" stroked="true" strokeweight=".75pt" strokecolor="#000000">
            <v:path arrowok="t"/>
            <w10:wrap type="none"/>
          </v:shape>
        </w:pict>
      </w:r>
      <w:r>
        <w:rPr/>
        <w:pict>
          <v:rect style="position:absolute;margin-left:107.449997pt;margin-top:57.023136pt;width:11.25pt;height:9.4pt;mso-position-horizontal-relative:page;mso-position-vertical-relative:paragraph;z-index:14800" filled="false" stroked="true" strokeweight=".75pt" strokecolor="#000000">
            <w10:wrap type="none"/>
          </v:rect>
        </w:pict>
      </w:r>
      <w:r>
        <w:rPr/>
        <w:pict>
          <v:rect style="position:absolute;margin-left:107.25pt;margin-top:80.513138pt;width:11.25pt;height:9.4pt;mso-position-horizontal-relative:page;mso-position-vertical-relative:paragraph;z-index:14824" filled="false" stroked="true" strokeweight=".75pt" strokecolor="#000000">
            <w10:wrap type="none"/>
          </v:rect>
        </w:pict>
      </w:r>
      <w:r>
        <w:rPr/>
        <w:pict>
          <v:rect style="position:absolute;margin-left:107.050003pt;margin-top:96.213135pt;width:11.25pt;height:9.4pt;mso-position-horizontal-relative:page;mso-position-vertical-relative:paragraph;z-index:14848" filled="false" stroked="true" strokeweight=".75pt" strokecolor="#000000">
            <w10:wrap type="none"/>
          </v:rect>
        </w:pict>
      </w:r>
      <w:r>
        <w:rPr/>
        <w:t>Servicios educativos Servicios salud Servicios turismo Servicios transporte Servicios profesionales Servicios bancarios Servicios de gobierno</w:t>
      </w:r>
    </w:p>
    <w:p>
      <w:pPr>
        <w:pStyle w:val="BodyText"/>
        <w:spacing w:before="1"/>
        <w:ind w:left="810"/>
      </w:pPr>
      <w:r>
        <w:rPr/>
        <w:pict>
          <v:rect style="position:absolute;margin-left:107.449997pt;margin-top:1.05312pt;width:11.25pt;height:9.4pt;mso-position-horizontal-relative:page;mso-position-vertical-relative:paragraph;z-index:14872" filled="false" stroked="true" strokeweight=".75pt" strokecolor="#000000">
            <w10:wrap type="none"/>
          </v:rect>
        </w:pict>
      </w:r>
      <w:r>
        <w:rPr/>
        <w:t>Asociaciones o agrupaciones</w:t>
      </w:r>
    </w:p>
    <w:p>
      <w:pPr>
        <w:pStyle w:val="BodyText"/>
        <w:tabs>
          <w:tab w:pos="6063" w:val="left" w:leader="none"/>
        </w:tabs>
        <w:spacing w:before="43"/>
        <w:ind w:left="810"/>
      </w:pPr>
      <w:r>
        <w:rPr/>
        <w:pict>
          <v:rect style="position:absolute;margin-left:105.400002pt;margin-top:2.463128pt;width:11.25pt;height:9.4pt;mso-position-horizontal-relative:page;mso-position-vertical-relative:paragraph;z-index:14896" filled="false" stroked="true" strokeweight=".75pt" strokecolor="#000000">
            <w10:wrap type="none"/>
          </v:rect>
        </w:pict>
      </w:r>
      <w:r>
        <w:rPr/>
        <w:t>Otro,</w:t>
      </w:r>
      <w:r>
        <w:rPr>
          <w:spacing w:val="-4"/>
        </w:rPr>
        <w:t> </w:t>
      </w:r>
      <w:r>
        <w:rPr/>
        <w:t>especifique:</w:t>
      </w:r>
      <w:r>
        <w:rPr>
          <w:u w:val="single"/>
        </w:rPr>
        <w:t> </w:t>
        <w:tab/>
      </w:r>
    </w:p>
    <w:p>
      <w:pPr>
        <w:pStyle w:val="BodyText"/>
        <w:spacing w:before="1"/>
        <w:rPr>
          <w:sz w:val="25"/>
        </w:rPr>
      </w:pPr>
    </w:p>
    <w:p>
      <w:pPr>
        <w:pStyle w:val="ListParagraph"/>
        <w:numPr>
          <w:ilvl w:val="0"/>
          <w:numId w:val="83"/>
        </w:numPr>
        <w:tabs>
          <w:tab w:pos="522" w:val="left" w:leader="none"/>
        </w:tabs>
        <w:spacing w:line="240" w:lineRule="auto" w:before="69" w:after="0"/>
        <w:ind w:left="522" w:right="0" w:hanging="420"/>
        <w:jc w:val="left"/>
        <w:rPr>
          <w:sz w:val="24"/>
        </w:rPr>
      </w:pPr>
      <w:r>
        <w:rPr>
          <w:sz w:val="24"/>
        </w:rPr>
        <w:t>¿Cuántas personas laboran en el lugar de</w:t>
      </w:r>
      <w:r>
        <w:rPr>
          <w:spacing w:val="-9"/>
          <w:sz w:val="24"/>
        </w:rPr>
        <w:t> </w:t>
      </w:r>
      <w:r>
        <w:rPr>
          <w:sz w:val="24"/>
        </w:rPr>
        <w:t>trabajo?</w:t>
      </w:r>
    </w:p>
    <w:p>
      <w:pPr>
        <w:pStyle w:val="BodyText"/>
        <w:spacing w:before="3"/>
        <w:rPr>
          <w:sz w:val="31"/>
        </w:rPr>
      </w:pPr>
    </w:p>
    <w:p>
      <w:pPr>
        <w:pStyle w:val="BodyText"/>
        <w:ind w:left="881"/>
      </w:pPr>
      <w:r>
        <w:rPr/>
        <w:pict>
          <v:rect style="position:absolute;margin-left:104.400002pt;margin-top:4.773118pt;width:11.25pt;height:9.4pt;mso-position-horizontal-relative:page;mso-position-vertical-relative:paragraph;z-index:14920" filled="false" stroked="true" strokeweight=".75pt" strokecolor="#000000">
            <w10:wrap type="none"/>
          </v:rect>
        </w:pict>
      </w:r>
      <w:r>
        <w:rPr/>
        <w:t>1-9 personas</w:t>
      </w:r>
    </w:p>
    <w:p>
      <w:pPr>
        <w:pStyle w:val="BodyText"/>
        <w:spacing w:before="41"/>
        <w:ind w:left="881"/>
      </w:pPr>
      <w:r>
        <w:rPr/>
        <w:pict>
          <v:rect style="position:absolute;margin-left:104.5pt;margin-top:6.403122pt;width:11.25pt;height:9.4pt;mso-position-horizontal-relative:page;mso-position-vertical-relative:paragraph;z-index:14944" filled="false" stroked="true" strokeweight=".75pt" strokecolor="#000000">
            <w10:wrap type="none"/>
          </v:rect>
        </w:pict>
      </w:r>
      <w:r>
        <w:rPr/>
        <w:t>10-49 personas</w:t>
      </w:r>
    </w:p>
    <w:p>
      <w:pPr>
        <w:pStyle w:val="BodyText"/>
        <w:spacing w:before="41"/>
        <w:ind w:left="941"/>
      </w:pPr>
      <w:r>
        <w:rPr/>
        <w:pict>
          <v:rect style="position:absolute;margin-left:104.5pt;margin-top:5.883126pt;width:11.25pt;height:9.4pt;mso-position-horizontal-relative:page;mso-position-vertical-relative:paragraph;z-index:14968" filled="false" stroked="true" strokeweight=".75pt" strokecolor="#000000">
            <w10:wrap type="none"/>
          </v:rect>
        </w:pict>
      </w:r>
      <w:r>
        <w:rPr/>
        <w:t>50-99 personas</w:t>
      </w:r>
    </w:p>
    <w:p>
      <w:pPr>
        <w:pStyle w:val="BodyText"/>
        <w:spacing w:before="41"/>
        <w:ind w:left="941"/>
      </w:pPr>
      <w:r>
        <w:rPr/>
        <w:pict>
          <v:rect style="position:absolute;margin-left:104.5pt;margin-top:5.363122pt;width:11.25pt;height:9.4pt;mso-position-horizontal-relative:page;mso-position-vertical-relative:paragraph;z-index:14992" filled="false" stroked="true" strokeweight=".75pt" strokecolor="#000000">
            <w10:wrap type="none"/>
          </v:rect>
        </w:pict>
      </w:r>
      <w:r>
        <w:rPr/>
        <w:t>100-249 personas</w:t>
      </w:r>
    </w:p>
    <w:p>
      <w:pPr>
        <w:pStyle w:val="BodyText"/>
        <w:spacing w:line="278" w:lineRule="auto" w:before="41"/>
        <w:ind w:left="941" w:right="6092"/>
      </w:pPr>
      <w:r>
        <w:rPr/>
        <w:pict>
          <v:rect style="position:absolute;margin-left:104.599998pt;margin-top:4.943125pt;width:11.25pt;height:9.4pt;mso-position-horizontal-relative:page;mso-position-vertical-relative:paragraph;z-index:15016" filled="false" stroked="true" strokeweight=".75pt" strokecolor="#000000">
            <w10:wrap type="none"/>
          </v:rect>
        </w:pict>
      </w:r>
      <w:r>
        <w:rPr/>
        <w:pict>
          <v:rect style="position:absolute;margin-left:104.599998pt;margin-top:20.261126pt;width:11.25pt;height:9.4pt;mso-position-horizontal-relative:page;mso-position-vertical-relative:paragraph;z-index:15040" filled="false" stroked="true" strokeweight=".75pt" strokecolor="#000000">
            <w10:wrap type="none"/>
          </v:rect>
        </w:pict>
      </w:r>
      <w:r>
        <w:rPr/>
        <w:t>250 – 999 personas 1000 o más personas</w:t>
      </w:r>
    </w:p>
    <w:p>
      <w:pPr>
        <w:spacing w:after="0" w:line="278" w:lineRule="auto"/>
        <w:sectPr>
          <w:pgSz w:w="12240" w:h="15840"/>
          <w:pgMar w:header="0" w:footer="943" w:top="1500" w:bottom="1200" w:left="1600" w:right="1580"/>
        </w:sectPr>
      </w:pPr>
    </w:p>
    <w:p>
      <w:pPr>
        <w:pStyle w:val="ListParagraph"/>
        <w:numPr>
          <w:ilvl w:val="0"/>
          <w:numId w:val="83"/>
        </w:numPr>
        <w:tabs>
          <w:tab w:pos="525" w:val="left" w:leader="none"/>
        </w:tabs>
        <w:spacing w:line="240" w:lineRule="auto" w:before="50" w:after="0"/>
        <w:ind w:left="524" w:right="0" w:hanging="422"/>
        <w:jc w:val="left"/>
        <w:rPr>
          <w:sz w:val="24"/>
        </w:rPr>
      </w:pPr>
      <w:r>
        <w:rPr>
          <w:spacing w:val="-3"/>
          <w:sz w:val="24"/>
        </w:rPr>
        <w:t>La </w:t>
      </w:r>
      <w:r>
        <w:rPr>
          <w:sz w:val="24"/>
        </w:rPr>
        <w:t>condición en el trabajo</w:t>
      </w:r>
      <w:r>
        <w:rPr>
          <w:spacing w:val="1"/>
          <w:sz w:val="24"/>
        </w:rPr>
        <w:t> </w:t>
      </w:r>
      <w:r>
        <w:rPr>
          <w:sz w:val="24"/>
        </w:rPr>
        <w:t>es:</w:t>
      </w:r>
    </w:p>
    <w:p>
      <w:pPr>
        <w:pStyle w:val="BodyText"/>
        <w:spacing w:before="3"/>
        <w:rPr>
          <w:sz w:val="31"/>
        </w:rPr>
      </w:pPr>
    </w:p>
    <w:p>
      <w:pPr>
        <w:pStyle w:val="BodyText"/>
        <w:spacing w:line="276" w:lineRule="auto"/>
        <w:ind w:left="810" w:right="6410"/>
      </w:pPr>
      <w:r>
        <w:rPr/>
        <w:pict>
          <v:rect style="position:absolute;margin-left:105pt;margin-top:1.603147pt;width:11.25pt;height:9.4pt;mso-position-horizontal-relative:page;mso-position-vertical-relative:paragraph;z-index:15064" filled="false" stroked="true" strokeweight=".75pt" strokecolor="#000000">
            <w10:wrap type="none"/>
          </v:rect>
        </w:pict>
      </w:r>
      <w:r>
        <w:rPr/>
        <w:pict>
          <v:rect style="position:absolute;margin-left:104.800003pt;margin-top:18.453148pt;width:11.25pt;height:9.4pt;mso-position-horizontal-relative:page;mso-position-vertical-relative:paragraph;z-index:15088" filled="false" stroked="true" strokeweight=".75pt" strokecolor="#000000">
            <w10:wrap type="none"/>
          </v:rect>
        </w:pict>
      </w:r>
      <w:r>
        <w:rPr/>
        <w:pict>
          <v:rect style="position:absolute;margin-left:104.599998pt;margin-top:34.153149pt;width:11.25pt;height:9.4pt;mso-position-horizontal-relative:page;mso-position-vertical-relative:paragraph;z-index:15112" filled="false" stroked="true" strokeweight=".75pt" strokecolor="#000000">
            <w10:wrap type="none"/>
          </v:rect>
        </w:pict>
      </w:r>
      <w:r>
        <w:rPr/>
        <w:pict>
          <v:rect style="position:absolute;margin-left:105pt;margin-top:47.453148pt;width:11.25pt;height:9.4pt;mso-position-horizontal-relative:page;mso-position-vertical-relative:paragraph;z-index:15136" filled="false" stroked="true" strokeweight=".75pt" strokecolor="#000000">
            <w10:wrap type="none"/>
          </v:rect>
        </w:pict>
      </w:r>
      <w:r>
        <w:rPr/>
        <w:pict>
          <v:rect style="position:absolute;margin-left:104.800003pt;margin-top:61.853146pt;width:11.25pt;height:9.4pt;mso-position-horizontal-relative:page;mso-position-vertical-relative:paragraph;z-index:15160" filled="false" stroked="true" strokeweight=".75pt" strokecolor="#000000">
            <w10:wrap type="none"/>
          </v:rect>
        </w:pict>
      </w:r>
      <w:r>
        <w:rPr/>
        <w:t>Propietario Trabajador Independiente Empleado</w:t>
      </w:r>
    </w:p>
    <w:p>
      <w:pPr>
        <w:pStyle w:val="BodyText"/>
        <w:tabs>
          <w:tab w:pos="6543" w:val="left" w:leader="none"/>
        </w:tabs>
        <w:spacing w:before="1"/>
        <w:ind w:left="810"/>
      </w:pPr>
      <w:r>
        <w:rPr/>
        <w:t>Otro,</w:t>
      </w:r>
      <w:r>
        <w:rPr>
          <w:spacing w:val="-4"/>
        </w:rPr>
        <w:t> </w:t>
      </w:r>
      <w:r>
        <w:rPr/>
        <w:t>especifique:</w:t>
      </w:r>
      <w:r>
        <w:rPr>
          <w:u w:val="single"/>
        </w:rPr>
        <w:t> </w:t>
        <w:tab/>
      </w:r>
    </w:p>
    <w:p>
      <w:pPr>
        <w:pStyle w:val="BodyText"/>
        <w:rPr>
          <w:sz w:val="20"/>
        </w:rPr>
      </w:pPr>
    </w:p>
    <w:p>
      <w:pPr>
        <w:pStyle w:val="BodyText"/>
        <w:rPr>
          <w:sz w:val="20"/>
        </w:rPr>
      </w:pPr>
    </w:p>
    <w:p>
      <w:pPr>
        <w:pStyle w:val="BodyText"/>
        <w:rPr>
          <w:sz w:val="20"/>
        </w:rPr>
      </w:pPr>
    </w:p>
    <w:p>
      <w:pPr>
        <w:pStyle w:val="BodyText"/>
        <w:spacing w:before="4"/>
        <w:rPr>
          <w:sz w:val="20"/>
        </w:rPr>
      </w:pPr>
    </w:p>
    <w:p>
      <w:pPr>
        <w:pStyle w:val="ListParagraph"/>
        <w:numPr>
          <w:ilvl w:val="0"/>
          <w:numId w:val="83"/>
        </w:numPr>
        <w:tabs>
          <w:tab w:pos="522" w:val="left" w:leader="none"/>
        </w:tabs>
        <w:spacing w:line="240" w:lineRule="auto" w:before="69" w:after="0"/>
        <w:ind w:left="522" w:right="0" w:hanging="420"/>
        <w:jc w:val="left"/>
        <w:rPr>
          <w:sz w:val="24"/>
        </w:rPr>
      </w:pPr>
      <w:r>
        <w:rPr>
          <w:sz w:val="24"/>
        </w:rPr>
        <w:t>¿Qué puesto ocupa en el trabajo</w:t>
      </w:r>
      <w:r>
        <w:rPr>
          <w:spacing w:val="-9"/>
          <w:sz w:val="24"/>
        </w:rPr>
        <w:t> </w:t>
      </w:r>
      <w:r>
        <w:rPr>
          <w:sz w:val="24"/>
        </w:rPr>
        <w:t>actual?</w:t>
      </w:r>
    </w:p>
    <w:p>
      <w:pPr>
        <w:pStyle w:val="BodyText"/>
        <w:spacing w:before="1"/>
        <w:rPr>
          <w:sz w:val="31"/>
        </w:rPr>
      </w:pPr>
    </w:p>
    <w:p>
      <w:pPr>
        <w:pStyle w:val="BodyText"/>
        <w:spacing w:line="276" w:lineRule="auto"/>
        <w:ind w:left="810" w:right="5736"/>
      </w:pPr>
      <w:r>
        <w:rPr/>
        <w:pict>
          <v:rect style="position:absolute;margin-left:104.5pt;margin-top:1.713103pt;width:11.25pt;height:9.4pt;mso-position-horizontal-relative:page;mso-position-vertical-relative:paragraph;z-index:15184" filled="false" stroked="true" strokeweight=".75pt" strokecolor="#000000">
            <w10:wrap type="none"/>
          </v:rect>
        </w:pict>
      </w:r>
      <w:r>
        <w:rPr/>
        <w:pict>
          <v:rect style="position:absolute;margin-left:104.300003pt;margin-top:18.563103pt;width:11.25pt;height:9.4pt;mso-position-horizontal-relative:page;mso-position-vertical-relative:paragraph;z-index:15208" filled="false" stroked="true" strokeweight=".75pt" strokecolor="#000000">
            <w10:wrap type="none"/>
          </v:rect>
        </w:pict>
      </w:r>
      <w:r>
        <w:rPr/>
        <w:pict>
          <v:rect style="position:absolute;margin-left:104.099998pt;margin-top:34.263103pt;width:11.25pt;height:9.4pt;mso-position-horizontal-relative:page;mso-position-vertical-relative:paragraph;z-index:15232" filled="false" stroked="true" strokeweight=".75pt" strokecolor="#000000">
            <w10:wrap type="none"/>
          </v:rect>
        </w:pict>
      </w:r>
      <w:r>
        <w:rPr/>
        <w:pict>
          <v:rect style="position:absolute;margin-left:104.5pt;margin-top:47.563103pt;width:11.25pt;height:9.4pt;mso-position-horizontal-relative:page;mso-position-vertical-relative:paragraph;z-index:15256" filled="false" stroked="true" strokeweight=".75pt" strokecolor="#000000">
            <w10:wrap type="none"/>
          </v:rect>
        </w:pict>
      </w:r>
      <w:r>
        <w:rPr/>
        <w:t>Director o gerente general Dueño o socio Profesional</w:t>
      </w:r>
    </w:p>
    <w:p>
      <w:pPr>
        <w:pStyle w:val="BodyText"/>
        <w:spacing w:line="276" w:lineRule="auto" w:before="1"/>
        <w:ind w:left="810" w:right="5738"/>
      </w:pPr>
      <w:r>
        <w:rPr/>
        <w:pict>
          <v:rect style="position:absolute;margin-left:104.300003pt;margin-top:14.373119pt;width:11.25pt;height:9.4pt;mso-position-horizontal-relative:page;mso-position-vertical-relative:paragraph;z-index:15280" filled="false" stroked="true" strokeweight=".75pt" strokecolor="#000000">
            <w10:wrap type="none"/>
          </v:rect>
        </w:pict>
      </w:r>
      <w:r>
        <w:rPr/>
        <w:t>Gerente o director de área Subgerente</w:t>
      </w:r>
    </w:p>
    <w:p>
      <w:pPr>
        <w:pStyle w:val="BodyText"/>
        <w:spacing w:before="1"/>
        <w:ind w:left="810"/>
      </w:pPr>
      <w:r>
        <w:rPr/>
        <w:pict>
          <v:rect style="position:absolute;margin-left:104.099998pt;margin-top:2.143126pt;width:11.25pt;height:9.4pt;mso-position-horizontal-relative:page;mso-position-vertical-relative:paragraph;z-index:15304" filled="false" stroked="true" strokeweight=".75pt" strokecolor="#000000">
            <w10:wrap type="none"/>
          </v:rect>
        </w:pict>
      </w:r>
      <w:r>
        <w:rPr/>
        <w:t>Subdirector</w:t>
      </w:r>
    </w:p>
    <w:p>
      <w:pPr>
        <w:pStyle w:val="BodyText"/>
        <w:spacing w:line="276" w:lineRule="auto" w:before="43"/>
        <w:ind w:left="810" w:right="6137"/>
      </w:pPr>
      <w:r>
        <w:rPr/>
        <w:pict>
          <v:rect style="position:absolute;margin-left:104.550003pt;margin-top:3.903135pt;width:11.25pt;height:9.4pt;mso-position-horizontal-relative:page;mso-position-vertical-relative:paragraph;z-index:15328" filled="false" stroked="true" strokeweight=".75pt" strokecolor="#000000">
            <w10:wrap type="none"/>
          </v:rect>
        </w:pict>
      </w:r>
      <w:r>
        <w:rPr/>
        <w:pict>
          <v:rect style="position:absolute;margin-left:103.699997pt;margin-top:19.613134pt;width:11.25pt;height:9.4pt;mso-position-horizontal-relative:page;mso-position-vertical-relative:paragraph;z-index:15352" filled="false" stroked="true" strokeweight=".75pt" strokecolor="#000000">
            <w10:wrap type="none"/>
          </v:rect>
        </w:pict>
      </w:r>
      <w:r>
        <w:rPr/>
        <w:t>Jefe de Departamento Ejecutivo cuenta</w:t>
      </w:r>
    </w:p>
    <w:p>
      <w:pPr>
        <w:pStyle w:val="BodyText"/>
        <w:spacing w:line="276" w:lineRule="auto" w:before="1"/>
        <w:ind w:left="810" w:right="6777"/>
      </w:pPr>
      <w:r>
        <w:rPr/>
        <w:pict>
          <v:rect style="position:absolute;margin-left:104.099998pt;margin-top:1.103112pt;width:11.25pt;height:9.4pt;mso-position-horizontal-relative:page;mso-position-vertical-relative:paragraph;z-index:15376" filled="false" stroked="true" strokeweight=".75pt" strokecolor="#000000">
            <w10:wrap type="none"/>
          </v:rect>
        </w:pict>
      </w:r>
      <w:r>
        <w:rPr/>
        <w:pict>
          <v:rect style="position:absolute;margin-left:103.900002pt;margin-top:16.823112pt;width:11.25pt;height:9.4pt;mso-position-horizontal-relative:page;mso-position-vertical-relative:paragraph;z-index:15400" filled="false" stroked="true" strokeweight=".75pt" strokecolor="#000000">
            <w10:wrap type="none"/>
          </v:rect>
        </w:pict>
      </w:r>
      <w:r>
        <w:rPr/>
        <w:pict>
          <v:rect style="position:absolute;margin-left:104.599998pt;margin-top:30.793112pt;width:11.25pt;height:9.4pt;mso-position-horizontal-relative:page;mso-position-vertical-relative:paragraph;z-index:15592" filled="false" stroked="true" strokeweight=".75pt" strokecolor="#000000">
            <w10:wrap type="none"/>
          </v:rect>
        </w:pict>
      </w:r>
      <w:r>
        <w:rPr/>
        <w:pict>
          <v:rect style="position:absolute;margin-left:104.400002pt;margin-top:47.643112pt;width:11.25pt;height:9.4pt;mso-position-horizontal-relative:page;mso-position-vertical-relative:paragraph;z-index:15616" filled="false" stroked="true" strokeweight=".75pt" strokecolor="#000000">
            <w10:wrap type="none"/>
          </v:rect>
        </w:pict>
      </w:r>
      <w:r>
        <w:rPr/>
        <w:pict>
          <v:rect style="position:absolute;margin-left:104.199997pt;margin-top:63.343113pt;width:11.25pt;height:9.4pt;mso-position-horizontal-relative:page;mso-position-vertical-relative:paragraph;z-index:15640" filled="false" stroked="true" strokeweight=".75pt" strokecolor="#000000">
            <w10:wrap type="none"/>
          </v:rect>
        </w:pict>
      </w:r>
      <w:r>
        <w:rPr/>
        <w:t>Jefe de Oficina Supervisor Empleado Analista</w:t>
      </w:r>
    </w:p>
    <w:p>
      <w:pPr>
        <w:pStyle w:val="BodyText"/>
        <w:spacing w:line="276" w:lineRule="auto" w:before="1"/>
        <w:ind w:left="810" w:right="4444"/>
      </w:pPr>
      <w:r>
        <w:rPr/>
        <w:pict>
          <v:rect style="position:absolute;margin-left:104.599998pt;margin-top:13.143111pt;width:11.25pt;height:9.4pt;mso-position-horizontal-relative:page;mso-position-vertical-relative:paragraph;z-index:15664" filled="false" stroked="true" strokeweight=".75pt" strokecolor="#000000">
            <w10:wrap type="none"/>
          </v:rect>
        </w:pict>
      </w:r>
      <w:r>
        <w:rPr/>
        <w:pict>
          <v:rect style="position:absolute;margin-left:104.400002pt;margin-top:27.543112pt;width:11.25pt;height:9.4pt;mso-position-horizontal-relative:page;mso-position-vertical-relative:paragraph;z-index:15688" filled="false" stroked="true" strokeweight=".75pt" strokecolor="#000000">
            <w10:wrap type="none"/>
          </v:rect>
        </w:pict>
      </w:r>
      <w:r>
        <w:rPr/>
        <w:t>Vendedor en establecimientos/asistente Empleado no profesional</w:t>
      </w:r>
    </w:p>
    <w:p>
      <w:pPr>
        <w:pStyle w:val="BodyText"/>
        <w:tabs>
          <w:tab w:pos="6903" w:val="left" w:leader="none"/>
        </w:tabs>
        <w:spacing w:before="3"/>
        <w:ind w:left="810"/>
      </w:pPr>
      <w:r>
        <w:rPr/>
        <w:t>Otro,</w:t>
      </w:r>
      <w:r>
        <w:rPr>
          <w:spacing w:val="-4"/>
        </w:rPr>
        <w:t> </w:t>
      </w:r>
      <w:r>
        <w:rPr/>
        <w:t>especifique:</w:t>
      </w:r>
      <w:r>
        <w:rPr>
          <w:u w:val="single"/>
        </w:rPr>
        <w:t> </w:t>
        <w:tab/>
      </w:r>
    </w:p>
    <w:p>
      <w:pPr>
        <w:pStyle w:val="BodyText"/>
        <w:spacing w:before="1"/>
        <w:rPr>
          <w:sz w:val="25"/>
        </w:rPr>
      </w:pPr>
    </w:p>
    <w:p>
      <w:pPr>
        <w:pStyle w:val="ListParagraph"/>
        <w:numPr>
          <w:ilvl w:val="0"/>
          <w:numId w:val="83"/>
        </w:numPr>
        <w:tabs>
          <w:tab w:pos="522" w:val="left" w:leader="none"/>
        </w:tabs>
        <w:spacing w:line="240" w:lineRule="auto" w:before="69" w:after="0"/>
        <w:ind w:left="522" w:right="0" w:hanging="420"/>
        <w:jc w:val="left"/>
        <w:rPr>
          <w:sz w:val="24"/>
        </w:rPr>
      </w:pPr>
      <w:r>
        <w:rPr>
          <w:sz w:val="24"/>
        </w:rPr>
        <w:t>Tiene personal a su</w:t>
      </w:r>
      <w:r>
        <w:rPr>
          <w:spacing w:val="-3"/>
          <w:sz w:val="24"/>
        </w:rPr>
        <w:t> </w:t>
      </w:r>
      <w:r>
        <w:rPr>
          <w:sz w:val="24"/>
        </w:rPr>
        <w:t>cargo</w:t>
      </w:r>
    </w:p>
    <w:p>
      <w:pPr>
        <w:pStyle w:val="BodyText"/>
        <w:tabs>
          <w:tab w:pos="3780" w:val="left" w:leader="none"/>
        </w:tabs>
        <w:spacing w:before="41"/>
        <w:ind w:left="1001"/>
      </w:pPr>
      <w:r>
        <w:rPr/>
        <w:pict>
          <v:rect style="position:absolute;margin-left:108.5pt;margin-top:3.303119pt;width:11.25pt;height:9.4pt;mso-position-horizontal-relative:page;mso-position-vertical-relative:paragraph;z-index:15424" filled="false" stroked="true" strokeweight=".75pt" strokecolor="#000000">
            <w10:wrap type="none"/>
          </v:rect>
        </w:pict>
      </w:r>
      <w:r>
        <w:rPr/>
        <w:pict>
          <v:rect style="position:absolute;margin-left:255pt;margin-top:3.303119pt;width:11.25pt;height:9.4pt;mso-position-horizontal-relative:page;mso-position-vertical-relative:paragraph;z-index:-387208" filled="false" stroked="true" strokeweight=".75pt" strokecolor="#000000">
            <w10:wrap type="none"/>
          </v:rect>
        </w:pict>
      </w:r>
      <w:r>
        <w:rPr/>
        <w:t>Sí</w:t>
        <w:tab/>
        <w:t>No</w:t>
      </w:r>
    </w:p>
    <w:p>
      <w:pPr>
        <w:pStyle w:val="ListParagraph"/>
        <w:numPr>
          <w:ilvl w:val="0"/>
          <w:numId w:val="83"/>
        </w:numPr>
        <w:tabs>
          <w:tab w:pos="462" w:val="left" w:leader="none"/>
        </w:tabs>
        <w:spacing w:line="630" w:lineRule="atLeast" w:before="6" w:after="0"/>
        <w:ind w:left="810" w:right="4289" w:hanging="708"/>
        <w:jc w:val="left"/>
        <w:rPr>
          <w:sz w:val="24"/>
        </w:rPr>
      </w:pPr>
      <w:r>
        <w:rPr/>
        <w:pict>
          <v:rect style="position:absolute;margin-left:105.400002pt;margin-top:50.634304pt;width:11.25pt;height:9.4pt;mso-position-horizontal-relative:page;mso-position-vertical-relative:paragraph;z-index:-387184" filled="false" stroked="true" strokeweight=".75pt" strokecolor="#000000">
            <w10:wrap type="none"/>
          </v:rect>
        </w:pict>
      </w:r>
      <w:r>
        <w:rPr>
          <w:sz w:val="24"/>
        </w:rPr>
        <w:t>Número de personas que trabajan a su</w:t>
      </w:r>
      <w:r>
        <w:rPr>
          <w:spacing w:val="-10"/>
          <w:sz w:val="24"/>
        </w:rPr>
        <w:t> </w:t>
      </w:r>
      <w:r>
        <w:rPr>
          <w:sz w:val="24"/>
        </w:rPr>
        <w:t>cargo: 1 a</w:t>
      </w:r>
      <w:r>
        <w:rPr>
          <w:spacing w:val="-1"/>
          <w:sz w:val="24"/>
        </w:rPr>
        <w:t> </w:t>
      </w:r>
      <w:r>
        <w:rPr>
          <w:sz w:val="24"/>
        </w:rPr>
        <w:t>5</w:t>
      </w:r>
    </w:p>
    <w:p>
      <w:pPr>
        <w:pStyle w:val="BodyText"/>
        <w:spacing w:before="43"/>
        <w:ind w:left="810"/>
      </w:pPr>
      <w:r>
        <w:rPr/>
        <w:pict>
          <v:rect style="position:absolute;margin-left:104.900002pt;margin-top:4.023118pt;width:11.25pt;height:9.4pt;mso-position-horizontal-relative:page;mso-position-vertical-relative:paragraph;z-index:15496" filled="false" stroked="true" strokeweight=".75pt" strokecolor="#000000">
            <w10:wrap type="none"/>
          </v:rect>
        </w:pict>
      </w:r>
      <w:r>
        <w:rPr/>
        <w:t>6 a 10</w:t>
      </w:r>
    </w:p>
    <w:p>
      <w:pPr>
        <w:pStyle w:val="BodyText"/>
        <w:spacing w:before="41"/>
        <w:ind w:left="810"/>
      </w:pPr>
      <w:r>
        <w:rPr/>
        <w:pict>
          <v:rect style="position:absolute;margin-left:104.699997pt;margin-top:3.783122pt;width:11.25pt;height:9.4pt;mso-position-horizontal-relative:page;mso-position-vertical-relative:paragraph;z-index:15520" filled="false" stroked="true" strokeweight=".75pt" strokecolor="#000000">
            <w10:wrap type="none"/>
          </v:rect>
        </w:pict>
      </w:r>
      <w:r>
        <w:rPr/>
        <w:pict>
          <v:rect style="position:absolute;margin-left:105.099998pt;margin-top:17.083122pt;width:11.25pt;height:9.4pt;mso-position-horizontal-relative:page;mso-position-vertical-relative:paragraph;z-index:15544" filled="false" stroked="true" strokeweight=".75pt" strokecolor="#000000">
            <w10:wrap type="none"/>
          </v:rect>
        </w:pict>
      </w:r>
      <w:r>
        <w:rPr/>
        <w:t>11 a 20</w:t>
      </w:r>
    </w:p>
    <w:p>
      <w:pPr>
        <w:pStyle w:val="BodyText"/>
        <w:spacing w:before="41"/>
        <w:ind w:left="810"/>
      </w:pPr>
      <w:r>
        <w:rPr/>
        <w:pict>
          <v:rect style="position:absolute;margin-left:104.900002pt;margin-top:15.643126pt;width:11.25pt;height:9.4pt;mso-position-horizontal-relative:page;mso-position-vertical-relative:paragraph;z-index:15568" filled="false" stroked="true" strokeweight=".75pt" strokecolor="#000000">
            <w10:wrap type="none"/>
          </v:rect>
        </w:pict>
      </w:r>
      <w:r>
        <w:rPr/>
        <w:t>21 a 30</w:t>
      </w:r>
    </w:p>
    <w:p>
      <w:pPr>
        <w:pStyle w:val="BodyText"/>
        <w:spacing w:before="41"/>
        <w:ind w:left="810"/>
      </w:pPr>
      <w:r>
        <w:rPr/>
        <w:t>31 o más</w:t>
      </w:r>
    </w:p>
    <w:p>
      <w:pPr>
        <w:pStyle w:val="BodyText"/>
        <w:spacing w:before="3"/>
        <w:rPr>
          <w:sz w:val="31"/>
        </w:rPr>
      </w:pPr>
    </w:p>
    <w:p>
      <w:pPr>
        <w:pStyle w:val="ListParagraph"/>
        <w:numPr>
          <w:ilvl w:val="0"/>
          <w:numId w:val="83"/>
        </w:numPr>
        <w:tabs>
          <w:tab w:pos="462" w:val="left" w:leader="none"/>
        </w:tabs>
        <w:spacing w:line="240" w:lineRule="auto" w:before="0" w:after="0"/>
        <w:ind w:left="462" w:right="0" w:hanging="360"/>
        <w:jc w:val="left"/>
        <w:rPr>
          <w:sz w:val="24"/>
        </w:rPr>
      </w:pPr>
      <w:r>
        <w:rPr>
          <w:sz w:val="24"/>
        </w:rPr>
        <w:t>El número de trabajos que tiene</w:t>
      </w:r>
      <w:r>
        <w:rPr>
          <w:spacing w:val="-8"/>
          <w:sz w:val="24"/>
        </w:rPr>
        <w:t> </w:t>
      </w:r>
      <w:r>
        <w:rPr>
          <w:sz w:val="24"/>
        </w:rPr>
        <w:t>actualmente</w:t>
      </w:r>
    </w:p>
    <w:p>
      <w:pPr>
        <w:spacing w:after="0" w:line="240" w:lineRule="auto"/>
        <w:jc w:val="left"/>
        <w:rPr>
          <w:sz w:val="24"/>
        </w:rPr>
        <w:sectPr>
          <w:pgSz w:w="12240" w:h="15840"/>
          <w:pgMar w:header="0" w:footer="943" w:top="1360" w:bottom="1200" w:left="1600" w:right="1580"/>
        </w:sectPr>
      </w:pPr>
    </w:p>
    <w:p>
      <w:pPr>
        <w:pStyle w:val="BodyText"/>
        <w:spacing w:before="50"/>
        <w:ind w:left="810"/>
      </w:pPr>
      <w:r>
        <w:rPr/>
        <w:pict>
          <v:rect style="position:absolute;margin-left:101.699997pt;margin-top:3.463135pt;width:11.25pt;height:9.4pt;mso-position-horizontal-relative:page;mso-position-vertical-relative:paragraph;z-index:15712" filled="false" stroked="true" strokeweight=".75pt" strokecolor="#000000">
            <w10:wrap type="none"/>
          </v:rect>
        </w:pict>
      </w:r>
      <w:r>
        <w:rPr/>
        <w:t>1</w:t>
      </w:r>
    </w:p>
    <w:p>
      <w:pPr>
        <w:pStyle w:val="BodyText"/>
        <w:spacing w:before="43"/>
        <w:ind w:left="810"/>
      </w:pPr>
      <w:r>
        <w:rPr/>
        <w:pict>
          <v:rect style="position:absolute;margin-left:101.699997pt;margin-top:4.123113pt;width:11.25pt;height:9.4pt;mso-position-horizontal-relative:page;mso-position-vertical-relative:paragraph;z-index:15736" filled="false" stroked="true" strokeweight=".75pt" strokecolor="#000000">
            <w10:wrap type="none"/>
          </v:rect>
        </w:pict>
      </w:r>
      <w:r>
        <w:rPr/>
        <w:t>2</w:t>
      </w:r>
    </w:p>
    <w:p>
      <w:pPr>
        <w:pStyle w:val="BodyText"/>
        <w:spacing w:before="41"/>
        <w:ind w:left="810"/>
      </w:pPr>
      <w:r>
        <w:rPr/>
        <w:pict>
          <v:rect style="position:absolute;margin-left:101.699997pt;margin-top:5.153147pt;width:11.25pt;height:9.4pt;mso-position-horizontal-relative:page;mso-position-vertical-relative:paragraph;z-index:15760" filled="false" stroked="true" strokeweight=".75pt" strokecolor="#000000">
            <w10:wrap type="none"/>
          </v:rect>
        </w:pict>
      </w:r>
      <w:r>
        <w:rPr/>
        <w:t>3 o más</w:t>
      </w:r>
    </w:p>
    <w:p>
      <w:pPr>
        <w:pStyle w:val="BodyText"/>
        <w:spacing w:before="1"/>
        <w:rPr>
          <w:sz w:val="31"/>
        </w:rPr>
      </w:pPr>
    </w:p>
    <w:p>
      <w:pPr>
        <w:pStyle w:val="ListParagraph"/>
        <w:numPr>
          <w:ilvl w:val="0"/>
          <w:numId w:val="83"/>
        </w:numPr>
        <w:tabs>
          <w:tab w:pos="462" w:val="left" w:leader="none"/>
        </w:tabs>
        <w:spacing w:line="240" w:lineRule="auto" w:before="0" w:after="0"/>
        <w:ind w:left="462" w:right="0" w:hanging="360"/>
        <w:jc w:val="left"/>
        <w:rPr>
          <w:sz w:val="24"/>
        </w:rPr>
      </w:pPr>
      <w:r>
        <w:rPr>
          <w:sz w:val="24"/>
        </w:rPr>
        <w:t>¿A cuánto ascienden sus ingresos</w:t>
      </w:r>
      <w:r>
        <w:rPr>
          <w:spacing w:val="-8"/>
          <w:sz w:val="24"/>
        </w:rPr>
        <w:t> </w:t>
      </w:r>
      <w:r>
        <w:rPr>
          <w:sz w:val="24"/>
        </w:rPr>
        <w:t>mensuales?</w:t>
      </w:r>
    </w:p>
    <w:p>
      <w:pPr>
        <w:pStyle w:val="BodyText"/>
        <w:spacing w:before="3"/>
        <w:rPr>
          <w:sz w:val="31"/>
        </w:rPr>
      </w:pPr>
    </w:p>
    <w:p>
      <w:pPr>
        <w:pStyle w:val="BodyText"/>
        <w:ind w:left="1061"/>
      </w:pPr>
      <w:r>
        <w:rPr/>
        <w:pict>
          <v:rect style="position:absolute;margin-left:115.949997pt;margin-top:2.043105pt;width:11.25pt;height:9.4pt;mso-position-horizontal-relative:page;mso-position-vertical-relative:paragraph;z-index:15784" filled="false" stroked="true" strokeweight=".75pt" strokecolor="#000000">
            <w10:wrap type="none"/>
          </v:rect>
        </w:pict>
      </w:r>
      <w:r>
        <w:rPr/>
        <w:t>1 – 3000 pesos mensuales</w:t>
      </w:r>
    </w:p>
    <w:p>
      <w:pPr>
        <w:pStyle w:val="BodyText"/>
        <w:spacing w:before="41"/>
        <w:ind w:left="1061"/>
      </w:pPr>
      <w:r>
        <w:rPr/>
        <w:pict>
          <v:rect style="position:absolute;margin-left:115.949997pt;margin-top:3.17314pt;width:11.25pt;height:9.4pt;mso-position-horizontal-relative:page;mso-position-vertical-relative:paragraph;z-index:15808" filled="false" stroked="true" strokeweight=".75pt" strokecolor="#000000">
            <w10:wrap type="none"/>
          </v:rect>
        </w:pict>
      </w:r>
      <w:r>
        <w:rPr/>
        <w:t>3001 – 6000 pesos</w:t>
      </w:r>
      <w:r>
        <w:rPr>
          <w:spacing w:val="56"/>
        </w:rPr>
        <w:t> </w:t>
      </w:r>
      <w:r>
        <w:rPr/>
        <w:t>mensuales</w:t>
      </w:r>
    </w:p>
    <w:p>
      <w:pPr>
        <w:pStyle w:val="BodyText"/>
        <w:spacing w:before="41"/>
        <w:ind w:left="1121"/>
      </w:pPr>
      <w:r>
        <w:rPr/>
        <w:pict>
          <v:rect style="position:absolute;margin-left:115.849998pt;margin-top:2.203113pt;width:11.25pt;height:9.4pt;mso-position-horizontal-relative:page;mso-position-vertical-relative:paragraph;z-index:15832" filled="false" stroked="true" strokeweight=".75pt" strokecolor="#000000">
            <w10:wrap type="none"/>
          </v:rect>
        </w:pict>
      </w:r>
      <w:r>
        <w:rPr/>
        <w:t>6001 – 9000 pesos</w:t>
      </w:r>
      <w:r>
        <w:rPr>
          <w:spacing w:val="56"/>
        </w:rPr>
        <w:t> </w:t>
      </w:r>
      <w:r>
        <w:rPr/>
        <w:t>mensuales</w:t>
      </w:r>
    </w:p>
    <w:p>
      <w:pPr>
        <w:pStyle w:val="BodyText"/>
        <w:spacing w:line="276" w:lineRule="auto" w:before="43"/>
        <w:ind w:left="1121" w:right="4846"/>
      </w:pPr>
      <w:r>
        <w:rPr/>
        <w:pict>
          <v:rect style="position:absolute;margin-left:115.949997pt;margin-top:2.463152pt;width:11.25pt;height:9.4pt;mso-position-horizontal-relative:page;mso-position-vertical-relative:paragraph;z-index:15856" filled="false" stroked="true" strokeweight=".75pt" strokecolor="#000000">
            <w10:wrap type="none"/>
          </v:rect>
        </w:pict>
      </w:r>
      <w:r>
        <w:rPr/>
        <w:pict>
          <v:rect style="position:absolute;margin-left:115.949997pt;margin-top:19.183151pt;width:11.25pt;height:9.4pt;mso-position-horizontal-relative:page;mso-position-vertical-relative:paragraph;z-index:15880" filled="false" stroked="true" strokeweight=".75pt" strokecolor="#000000">
            <w10:wrap type="none"/>
          </v:rect>
        </w:pict>
      </w:r>
      <w:r>
        <w:rPr/>
        <w:t>9001 - 12000 pesos mensuales Más de  12000 pesos mensuales</w:t>
      </w:r>
    </w:p>
    <w:p>
      <w:pPr>
        <w:pStyle w:val="BodyText"/>
      </w:pPr>
    </w:p>
    <w:p>
      <w:pPr>
        <w:pStyle w:val="BodyText"/>
        <w:spacing w:before="5"/>
        <w:rPr>
          <w:sz w:val="31"/>
        </w:rPr>
      </w:pPr>
    </w:p>
    <w:p>
      <w:pPr>
        <w:pStyle w:val="ListParagraph"/>
        <w:numPr>
          <w:ilvl w:val="0"/>
          <w:numId w:val="83"/>
        </w:numPr>
        <w:tabs>
          <w:tab w:pos="462" w:val="left" w:leader="none"/>
        </w:tabs>
        <w:spacing w:line="240" w:lineRule="auto" w:before="0" w:after="0"/>
        <w:ind w:left="462" w:right="0" w:hanging="360"/>
        <w:jc w:val="left"/>
        <w:rPr>
          <w:sz w:val="24"/>
        </w:rPr>
      </w:pPr>
      <w:r>
        <w:rPr>
          <w:sz w:val="24"/>
        </w:rPr>
        <w:t>¿Está satisfecho con su</w:t>
      </w:r>
      <w:r>
        <w:rPr>
          <w:spacing w:val="-7"/>
          <w:sz w:val="24"/>
        </w:rPr>
        <w:t> </w:t>
      </w:r>
      <w:r>
        <w:rPr>
          <w:sz w:val="24"/>
        </w:rPr>
        <w:t>trabajo?</w:t>
      </w:r>
    </w:p>
    <w:p>
      <w:pPr>
        <w:pStyle w:val="BodyText"/>
        <w:spacing w:before="1"/>
        <w:rPr>
          <w:sz w:val="31"/>
        </w:rPr>
      </w:pPr>
    </w:p>
    <w:p>
      <w:pPr>
        <w:pStyle w:val="BodyText"/>
        <w:spacing w:line="276" w:lineRule="auto"/>
        <w:ind w:left="461" w:right="7053"/>
      </w:pPr>
      <w:r>
        <w:rPr/>
        <w:pict>
          <v:rect style="position:absolute;margin-left:86.800003pt;margin-top:1.333119pt;width:11.25pt;height:9.4pt;mso-position-horizontal-relative:page;mso-position-vertical-relative:paragraph;z-index:15904" filled="false" stroked="true" strokeweight=".75pt" strokecolor="#000000">
            <w10:wrap type="none"/>
          </v:rect>
        </w:pict>
      </w:r>
      <w:r>
        <w:rPr/>
        <w:pict>
          <v:rect style="position:absolute;margin-left:86.800003pt;margin-top:16.983118pt;width:11.25pt;height:9.4pt;mso-position-horizontal-relative:page;mso-position-vertical-relative:paragraph;z-index:15928" filled="false" stroked="true" strokeweight=".75pt" strokecolor="#000000">
            <w10:wrap type="none"/>
          </v:rect>
        </w:pict>
      </w:r>
      <w:r>
        <w:rPr/>
        <w:pict>
          <v:rect style="position:absolute;margin-left:86.800003pt;margin-top:32.633118pt;width:11.25pt;height:9.4pt;mso-position-horizontal-relative:page;mso-position-vertical-relative:paragraph;z-index:15952" filled="false" stroked="true" strokeweight=".75pt" strokecolor="#000000">
            <w10:wrap type="none"/>
          </v:rect>
        </w:pict>
      </w:r>
      <w:r>
        <w:rPr/>
        <w:pict>
          <v:rect style="position:absolute;margin-left:86.800003pt;margin-top:48.593121pt;width:11.25pt;height:9.4pt;mso-position-horizontal-relative:page;mso-position-vertical-relative:paragraph;z-index:15976" filled="false" stroked="true" strokeweight=".75pt" strokecolor="#000000">
            <w10:wrap type="none"/>
          </v:rect>
        </w:pict>
      </w:r>
      <w:r>
        <w:rPr/>
        <w:pict>
          <v:rect style="position:absolute;margin-left:86.800003pt;margin-top:64.243118pt;width:11.25pt;height:9.4pt;mso-position-horizontal-relative:page;mso-position-vertical-relative:paragraph;z-index:16000" filled="false" stroked="true" strokeweight=".75pt" strokecolor="#000000">
            <w10:wrap type="none"/>
          </v:rect>
        </w:pict>
      </w:r>
      <w:r>
        <w:rPr/>
        <w:t>Muy satisfecho Satisfecho Medianamente Poco satisfecho Nada satisfecho</w:t>
      </w:r>
    </w:p>
    <w:p>
      <w:pPr>
        <w:pStyle w:val="BodyText"/>
        <w:spacing w:before="7"/>
        <w:rPr>
          <w:sz w:val="27"/>
        </w:rPr>
      </w:pPr>
    </w:p>
    <w:p>
      <w:pPr>
        <w:pStyle w:val="ListParagraph"/>
        <w:numPr>
          <w:ilvl w:val="0"/>
          <w:numId w:val="83"/>
        </w:numPr>
        <w:tabs>
          <w:tab w:pos="462" w:val="left" w:leader="none"/>
        </w:tabs>
        <w:spacing w:line="278" w:lineRule="auto" w:before="0" w:after="0"/>
        <w:ind w:left="462" w:right="125" w:hanging="360"/>
        <w:jc w:val="left"/>
        <w:rPr>
          <w:sz w:val="24"/>
        </w:rPr>
      </w:pPr>
      <w:r>
        <w:rPr>
          <w:sz w:val="24"/>
        </w:rPr>
        <w:t>En Caso de que buscara otro empleo, indique el motivo (elija más de una opción si es necesario):</w:t>
      </w:r>
    </w:p>
    <w:p>
      <w:pPr>
        <w:pStyle w:val="BodyText"/>
        <w:spacing w:before="4"/>
        <w:rPr>
          <w:sz w:val="27"/>
        </w:rPr>
      </w:pPr>
    </w:p>
    <w:p>
      <w:pPr>
        <w:pStyle w:val="BodyText"/>
        <w:spacing w:line="276" w:lineRule="auto"/>
        <w:ind w:left="810" w:right="5410"/>
      </w:pPr>
      <w:r>
        <w:rPr/>
        <w:pict>
          <v:rect style="position:absolute;margin-left:102.599998pt;margin-top:.683112pt;width:11.25pt;height:9.4pt;mso-position-horizontal-relative:page;mso-position-vertical-relative:paragraph;z-index:16024" filled="false" stroked="true" strokeweight=".75pt" strokecolor="#000000">
            <w10:wrap type="none"/>
          </v:rect>
        </w:pict>
      </w:r>
      <w:r>
        <w:rPr/>
        <w:pict>
          <v:rect style="position:absolute;margin-left:102.599998pt;margin-top:16.333111pt;width:11.25pt;height:9.4pt;mso-position-horizontal-relative:page;mso-position-vertical-relative:paragraph;z-index:16048" filled="false" stroked="true" strokeweight=".75pt" strokecolor="#000000">
            <w10:wrap type="none"/>
          </v:rect>
        </w:pict>
      </w:r>
      <w:r>
        <w:rPr/>
        <w:pict>
          <v:shape style="position:absolute;margin-left:102.599998pt;margin-top:31.983112pt;width:11.25pt;height:21.4pt;mso-position-horizontal-relative:page;mso-position-vertical-relative:paragraph;z-index:16072" coordorigin="2052,640" coordsize="225,428" path="m2052,828l2277,828,2277,640,2052,640,2052,828xm2052,1068l2277,1068,2277,880,2052,880,2052,1068xe" filled="false" stroked="true" strokeweight=".75pt" strokecolor="#000000">
            <v:path arrowok="t"/>
            <w10:wrap type="none"/>
          </v:shape>
        </w:pict>
      </w:r>
      <w:r>
        <w:rPr/>
        <w:t>Como complemento al actual Insatisfacción con el salario</w:t>
      </w:r>
    </w:p>
    <w:p>
      <w:pPr>
        <w:pStyle w:val="BodyText"/>
        <w:spacing w:line="276" w:lineRule="auto" w:before="3"/>
        <w:ind w:left="810" w:right="3639"/>
      </w:pPr>
      <w:r>
        <w:rPr/>
        <w:pict>
          <v:rect style="position:absolute;margin-left:102.599998pt;margin-top:27.983124pt;width:11.25pt;height:9.4pt;mso-position-horizontal-relative:page;mso-position-vertical-relative:paragraph;z-index:16096" filled="false" stroked="true" strokeweight=".75pt" strokecolor="#000000">
            <w10:wrap type="none"/>
          </v:rect>
        </w:pict>
      </w:r>
      <w:r>
        <w:rPr/>
        <w:t>Insatisfacción con las funciones de su puesto Insatisfacción con el trato que recibe Perspectivas de perder el empleo actual</w:t>
      </w:r>
    </w:p>
    <w:p>
      <w:pPr>
        <w:pStyle w:val="BodyText"/>
        <w:spacing w:line="278" w:lineRule="auto" w:before="1"/>
        <w:ind w:left="810" w:right="3515"/>
      </w:pPr>
      <w:r>
        <w:rPr/>
        <w:pict>
          <v:rect style="position:absolute;margin-left:102.699997pt;margin-top:1.603119pt;width:11.25pt;height:9.4pt;mso-position-horizontal-relative:page;mso-position-vertical-relative:paragraph;z-index:16120" filled="false" stroked="true" strokeweight=".75pt" strokecolor="#000000">
            <w10:wrap type="none"/>
          </v:rect>
        </w:pict>
      </w:r>
      <w:r>
        <w:rPr/>
        <w:pict>
          <v:rect style="position:absolute;margin-left:102.699997pt;margin-top:18.57312pt;width:11.25pt;height:9.4pt;mso-position-horizontal-relative:page;mso-position-vertical-relative:paragraph;z-index:16144" filled="false" stroked="true" strokeweight=".75pt" strokecolor="#000000">
            <w10:wrap type="none"/>
          </v:rect>
        </w:pict>
      </w:r>
      <w:r>
        <w:rPr/>
        <w:pict>
          <v:rect style="position:absolute;margin-left:102.699997pt;margin-top:31.89312pt;width:11.25pt;height:9.4pt;mso-position-horizontal-relative:page;mso-position-vertical-relative:paragraph;z-index:16168" filled="false" stroked="true" strokeweight=".75pt" strokecolor="#000000">
            <w10:wrap type="none"/>
          </v:rect>
        </w:pict>
      </w:r>
      <w:r>
        <w:rPr/>
        <w:t>Pocas perspectivas de crecimiento profesional Falta de motivación</w:t>
      </w:r>
    </w:p>
    <w:p>
      <w:pPr>
        <w:pStyle w:val="BodyText"/>
        <w:spacing w:line="274" w:lineRule="exact"/>
        <w:ind w:left="810"/>
      </w:pPr>
      <w:r>
        <w:rPr/>
        <w:t>Necesidad de seguir formándose</w:t>
      </w:r>
    </w:p>
    <w:p>
      <w:pPr>
        <w:pStyle w:val="BodyText"/>
        <w:tabs>
          <w:tab w:pos="8283" w:val="left" w:leader="none"/>
        </w:tabs>
        <w:spacing w:before="41"/>
        <w:ind w:left="810"/>
      </w:pPr>
      <w:r>
        <w:rPr/>
        <w:pict>
          <v:rect style="position:absolute;margin-left:102.699997pt;margin-top:3.193121pt;width:11.25pt;height:9.4pt;mso-position-horizontal-relative:page;mso-position-vertical-relative:paragraph;z-index:16192" filled="false" stroked="true" strokeweight=".75pt" strokecolor="#000000">
            <w10:wrap type="none"/>
          </v:rect>
        </w:pict>
      </w:r>
      <w:r>
        <w:rPr/>
        <w:t>Otro,</w:t>
      </w:r>
      <w:r>
        <w:rPr>
          <w:spacing w:val="-4"/>
        </w:rPr>
        <w:t> </w:t>
      </w:r>
      <w:r>
        <w:rPr/>
        <w:t>especifique: </w:t>
      </w:r>
      <w:r>
        <w:rPr>
          <w:u w:val="single"/>
        </w:rPr>
        <w:t> </w:t>
        <w:tab/>
      </w:r>
    </w:p>
    <w:p>
      <w:pPr>
        <w:pStyle w:val="BodyText"/>
        <w:spacing w:before="3"/>
        <w:rPr>
          <w:sz w:val="25"/>
        </w:rPr>
      </w:pPr>
    </w:p>
    <w:p>
      <w:pPr>
        <w:pStyle w:val="ListParagraph"/>
        <w:numPr>
          <w:ilvl w:val="0"/>
          <w:numId w:val="83"/>
        </w:numPr>
        <w:tabs>
          <w:tab w:pos="462" w:val="left" w:leader="none"/>
        </w:tabs>
        <w:spacing w:line="240" w:lineRule="auto" w:before="69" w:after="0"/>
        <w:ind w:left="462" w:right="0" w:hanging="360"/>
        <w:jc w:val="left"/>
        <w:rPr>
          <w:sz w:val="24"/>
        </w:rPr>
      </w:pPr>
      <w:r>
        <w:rPr>
          <w:sz w:val="24"/>
        </w:rPr>
        <w:t>¿Considera que un Licenciado en Economía debe tener habilidades</w:t>
      </w:r>
      <w:r>
        <w:rPr>
          <w:spacing w:val="-17"/>
          <w:sz w:val="24"/>
        </w:rPr>
        <w:t> </w:t>
      </w:r>
      <w:r>
        <w:rPr>
          <w:sz w:val="24"/>
        </w:rPr>
        <w:t>especiales?</w:t>
      </w:r>
    </w:p>
    <w:p>
      <w:pPr>
        <w:pStyle w:val="BodyText"/>
        <w:spacing w:before="1"/>
        <w:rPr>
          <w:sz w:val="31"/>
        </w:rPr>
      </w:pPr>
    </w:p>
    <w:p>
      <w:pPr>
        <w:pStyle w:val="BodyText"/>
        <w:tabs>
          <w:tab w:pos="3780" w:val="left" w:leader="none"/>
        </w:tabs>
        <w:ind w:left="1001"/>
      </w:pPr>
      <w:r>
        <w:rPr/>
        <w:pict>
          <v:rect style="position:absolute;margin-left:108.5pt;margin-top:1.183126pt;width:11.25pt;height:9.4pt;mso-position-horizontal-relative:page;mso-position-vertical-relative:paragraph;z-index:16216" filled="false" stroked="true" strokeweight=".75pt" strokecolor="#000000">
            <w10:wrap type="none"/>
          </v:rect>
        </w:pict>
      </w:r>
      <w:r>
        <w:rPr/>
        <w:pict>
          <v:rect style="position:absolute;margin-left:255pt;margin-top:1.183126pt;width:11.25pt;height:9.4pt;mso-position-horizontal-relative:page;mso-position-vertical-relative:paragraph;z-index:-386416" filled="false" stroked="true" strokeweight=".75pt" strokecolor="#000000">
            <w10:wrap type="none"/>
          </v:rect>
        </w:pict>
      </w:r>
      <w:r>
        <w:rPr/>
        <w:t>Sí</w:t>
        <w:tab/>
        <w:t>No</w:t>
      </w:r>
    </w:p>
    <w:p>
      <w:pPr>
        <w:pStyle w:val="BodyText"/>
      </w:pPr>
    </w:p>
    <w:p>
      <w:pPr>
        <w:pStyle w:val="BodyText"/>
        <w:spacing w:before="9"/>
        <w:rPr>
          <w:sz w:val="34"/>
        </w:rPr>
      </w:pPr>
    </w:p>
    <w:p>
      <w:pPr>
        <w:pStyle w:val="ListParagraph"/>
        <w:numPr>
          <w:ilvl w:val="0"/>
          <w:numId w:val="83"/>
        </w:numPr>
        <w:tabs>
          <w:tab w:pos="462" w:val="left" w:leader="none"/>
        </w:tabs>
        <w:spacing w:line="276" w:lineRule="auto" w:before="1" w:after="0"/>
        <w:ind w:left="462" w:right="120" w:hanging="360"/>
        <w:jc w:val="left"/>
        <w:rPr>
          <w:sz w:val="24"/>
        </w:rPr>
      </w:pPr>
      <w:r>
        <w:rPr>
          <w:sz w:val="24"/>
        </w:rPr>
        <w:t>De las siguientes habilidades indique cuáles si y cuáles no considera esenciales para que un Licenciado en Economía tenga éxito en su</w:t>
      </w:r>
      <w:r>
        <w:rPr>
          <w:spacing w:val="-11"/>
          <w:sz w:val="24"/>
        </w:rPr>
        <w:t> </w:t>
      </w:r>
      <w:r>
        <w:rPr>
          <w:sz w:val="24"/>
        </w:rPr>
        <w:t>profesión</w:t>
      </w:r>
    </w:p>
    <w:p>
      <w:pPr>
        <w:spacing w:after="0" w:line="276" w:lineRule="auto"/>
        <w:jc w:val="left"/>
        <w:rPr>
          <w:sz w:val="24"/>
        </w:rPr>
        <w:sectPr>
          <w:pgSz w:w="12240" w:h="15840"/>
          <w:pgMar w:header="0" w:footer="943" w:top="1360" w:bottom="1200" w:left="1600" w:right="1580"/>
        </w:sectPr>
      </w:pPr>
    </w:p>
    <w:p>
      <w:pPr>
        <w:pStyle w:val="BodyText"/>
        <w:spacing w:before="5"/>
        <w:rPr>
          <w:sz w:val="20"/>
        </w:rPr>
      </w:pPr>
      <w:r>
        <w:rPr/>
        <w:pict>
          <v:rect style="position:absolute;margin-left:86.800003pt;margin-top:739.140991pt;width:11.25pt;height:9.4pt;mso-position-horizontal-relative:page;mso-position-vertical-relative:page;z-index:16336" filled="false" stroked="true" strokeweight=".75pt" strokecolor="#000000">
            <w10:wrap type="none"/>
          </v:rect>
        </w:pict>
      </w:r>
    </w:p>
    <w:tbl>
      <w:tblPr>
        <w:tblW w:w="0" w:type="auto"/>
        <w:jc w:val="left"/>
        <w:tblInd w:w="1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33"/>
        <w:gridCol w:w="926"/>
        <w:gridCol w:w="901"/>
      </w:tblGrid>
      <w:tr>
        <w:trPr>
          <w:trHeight w:val="526" w:hRule="exact"/>
        </w:trPr>
        <w:tc>
          <w:tcPr>
            <w:tcW w:w="4933" w:type="dxa"/>
            <w:shd w:val="clear" w:color="auto" w:fill="C0C0C0"/>
          </w:tcPr>
          <w:p>
            <w:pPr/>
          </w:p>
        </w:tc>
        <w:tc>
          <w:tcPr>
            <w:tcW w:w="926" w:type="dxa"/>
            <w:shd w:val="clear" w:color="auto" w:fill="C0C0C0"/>
          </w:tcPr>
          <w:p>
            <w:pPr>
              <w:pStyle w:val="TableParagraph"/>
              <w:spacing w:line="270" w:lineRule="exact"/>
              <w:ind w:left="103"/>
              <w:rPr>
                <w:sz w:val="24"/>
              </w:rPr>
            </w:pPr>
            <w:r>
              <w:rPr>
                <w:sz w:val="24"/>
              </w:rPr>
              <w:t>1. SI</w:t>
            </w:r>
          </w:p>
        </w:tc>
        <w:tc>
          <w:tcPr>
            <w:tcW w:w="901" w:type="dxa"/>
            <w:shd w:val="clear" w:color="auto" w:fill="C0C0C0"/>
          </w:tcPr>
          <w:p>
            <w:pPr>
              <w:pStyle w:val="TableParagraph"/>
              <w:spacing w:line="270" w:lineRule="exact"/>
              <w:ind w:left="103"/>
              <w:rPr>
                <w:sz w:val="24"/>
              </w:rPr>
            </w:pPr>
            <w:r>
              <w:rPr>
                <w:sz w:val="24"/>
              </w:rPr>
              <w:t>2. NO</w:t>
            </w:r>
          </w:p>
        </w:tc>
      </w:tr>
      <w:tr>
        <w:trPr>
          <w:trHeight w:val="528" w:hRule="exact"/>
        </w:trPr>
        <w:tc>
          <w:tcPr>
            <w:tcW w:w="4933" w:type="dxa"/>
          </w:tcPr>
          <w:p>
            <w:pPr>
              <w:pStyle w:val="TableParagraph"/>
              <w:spacing w:line="273" w:lineRule="exact"/>
              <w:ind w:left="103"/>
              <w:rPr>
                <w:sz w:val="24"/>
              </w:rPr>
            </w:pPr>
            <w:r>
              <w:rPr>
                <w:sz w:val="24"/>
              </w:rPr>
              <w:t>Perseverancia</w:t>
            </w:r>
          </w:p>
        </w:tc>
        <w:tc>
          <w:tcPr>
            <w:tcW w:w="926" w:type="dxa"/>
          </w:tcPr>
          <w:p>
            <w:pPr/>
          </w:p>
        </w:tc>
        <w:tc>
          <w:tcPr>
            <w:tcW w:w="901" w:type="dxa"/>
          </w:tcPr>
          <w:p>
            <w:pPr/>
          </w:p>
        </w:tc>
      </w:tr>
      <w:tr>
        <w:trPr>
          <w:trHeight w:val="528" w:hRule="exact"/>
        </w:trPr>
        <w:tc>
          <w:tcPr>
            <w:tcW w:w="4933" w:type="dxa"/>
          </w:tcPr>
          <w:p>
            <w:pPr>
              <w:pStyle w:val="TableParagraph"/>
              <w:spacing w:line="270" w:lineRule="exact"/>
              <w:ind w:left="103"/>
              <w:rPr>
                <w:sz w:val="24"/>
              </w:rPr>
            </w:pPr>
            <w:r>
              <w:rPr>
                <w:sz w:val="24"/>
              </w:rPr>
              <w:t>Ambición</w:t>
            </w:r>
          </w:p>
        </w:tc>
        <w:tc>
          <w:tcPr>
            <w:tcW w:w="926" w:type="dxa"/>
          </w:tcPr>
          <w:p>
            <w:pPr/>
          </w:p>
        </w:tc>
        <w:tc>
          <w:tcPr>
            <w:tcW w:w="901" w:type="dxa"/>
          </w:tcPr>
          <w:p>
            <w:pPr/>
          </w:p>
        </w:tc>
      </w:tr>
      <w:tr>
        <w:trPr>
          <w:trHeight w:val="528" w:hRule="exact"/>
        </w:trPr>
        <w:tc>
          <w:tcPr>
            <w:tcW w:w="4933" w:type="dxa"/>
          </w:tcPr>
          <w:p>
            <w:pPr>
              <w:pStyle w:val="TableParagraph"/>
              <w:spacing w:line="270" w:lineRule="exact"/>
              <w:ind w:left="103"/>
              <w:rPr>
                <w:sz w:val="24"/>
              </w:rPr>
            </w:pPr>
            <w:r>
              <w:rPr>
                <w:sz w:val="24"/>
              </w:rPr>
              <w:t>Marcado carácter vocacional</w:t>
            </w:r>
          </w:p>
        </w:tc>
        <w:tc>
          <w:tcPr>
            <w:tcW w:w="926" w:type="dxa"/>
          </w:tcPr>
          <w:p>
            <w:pPr/>
          </w:p>
        </w:tc>
        <w:tc>
          <w:tcPr>
            <w:tcW w:w="901" w:type="dxa"/>
          </w:tcPr>
          <w:p>
            <w:pPr/>
          </w:p>
        </w:tc>
      </w:tr>
      <w:tr>
        <w:trPr>
          <w:trHeight w:val="526" w:hRule="exact"/>
        </w:trPr>
        <w:tc>
          <w:tcPr>
            <w:tcW w:w="4933" w:type="dxa"/>
          </w:tcPr>
          <w:p>
            <w:pPr>
              <w:pStyle w:val="TableParagraph"/>
              <w:spacing w:line="270" w:lineRule="exact"/>
              <w:ind w:left="103"/>
              <w:rPr>
                <w:sz w:val="24"/>
              </w:rPr>
            </w:pPr>
            <w:r>
              <w:rPr>
                <w:sz w:val="24"/>
              </w:rPr>
              <w:t>Confianza en si mismo</w:t>
            </w:r>
          </w:p>
        </w:tc>
        <w:tc>
          <w:tcPr>
            <w:tcW w:w="926" w:type="dxa"/>
          </w:tcPr>
          <w:p>
            <w:pPr/>
          </w:p>
        </w:tc>
        <w:tc>
          <w:tcPr>
            <w:tcW w:w="901" w:type="dxa"/>
          </w:tcPr>
          <w:p>
            <w:pPr/>
          </w:p>
        </w:tc>
      </w:tr>
      <w:tr>
        <w:trPr>
          <w:trHeight w:val="528" w:hRule="exact"/>
        </w:trPr>
        <w:tc>
          <w:tcPr>
            <w:tcW w:w="4933" w:type="dxa"/>
          </w:tcPr>
          <w:p>
            <w:pPr>
              <w:pStyle w:val="TableParagraph"/>
              <w:spacing w:line="273" w:lineRule="exact"/>
              <w:ind w:left="103"/>
              <w:rPr>
                <w:sz w:val="24"/>
              </w:rPr>
            </w:pPr>
            <w:r>
              <w:rPr>
                <w:sz w:val="24"/>
              </w:rPr>
              <w:t>Capacidad autodidacta</w:t>
            </w:r>
          </w:p>
        </w:tc>
        <w:tc>
          <w:tcPr>
            <w:tcW w:w="926" w:type="dxa"/>
          </w:tcPr>
          <w:p>
            <w:pPr/>
          </w:p>
        </w:tc>
        <w:tc>
          <w:tcPr>
            <w:tcW w:w="901" w:type="dxa"/>
          </w:tcPr>
          <w:p>
            <w:pPr/>
          </w:p>
        </w:tc>
      </w:tr>
      <w:tr>
        <w:trPr>
          <w:trHeight w:val="529" w:hRule="exact"/>
        </w:trPr>
        <w:tc>
          <w:tcPr>
            <w:tcW w:w="4933" w:type="dxa"/>
          </w:tcPr>
          <w:p>
            <w:pPr>
              <w:pStyle w:val="TableParagraph"/>
              <w:spacing w:line="271" w:lineRule="exact"/>
              <w:ind w:left="103"/>
              <w:rPr>
                <w:sz w:val="24"/>
              </w:rPr>
            </w:pPr>
            <w:r>
              <w:rPr>
                <w:sz w:val="24"/>
              </w:rPr>
              <w:t>Formación académica</w:t>
            </w:r>
          </w:p>
        </w:tc>
        <w:tc>
          <w:tcPr>
            <w:tcW w:w="926" w:type="dxa"/>
          </w:tcPr>
          <w:p>
            <w:pPr/>
          </w:p>
        </w:tc>
        <w:tc>
          <w:tcPr>
            <w:tcW w:w="901" w:type="dxa"/>
          </w:tcPr>
          <w:p>
            <w:pPr/>
          </w:p>
        </w:tc>
      </w:tr>
      <w:tr>
        <w:trPr>
          <w:trHeight w:val="528" w:hRule="exact"/>
        </w:trPr>
        <w:tc>
          <w:tcPr>
            <w:tcW w:w="4933" w:type="dxa"/>
          </w:tcPr>
          <w:p>
            <w:pPr>
              <w:pStyle w:val="TableParagraph"/>
              <w:spacing w:line="270" w:lineRule="exact"/>
              <w:ind w:left="103"/>
              <w:rPr>
                <w:sz w:val="24"/>
              </w:rPr>
            </w:pPr>
            <w:r>
              <w:rPr>
                <w:sz w:val="24"/>
              </w:rPr>
              <w:t>Formación continua</w:t>
            </w:r>
          </w:p>
        </w:tc>
        <w:tc>
          <w:tcPr>
            <w:tcW w:w="926" w:type="dxa"/>
          </w:tcPr>
          <w:p>
            <w:pPr/>
          </w:p>
        </w:tc>
        <w:tc>
          <w:tcPr>
            <w:tcW w:w="901" w:type="dxa"/>
          </w:tcPr>
          <w:p>
            <w:pPr/>
          </w:p>
        </w:tc>
      </w:tr>
      <w:tr>
        <w:trPr>
          <w:trHeight w:val="526" w:hRule="exact"/>
        </w:trPr>
        <w:tc>
          <w:tcPr>
            <w:tcW w:w="4933" w:type="dxa"/>
          </w:tcPr>
          <w:p>
            <w:pPr>
              <w:pStyle w:val="TableParagraph"/>
              <w:spacing w:line="270" w:lineRule="exact"/>
              <w:ind w:left="103"/>
              <w:rPr>
                <w:sz w:val="24"/>
              </w:rPr>
            </w:pPr>
            <w:r>
              <w:rPr>
                <w:sz w:val="24"/>
              </w:rPr>
              <w:t>Labor investigadora</w:t>
            </w:r>
          </w:p>
        </w:tc>
        <w:tc>
          <w:tcPr>
            <w:tcW w:w="926" w:type="dxa"/>
          </w:tcPr>
          <w:p>
            <w:pPr/>
          </w:p>
        </w:tc>
        <w:tc>
          <w:tcPr>
            <w:tcW w:w="901" w:type="dxa"/>
          </w:tcPr>
          <w:p>
            <w:pPr/>
          </w:p>
        </w:tc>
      </w:tr>
      <w:tr>
        <w:trPr>
          <w:trHeight w:val="528" w:hRule="exact"/>
        </w:trPr>
        <w:tc>
          <w:tcPr>
            <w:tcW w:w="4933" w:type="dxa"/>
          </w:tcPr>
          <w:p>
            <w:pPr>
              <w:pStyle w:val="TableParagraph"/>
              <w:spacing w:line="270" w:lineRule="exact"/>
              <w:ind w:left="103"/>
              <w:rPr>
                <w:sz w:val="24"/>
              </w:rPr>
            </w:pPr>
            <w:r>
              <w:rPr>
                <w:sz w:val="24"/>
              </w:rPr>
              <w:t>Capacidad de trabajo en equipo</w:t>
            </w:r>
          </w:p>
        </w:tc>
        <w:tc>
          <w:tcPr>
            <w:tcW w:w="926" w:type="dxa"/>
          </w:tcPr>
          <w:p>
            <w:pPr/>
          </w:p>
        </w:tc>
        <w:tc>
          <w:tcPr>
            <w:tcW w:w="901" w:type="dxa"/>
          </w:tcPr>
          <w:p>
            <w:pPr/>
          </w:p>
        </w:tc>
      </w:tr>
      <w:tr>
        <w:trPr>
          <w:trHeight w:val="528" w:hRule="exact"/>
        </w:trPr>
        <w:tc>
          <w:tcPr>
            <w:tcW w:w="4933" w:type="dxa"/>
          </w:tcPr>
          <w:p>
            <w:pPr>
              <w:pStyle w:val="TableParagraph"/>
              <w:spacing w:line="270" w:lineRule="exact"/>
              <w:ind w:left="103"/>
              <w:rPr>
                <w:sz w:val="24"/>
              </w:rPr>
            </w:pPr>
            <w:r>
              <w:rPr>
                <w:sz w:val="24"/>
              </w:rPr>
              <w:t>Capacidad de trabajo individual</w:t>
            </w:r>
          </w:p>
        </w:tc>
        <w:tc>
          <w:tcPr>
            <w:tcW w:w="926" w:type="dxa"/>
          </w:tcPr>
          <w:p>
            <w:pPr/>
          </w:p>
        </w:tc>
        <w:tc>
          <w:tcPr>
            <w:tcW w:w="901" w:type="dxa"/>
          </w:tcPr>
          <w:p>
            <w:pPr/>
          </w:p>
        </w:tc>
      </w:tr>
      <w:tr>
        <w:trPr>
          <w:trHeight w:val="528" w:hRule="exact"/>
        </w:trPr>
        <w:tc>
          <w:tcPr>
            <w:tcW w:w="4933" w:type="dxa"/>
          </w:tcPr>
          <w:p>
            <w:pPr>
              <w:pStyle w:val="TableParagraph"/>
              <w:spacing w:line="270" w:lineRule="exact"/>
              <w:ind w:left="103"/>
              <w:rPr>
                <w:sz w:val="24"/>
              </w:rPr>
            </w:pPr>
            <w:r>
              <w:rPr>
                <w:sz w:val="24"/>
              </w:rPr>
              <w:t>Capacidad de comunicación</w:t>
            </w:r>
          </w:p>
        </w:tc>
        <w:tc>
          <w:tcPr>
            <w:tcW w:w="926" w:type="dxa"/>
          </w:tcPr>
          <w:p>
            <w:pPr/>
          </w:p>
        </w:tc>
        <w:tc>
          <w:tcPr>
            <w:tcW w:w="901" w:type="dxa"/>
          </w:tcPr>
          <w:p>
            <w:pPr/>
          </w:p>
        </w:tc>
      </w:tr>
      <w:tr>
        <w:trPr>
          <w:trHeight w:val="526" w:hRule="exact"/>
        </w:trPr>
        <w:tc>
          <w:tcPr>
            <w:tcW w:w="4933" w:type="dxa"/>
          </w:tcPr>
          <w:p>
            <w:pPr>
              <w:pStyle w:val="TableParagraph"/>
              <w:spacing w:line="270" w:lineRule="exact"/>
              <w:ind w:left="163"/>
              <w:rPr>
                <w:sz w:val="24"/>
              </w:rPr>
            </w:pPr>
            <w:r>
              <w:rPr>
                <w:sz w:val="24"/>
              </w:rPr>
              <w:t>Capacidad de adaptación</w:t>
            </w:r>
          </w:p>
        </w:tc>
        <w:tc>
          <w:tcPr>
            <w:tcW w:w="926" w:type="dxa"/>
          </w:tcPr>
          <w:p>
            <w:pPr/>
          </w:p>
        </w:tc>
        <w:tc>
          <w:tcPr>
            <w:tcW w:w="901" w:type="dxa"/>
          </w:tcPr>
          <w:p>
            <w:pPr/>
          </w:p>
        </w:tc>
      </w:tr>
      <w:tr>
        <w:trPr>
          <w:trHeight w:val="528" w:hRule="exact"/>
        </w:trPr>
        <w:tc>
          <w:tcPr>
            <w:tcW w:w="4933" w:type="dxa"/>
          </w:tcPr>
          <w:p>
            <w:pPr>
              <w:pStyle w:val="TableParagraph"/>
              <w:tabs>
                <w:tab w:pos="4624" w:val="left" w:leader="none"/>
              </w:tabs>
              <w:spacing w:line="270" w:lineRule="exact"/>
              <w:ind w:left="103"/>
              <w:rPr>
                <w:sz w:val="24"/>
              </w:rPr>
            </w:pPr>
            <w:r>
              <w:rPr>
                <w:sz w:val="24"/>
              </w:rPr>
              <w:t>Otra,</w:t>
            </w:r>
            <w:r>
              <w:rPr>
                <w:spacing w:val="-5"/>
                <w:sz w:val="24"/>
              </w:rPr>
              <w:t> </w:t>
            </w:r>
            <w:r>
              <w:rPr>
                <w:sz w:val="24"/>
              </w:rPr>
              <w:t>especifique:</w:t>
            </w:r>
            <w:r>
              <w:rPr>
                <w:sz w:val="24"/>
                <w:u w:val="single"/>
              </w:rPr>
              <w:t> </w:t>
              <w:tab/>
            </w:r>
          </w:p>
        </w:tc>
        <w:tc>
          <w:tcPr>
            <w:tcW w:w="926" w:type="dxa"/>
          </w:tcPr>
          <w:p>
            <w:pPr/>
          </w:p>
        </w:tc>
        <w:tc>
          <w:tcPr>
            <w:tcW w:w="901" w:type="dxa"/>
          </w:tcPr>
          <w:p>
            <w:pPr/>
          </w:p>
        </w:tc>
      </w:tr>
    </w:tbl>
    <w:p>
      <w:pPr>
        <w:pStyle w:val="BodyText"/>
        <w:rPr>
          <w:sz w:val="20"/>
        </w:rPr>
      </w:pPr>
    </w:p>
    <w:p>
      <w:pPr>
        <w:pStyle w:val="BodyText"/>
        <w:spacing w:before="9"/>
        <w:rPr>
          <w:sz w:val="28"/>
        </w:rPr>
      </w:pPr>
    </w:p>
    <w:p>
      <w:pPr>
        <w:pStyle w:val="ListParagraph"/>
        <w:numPr>
          <w:ilvl w:val="0"/>
          <w:numId w:val="83"/>
        </w:numPr>
        <w:tabs>
          <w:tab w:pos="462" w:val="left" w:leader="none"/>
        </w:tabs>
        <w:spacing w:line="240" w:lineRule="auto" w:before="69" w:after="0"/>
        <w:ind w:left="462" w:right="0" w:hanging="360"/>
        <w:jc w:val="left"/>
        <w:rPr>
          <w:sz w:val="24"/>
        </w:rPr>
      </w:pPr>
      <w:r>
        <w:rPr>
          <w:sz w:val="24"/>
        </w:rPr>
        <w:t>¿Cuán útil ha sido su formación profesional para el</w:t>
      </w:r>
      <w:r>
        <w:rPr>
          <w:spacing w:val="-12"/>
          <w:sz w:val="24"/>
        </w:rPr>
        <w:t> </w:t>
      </w:r>
      <w:r>
        <w:rPr>
          <w:sz w:val="24"/>
        </w:rPr>
        <w:t>trabajo?</w:t>
      </w:r>
    </w:p>
    <w:p>
      <w:pPr>
        <w:pStyle w:val="BodyText"/>
        <w:spacing w:before="1"/>
        <w:rPr>
          <w:sz w:val="31"/>
        </w:rPr>
      </w:pPr>
    </w:p>
    <w:p>
      <w:pPr>
        <w:pStyle w:val="BodyText"/>
        <w:spacing w:line="276" w:lineRule="auto"/>
        <w:ind w:left="461" w:right="7745"/>
      </w:pPr>
      <w:r>
        <w:rPr/>
        <w:pict>
          <v:rect style="position:absolute;margin-left:86.800003pt;margin-top:1.873138pt;width:11.25pt;height:9.4pt;mso-position-horizontal-relative:page;mso-position-vertical-relative:paragraph;z-index:16360" filled="false" stroked="true" strokeweight=".75pt" strokecolor="#000000">
            <w10:wrap type="none"/>
          </v:rect>
        </w:pict>
      </w:r>
      <w:r>
        <w:rPr/>
        <w:pict>
          <v:rect style="position:absolute;margin-left:86.800003pt;margin-top:17.523138pt;width:11.25pt;height:9.4pt;mso-position-horizontal-relative:page;mso-position-vertical-relative:paragraph;z-index:16384" filled="false" stroked="true" strokeweight=".75pt" strokecolor="#000000">
            <w10:wrap type="none"/>
          </v:rect>
        </w:pict>
      </w:r>
      <w:r>
        <w:rPr/>
        <w:t>Muy útil Útil</w:t>
      </w:r>
    </w:p>
    <w:p>
      <w:pPr>
        <w:pStyle w:val="BodyText"/>
        <w:spacing w:line="276" w:lineRule="auto" w:before="3"/>
        <w:ind w:left="461" w:right="6772"/>
      </w:pPr>
      <w:r>
        <w:rPr/>
        <w:pict>
          <v:rect style="position:absolute;margin-left:86.800003pt;margin-top:1.52312pt;width:11.25pt;height:9.4pt;mso-position-horizontal-relative:page;mso-position-vertical-relative:paragraph;z-index:16408" filled="false" stroked="true" strokeweight=".75pt" strokecolor="#000000">
            <w10:wrap type="none"/>
          </v:rect>
        </w:pict>
      </w:r>
      <w:r>
        <w:rPr/>
        <w:pict>
          <v:shape style="position:absolute;margin-left:86.800003pt;margin-top:18.783119pt;width:11.25pt;height:19.8pt;mso-position-horizontal-relative:page;mso-position-vertical-relative:paragraph;z-index:16432" coordorigin="1736,376" coordsize="225,396" path="m1736,564l1961,564,1961,376,1736,376,1736,564xm1736,771l1961,771,1961,583,1736,583,1736,771xe" filled="false" stroked="true" strokeweight=".75pt" strokecolor="#000000">
            <v:path arrowok="t"/>
            <w10:wrap type="none"/>
          </v:shape>
        </w:pict>
      </w:r>
      <w:r>
        <w:rPr/>
        <w:t>Medianamente útil Poco útil</w:t>
      </w:r>
    </w:p>
    <w:p>
      <w:pPr>
        <w:pStyle w:val="BodyText"/>
        <w:spacing w:before="1"/>
        <w:ind w:left="461"/>
      </w:pPr>
      <w:r>
        <w:rPr/>
        <w:t>Nada útil</w:t>
      </w:r>
    </w:p>
    <w:p>
      <w:pPr>
        <w:pStyle w:val="BodyText"/>
      </w:pPr>
    </w:p>
    <w:p>
      <w:pPr>
        <w:pStyle w:val="BodyText"/>
        <w:spacing w:before="9"/>
        <w:rPr>
          <w:sz w:val="34"/>
        </w:rPr>
      </w:pPr>
    </w:p>
    <w:p>
      <w:pPr>
        <w:pStyle w:val="ListParagraph"/>
        <w:numPr>
          <w:ilvl w:val="0"/>
          <w:numId w:val="83"/>
        </w:numPr>
        <w:tabs>
          <w:tab w:pos="462" w:val="left" w:leader="none"/>
        </w:tabs>
        <w:spacing w:line="276" w:lineRule="auto" w:before="1" w:after="0"/>
        <w:ind w:left="462" w:right="125" w:hanging="360"/>
        <w:jc w:val="left"/>
        <w:rPr>
          <w:sz w:val="24"/>
        </w:rPr>
      </w:pPr>
      <w:r>
        <w:rPr>
          <w:sz w:val="24"/>
        </w:rPr>
        <w:t>Contestar sólo si se encuentra desempleado actualmente ¿Cuál considera que ha provocado su situación de</w:t>
      </w:r>
      <w:r>
        <w:rPr>
          <w:spacing w:val="-9"/>
          <w:sz w:val="24"/>
        </w:rPr>
        <w:t> </w:t>
      </w:r>
      <w:r>
        <w:rPr>
          <w:sz w:val="24"/>
        </w:rPr>
        <w:t>desempleo?</w:t>
      </w:r>
    </w:p>
    <w:p>
      <w:pPr>
        <w:pStyle w:val="BodyText"/>
        <w:spacing w:before="9"/>
        <w:rPr>
          <w:sz w:val="27"/>
        </w:rPr>
      </w:pPr>
    </w:p>
    <w:p>
      <w:pPr>
        <w:pStyle w:val="BodyText"/>
        <w:spacing w:line="276" w:lineRule="auto" w:after="21"/>
        <w:ind w:left="461" w:right="4600"/>
      </w:pPr>
      <w:r>
        <w:rPr/>
        <w:pict>
          <v:rect style="position:absolute;margin-left:86.800003pt;margin-top:1.773122pt;width:11.25pt;height:9.4pt;mso-position-horizontal-relative:page;mso-position-vertical-relative:paragraph;z-index:16288" filled="false" stroked="true" strokeweight=".75pt" strokecolor="#000000">
            <w10:wrap type="none"/>
          </v:rect>
        </w:pict>
      </w:r>
      <w:r>
        <w:rPr/>
        <w:pict>
          <v:rect style="position:absolute;margin-left:86.800003pt;margin-top:17.424122pt;width:11.25pt;height:9.4pt;mso-position-horizontal-relative:page;mso-position-vertical-relative:paragraph;z-index:16312" filled="false" stroked="true" strokeweight=".75pt" strokecolor="#000000">
            <w10:wrap type="none"/>
          </v:rect>
        </w:pict>
      </w:r>
      <w:r>
        <w:rPr/>
        <w:t>El poco interés en la búsqueda de empleo Dificultades familiares</w:t>
      </w:r>
    </w:p>
    <w:p>
      <w:pPr>
        <w:pStyle w:val="BodyText"/>
        <w:spacing w:line="203" w:lineRule="exact"/>
        <w:ind w:left="128"/>
        <w:rPr>
          <w:sz w:val="20"/>
        </w:rPr>
      </w:pPr>
      <w:r>
        <w:rPr>
          <w:position w:val="-3"/>
          <w:sz w:val="20"/>
        </w:rPr>
        <w:pict>
          <v:group style="width:12pt;height:10.15pt;mso-position-horizontal-relative:char;mso-position-vertical-relative:line" coordorigin="0,0" coordsize="240,203">
            <v:rect style="position:absolute;left:8;top:8;width:225;height:188" filled="false" stroked="true" strokeweight=".75pt" strokecolor="#000000"/>
          </v:group>
        </w:pict>
      </w:r>
      <w:r>
        <w:rPr>
          <w:position w:val="-3"/>
          <w:sz w:val="20"/>
        </w:rPr>
      </w:r>
    </w:p>
    <w:p>
      <w:pPr>
        <w:spacing w:after="0" w:line="203" w:lineRule="exact"/>
        <w:rPr>
          <w:sz w:val="20"/>
        </w:rPr>
        <w:sectPr>
          <w:pgSz w:w="12240" w:h="15840"/>
          <w:pgMar w:header="0" w:footer="943" w:top="1500" w:bottom="1200" w:left="1600" w:right="1580"/>
        </w:sectPr>
      </w:pPr>
    </w:p>
    <w:p>
      <w:pPr>
        <w:pStyle w:val="BodyText"/>
        <w:spacing w:line="278" w:lineRule="auto" w:before="50"/>
        <w:ind w:left="461" w:right="6246"/>
      </w:pPr>
      <w:r>
        <w:rPr/>
        <w:pict>
          <v:rect style="position:absolute;margin-left:86.800003pt;margin-top:21.283134pt;width:11.25pt;height:9.4pt;mso-position-horizontal-relative:page;mso-position-vertical-relative:paragraph;z-index:16576" filled="false" stroked="true" strokeweight=".75pt" strokecolor="#000000">
            <w10:wrap type="none"/>
          </v:rect>
        </w:pict>
      </w:r>
      <w:r>
        <w:rPr/>
        <w:t>Problemas de residencia Aún me estoy formando</w:t>
      </w:r>
    </w:p>
    <w:p>
      <w:pPr>
        <w:pStyle w:val="BodyText"/>
        <w:spacing w:line="274" w:lineRule="exact"/>
        <w:ind w:left="461"/>
      </w:pPr>
      <w:r>
        <w:rPr/>
        <w:t>Que los empleos que me ofrecían no cumplen mis expectativas</w:t>
      </w:r>
    </w:p>
    <w:p>
      <w:pPr>
        <w:pStyle w:val="BodyText"/>
        <w:spacing w:line="276" w:lineRule="auto" w:before="41"/>
        <w:ind w:left="461" w:right="339"/>
      </w:pPr>
      <w:r>
        <w:rPr/>
        <w:pict>
          <v:rect style="position:absolute;margin-left:87.75pt;margin-top:3.93312pt;width:11.25pt;height:9.4pt;mso-position-horizontal-relative:page;mso-position-vertical-relative:paragraph;z-index:16840" filled="false" stroked="true" strokeweight=".75pt" strokecolor="#000000">
            <w10:wrap type="none"/>
          </v:rect>
        </w:pict>
      </w:r>
      <w:r>
        <w:rPr/>
        <w:pict>
          <v:rect style="position:absolute;margin-left:87pt;margin-top:33.863121pt;width:11.25pt;height:9.4pt;mso-position-horizontal-relative:page;mso-position-vertical-relative:paragraph;z-index:16864" filled="false" stroked="true" strokeweight=".75pt" strokecolor="#000000">
            <w10:wrap type="none"/>
          </v:rect>
        </w:pict>
      </w:r>
      <w:r>
        <w:rPr/>
        <w:t>La falta de formación adicional imprescindible para los puestos de trabajo que se ofertan</w:t>
      </w:r>
    </w:p>
    <w:p>
      <w:pPr>
        <w:pStyle w:val="BodyText"/>
        <w:spacing w:before="3"/>
        <w:ind w:left="461"/>
      </w:pPr>
      <w:r>
        <w:rPr/>
        <w:t>Que mi titulación no es adecuada para los trabajos que le ofrecen</w:t>
      </w:r>
    </w:p>
    <w:p>
      <w:pPr>
        <w:pStyle w:val="BodyText"/>
      </w:pPr>
    </w:p>
    <w:p>
      <w:pPr>
        <w:pStyle w:val="BodyText"/>
        <w:rPr>
          <w:sz w:val="35"/>
        </w:rPr>
      </w:pPr>
    </w:p>
    <w:p>
      <w:pPr>
        <w:pStyle w:val="Heading4"/>
        <w:numPr>
          <w:ilvl w:val="0"/>
          <w:numId w:val="82"/>
        </w:numPr>
        <w:tabs>
          <w:tab w:pos="743" w:val="left" w:leader="none"/>
        </w:tabs>
        <w:spacing w:line="240" w:lineRule="auto" w:before="0" w:after="0"/>
        <w:ind w:left="742" w:right="0" w:hanging="280"/>
        <w:jc w:val="left"/>
        <w:rPr>
          <w:i/>
        </w:rPr>
      </w:pPr>
      <w:r>
        <w:rPr>
          <w:i/>
        </w:rPr>
        <w:t>Relaciones sociales</w:t>
      </w:r>
      <w:r>
        <w:rPr>
          <w:i/>
          <w:spacing w:val="-6"/>
        </w:rPr>
        <w:t> </w:t>
      </w:r>
      <w:r>
        <w:rPr>
          <w:i/>
        </w:rPr>
        <w:t>(redes)</w:t>
      </w:r>
    </w:p>
    <w:p>
      <w:pPr>
        <w:pStyle w:val="BodyText"/>
        <w:spacing w:before="10"/>
        <w:rPr>
          <w:b/>
          <w:i/>
          <w:sz w:val="30"/>
        </w:rPr>
      </w:pPr>
    </w:p>
    <w:p>
      <w:pPr>
        <w:pStyle w:val="ListParagraph"/>
        <w:numPr>
          <w:ilvl w:val="0"/>
          <w:numId w:val="83"/>
        </w:numPr>
        <w:tabs>
          <w:tab w:pos="462" w:val="left" w:leader="none"/>
        </w:tabs>
        <w:spacing w:line="240" w:lineRule="auto" w:before="0" w:after="0"/>
        <w:ind w:left="462" w:right="0" w:hanging="360"/>
        <w:jc w:val="left"/>
        <w:rPr>
          <w:sz w:val="24"/>
        </w:rPr>
      </w:pPr>
      <w:r>
        <w:rPr>
          <w:sz w:val="24"/>
        </w:rPr>
        <w:t>¿Quién de los siguientes familiares es Licenciado en</w:t>
      </w:r>
      <w:r>
        <w:rPr>
          <w:spacing w:val="-12"/>
          <w:sz w:val="24"/>
        </w:rPr>
        <w:t> </w:t>
      </w:r>
      <w:r>
        <w:rPr>
          <w:sz w:val="24"/>
        </w:rPr>
        <w:t>Economía…?</w:t>
      </w:r>
    </w:p>
    <w:p>
      <w:pPr>
        <w:pStyle w:val="BodyText"/>
        <w:spacing w:before="1"/>
        <w:rPr>
          <w:sz w:val="31"/>
        </w:rPr>
      </w:pPr>
    </w:p>
    <w:p>
      <w:pPr>
        <w:pStyle w:val="BodyText"/>
        <w:spacing w:line="278" w:lineRule="auto"/>
        <w:ind w:left="810" w:right="7603"/>
      </w:pPr>
      <w:r>
        <w:rPr/>
        <w:pict>
          <v:rect style="position:absolute;margin-left:100.599998pt;margin-top:1.813103pt;width:11.25pt;height:9.4pt;mso-position-horizontal-relative:page;mso-position-vertical-relative:paragraph;z-index:16600" filled="false" stroked="true" strokeweight=".75pt" strokecolor="#000000">
            <w10:wrap type="none"/>
          </v:rect>
        </w:pict>
      </w:r>
      <w:r>
        <w:rPr/>
        <w:pict>
          <v:rect style="position:absolute;margin-left:100.699997pt;margin-top:17.683104pt;width:11.25pt;height:9.4pt;mso-position-horizontal-relative:page;mso-position-vertical-relative:paragraph;z-index:16624" filled="false" stroked="true" strokeweight=".75pt" strokecolor="#000000">
            <w10:wrap type="none"/>
          </v:rect>
        </w:pict>
      </w:r>
      <w:r>
        <w:rPr/>
        <w:t>Padre Madre</w:t>
      </w:r>
    </w:p>
    <w:p>
      <w:pPr>
        <w:pStyle w:val="BodyText"/>
        <w:spacing w:line="276" w:lineRule="auto"/>
        <w:ind w:left="810" w:right="6697"/>
        <w:jc w:val="both"/>
      </w:pPr>
      <w:r>
        <w:rPr/>
        <w:pict>
          <v:shape style="position:absolute;margin-left:100.699997pt;margin-top:.903115pt;width:11.35pt;height:22.25pt;mso-position-horizontal-relative:page;mso-position-vertical-relative:paragraph;z-index:16648" coordorigin="2014,18" coordsize="227,445" path="m2014,206l2239,206,2239,18,2014,18,2014,206xm2016,463l2241,463,2241,275,2016,275,2016,463xe" filled="false" stroked="true" strokeweight=".75pt" strokecolor="#000000">
            <v:path arrowok="t"/>
            <w10:wrap type="none"/>
          </v:shape>
        </w:pict>
      </w:r>
      <w:r>
        <w:rPr/>
        <w:pict>
          <v:rect style="position:absolute;margin-left:101.449997pt;margin-top:29.623116pt;width:11.25pt;height:9.4pt;mso-position-horizontal-relative:page;mso-position-vertical-relative:paragraph;z-index:16672" filled="false" stroked="true" strokeweight=".75pt" strokecolor="#000000">
            <w10:wrap type="none"/>
          </v:rect>
        </w:pict>
      </w:r>
      <w:r>
        <w:rPr/>
        <w:pict>
          <v:rect style="position:absolute;margin-left:101.550003pt;margin-top:45.493114pt;width:11.25pt;height:9.4pt;mso-position-horizontal-relative:page;mso-position-vertical-relative:paragraph;z-index:16696" filled="false" stroked="true" strokeweight=".75pt" strokecolor="#000000">
            <w10:wrap type="none"/>
          </v:rect>
        </w:pict>
      </w:r>
      <w:r>
        <w:rPr/>
        <w:pict>
          <v:rect style="position:absolute;margin-left:101.550003pt;margin-top:63.533115pt;width:11.25pt;height:9.4pt;mso-position-horizontal-relative:page;mso-position-vertical-relative:paragraph;z-index:16720" filled="false" stroked="true" strokeweight=".75pt" strokecolor="#000000">
            <w10:wrap type="none"/>
          </v:rect>
        </w:pict>
      </w:r>
      <w:r>
        <w:rPr/>
        <w:t>Abuelo paterno Abuela paterna Abuelo materno Abuela materna</w:t>
      </w:r>
    </w:p>
    <w:p>
      <w:pPr>
        <w:pStyle w:val="BodyText"/>
        <w:spacing w:line="276" w:lineRule="auto" w:before="3"/>
        <w:ind w:left="810" w:right="6009"/>
        <w:jc w:val="both"/>
      </w:pPr>
      <w:r>
        <w:rPr/>
        <w:pict>
          <v:rect style="position:absolute;margin-left:102.5pt;margin-top:48.503136pt;width:11.25pt;height:9.4pt;mso-position-horizontal-relative:page;mso-position-vertical-relative:paragraph;z-index:16744" filled="false" stroked="true" strokeweight=".75pt" strokecolor="#000000">
            <w10:wrap type="none"/>
          </v:rect>
        </w:pict>
      </w:r>
      <w:r>
        <w:rPr/>
        <w:pict>
          <v:rect style="position:absolute;margin-left:101.75pt;margin-top:31.933134pt;width:11.25pt;height:9.4pt;mso-position-horizontal-relative:page;mso-position-vertical-relative:paragraph;z-index:16768" filled="false" stroked="true" strokeweight=".75pt" strokecolor="#000000">
            <w10:wrap type="none"/>
          </v:rect>
        </w:pict>
      </w:r>
      <w:r>
        <w:rPr/>
        <w:pict>
          <v:rect style="position:absolute;margin-left:101.849998pt;margin-top:16.263134pt;width:11.25pt;height:9.4pt;mso-position-horizontal-relative:page;mso-position-vertical-relative:paragraph;z-index:16792" filled="false" stroked="true" strokeweight=".75pt" strokecolor="#000000">
            <w10:wrap type="none"/>
          </v:rect>
        </w:pict>
      </w:r>
      <w:r>
        <w:rPr/>
        <w:pict>
          <v:rect style="position:absolute;margin-left:102.599998pt;margin-top:65.223137pt;width:11.25pt;height:9.4pt;mso-position-horizontal-relative:page;mso-position-vertical-relative:paragraph;z-index:16816" filled="false" stroked="true" strokeweight=".75pt" strokecolor="#000000">
            <w10:wrap type="none"/>
          </v:rect>
        </w:pict>
      </w:r>
      <w:r>
        <w:rPr/>
        <w:t>Tío, hermano de padre Tía, hermano de padre Tío, hermano de madre Tía, hermana de madre Ninguno</w:t>
      </w:r>
    </w:p>
    <w:p>
      <w:pPr>
        <w:pStyle w:val="BodyText"/>
        <w:spacing w:before="7"/>
        <w:rPr>
          <w:sz w:val="27"/>
        </w:rPr>
      </w:pPr>
    </w:p>
    <w:p>
      <w:pPr>
        <w:pStyle w:val="ListParagraph"/>
        <w:numPr>
          <w:ilvl w:val="0"/>
          <w:numId w:val="83"/>
        </w:numPr>
        <w:tabs>
          <w:tab w:pos="462" w:val="left" w:leader="none"/>
        </w:tabs>
        <w:spacing w:line="240" w:lineRule="auto" w:before="0" w:after="0"/>
        <w:ind w:left="462" w:right="0" w:hanging="360"/>
        <w:jc w:val="left"/>
        <w:rPr>
          <w:sz w:val="24"/>
        </w:rPr>
      </w:pPr>
      <w:r>
        <w:rPr>
          <w:sz w:val="24"/>
        </w:rPr>
        <w:t>¿Tiene hermanos (as) que estudiaron en la Facultad de</w:t>
      </w:r>
      <w:r>
        <w:rPr>
          <w:spacing w:val="-12"/>
          <w:sz w:val="24"/>
        </w:rPr>
        <w:t> </w:t>
      </w:r>
      <w:r>
        <w:rPr>
          <w:sz w:val="24"/>
        </w:rPr>
        <w:t>Economía?</w:t>
      </w:r>
    </w:p>
    <w:p>
      <w:pPr>
        <w:pStyle w:val="BodyText"/>
        <w:spacing w:before="3"/>
        <w:rPr>
          <w:sz w:val="31"/>
        </w:rPr>
      </w:pPr>
    </w:p>
    <w:p>
      <w:pPr>
        <w:pStyle w:val="BodyText"/>
        <w:tabs>
          <w:tab w:pos="2078" w:val="left" w:leader="none"/>
          <w:tab w:pos="4631" w:val="left" w:leader="none"/>
          <w:tab w:pos="8809" w:val="left" w:leader="none"/>
        </w:tabs>
        <w:spacing w:line="276" w:lineRule="auto"/>
        <w:ind w:left="1518" w:right="248"/>
      </w:pPr>
      <w:r>
        <w:rPr/>
        <w:pict>
          <v:rect style="position:absolute;margin-left:136.449997pt;margin-top:1.363124pt;width:11.25pt;height:9.4pt;mso-position-horizontal-relative:page;mso-position-vertical-relative:paragraph;z-index:16456" filled="false" stroked="true" strokeweight=".75pt" strokecolor="#000000">
            <w10:wrap type="none"/>
          </v:rect>
        </w:pict>
      </w:r>
      <w:r>
        <w:rPr/>
        <w:pict>
          <v:rect style="position:absolute;margin-left:136.449997pt;margin-top:19.083124pt;width:11.25pt;height:9.4pt;mso-position-horizontal-relative:page;mso-position-vertical-relative:paragraph;z-index:16480" filled="false" stroked="true" strokeweight=".75pt" strokecolor="#000000">
            <w10:wrap type="none"/>
          </v:rect>
        </w:pict>
      </w:r>
      <w:r>
        <w:rPr/>
        <w:t>Si,</w:t>
        <w:tab/>
        <w:t>¿Cuántos?</w:t>
      </w:r>
      <w:r>
        <w:rPr>
          <w:u w:val="single"/>
        </w:rPr>
        <w:t> </w:t>
        <w:tab/>
      </w:r>
      <w:r>
        <w:rPr/>
        <w:t>Indique</w:t>
      </w:r>
      <w:r>
        <w:rPr>
          <w:spacing w:val="-5"/>
        </w:rPr>
        <w:t> </w:t>
      </w:r>
      <w:r>
        <w:rPr/>
        <w:t>la</w:t>
      </w:r>
      <w:r>
        <w:rPr>
          <w:spacing w:val="-4"/>
        </w:rPr>
        <w:t> </w:t>
      </w:r>
      <w:r>
        <w:rPr/>
        <w:t>generación</w:t>
      </w:r>
      <w:r>
        <w:rPr>
          <w:u w:val="single"/>
        </w:rPr>
        <w:t> </w:t>
        <w:tab/>
      </w:r>
      <w:r>
        <w:rPr/>
        <w:t> No</w:t>
      </w:r>
    </w:p>
    <w:p>
      <w:pPr>
        <w:pStyle w:val="BodyText"/>
        <w:spacing w:before="7"/>
        <w:rPr>
          <w:sz w:val="27"/>
        </w:rPr>
      </w:pPr>
    </w:p>
    <w:p>
      <w:pPr>
        <w:pStyle w:val="BodyText"/>
        <w:spacing w:line="278" w:lineRule="auto"/>
        <w:ind w:left="461" w:right="123"/>
      </w:pPr>
      <w:r>
        <w:rPr/>
        <w:t>Sí su respuesta en la pregunta 71 fue “no”, por favor pase a la pregunta 73. Sí su respuesta a la pregunta 71 fue “si” continúe a la pregunta 72.</w:t>
      </w:r>
    </w:p>
    <w:p>
      <w:pPr>
        <w:pStyle w:val="BodyText"/>
        <w:spacing w:before="5"/>
        <w:rPr>
          <w:sz w:val="27"/>
        </w:rPr>
      </w:pPr>
    </w:p>
    <w:p>
      <w:pPr>
        <w:pStyle w:val="ListParagraph"/>
        <w:numPr>
          <w:ilvl w:val="0"/>
          <w:numId w:val="83"/>
        </w:numPr>
        <w:tabs>
          <w:tab w:pos="525" w:val="left" w:leader="none"/>
        </w:tabs>
        <w:spacing w:line="276" w:lineRule="auto" w:before="0" w:after="0"/>
        <w:ind w:left="462" w:right="123" w:hanging="360"/>
        <w:jc w:val="left"/>
        <w:rPr>
          <w:sz w:val="24"/>
        </w:rPr>
      </w:pPr>
      <w:r>
        <w:rPr>
          <w:sz w:val="24"/>
        </w:rPr>
        <w:t>Indique que carrera estudió (aron) o estudia(n) sus hermanos (as), puede seleccionar más de una opción de acuerdo al número de hermanos (as) que</w:t>
      </w:r>
      <w:r>
        <w:rPr>
          <w:spacing w:val="-13"/>
          <w:sz w:val="24"/>
        </w:rPr>
        <w:t> </w:t>
      </w:r>
      <w:r>
        <w:rPr>
          <w:sz w:val="24"/>
        </w:rPr>
        <w:t>tenga…</w:t>
      </w:r>
    </w:p>
    <w:p>
      <w:pPr>
        <w:pStyle w:val="BodyText"/>
        <w:spacing w:before="9"/>
        <w:rPr>
          <w:sz w:val="27"/>
        </w:rPr>
      </w:pPr>
    </w:p>
    <w:p>
      <w:pPr>
        <w:pStyle w:val="BodyText"/>
        <w:ind w:left="1518"/>
      </w:pPr>
      <w:r>
        <w:rPr/>
        <w:pict>
          <v:rect style="position:absolute;margin-left:125.199997pt;margin-top:.803122pt;width:11.25pt;height:9.4pt;mso-position-horizontal-relative:page;mso-position-vertical-relative:paragraph;z-index:16504" filled="false" stroked="true" strokeweight=".75pt" strokecolor="#000000">
            <w10:wrap type="none"/>
          </v:rect>
        </w:pict>
      </w:r>
      <w:r>
        <w:rPr/>
        <w:t>Licenciatura en Economía</w:t>
      </w:r>
    </w:p>
    <w:p>
      <w:pPr>
        <w:pStyle w:val="BodyText"/>
        <w:spacing w:line="276" w:lineRule="auto" w:before="41"/>
        <w:ind w:left="1518" w:right="2164"/>
      </w:pPr>
      <w:r>
        <w:rPr/>
        <w:pict>
          <v:rect style="position:absolute;margin-left:125.199997pt;margin-top:2.133126pt;width:11.25pt;height:9.4pt;mso-position-horizontal-relative:page;mso-position-vertical-relative:paragraph;z-index:16528" filled="false" stroked="true" strokeweight=".75pt" strokecolor="#000000">
            <w10:wrap type="none"/>
          </v:rect>
        </w:pict>
      </w:r>
      <w:r>
        <w:rPr/>
        <w:pict>
          <v:rect style="position:absolute;margin-left:125.199997pt;margin-top:18.403126pt;width:11.25pt;height:9.4pt;mso-position-horizontal-relative:page;mso-position-vertical-relative:paragraph;z-index:16552" filled="false" stroked="true" strokeweight=".75pt" strokecolor="#000000">
            <w10:wrap type="none"/>
          </v:rect>
        </w:pict>
      </w:r>
      <w:r>
        <w:rPr/>
        <w:t>Licenciatura en Relaciones Económicas Internacionales Licenciatura en Actuaría Financiera</w:t>
      </w:r>
    </w:p>
    <w:p>
      <w:pPr>
        <w:pStyle w:val="BodyText"/>
        <w:spacing w:before="9"/>
        <w:rPr>
          <w:sz w:val="27"/>
        </w:rPr>
      </w:pPr>
    </w:p>
    <w:p>
      <w:pPr>
        <w:pStyle w:val="ListParagraph"/>
        <w:numPr>
          <w:ilvl w:val="0"/>
          <w:numId w:val="83"/>
        </w:numPr>
        <w:tabs>
          <w:tab w:pos="462" w:val="left" w:leader="none"/>
        </w:tabs>
        <w:spacing w:line="240" w:lineRule="auto" w:before="0" w:after="0"/>
        <w:ind w:left="462" w:right="0" w:hanging="360"/>
        <w:jc w:val="left"/>
        <w:rPr>
          <w:sz w:val="24"/>
        </w:rPr>
      </w:pPr>
      <w:r>
        <w:rPr>
          <w:sz w:val="24"/>
        </w:rPr>
        <w:t>¿Ha mantenido contacto con sus compañeros de</w:t>
      </w:r>
      <w:r>
        <w:rPr>
          <w:spacing w:val="-7"/>
          <w:sz w:val="24"/>
        </w:rPr>
        <w:t> </w:t>
      </w:r>
      <w:r>
        <w:rPr>
          <w:sz w:val="24"/>
        </w:rPr>
        <w:t>generación?</w:t>
      </w:r>
    </w:p>
    <w:p>
      <w:pPr>
        <w:spacing w:after="0" w:line="240" w:lineRule="auto"/>
        <w:jc w:val="left"/>
        <w:rPr>
          <w:sz w:val="24"/>
        </w:rPr>
        <w:sectPr>
          <w:pgSz w:w="12240" w:h="15840"/>
          <w:pgMar w:header="0" w:footer="943" w:top="1360" w:bottom="1200" w:left="1600" w:right="1580"/>
        </w:sectPr>
      </w:pPr>
    </w:p>
    <w:p>
      <w:pPr>
        <w:pStyle w:val="BodyText"/>
        <w:tabs>
          <w:tab w:pos="3780" w:val="left" w:leader="none"/>
        </w:tabs>
        <w:spacing w:before="50"/>
        <w:ind w:left="1001"/>
      </w:pPr>
      <w:r>
        <w:rPr/>
        <w:pict>
          <v:rect style="position:absolute;margin-left:108.5pt;margin-top:3.813135pt;width:11.25pt;height:9.4pt;mso-position-horizontal-relative:page;mso-position-vertical-relative:paragraph;z-index:16936" filled="false" stroked="true" strokeweight=".75pt" strokecolor="#000000">
            <w10:wrap type="none"/>
          </v:rect>
        </w:pict>
      </w:r>
      <w:r>
        <w:rPr/>
        <w:pict>
          <v:rect style="position:absolute;margin-left:255pt;margin-top:3.813135pt;width:11.25pt;height:9.4pt;mso-position-horizontal-relative:page;mso-position-vertical-relative:paragraph;z-index:-385696" filled="false" stroked="true" strokeweight=".75pt" strokecolor="#000000">
            <w10:wrap type="none"/>
          </v:rect>
        </w:pict>
      </w:r>
      <w:r>
        <w:rPr/>
        <w:t>Sí</w:t>
        <w:tab/>
        <w:t>No</w:t>
      </w:r>
    </w:p>
    <w:p>
      <w:pPr>
        <w:pStyle w:val="BodyText"/>
        <w:spacing w:before="3"/>
        <w:rPr>
          <w:sz w:val="31"/>
        </w:rPr>
      </w:pPr>
    </w:p>
    <w:p>
      <w:pPr>
        <w:pStyle w:val="BodyText"/>
        <w:spacing w:line="276" w:lineRule="auto"/>
        <w:ind w:left="461" w:right="123"/>
      </w:pPr>
      <w:r>
        <w:rPr/>
        <w:t>Sí su respuesta en la pregunta 73 fue “no”, por favor pase a la pregunta 76. Sí su respuesta a la pregunta 73 fue “si” continúe a la pregunta 74.</w:t>
      </w:r>
    </w:p>
    <w:p>
      <w:pPr>
        <w:pStyle w:val="BodyText"/>
      </w:pPr>
    </w:p>
    <w:p>
      <w:pPr>
        <w:pStyle w:val="BodyText"/>
        <w:spacing w:before="4"/>
        <w:rPr>
          <w:sz w:val="31"/>
        </w:rPr>
      </w:pPr>
    </w:p>
    <w:p>
      <w:pPr>
        <w:pStyle w:val="ListParagraph"/>
        <w:numPr>
          <w:ilvl w:val="0"/>
          <w:numId w:val="83"/>
        </w:numPr>
        <w:tabs>
          <w:tab w:pos="462" w:val="left" w:leader="none"/>
          <w:tab w:pos="2266" w:val="left" w:leader="none"/>
        </w:tabs>
        <w:spacing w:line="276" w:lineRule="auto" w:before="0" w:after="0"/>
        <w:ind w:left="462" w:right="124" w:hanging="360"/>
        <w:jc w:val="left"/>
        <w:rPr>
          <w:sz w:val="24"/>
        </w:rPr>
      </w:pPr>
      <w:r>
        <w:rPr>
          <w:sz w:val="24"/>
        </w:rPr>
        <w:t>Indique </w:t>
      </w:r>
      <w:r>
        <w:rPr>
          <w:spacing w:val="36"/>
          <w:sz w:val="24"/>
        </w:rPr>
        <w:t> </w:t>
      </w:r>
      <w:r>
        <w:rPr>
          <w:sz w:val="24"/>
        </w:rPr>
        <w:t>cuáles</w:t>
        <w:tab/>
        <w:t>de  sus  compañeros  de   generación  o  generaciones    </w:t>
      </w:r>
      <w:r>
        <w:rPr>
          <w:spacing w:val="12"/>
          <w:sz w:val="24"/>
        </w:rPr>
        <w:t> </w:t>
      </w:r>
      <w:r>
        <w:rPr>
          <w:sz w:val="24"/>
        </w:rPr>
        <w:t>anteriores </w:t>
      </w:r>
      <w:r>
        <w:rPr>
          <w:spacing w:val="35"/>
          <w:sz w:val="24"/>
        </w:rPr>
        <w:t> </w:t>
      </w:r>
      <w:r>
        <w:rPr>
          <w:sz w:val="24"/>
        </w:rPr>
        <w:t>o posteriores a la suya son sus compañeros de</w:t>
      </w:r>
      <w:r>
        <w:rPr>
          <w:spacing w:val="-6"/>
          <w:sz w:val="24"/>
        </w:rPr>
        <w:t> </w:t>
      </w:r>
      <w:r>
        <w:rPr>
          <w:sz w:val="24"/>
        </w:rPr>
        <w:t>trabajo:</w:t>
      </w:r>
    </w:p>
    <w:p>
      <w:pPr>
        <w:pStyle w:val="BodyText"/>
        <w:rPr>
          <w:sz w:val="20"/>
        </w:rPr>
      </w:pPr>
    </w:p>
    <w:p>
      <w:pPr>
        <w:pStyle w:val="BodyText"/>
        <w:spacing w:before="6"/>
        <w:rPr>
          <w:sz w:val="27"/>
        </w:rPr>
      </w:pPr>
      <w:r>
        <w:rPr/>
        <w:pict>
          <v:line style="position:absolute;mso-position-horizontal-relative:page;mso-position-vertical-relative:paragraph;z-index:16888;mso-wrap-distance-left:0;mso-wrap-distance-right:0" from="103.099998pt,18.063902pt" to="511.150004pt,18.063902pt" stroked="true" strokeweight=".48pt" strokecolor="#000000">
            <w10:wrap type="topAndBottom"/>
          </v:line>
        </w:pict>
      </w:r>
    </w:p>
    <w:p>
      <w:pPr>
        <w:pStyle w:val="BodyText"/>
        <w:spacing w:before="7"/>
        <w:rPr>
          <w:sz w:val="22"/>
        </w:rPr>
      </w:pPr>
    </w:p>
    <w:p>
      <w:pPr>
        <w:pStyle w:val="ListParagraph"/>
        <w:numPr>
          <w:ilvl w:val="0"/>
          <w:numId w:val="83"/>
        </w:numPr>
        <w:tabs>
          <w:tab w:pos="462" w:val="left" w:leader="none"/>
          <w:tab w:pos="2601" w:val="left" w:leader="none"/>
        </w:tabs>
        <w:spacing w:line="276" w:lineRule="auto" w:before="69" w:after="0"/>
        <w:ind w:left="462" w:right="121" w:hanging="360"/>
        <w:jc w:val="left"/>
        <w:rPr>
          <w:sz w:val="24"/>
        </w:rPr>
      </w:pPr>
      <w:r>
        <w:rPr>
          <w:sz w:val="24"/>
        </w:rPr>
        <w:t>Indique</w:t>
      </w:r>
      <w:r>
        <w:rPr>
          <w:spacing w:val="53"/>
          <w:sz w:val="24"/>
        </w:rPr>
        <w:t> </w:t>
      </w:r>
      <w:r>
        <w:rPr>
          <w:sz w:val="24"/>
        </w:rPr>
        <w:t>con</w:t>
      </w:r>
      <w:r>
        <w:rPr>
          <w:spacing w:val="54"/>
          <w:sz w:val="24"/>
        </w:rPr>
        <w:t> </w:t>
      </w:r>
      <w:r>
        <w:rPr>
          <w:sz w:val="24"/>
        </w:rPr>
        <w:t>cuáles</w:t>
        <w:tab/>
        <w:t>de  sus  compañeros  de  generación  o  generaciones</w:t>
      </w:r>
      <w:r>
        <w:rPr>
          <w:spacing w:val="21"/>
          <w:sz w:val="24"/>
        </w:rPr>
        <w:t> </w:t>
      </w:r>
      <w:r>
        <w:rPr>
          <w:sz w:val="24"/>
        </w:rPr>
        <w:t>anteriores</w:t>
      </w:r>
      <w:r>
        <w:rPr>
          <w:spacing w:val="53"/>
          <w:sz w:val="24"/>
        </w:rPr>
        <w:t> </w:t>
      </w:r>
      <w:r>
        <w:rPr>
          <w:sz w:val="24"/>
        </w:rPr>
        <w:t>o posteriores a la suya mantiene una relación de</w:t>
      </w:r>
      <w:r>
        <w:rPr>
          <w:spacing w:val="-10"/>
          <w:sz w:val="24"/>
        </w:rPr>
        <w:t> </w:t>
      </w:r>
      <w:r>
        <w:rPr>
          <w:sz w:val="24"/>
        </w:rPr>
        <w:t>amistad:</w:t>
      </w:r>
    </w:p>
    <w:p>
      <w:pPr>
        <w:pStyle w:val="BodyText"/>
        <w:rPr>
          <w:sz w:val="20"/>
        </w:rPr>
      </w:pPr>
    </w:p>
    <w:p>
      <w:pPr>
        <w:pStyle w:val="BodyText"/>
        <w:spacing w:before="6"/>
        <w:rPr>
          <w:sz w:val="27"/>
        </w:rPr>
      </w:pPr>
      <w:r>
        <w:rPr/>
        <w:pict>
          <v:line style="position:absolute;mso-position-horizontal-relative:page;mso-position-vertical-relative:paragraph;z-index:16912;mso-wrap-distance-left:0;mso-wrap-distance-right:0" from="103.099998pt,18.063902pt" to="511.100018pt,18.063902pt" stroked="true" strokeweight=".48pt" strokecolor="#000000">
            <w10:wrap type="topAndBottom"/>
          </v:line>
        </w:pict>
      </w:r>
    </w:p>
    <w:p>
      <w:pPr>
        <w:pStyle w:val="ListParagraph"/>
        <w:numPr>
          <w:ilvl w:val="0"/>
          <w:numId w:val="83"/>
        </w:numPr>
        <w:tabs>
          <w:tab w:pos="462" w:val="left" w:leader="none"/>
          <w:tab w:pos="3780" w:val="left" w:leader="none"/>
        </w:tabs>
        <w:spacing w:line="276" w:lineRule="auto" w:before="11" w:after="0"/>
        <w:ind w:left="1002" w:right="2941" w:hanging="900"/>
        <w:jc w:val="left"/>
        <w:rPr>
          <w:sz w:val="24"/>
        </w:rPr>
      </w:pPr>
      <w:r>
        <w:rPr>
          <w:sz w:val="24"/>
        </w:rPr>
        <w:t>¿Se casó con alguno (a) de sus compañeros de</w:t>
      </w:r>
      <w:r>
        <w:rPr>
          <w:spacing w:val="-10"/>
          <w:sz w:val="24"/>
        </w:rPr>
        <w:t> </w:t>
      </w:r>
      <w:r>
        <w:rPr>
          <w:sz w:val="24"/>
        </w:rPr>
        <w:t>generación? Sí</w:t>
        <w:tab/>
        <w:t>No</w:t>
      </w:r>
    </w:p>
    <w:p>
      <w:pPr>
        <w:pStyle w:val="BodyText"/>
        <w:tabs>
          <w:tab w:pos="8773" w:val="left" w:leader="none"/>
        </w:tabs>
        <w:spacing w:before="1"/>
        <w:ind w:left="461"/>
      </w:pPr>
      <w:r>
        <w:rPr/>
        <w:pict>
          <v:rect style="position:absolute;margin-left:108.5pt;margin-top:-14.526874pt;width:11.25pt;height:9.4pt;mso-position-horizontal-relative:page;mso-position-vertical-relative:paragraph;z-index:-385672" filled="false" stroked="true" strokeweight=".75pt" strokecolor="#000000">
            <w10:wrap type="none"/>
          </v:rect>
        </w:pict>
      </w:r>
      <w:r>
        <w:rPr/>
        <w:pict>
          <v:rect style="position:absolute;margin-left:255pt;margin-top:-14.526874pt;width:11.25pt;height:9.4pt;mso-position-horizontal-relative:page;mso-position-vertical-relative:paragraph;z-index:-385648" filled="false" stroked="true" strokeweight=".75pt" strokecolor="#000000">
            <w10:wrap type="none"/>
          </v:rect>
        </w:pict>
      </w:r>
      <w:r>
        <w:rPr/>
        <w:t>Podría indicar el nombre de su</w:t>
      </w:r>
      <w:r>
        <w:rPr>
          <w:spacing w:val="-12"/>
        </w:rPr>
        <w:t> </w:t>
      </w:r>
      <w:r>
        <w:rPr/>
        <w:t>cónyuge: </w:t>
      </w:r>
      <w:r>
        <w:rPr>
          <w:u w:val="single"/>
        </w:rPr>
        <w:t> </w:t>
        <w:tab/>
      </w:r>
    </w:p>
    <w:p>
      <w:pPr>
        <w:pStyle w:val="BodyText"/>
        <w:spacing w:before="3"/>
        <w:rPr>
          <w:sz w:val="25"/>
        </w:rPr>
      </w:pPr>
    </w:p>
    <w:p>
      <w:pPr>
        <w:pStyle w:val="BodyText"/>
        <w:spacing w:line="276" w:lineRule="auto" w:before="69"/>
        <w:ind w:left="461" w:right="121"/>
        <w:jc w:val="both"/>
      </w:pPr>
      <w:r>
        <w:rPr/>
        <w:t>El nombre de usted y el de su cónyuge serán cambiados al momento de reportar la investigación por lo que en ningún momento se romperá con la confidencialidad de sus respuestas.</w:t>
      </w:r>
    </w:p>
    <w:p>
      <w:pPr>
        <w:pStyle w:val="BodyText"/>
        <w:spacing w:before="9"/>
        <w:rPr>
          <w:sz w:val="27"/>
        </w:rPr>
      </w:pPr>
    </w:p>
    <w:p>
      <w:pPr>
        <w:pStyle w:val="ListParagraph"/>
        <w:numPr>
          <w:ilvl w:val="0"/>
          <w:numId w:val="83"/>
        </w:numPr>
        <w:tabs>
          <w:tab w:pos="462" w:val="left" w:leader="none"/>
        </w:tabs>
        <w:spacing w:line="240" w:lineRule="auto" w:before="0" w:after="0"/>
        <w:ind w:left="462" w:right="0" w:hanging="360"/>
        <w:jc w:val="left"/>
        <w:rPr>
          <w:sz w:val="24"/>
        </w:rPr>
      </w:pPr>
      <w:r>
        <w:rPr>
          <w:sz w:val="24"/>
        </w:rPr>
        <w:t>¿Ha mantenido contacto con alguno de sus</w:t>
      </w:r>
      <w:r>
        <w:rPr>
          <w:spacing w:val="-7"/>
          <w:sz w:val="24"/>
        </w:rPr>
        <w:t> </w:t>
      </w:r>
      <w:r>
        <w:rPr>
          <w:sz w:val="24"/>
        </w:rPr>
        <w:t>profesores?</w:t>
      </w:r>
    </w:p>
    <w:p>
      <w:pPr>
        <w:pStyle w:val="BodyText"/>
        <w:spacing w:before="1"/>
        <w:rPr>
          <w:sz w:val="31"/>
        </w:rPr>
      </w:pPr>
    </w:p>
    <w:p>
      <w:pPr>
        <w:pStyle w:val="BodyText"/>
        <w:tabs>
          <w:tab w:pos="7979" w:val="left" w:leader="none"/>
        </w:tabs>
        <w:spacing w:line="278" w:lineRule="auto"/>
        <w:ind w:left="810" w:right="1078"/>
      </w:pPr>
      <w:r>
        <w:rPr/>
        <w:pict>
          <v:rect style="position:absolute;margin-left:108.5pt;margin-top:1.263115pt;width:11.25pt;height:9.4pt;mso-position-horizontal-relative:page;mso-position-vertical-relative:paragraph;z-index:17032" filled="false" stroked="true" strokeweight=".75pt" strokecolor="#000000">
            <w10:wrap type="none"/>
          </v:rect>
        </w:pict>
      </w:r>
      <w:r>
        <w:rPr/>
        <w:pict>
          <v:rect style="position:absolute;margin-left:108.5pt;margin-top:17.883116pt;width:11.25pt;height:9.4pt;mso-position-horizontal-relative:page;mso-position-vertical-relative:paragraph;z-index:17056" filled="false" stroked="true" strokeweight=".75pt" strokecolor="#000000">
            <w10:wrap type="none"/>
          </v:rect>
        </w:pict>
      </w:r>
      <w:r>
        <w:rPr/>
        <w:t>Sí , indique</w:t>
      </w:r>
      <w:r>
        <w:rPr>
          <w:spacing w:val="-3"/>
        </w:rPr>
        <w:t> </w:t>
      </w:r>
      <w:r>
        <w:rPr/>
        <w:t>el</w:t>
      </w:r>
      <w:r>
        <w:rPr>
          <w:spacing w:val="-1"/>
        </w:rPr>
        <w:t> </w:t>
      </w:r>
      <w:r>
        <w:rPr/>
        <w:t>nombre:</w:t>
      </w:r>
      <w:r>
        <w:rPr>
          <w:u w:val="single"/>
        </w:rPr>
        <w:t> </w:t>
        <w:tab/>
      </w:r>
      <w:r>
        <w:rPr/>
        <w:t> No</w:t>
      </w:r>
    </w:p>
    <w:p>
      <w:pPr>
        <w:pStyle w:val="BodyText"/>
        <w:spacing w:before="4"/>
        <w:rPr>
          <w:sz w:val="27"/>
        </w:rPr>
      </w:pPr>
    </w:p>
    <w:p>
      <w:pPr>
        <w:pStyle w:val="ListParagraph"/>
        <w:numPr>
          <w:ilvl w:val="0"/>
          <w:numId w:val="83"/>
        </w:numPr>
        <w:tabs>
          <w:tab w:pos="462" w:val="left" w:leader="none"/>
        </w:tabs>
        <w:spacing w:line="240" w:lineRule="auto" w:before="0" w:after="0"/>
        <w:ind w:left="462" w:right="0" w:hanging="360"/>
        <w:jc w:val="left"/>
        <w:rPr>
          <w:sz w:val="24"/>
        </w:rPr>
      </w:pPr>
      <w:r>
        <w:rPr>
          <w:sz w:val="24"/>
        </w:rPr>
        <w:t>¿Fue contratado por alguno de sus profesores en su primer</w:t>
      </w:r>
      <w:r>
        <w:rPr>
          <w:spacing w:val="-13"/>
          <w:sz w:val="24"/>
        </w:rPr>
        <w:t> </w:t>
      </w:r>
      <w:r>
        <w:rPr>
          <w:sz w:val="24"/>
        </w:rPr>
        <w:t>empleo?</w:t>
      </w:r>
    </w:p>
    <w:p>
      <w:pPr>
        <w:pStyle w:val="BodyText"/>
        <w:tabs>
          <w:tab w:pos="7979" w:val="left" w:leader="none"/>
        </w:tabs>
        <w:spacing w:line="278" w:lineRule="auto" w:before="41"/>
        <w:ind w:left="810" w:right="1078"/>
      </w:pPr>
      <w:r>
        <w:rPr/>
        <w:pict>
          <v:rect style="position:absolute;margin-left:108.5pt;margin-top:3.303119pt;width:11.25pt;height:9.4pt;mso-position-horizontal-relative:page;mso-position-vertical-relative:paragraph;z-index:17080" filled="false" stroked="true" strokeweight=".75pt" strokecolor="#000000">
            <w10:wrap type="none"/>
          </v:rect>
        </w:pict>
      </w:r>
      <w:r>
        <w:rPr/>
        <w:pict>
          <v:rect style="position:absolute;margin-left:108.5pt;margin-top:19.923119pt;width:11.25pt;height:9.4pt;mso-position-horizontal-relative:page;mso-position-vertical-relative:paragraph;z-index:17104" filled="false" stroked="true" strokeweight=".75pt" strokecolor="#000000">
            <w10:wrap type="none"/>
          </v:rect>
        </w:pict>
      </w:r>
      <w:r>
        <w:rPr/>
        <w:t>Sí , indique</w:t>
      </w:r>
      <w:r>
        <w:rPr>
          <w:spacing w:val="-3"/>
        </w:rPr>
        <w:t> </w:t>
      </w:r>
      <w:r>
        <w:rPr/>
        <w:t>el</w:t>
      </w:r>
      <w:r>
        <w:rPr>
          <w:spacing w:val="-1"/>
        </w:rPr>
        <w:t> </w:t>
      </w:r>
      <w:r>
        <w:rPr/>
        <w:t>nombre:</w:t>
      </w:r>
      <w:r>
        <w:rPr>
          <w:u w:val="single"/>
        </w:rPr>
        <w:t> </w:t>
        <w:tab/>
      </w:r>
      <w:r>
        <w:rPr/>
        <w:t> No</w:t>
      </w:r>
    </w:p>
    <w:p>
      <w:pPr>
        <w:pStyle w:val="BodyText"/>
      </w:pPr>
    </w:p>
    <w:p>
      <w:pPr>
        <w:pStyle w:val="BodyText"/>
      </w:pPr>
    </w:p>
    <w:p>
      <w:pPr>
        <w:pStyle w:val="BodyText"/>
      </w:pPr>
    </w:p>
    <w:p>
      <w:pPr>
        <w:pStyle w:val="BodyText"/>
      </w:pPr>
    </w:p>
    <w:p>
      <w:pPr>
        <w:pStyle w:val="Heading4"/>
        <w:spacing w:before="169"/>
        <w:ind w:left="3196" w:firstLine="0"/>
        <w:rPr>
          <w:i/>
        </w:rPr>
      </w:pPr>
      <w:r>
        <w:rPr>
          <w:i/>
        </w:rPr>
        <w:t>¡Gracias por su participación!</w:t>
      </w:r>
    </w:p>
    <w:p>
      <w:pPr>
        <w:spacing w:after="0"/>
        <w:sectPr>
          <w:pgSz w:w="12240" w:h="15840"/>
          <w:pgMar w:header="0" w:footer="943" w:top="1360" w:bottom="1200" w:left="1600" w:right="1580"/>
        </w:sectPr>
      </w:pPr>
    </w:p>
    <w:p>
      <w:pPr>
        <w:spacing w:line="451" w:lineRule="auto" w:before="55" w:after="9"/>
        <w:ind w:left="3097" w:right="3216" w:firstLine="885"/>
        <w:jc w:val="left"/>
        <w:rPr>
          <w:b/>
          <w:i/>
          <w:sz w:val="24"/>
        </w:rPr>
      </w:pPr>
      <w:r>
        <w:rPr>
          <w:b/>
          <w:sz w:val="24"/>
        </w:rPr>
        <w:t>Anexo 5 Resultados CVR por </w:t>
      </w:r>
      <w:r>
        <w:rPr>
          <w:b/>
          <w:i/>
          <w:sz w:val="24"/>
        </w:rPr>
        <w:t>ítem</w:t>
      </w:r>
    </w:p>
    <w:tbl>
      <w:tblPr>
        <w:tblW w:w="0" w:type="auto"/>
        <w:jc w:val="left"/>
        <w:tblInd w:w="13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20"/>
        <w:gridCol w:w="2460"/>
        <w:gridCol w:w="1201"/>
      </w:tblGrid>
      <w:tr>
        <w:trPr>
          <w:trHeight w:val="334" w:hRule="exact"/>
        </w:trPr>
        <w:tc>
          <w:tcPr>
            <w:tcW w:w="2420" w:type="dxa"/>
          </w:tcPr>
          <w:p>
            <w:pPr>
              <w:pStyle w:val="TableParagraph"/>
              <w:spacing w:before="36"/>
              <w:ind w:left="290"/>
              <w:rPr>
                <w:sz w:val="20"/>
              </w:rPr>
            </w:pPr>
            <w:r>
              <w:rPr>
                <w:sz w:val="20"/>
              </w:rPr>
              <w:t>Constructo  o apartado</w:t>
            </w:r>
          </w:p>
        </w:tc>
        <w:tc>
          <w:tcPr>
            <w:tcW w:w="2460" w:type="dxa"/>
          </w:tcPr>
          <w:p>
            <w:pPr>
              <w:pStyle w:val="TableParagraph"/>
              <w:spacing w:before="36"/>
              <w:ind w:left="983" w:right="984"/>
              <w:jc w:val="center"/>
              <w:rPr>
                <w:i/>
                <w:sz w:val="20"/>
              </w:rPr>
            </w:pPr>
            <w:r>
              <w:rPr>
                <w:i/>
                <w:sz w:val="20"/>
              </w:rPr>
              <w:t>Ítems</w:t>
            </w:r>
          </w:p>
        </w:tc>
        <w:tc>
          <w:tcPr>
            <w:tcW w:w="1201" w:type="dxa"/>
          </w:tcPr>
          <w:p>
            <w:pPr>
              <w:pStyle w:val="TableParagraph"/>
              <w:spacing w:before="36"/>
              <w:ind w:left="383"/>
              <w:rPr>
                <w:sz w:val="20"/>
              </w:rPr>
            </w:pPr>
            <w:r>
              <w:rPr>
                <w:sz w:val="20"/>
              </w:rPr>
              <w:t>CVR</w:t>
            </w:r>
          </w:p>
        </w:tc>
      </w:tr>
      <w:tr>
        <w:trPr>
          <w:trHeight w:val="396" w:hRule="exact"/>
        </w:trPr>
        <w:tc>
          <w:tcPr>
            <w:tcW w:w="2420" w:type="dxa"/>
            <w:vMerge w:val="restart"/>
          </w:tcPr>
          <w:p>
            <w:pPr>
              <w:pStyle w:val="TableParagraph"/>
              <w:spacing w:before="120"/>
              <w:ind w:left="655" w:right="574" w:hanging="65"/>
              <w:rPr>
                <w:sz w:val="20"/>
              </w:rPr>
            </w:pPr>
            <w:r>
              <w:rPr>
                <w:sz w:val="20"/>
              </w:rPr>
              <w:t>Factores socio- demográficos</w:t>
            </w:r>
          </w:p>
        </w:tc>
        <w:tc>
          <w:tcPr>
            <w:tcW w:w="2460" w:type="dxa"/>
          </w:tcPr>
          <w:p>
            <w:pPr>
              <w:pStyle w:val="TableParagraph"/>
              <w:spacing w:line="223" w:lineRule="exact"/>
              <w:ind w:right="59"/>
              <w:jc w:val="right"/>
              <w:rPr>
                <w:i/>
                <w:sz w:val="20"/>
              </w:rPr>
            </w:pPr>
            <w:r>
              <w:rPr>
                <w:i/>
                <w:w w:val="99"/>
                <w:sz w:val="20"/>
              </w:rPr>
              <w:t>1</w:t>
            </w:r>
          </w:p>
        </w:tc>
        <w:tc>
          <w:tcPr>
            <w:tcW w:w="1201" w:type="dxa"/>
          </w:tcPr>
          <w:p>
            <w:pPr>
              <w:pStyle w:val="TableParagraph"/>
              <w:spacing w:before="139"/>
              <w:ind w:right="58"/>
              <w:jc w:val="right"/>
              <w:rPr>
                <w:sz w:val="20"/>
              </w:rPr>
            </w:pPr>
            <w:r>
              <w:rPr>
                <w:sz w:val="20"/>
              </w:rPr>
              <w:t>0.99</w:t>
            </w:r>
          </w:p>
        </w:tc>
      </w:tr>
      <w:tr>
        <w:trPr>
          <w:trHeight w:val="334" w:hRule="exact"/>
        </w:trPr>
        <w:tc>
          <w:tcPr>
            <w:tcW w:w="2420" w:type="dxa"/>
            <w:vMerge/>
          </w:tcPr>
          <w:p>
            <w:pPr/>
          </w:p>
        </w:tc>
        <w:tc>
          <w:tcPr>
            <w:tcW w:w="2460" w:type="dxa"/>
          </w:tcPr>
          <w:p>
            <w:pPr>
              <w:pStyle w:val="TableParagraph"/>
              <w:spacing w:line="223" w:lineRule="exact"/>
              <w:ind w:right="59"/>
              <w:jc w:val="right"/>
              <w:rPr>
                <w:i/>
                <w:sz w:val="20"/>
              </w:rPr>
            </w:pPr>
            <w:r>
              <w:rPr>
                <w:i/>
                <w:w w:val="99"/>
                <w:sz w:val="20"/>
              </w:rPr>
              <w:t>2</w:t>
            </w:r>
          </w:p>
        </w:tc>
        <w:tc>
          <w:tcPr>
            <w:tcW w:w="1201" w:type="dxa"/>
          </w:tcPr>
          <w:p>
            <w:pPr>
              <w:pStyle w:val="TableParagraph"/>
              <w:spacing w:before="77"/>
              <w:ind w:right="58"/>
              <w:jc w:val="right"/>
              <w:rPr>
                <w:sz w:val="20"/>
              </w:rPr>
            </w:pPr>
            <w:r>
              <w:rPr>
                <w:sz w:val="20"/>
              </w:rPr>
              <w:t>0.99</w:t>
            </w:r>
          </w:p>
        </w:tc>
      </w:tr>
      <w:tr>
        <w:trPr>
          <w:trHeight w:val="336" w:hRule="exact"/>
        </w:trPr>
        <w:tc>
          <w:tcPr>
            <w:tcW w:w="2420" w:type="dxa"/>
            <w:vMerge w:val="restart"/>
          </w:tcPr>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spacing w:before="11"/>
              <w:rPr>
                <w:b/>
                <w:i/>
                <w:sz w:val="19"/>
              </w:rPr>
            </w:pPr>
          </w:p>
          <w:p>
            <w:pPr>
              <w:pStyle w:val="TableParagraph"/>
              <w:ind w:left="96"/>
              <w:rPr>
                <w:sz w:val="20"/>
              </w:rPr>
            </w:pPr>
            <w:r>
              <w:rPr>
                <w:sz w:val="20"/>
              </w:rPr>
              <w:t>Asertividad de la transición</w:t>
            </w:r>
          </w:p>
        </w:tc>
        <w:tc>
          <w:tcPr>
            <w:tcW w:w="2460" w:type="dxa"/>
          </w:tcPr>
          <w:p>
            <w:pPr>
              <w:pStyle w:val="TableParagraph"/>
              <w:spacing w:line="226" w:lineRule="exact"/>
              <w:ind w:right="59"/>
              <w:jc w:val="right"/>
              <w:rPr>
                <w:sz w:val="20"/>
              </w:rPr>
            </w:pPr>
            <w:r>
              <w:rPr>
                <w:w w:val="99"/>
                <w:sz w:val="20"/>
              </w:rPr>
              <w:t>3</w:t>
            </w:r>
          </w:p>
        </w:tc>
        <w:tc>
          <w:tcPr>
            <w:tcW w:w="1201" w:type="dxa"/>
          </w:tcPr>
          <w:p>
            <w:pPr>
              <w:pStyle w:val="TableParagraph"/>
              <w:spacing w:before="79"/>
              <w:ind w:right="58"/>
              <w:jc w:val="right"/>
              <w:rPr>
                <w:sz w:val="20"/>
              </w:rPr>
            </w:pPr>
            <w:r>
              <w:rPr>
                <w:sz w:val="20"/>
              </w:rPr>
              <w:t>0.99</w:t>
            </w:r>
          </w:p>
        </w:tc>
      </w:tr>
      <w:tr>
        <w:trPr>
          <w:trHeight w:val="334" w:hRule="exact"/>
        </w:trPr>
        <w:tc>
          <w:tcPr>
            <w:tcW w:w="2420" w:type="dxa"/>
            <w:vMerge/>
          </w:tcPr>
          <w:p>
            <w:pPr/>
          </w:p>
        </w:tc>
        <w:tc>
          <w:tcPr>
            <w:tcW w:w="2460" w:type="dxa"/>
          </w:tcPr>
          <w:p>
            <w:pPr>
              <w:pStyle w:val="TableParagraph"/>
              <w:spacing w:line="223" w:lineRule="exact"/>
              <w:ind w:right="59"/>
              <w:jc w:val="right"/>
              <w:rPr>
                <w:sz w:val="20"/>
              </w:rPr>
            </w:pPr>
            <w:r>
              <w:rPr>
                <w:w w:val="99"/>
                <w:sz w:val="20"/>
              </w:rPr>
              <w:t>4</w:t>
            </w:r>
          </w:p>
        </w:tc>
        <w:tc>
          <w:tcPr>
            <w:tcW w:w="1201" w:type="dxa"/>
          </w:tcPr>
          <w:p>
            <w:pPr>
              <w:pStyle w:val="TableParagraph"/>
              <w:spacing w:before="79"/>
              <w:ind w:right="58"/>
              <w:jc w:val="right"/>
              <w:rPr>
                <w:sz w:val="20"/>
              </w:rPr>
            </w:pPr>
            <w:r>
              <w:rPr>
                <w:sz w:val="20"/>
              </w:rPr>
              <w:t>0.99</w:t>
            </w:r>
          </w:p>
        </w:tc>
      </w:tr>
      <w:tr>
        <w:trPr>
          <w:trHeight w:val="336" w:hRule="exact"/>
        </w:trPr>
        <w:tc>
          <w:tcPr>
            <w:tcW w:w="2420" w:type="dxa"/>
            <w:vMerge/>
          </w:tcPr>
          <w:p>
            <w:pPr/>
          </w:p>
        </w:tc>
        <w:tc>
          <w:tcPr>
            <w:tcW w:w="2460" w:type="dxa"/>
          </w:tcPr>
          <w:p>
            <w:pPr>
              <w:pStyle w:val="TableParagraph"/>
              <w:spacing w:line="226" w:lineRule="exact"/>
              <w:ind w:right="59"/>
              <w:jc w:val="right"/>
              <w:rPr>
                <w:sz w:val="20"/>
              </w:rPr>
            </w:pPr>
            <w:r>
              <w:rPr>
                <w:w w:val="99"/>
                <w:sz w:val="20"/>
              </w:rPr>
              <w:t>5</w:t>
            </w:r>
          </w:p>
        </w:tc>
        <w:tc>
          <w:tcPr>
            <w:tcW w:w="1201" w:type="dxa"/>
          </w:tcPr>
          <w:p>
            <w:pPr>
              <w:pStyle w:val="TableParagraph"/>
              <w:spacing w:before="79"/>
              <w:ind w:right="58"/>
              <w:jc w:val="right"/>
              <w:rPr>
                <w:sz w:val="20"/>
              </w:rPr>
            </w:pPr>
            <w:r>
              <w:rPr>
                <w:sz w:val="20"/>
              </w:rPr>
              <w:t>0.99</w:t>
            </w:r>
          </w:p>
        </w:tc>
      </w:tr>
      <w:tr>
        <w:trPr>
          <w:trHeight w:val="336" w:hRule="exact"/>
        </w:trPr>
        <w:tc>
          <w:tcPr>
            <w:tcW w:w="2420" w:type="dxa"/>
            <w:vMerge/>
          </w:tcPr>
          <w:p>
            <w:pPr/>
          </w:p>
        </w:tc>
        <w:tc>
          <w:tcPr>
            <w:tcW w:w="2460" w:type="dxa"/>
          </w:tcPr>
          <w:p>
            <w:pPr>
              <w:pStyle w:val="TableParagraph"/>
              <w:spacing w:line="223" w:lineRule="exact"/>
              <w:ind w:right="59"/>
              <w:jc w:val="right"/>
              <w:rPr>
                <w:sz w:val="20"/>
              </w:rPr>
            </w:pPr>
            <w:r>
              <w:rPr>
                <w:w w:val="99"/>
                <w:sz w:val="20"/>
              </w:rPr>
              <w:t>6</w:t>
            </w:r>
          </w:p>
        </w:tc>
        <w:tc>
          <w:tcPr>
            <w:tcW w:w="1201" w:type="dxa"/>
          </w:tcPr>
          <w:p>
            <w:pPr>
              <w:pStyle w:val="TableParagraph"/>
              <w:spacing w:before="79"/>
              <w:ind w:right="58"/>
              <w:jc w:val="right"/>
              <w:rPr>
                <w:sz w:val="20"/>
              </w:rPr>
            </w:pPr>
            <w:r>
              <w:rPr>
                <w:sz w:val="20"/>
              </w:rPr>
              <w:t>0.99</w:t>
            </w:r>
          </w:p>
        </w:tc>
      </w:tr>
      <w:tr>
        <w:trPr>
          <w:trHeight w:val="334" w:hRule="exact"/>
        </w:trPr>
        <w:tc>
          <w:tcPr>
            <w:tcW w:w="2420" w:type="dxa"/>
            <w:vMerge/>
          </w:tcPr>
          <w:p>
            <w:pPr/>
          </w:p>
        </w:tc>
        <w:tc>
          <w:tcPr>
            <w:tcW w:w="2460" w:type="dxa"/>
          </w:tcPr>
          <w:p>
            <w:pPr>
              <w:pStyle w:val="TableParagraph"/>
              <w:spacing w:line="224" w:lineRule="exact"/>
              <w:ind w:right="59"/>
              <w:jc w:val="right"/>
              <w:rPr>
                <w:sz w:val="20"/>
              </w:rPr>
            </w:pPr>
            <w:r>
              <w:rPr>
                <w:w w:val="99"/>
                <w:sz w:val="20"/>
              </w:rPr>
              <w:t>7</w:t>
            </w:r>
          </w:p>
        </w:tc>
        <w:tc>
          <w:tcPr>
            <w:tcW w:w="1201" w:type="dxa"/>
          </w:tcPr>
          <w:p>
            <w:pPr>
              <w:pStyle w:val="TableParagraph"/>
              <w:spacing w:before="78"/>
              <w:ind w:right="58"/>
              <w:jc w:val="right"/>
              <w:rPr>
                <w:sz w:val="20"/>
              </w:rPr>
            </w:pPr>
            <w:r>
              <w:rPr>
                <w:sz w:val="20"/>
              </w:rPr>
              <w:t>0.99</w:t>
            </w:r>
          </w:p>
        </w:tc>
      </w:tr>
      <w:tr>
        <w:trPr>
          <w:trHeight w:val="336" w:hRule="exact"/>
        </w:trPr>
        <w:tc>
          <w:tcPr>
            <w:tcW w:w="2420" w:type="dxa"/>
            <w:vMerge/>
          </w:tcPr>
          <w:p>
            <w:pPr/>
          </w:p>
        </w:tc>
        <w:tc>
          <w:tcPr>
            <w:tcW w:w="2460" w:type="dxa"/>
          </w:tcPr>
          <w:p>
            <w:pPr>
              <w:pStyle w:val="TableParagraph"/>
              <w:spacing w:line="226" w:lineRule="exact"/>
              <w:ind w:right="59"/>
              <w:jc w:val="right"/>
              <w:rPr>
                <w:sz w:val="20"/>
              </w:rPr>
            </w:pPr>
            <w:r>
              <w:rPr>
                <w:w w:val="99"/>
                <w:sz w:val="20"/>
              </w:rPr>
              <w:t>8</w:t>
            </w:r>
          </w:p>
        </w:tc>
        <w:tc>
          <w:tcPr>
            <w:tcW w:w="1201" w:type="dxa"/>
          </w:tcPr>
          <w:p>
            <w:pPr>
              <w:pStyle w:val="TableParagraph"/>
              <w:spacing w:before="79"/>
              <w:ind w:right="58"/>
              <w:jc w:val="right"/>
              <w:rPr>
                <w:sz w:val="20"/>
              </w:rPr>
            </w:pPr>
            <w:r>
              <w:rPr>
                <w:sz w:val="20"/>
              </w:rPr>
              <w:t>0.99</w:t>
            </w:r>
          </w:p>
        </w:tc>
      </w:tr>
      <w:tr>
        <w:trPr>
          <w:trHeight w:val="334" w:hRule="exact"/>
        </w:trPr>
        <w:tc>
          <w:tcPr>
            <w:tcW w:w="2420" w:type="dxa"/>
            <w:vMerge/>
          </w:tcPr>
          <w:p>
            <w:pPr/>
          </w:p>
        </w:tc>
        <w:tc>
          <w:tcPr>
            <w:tcW w:w="2460" w:type="dxa"/>
          </w:tcPr>
          <w:p>
            <w:pPr>
              <w:pStyle w:val="TableParagraph"/>
              <w:spacing w:line="223" w:lineRule="exact"/>
              <w:ind w:right="59"/>
              <w:jc w:val="right"/>
              <w:rPr>
                <w:sz w:val="20"/>
              </w:rPr>
            </w:pPr>
            <w:r>
              <w:rPr>
                <w:w w:val="99"/>
                <w:sz w:val="20"/>
              </w:rPr>
              <w:t>9</w:t>
            </w:r>
          </w:p>
        </w:tc>
        <w:tc>
          <w:tcPr>
            <w:tcW w:w="1201" w:type="dxa"/>
          </w:tcPr>
          <w:p>
            <w:pPr>
              <w:pStyle w:val="TableParagraph"/>
              <w:spacing w:before="79"/>
              <w:ind w:right="58"/>
              <w:jc w:val="right"/>
              <w:rPr>
                <w:sz w:val="20"/>
              </w:rPr>
            </w:pPr>
            <w:r>
              <w:rPr>
                <w:sz w:val="20"/>
              </w:rPr>
              <w:t>0.99</w:t>
            </w:r>
          </w:p>
        </w:tc>
      </w:tr>
      <w:tr>
        <w:trPr>
          <w:trHeight w:val="336" w:hRule="exact"/>
        </w:trPr>
        <w:tc>
          <w:tcPr>
            <w:tcW w:w="2420" w:type="dxa"/>
            <w:vMerge/>
          </w:tcPr>
          <w:p>
            <w:pPr/>
          </w:p>
        </w:tc>
        <w:tc>
          <w:tcPr>
            <w:tcW w:w="2460" w:type="dxa"/>
          </w:tcPr>
          <w:p>
            <w:pPr>
              <w:pStyle w:val="TableParagraph"/>
              <w:spacing w:line="226" w:lineRule="exact"/>
              <w:ind w:right="55"/>
              <w:jc w:val="right"/>
              <w:rPr>
                <w:sz w:val="20"/>
              </w:rPr>
            </w:pPr>
            <w:r>
              <w:rPr>
                <w:sz w:val="20"/>
              </w:rPr>
              <w:t>10</w:t>
            </w:r>
          </w:p>
        </w:tc>
        <w:tc>
          <w:tcPr>
            <w:tcW w:w="1201" w:type="dxa"/>
          </w:tcPr>
          <w:p>
            <w:pPr>
              <w:pStyle w:val="TableParagraph"/>
              <w:spacing w:before="79"/>
              <w:ind w:right="58"/>
              <w:jc w:val="right"/>
              <w:rPr>
                <w:sz w:val="20"/>
              </w:rPr>
            </w:pPr>
            <w:r>
              <w:rPr>
                <w:sz w:val="20"/>
              </w:rPr>
              <w:t>0.99</w:t>
            </w:r>
          </w:p>
        </w:tc>
      </w:tr>
      <w:tr>
        <w:trPr>
          <w:trHeight w:val="336" w:hRule="exact"/>
        </w:trPr>
        <w:tc>
          <w:tcPr>
            <w:tcW w:w="2420" w:type="dxa"/>
            <w:vMerge/>
          </w:tcPr>
          <w:p>
            <w:pPr/>
          </w:p>
        </w:tc>
        <w:tc>
          <w:tcPr>
            <w:tcW w:w="2460" w:type="dxa"/>
          </w:tcPr>
          <w:p>
            <w:pPr>
              <w:pStyle w:val="TableParagraph"/>
              <w:spacing w:line="223" w:lineRule="exact"/>
              <w:ind w:right="55"/>
              <w:jc w:val="right"/>
              <w:rPr>
                <w:sz w:val="20"/>
              </w:rPr>
            </w:pPr>
            <w:r>
              <w:rPr>
                <w:sz w:val="20"/>
              </w:rPr>
              <w:t>11</w:t>
            </w:r>
          </w:p>
        </w:tc>
        <w:tc>
          <w:tcPr>
            <w:tcW w:w="1201" w:type="dxa"/>
          </w:tcPr>
          <w:p>
            <w:pPr>
              <w:pStyle w:val="TableParagraph"/>
              <w:spacing w:before="79"/>
              <w:ind w:right="58"/>
              <w:jc w:val="right"/>
              <w:rPr>
                <w:sz w:val="20"/>
              </w:rPr>
            </w:pPr>
            <w:r>
              <w:rPr>
                <w:sz w:val="20"/>
              </w:rPr>
              <w:t>0.99</w:t>
            </w:r>
          </w:p>
        </w:tc>
      </w:tr>
      <w:tr>
        <w:trPr>
          <w:trHeight w:val="334" w:hRule="exact"/>
        </w:trPr>
        <w:tc>
          <w:tcPr>
            <w:tcW w:w="2420" w:type="dxa"/>
            <w:vMerge/>
          </w:tcPr>
          <w:p>
            <w:pPr/>
          </w:p>
        </w:tc>
        <w:tc>
          <w:tcPr>
            <w:tcW w:w="2460" w:type="dxa"/>
          </w:tcPr>
          <w:p>
            <w:pPr>
              <w:pStyle w:val="TableParagraph"/>
              <w:spacing w:line="223" w:lineRule="exact"/>
              <w:ind w:right="55"/>
              <w:jc w:val="right"/>
              <w:rPr>
                <w:sz w:val="20"/>
              </w:rPr>
            </w:pPr>
            <w:r>
              <w:rPr>
                <w:sz w:val="20"/>
              </w:rPr>
              <w:t>12</w:t>
            </w:r>
          </w:p>
        </w:tc>
        <w:tc>
          <w:tcPr>
            <w:tcW w:w="1201" w:type="dxa"/>
          </w:tcPr>
          <w:p>
            <w:pPr>
              <w:pStyle w:val="TableParagraph"/>
              <w:spacing w:before="77"/>
              <w:ind w:right="58"/>
              <w:jc w:val="right"/>
              <w:rPr>
                <w:sz w:val="20"/>
              </w:rPr>
            </w:pPr>
            <w:r>
              <w:rPr>
                <w:sz w:val="20"/>
              </w:rPr>
              <w:t>0.99</w:t>
            </w:r>
          </w:p>
        </w:tc>
      </w:tr>
      <w:tr>
        <w:trPr>
          <w:trHeight w:val="336" w:hRule="exact"/>
        </w:trPr>
        <w:tc>
          <w:tcPr>
            <w:tcW w:w="2420" w:type="dxa"/>
            <w:vMerge/>
          </w:tcPr>
          <w:p>
            <w:pPr/>
          </w:p>
        </w:tc>
        <w:tc>
          <w:tcPr>
            <w:tcW w:w="2460" w:type="dxa"/>
          </w:tcPr>
          <w:p>
            <w:pPr>
              <w:pStyle w:val="TableParagraph"/>
              <w:spacing w:line="223" w:lineRule="exact"/>
              <w:ind w:right="55"/>
              <w:jc w:val="right"/>
              <w:rPr>
                <w:sz w:val="20"/>
              </w:rPr>
            </w:pPr>
            <w:r>
              <w:rPr>
                <w:sz w:val="20"/>
              </w:rPr>
              <w:t>13</w:t>
            </w:r>
          </w:p>
        </w:tc>
        <w:tc>
          <w:tcPr>
            <w:tcW w:w="1201" w:type="dxa"/>
          </w:tcPr>
          <w:p>
            <w:pPr>
              <w:pStyle w:val="TableParagraph"/>
              <w:spacing w:before="79"/>
              <w:ind w:right="58"/>
              <w:jc w:val="right"/>
              <w:rPr>
                <w:sz w:val="20"/>
              </w:rPr>
            </w:pPr>
            <w:r>
              <w:rPr>
                <w:sz w:val="20"/>
              </w:rPr>
              <w:t>0.99</w:t>
            </w:r>
          </w:p>
        </w:tc>
      </w:tr>
      <w:tr>
        <w:trPr>
          <w:trHeight w:val="334" w:hRule="exact"/>
        </w:trPr>
        <w:tc>
          <w:tcPr>
            <w:tcW w:w="2420" w:type="dxa"/>
            <w:vMerge/>
          </w:tcPr>
          <w:p>
            <w:pPr/>
          </w:p>
        </w:tc>
        <w:tc>
          <w:tcPr>
            <w:tcW w:w="2460" w:type="dxa"/>
          </w:tcPr>
          <w:p>
            <w:pPr>
              <w:pStyle w:val="TableParagraph"/>
              <w:spacing w:line="223" w:lineRule="exact"/>
              <w:ind w:right="55"/>
              <w:jc w:val="right"/>
              <w:rPr>
                <w:sz w:val="20"/>
              </w:rPr>
            </w:pPr>
            <w:r>
              <w:rPr>
                <w:sz w:val="20"/>
              </w:rPr>
              <w:t>14</w:t>
            </w:r>
          </w:p>
        </w:tc>
        <w:tc>
          <w:tcPr>
            <w:tcW w:w="1201" w:type="dxa"/>
          </w:tcPr>
          <w:p>
            <w:pPr>
              <w:pStyle w:val="TableParagraph"/>
              <w:spacing w:before="77"/>
              <w:ind w:right="58"/>
              <w:jc w:val="right"/>
              <w:rPr>
                <w:sz w:val="20"/>
              </w:rPr>
            </w:pPr>
            <w:r>
              <w:rPr>
                <w:sz w:val="20"/>
              </w:rPr>
              <w:t>0.99</w:t>
            </w:r>
          </w:p>
        </w:tc>
      </w:tr>
      <w:tr>
        <w:trPr>
          <w:trHeight w:val="336" w:hRule="exact"/>
        </w:trPr>
        <w:tc>
          <w:tcPr>
            <w:tcW w:w="2420" w:type="dxa"/>
            <w:vMerge/>
          </w:tcPr>
          <w:p>
            <w:pPr/>
          </w:p>
        </w:tc>
        <w:tc>
          <w:tcPr>
            <w:tcW w:w="2460" w:type="dxa"/>
          </w:tcPr>
          <w:p>
            <w:pPr>
              <w:pStyle w:val="TableParagraph"/>
              <w:spacing w:line="226" w:lineRule="exact"/>
              <w:ind w:right="55"/>
              <w:jc w:val="right"/>
              <w:rPr>
                <w:sz w:val="20"/>
              </w:rPr>
            </w:pPr>
            <w:r>
              <w:rPr>
                <w:sz w:val="20"/>
              </w:rPr>
              <w:t>15</w:t>
            </w:r>
          </w:p>
        </w:tc>
        <w:tc>
          <w:tcPr>
            <w:tcW w:w="1201" w:type="dxa"/>
          </w:tcPr>
          <w:p>
            <w:pPr>
              <w:pStyle w:val="TableParagraph"/>
              <w:spacing w:before="79"/>
              <w:ind w:right="58"/>
              <w:jc w:val="right"/>
              <w:rPr>
                <w:sz w:val="20"/>
              </w:rPr>
            </w:pPr>
            <w:r>
              <w:rPr>
                <w:sz w:val="20"/>
              </w:rPr>
              <w:t>0.99</w:t>
            </w:r>
          </w:p>
        </w:tc>
      </w:tr>
      <w:tr>
        <w:trPr>
          <w:trHeight w:val="334" w:hRule="exact"/>
        </w:trPr>
        <w:tc>
          <w:tcPr>
            <w:tcW w:w="2420" w:type="dxa"/>
            <w:vMerge/>
          </w:tcPr>
          <w:p>
            <w:pPr/>
          </w:p>
        </w:tc>
        <w:tc>
          <w:tcPr>
            <w:tcW w:w="2460" w:type="dxa"/>
          </w:tcPr>
          <w:p>
            <w:pPr>
              <w:pStyle w:val="TableParagraph"/>
              <w:spacing w:line="223" w:lineRule="exact"/>
              <w:ind w:right="55"/>
              <w:jc w:val="right"/>
              <w:rPr>
                <w:sz w:val="20"/>
              </w:rPr>
            </w:pPr>
            <w:r>
              <w:rPr>
                <w:sz w:val="20"/>
              </w:rPr>
              <w:t>16</w:t>
            </w:r>
          </w:p>
        </w:tc>
        <w:tc>
          <w:tcPr>
            <w:tcW w:w="1201" w:type="dxa"/>
          </w:tcPr>
          <w:p>
            <w:pPr>
              <w:pStyle w:val="TableParagraph"/>
              <w:spacing w:before="79"/>
              <w:ind w:right="58"/>
              <w:jc w:val="right"/>
              <w:rPr>
                <w:sz w:val="20"/>
              </w:rPr>
            </w:pPr>
            <w:r>
              <w:rPr>
                <w:sz w:val="20"/>
              </w:rPr>
              <w:t>0.99</w:t>
            </w:r>
          </w:p>
        </w:tc>
      </w:tr>
      <w:tr>
        <w:trPr>
          <w:trHeight w:val="336" w:hRule="exact"/>
        </w:trPr>
        <w:tc>
          <w:tcPr>
            <w:tcW w:w="2420" w:type="dxa"/>
            <w:vMerge/>
          </w:tcPr>
          <w:p>
            <w:pPr/>
          </w:p>
        </w:tc>
        <w:tc>
          <w:tcPr>
            <w:tcW w:w="2460" w:type="dxa"/>
          </w:tcPr>
          <w:p>
            <w:pPr>
              <w:pStyle w:val="TableParagraph"/>
              <w:spacing w:line="226" w:lineRule="exact"/>
              <w:ind w:right="55"/>
              <w:jc w:val="right"/>
              <w:rPr>
                <w:sz w:val="20"/>
              </w:rPr>
            </w:pPr>
            <w:r>
              <w:rPr>
                <w:sz w:val="20"/>
              </w:rPr>
              <w:t>17</w:t>
            </w:r>
          </w:p>
        </w:tc>
        <w:tc>
          <w:tcPr>
            <w:tcW w:w="1201" w:type="dxa"/>
          </w:tcPr>
          <w:p>
            <w:pPr>
              <w:pStyle w:val="TableParagraph"/>
              <w:spacing w:before="80"/>
              <w:ind w:right="58"/>
              <w:jc w:val="right"/>
              <w:rPr>
                <w:sz w:val="20"/>
              </w:rPr>
            </w:pPr>
            <w:r>
              <w:rPr>
                <w:sz w:val="20"/>
              </w:rPr>
              <w:t>0.99</w:t>
            </w:r>
          </w:p>
        </w:tc>
      </w:tr>
      <w:tr>
        <w:trPr>
          <w:trHeight w:val="336" w:hRule="exact"/>
        </w:trPr>
        <w:tc>
          <w:tcPr>
            <w:tcW w:w="2420" w:type="dxa"/>
            <w:vMerge/>
          </w:tcPr>
          <w:p>
            <w:pPr/>
          </w:p>
        </w:tc>
        <w:tc>
          <w:tcPr>
            <w:tcW w:w="2460" w:type="dxa"/>
          </w:tcPr>
          <w:p>
            <w:pPr>
              <w:pStyle w:val="TableParagraph"/>
              <w:spacing w:line="223" w:lineRule="exact"/>
              <w:ind w:right="55"/>
              <w:jc w:val="right"/>
              <w:rPr>
                <w:sz w:val="20"/>
              </w:rPr>
            </w:pPr>
            <w:r>
              <w:rPr>
                <w:sz w:val="20"/>
              </w:rPr>
              <w:t>18</w:t>
            </w:r>
          </w:p>
        </w:tc>
        <w:tc>
          <w:tcPr>
            <w:tcW w:w="1201" w:type="dxa"/>
          </w:tcPr>
          <w:p>
            <w:pPr>
              <w:pStyle w:val="TableParagraph"/>
              <w:spacing w:before="79"/>
              <w:ind w:right="58"/>
              <w:jc w:val="right"/>
              <w:rPr>
                <w:sz w:val="20"/>
              </w:rPr>
            </w:pPr>
            <w:r>
              <w:rPr>
                <w:sz w:val="20"/>
              </w:rPr>
              <w:t>0.87</w:t>
            </w:r>
          </w:p>
        </w:tc>
      </w:tr>
      <w:tr>
        <w:trPr>
          <w:trHeight w:val="334" w:hRule="exact"/>
        </w:trPr>
        <w:tc>
          <w:tcPr>
            <w:tcW w:w="2420" w:type="dxa"/>
            <w:vMerge/>
          </w:tcPr>
          <w:p>
            <w:pPr/>
          </w:p>
        </w:tc>
        <w:tc>
          <w:tcPr>
            <w:tcW w:w="2460" w:type="dxa"/>
          </w:tcPr>
          <w:p>
            <w:pPr>
              <w:pStyle w:val="TableParagraph"/>
              <w:spacing w:line="223" w:lineRule="exact"/>
              <w:ind w:right="55"/>
              <w:jc w:val="right"/>
              <w:rPr>
                <w:sz w:val="20"/>
              </w:rPr>
            </w:pPr>
            <w:r>
              <w:rPr>
                <w:sz w:val="20"/>
              </w:rPr>
              <w:t>19</w:t>
            </w:r>
          </w:p>
        </w:tc>
        <w:tc>
          <w:tcPr>
            <w:tcW w:w="1201" w:type="dxa"/>
          </w:tcPr>
          <w:p>
            <w:pPr>
              <w:pStyle w:val="TableParagraph"/>
              <w:spacing w:before="77"/>
              <w:ind w:right="58"/>
              <w:jc w:val="right"/>
              <w:rPr>
                <w:sz w:val="20"/>
              </w:rPr>
            </w:pPr>
            <w:r>
              <w:rPr>
                <w:sz w:val="20"/>
              </w:rPr>
              <w:t>0.99</w:t>
            </w:r>
          </w:p>
        </w:tc>
      </w:tr>
      <w:tr>
        <w:trPr>
          <w:trHeight w:val="336" w:hRule="exact"/>
        </w:trPr>
        <w:tc>
          <w:tcPr>
            <w:tcW w:w="2420" w:type="dxa"/>
            <w:vMerge/>
          </w:tcPr>
          <w:p>
            <w:pPr/>
          </w:p>
        </w:tc>
        <w:tc>
          <w:tcPr>
            <w:tcW w:w="2460" w:type="dxa"/>
          </w:tcPr>
          <w:p>
            <w:pPr>
              <w:pStyle w:val="TableParagraph"/>
              <w:spacing w:line="226" w:lineRule="exact"/>
              <w:ind w:right="55"/>
              <w:jc w:val="right"/>
              <w:rPr>
                <w:sz w:val="20"/>
              </w:rPr>
            </w:pPr>
            <w:r>
              <w:rPr>
                <w:sz w:val="20"/>
              </w:rPr>
              <w:t>20</w:t>
            </w:r>
          </w:p>
        </w:tc>
        <w:tc>
          <w:tcPr>
            <w:tcW w:w="1201" w:type="dxa"/>
          </w:tcPr>
          <w:p>
            <w:pPr>
              <w:pStyle w:val="TableParagraph"/>
              <w:spacing w:before="79"/>
              <w:ind w:right="58"/>
              <w:jc w:val="right"/>
              <w:rPr>
                <w:sz w:val="20"/>
              </w:rPr>
            </w:pPr>
            <w:r>
              <w:rPr>
                <w:sz w:val="20"/>
              </w:rPr>
              <w:t>0.99</w:t>
            </w:r>
          </w:p>
        </w:tc>
      </w:tr>
      <w:tr>
        <w:trPr>
          <w:trHeight w:val="334" w:hRule="exact"/>
        </w:trPr>
        <w:tc>
          <w:tcPr>
            <w:tcW w:w="2420" w:type="dxa"/>
            <w:vMerge/>
          </w:tcPr>
          <w:p>
            <w:pPr/>
          </w:p>
        </w:tc>
        <w:tc>
          <w:tcPr>
            <w:tcW w:w="2460" w:type="dxa"/>
          </w:tcPr>
          <w:p>
            <w:pPr>
              <w:pStyle w:val="TableParagraph"/>
              <w:spacing w:line="223" w:lineRule="exact"/>
              <w:ind w:right="55"/>
              <w:jc w:val="right"/>
              <w:rPr>
                <w:sz w:val="20"/>
              </w:rPr>
            </w:pPr>
            <w:r>
              <w:rPr>
                <w:sz w:val="20"/>
              </w:rPr>
              <w:t>21</w:t>
            </w:r>
          </w:p>
        </w:tc>
        <w:tc>
          <w:tcPr>
            <w:tcW w:w="1201" w:type="dxa"/>
          </w:tcPr>
          <w:p>
            <w:pPr>
              <w:pStyle w:val="TableParagraph"/>
              <w:spacing w:before="79"/>
              <w:ind w:right="58"/>
              <w:jc w:val="right"/>
              <w:rPr>
                <w:sz w:val="20"/>
              </w:rPr>
            </w:pPr>
            <w:r>
              <w:rPr>
                <w:sz w:val="20"/>
              </w:rPr>
              <w:t>0.99</w:t>
            </w:r>
          </w:p>
        </w:tc>
      </w:tr>
      <w:tr>
        <w:trPr>
          <w:trHeight w:val="336" w:hRule="exact"/>
        </w:trPr>
        <w:tc>
          <w:tcPr>
            <w:tcW w:w="2420" w:type="dxa"/>
            <w:vMerge/>
          </w:tcPr>
          <w:p>
            <w:pPr/>
          </w:p>
        </w:tc>
        <w:tc>
          <w:tcPr>
            <w:tcW w:w="2460" w:type="dxa"/>
          </w:tcPr>
          <w:p>
            <w:pPr>
              <w:pStyle w:val="TableParagraph"/>
              <w:spacing w:line="226" w:lineRule="exact"/>
              <w:ind w:right="55"/>
              <w:jc w:val="right"/>
              <w:rPr>
                <w:sz w:val="20"/>
              </w:rPr>
            </w:pPr>
            <w:r>
              <w:rPr>
                <w:sz w:val="20"/>
              </w:rPr>
              <w:t>22</w:t>
            </w:r>
          </w:p>
        </w:tc>
        <w:tc>
          <w:tcPr>
            <w:tcW w:w="1201" w:type="dxa"/>
          </w:tcPr>
          <w:p>
            <w:pPr>
              <w:pStyle w:val="TableParagraph"/>
              <w:spacing w:before="79"/>
              <w:ind w:right="58"/>
              <w:jc w:val="right"/>
              <w:rPr>
                <w:sz w:val="20"/>
              </w:rPr>
            </w:pPr>
            <w:r>
              <w:rPr>
                <w:sz w:val="20"/>
              </w:rPr>
              <w:t>0.99</w:t>
            </w:r>
          </w:p>
        </w:tc>
      </w:tr>
      <w:tr>
        <w:trPr>
          <w:trHeight w:val="336" w:hRule="exact"/>
        </w:trPr>
        <w:tc>
          <w:tcPr>
            <w:tcW w:w="2420" w:type="dxa"/>
            <w:vMerge w:val="restart"/>
          </w:tcPr>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spacing w:before="5"/>
              <w:rPr>
                <w:b/>
                <w:i/>
                <w:sz w:val="23"/>
              </w:rPr>
            </w:pPr>
          </w:p>
          <w:p>
            <w:pPr>
              <w:pStyle w:val="TableParagraph"/>
              <w:spacing w:before="1"/>
              <w:ind w:left="252"/>
              <w:rPr>
                <w:sz w:val="20"/>
              </w:rPr>
            </w:pPr>
            <w:r>
              <w:rPr>
                <w:sz w:val="20"/>
              </w:rPr>
              <w:t>Calidad de la transición</w:t>
            </w:r>
          </w:p>
        </w:tc>
        <w:tc>
          <w:tcPr>
            <w:tcW w:w="2460" w:type="dxa"/>
          </w:tcPr>
          <w:p>
            <w:pPr>
              <w:pStyle w:val="TableParagraph"/>
              <w:spacing w:line="223" w:lineRule="exact"/>
              <w:ind w:right="55"/>
              <w:jc w:val="right"/>
              <w:rPr>
                <w:sz w:val="20"/>
              </w:rPr>
            </w:pPr>
            <w:r>
              <w:rPr>
                <w:sz w:val="20"/>
              </w:rPr>
              <w:t>23</w:t>
            </w:r>
          </w:p>
        </w:tc>
        <w:tc>
          <w:tcPr>
            <w:tcW w:w="1201" w:type="dxa"/>
          </w:tcPr>
          <w:p>
            <w:pPr>
              <w:pStyle w:val="TableParagraph"/>
              <w:spacing w:before="79"/>
              <w:ind w:right="58"/>
              <w:jc w:val="right"/>
              <w:rPr>
                <w:sz w:val="20"/>
              </w:rPr>
            </w:pPr>
            <w:r>
              <w:rPr>
                <w:sz w:val="20"/>
              </w:rPr>
              <w:t>0.75</w:t>
            </w:r>
          </w:p>
        </w:tc>
      </w:tr>
      <w:tr>
        <w:trPr>
          <w:trHeight w:val="334" w:hRule="exact"/>
        </w:trPr>
        <w:tc>
          <w:tcPr>
            <w:tcW w:w="2420" w:type="dxa"/>
            <w:vMerge/>
          </w:tcPr>
          <w:p>
            <w:pPr/>
          </w:p>
        </w:tc>
        <w:tc>
          <w:tcPr>
            <w:tcW w:w="2460" w:type="dxa"/>
          </w:tcPr>
          <w:p>
            <w:pPr>
              <w:pStyle w:val="TableParagraph"/>
              <w:spacing w:line="223" w:lineRule="exact"/>
              <w:ind w:right="55"/>
              <w:jc w:val="right"/>
              <w:rPr>
                <w:sz w:val="20"/>
              </w:rPr>
            </w:pPr>
            <w:r>
              <w:rPr>
                <w:sz w:val="20"/>
              </w:rPr>
              <w:t>24</w:t>
            </w:r>
          </w:p>
        </w:tc>
        <w:tc>
          <w:tcPr>
            <w:tcW w:w="1201" w:type="dxa"/>
          </w:tcPr>
          <w:p>
            <w:pPr>
              <w:pStyle w:val="TableParagraph"/>
              <w:spacing w:before="77"/>
              <w:ind w:right="58"/>
              <w:jc w:val="right"/>
              <w:rPr>
                <w:sz w:val="20"/>
              </w:rPr>
            </w:pPr>
            <w:r>
              <w:rPr>
                <w:sz w:val="20"/>
              </w:rPr>
              <w:t>0.87</w:t>
            </w:r>
          </w:p>
        </w:tc>
      </w:tr>
      <w:tr>
        <w:trPr>
          <w:trHeight w:val="336" w:hRule="exact"/>
        </w:trPr>
        <w:tc>
          <w:tcPr>
            <w:tcW w:w="2420" w:type="dxa"/>
            <w:vMerge/>
          </w:tcPr>
          <w:p>
            <w:pPr/>
          </w:p>
        </w:tc>
        <w:tc>
          <w:tcPr>
            <w:tcW w:w="2460" w:type="dxa"/>
          </w:tcPr>
          <w:p>
            <w:pPr>
              <w:pStyle w:val="TableParagraph"/>
              <w:spacing w:line="223" w:lineRule="exact"/>
              <w:ind w:right="55"/>
              <w:jc w:val="right"/>
              <w:rPr>
                <w:sz w:val="20"/>
              </w:rPr>
            </w:pPr>
            <w:r>
              <w:rPr>
                <w:sz w:val="20"/>
              </w:rPr>
              <w:t>25</w:t>
            </w:r>
          </w:p>
        </w:tc>
        <w:tc>
          <w:tcPr>
            <w:tcW w:w="1201" w:type="dxa"/>
          </w:tcPr>
          <w:p>
            <w:pPr>
              <w:pStyle w:val="TableParagraph"/>
              <w:spacing w:before="79"/>
              <w:ind w:right="58"/>
              <w:jc w:val="right"/>
              <w:rPr>
                <w:sz w:val="20"/>
              </w:rPr>
            </w:pPr>
            <w:r>
              <w:rPr>
                <w:sz w:val="20"/>
              </w:rPr>
              <w:t>0.99</w:t>
            </w:r>
          </w:p>
        </w:tc>
      </w:tr>
      <w:tr>
        <w:trPr>
          <w:trHeight w:val="334" w:hRule="exact"/>
        </w:trPr>
        <w:tc>
          <w:tcPr>
            <w:tcW w:w="2420" w:type="dxa"/>
            <w:vMerge/>
          </w:tcPr>
          <w:p>
            <w:pPr/>
          </w:p>
        </w:tc>
        <w:tc>
          <w:tcPr>
            <w:tcW w:w="2460" w:type="dxa"/>
          </w:tcPr>
          <w:p>
            <w:pPr>
              <w:pStyle w:val="TableParagraph"/>
              <w:spacing w:line="223" w:lineRule="exact"/>
              <w:ind w:right="55"/>
              <w:jc w:val="right"/>
              <w:rPr>
                <w:sz w:val="20"/>
              </w:rPr>
            </w:pPr>
            <w:r>
              <w:rPr>
                <w:sz w:val="20"/>
              </w:rPr>
              <w:t>26</w:t>
            </w:r>
          </w:p>
        </w:tc>
        <w:tc>
          <w:tcPr>
            <w:tcW w:w="1201" w:type="dxa"/>
          </w:tcPr>
          <w:p>
            <w:pPr>
              <w:pStyle w:val="TableParagraph"/>
              <w:spacing w:before="77"/>
              <w:ind w:right="58"/>
              <w:jc w:val="right"/>
              <w:rPr>
                <w:sz w:val="20"/>
              </w:rPr>
            </w:pPr>
            <w:r>
              <w:rPr>
                <w:sz w:val="20"/>
              </w:rPr>
              <w:t>0.99</w:t>
            </w:r>
          </w:p>
        </w:tc>
      </w:tr>
      <w:tr>
        <w:trPr>
          <w:trHeight w:val="337" w:hRule="exact"/>
        </w:trPr>
        <w:tc>
          <w:tcPr>
            <w:tcW w:w="2420" w:type="dxa"/>
            <w:vMerge/>
          </w:tcPr>
          <w:p>
            <w:pPr/>
          </w:p>
        </w:tc>
        <w:tc>
          <w:tcPr>
            <w:tcW w:w="2460" w:type="dxa"/>
          </w:tcPr>
          <w:p>
            <w:pPr>
              <w:pStyle w:val="TableParagraph"/>
              <w:spacing w:line="226" w:lineRule="exact"/>
              <w:ind w:right="55"/>
              <w:jc w:val="right"/>
              <w:rPr>
                <w:sz w:val="20"/>
              </w:rPr>
            </w:pPr>
            <w:r>
              <w:rPr>
                <w:sz w:val="20"/>
              </w:rPr>
              <w:t>27</w:t>
            </w:r>
          </w:p>
        </w:tc>
        <w:tc>
          <w:tcPr>
            <w:tcW w:w="1201" w:type="dxa"/>
          </w:tcPr>
          <w:p>
            <w:pPr>
              <w:pStyle w:val="TableParagraph"/>
              <w:spacing w:before="80"/>
              <w:ind w:right="58"/>
              <w:jc w:val="right"/>
              <w:rPr>
                <w:sz w:val="20"/>
              </w:rPr>
            </w:pPr>
            <w:r>
              <w:rPr>
                <w:sz w:val="20"/>
              </w:rPr>
              <w:t>0.99</w:t>
            </w:r>
          </w:p>
        </w:tc>
      </w:tr>
      <w:tr>
        <w:trPr>
          <w:trHeight w:val="334" w:hRule="exact"/>
        </w:trPr>
        <w:tc>
          <w:tcPr>
            <w:tcW w:w="2420" w:type="dxa"/>
            <w:vMerge/>
          </w:tcPr>
          <w:p>
            <w:pPr/>
          </w:p>
        </w:tc>
        <w:tc>
          <w:tcPr>
            <w:tcW w:w="2460" w:type="dxa"/>
          </w:tcPr>
          <w:p>
            <w:pPr>
              <w:pStyle w:val="TableParagraph"/>
              <w:spacing w:line="223" w:lineRule="exact"/>
              <w:ind w:right="55"/>
              <w:jc w:val="right"/>
              <w:rPr>
                <w:sz w:val="20"/>
              </w:rPr>
            </w:pPr>
            <w:r>
              <w:rPr>
                <w:sz w:val="20"/>
              </w:rPr>
              <w:t>28</w:t>
            </w:r>
          </w:p>
        </w:tc>
        <w:tc>
          <w:tcPr>
            <w:tcW w:w="1201" w:type="dxa"/>
          </w:tcPr>
          <w:p>
            <w:pPr>
              <w:pStyle w:val="TableParagraph"/>
              <w:spacing w:before="79"/>
              <w:ind w:right="58"/>
              <w:jc w:val="right"/>
              <w:rPr>
                <w:sz w:val="20"/>
              </w:rPr>
            </w:pPr>
            <w:r>
              <w:rPr>
                <w:sz w:val="20"/>
              </w:rPr>
              <w:t>0.99</w:t>
            </w:r>
          </w:p>
        </w:tc>
      </w:tr>
      <w:tr>
        <w:trPr>
          <w:trHeight w:val="336" w:hRule="exact"/>
        </w:trPr>
        <w:tc>
          <w:tcPr>
            <w:tcW w:w="2420" w:type="dxa"/>
            <w:vMerge/>
          </w:tcPr>
          <w:p>
            <w:pPr/>
          </w:p>
        </w:tc>
        <w:tc>
          <w:tcPr>
            <w:tcW w:w="2460" w:type="dxa"/>
          </w:tcPr>
          <w:p>
            <w:pPr>
              <w:pStyle w:val="TableParagraph"/>
              <w:spacing w:line="226" w:lineRule="exact"/>
              <w:ind w:right="55"/>
              <w:jc w:val="right"/>
              <w:rPr>
                <w:sz w:val="20"/>
              </w:rPr>
            </w:pPr>
            <w:r>
              <w:rPr>
                <w:sz w:val="20"/>
              </w:rPr>
              <w:t>29</w:t>
            </w:r>
          </w:p>
        </w:tc>
        <w:tc>
          <w:tcPr>
            <w:tcW w:w="1201" w:type="dxa"/>
          </w:tcPr>
          <w:p>
            <w:pPr>
              <w:pStyle w:val="TableParagraph"/>
              <w:spacing w:before="79"/>
              <w:ind w:right="58"/>
              <w:jc w:val="right"/>
              <w:rPr>
                <w:sz w:val="20"/>
              </w:rPr>
            </w:pPr>
            <w:r>
              <w:rPr>
                <w:sz w:val="20"/>
              </w:rPr>
              <w:t>0.99</w:t>
            </w:r>
          </w:p>
        </w:tc>
      </w:tr>
      <w:tr>
        <w:trPr>
          <w:trHeight w:val="336" w:hRule="exact"/>
        </w:trPr>
        <w:tc>
          <w:tcPr>
            <w:tcW w:w="2420" w:type="dxa"/>
            <w:vMerge/>
          </w:tcPr>
          <w:p>
            <w:pPr/>
          </w:p>
        </w:tc>
        <w:tc>
          <w:tcPr>
            <w:tcW w:w="2460" w:type="dxa"/>
          </w:tcPr>
          <w:p>
            <w:pPr>
              <w:pStyle w:val="TableParagraph"/>
              <w:spacing w:line="223" w:lineRule="exact"/>
              <w:ind w:right="55"/>
              <w:jc w:val="right"/>
              <w:rPr>
                <w:sz w:val="20"/>
              </w:rPr>
            </w:pPr>
            <w:r>
              <w:rPr>
                <w:sz w:val="20"/>
              </w:rPr>
              <w:t>30</w:t>
            </w:r>
          </w:p>
        </w:tc>
        <w:tc>
          <w:tcPr>
            <w:tcW w:w="1201" w:type="dxa"/>
          </w:tcPr>
          <w:p>
            <w:pPr>
              <w:pStyle w:val="TableParagraph"/>
              <w:spacing w:before="79"/>
              <w:ind w:right="58"/>
              <w:jc w:val="right"/>
              <w:rPr>
                <w:sz w:val="20"/>
              </w:rPr>
            </w:pPr>
            <w:r>
              <w:rPr>
                <w:sz w:val="20"/>
              </w:rPr>
              <w:t>0.99</w:t>
            </w:r>
          </w:p>
        </w:tc>
      </w:tr>
      <w:tr>
        <w:trPr>
          <w:trHeight w:val="334" w:hRule="exact"/>
        </w:trPr>
        <w:tc>
          <w:tcPr>
            <w:tcW w:w="2420" w:type="dxa"/>
            <w:vMerge/>
          </w:tcPr>
          <w:p>
            <w:pPr/>
          </w:p>
        </w:tc>
        <w:tc>
          <w:tcPr>
            <w:tcW w:w="2460" w:type="dxa"/>
          </w:tcPr>
          <w:p>
            <w:pPr>
              <w:pStyle w:val="TableParagraph"/>
              <w:spacing w:line="223" w:lineRule="exact"/>
              <w:ind w:right="55"/>
              <w:jc w:val="right"/>
              <w:rPr>
                <w:sz w:val="20"/>
              </w:rPr>
            </w:pPr>
            <w:r>
              <w:rPr>
                <w:sz w:val="20"/>
              </w:rPr>
              <w:t>31</w:t>
            </w:r>
          </w:p>
        </w:tc>
        <w:tc>
          <w:tcPr>
            <w:tcW w:w="1201" w:type="dxa"/>
          </w:tcPr>
          <w:p>
            <w:pPr>
              <w:pStyle w:val="TableParagraph"/>
              <w:spacing w:before="77"/>
              <w:ind w:right="58"/>
              <w:jc w:val="right"/>
              <w:rPr>
                <w:sz w:val="20"/>
              </w:rPr>
            </w:pPr>
            <w:r>
              <w:rPr>
                <w:sz w:val="20"/>
              </w:rPr>
              <w:t>0.99</w:t>
            </w:r>
          </w:p>
        </w:tc>
      </w:tr>
      <w:tr>
        <w:trPr>
          <w:trHeight w:val="336" w:hRule="exact"/>
        </w:trPr>
        <w:tc>
          <w:tcPr>
            <w:tcW w:w="2420" w:type="dxa"/>
            <w:vMerge/>
          </w:tcPr>
          <w:p>
            <w:pPr/>
          </w:p>
        </w:tc>
        <w:tc>
          <w:tcPr>
            <w:tcW w:w="2460" w:type="dxa"/>
          </w:tcPr>
          <w:p>
            <w:pPr>
              <w:pStyle w:val="TableParagraph"/>
              <w:spacing w:line="226" w:lineRule="exact"/>
              <w:ind w:right="55"/>
              <w:jc w:val="right"/>
              <w:rPr>
                <w:sz w:val="20"/>
              </w:rPr>
            </w:pPr>
            <w:r>
              <w:rPr>
                <w:sz w:val="20"/>
              </w:rPr>
              <w:t>32</w:t>
            </w:r>
          </w:p>
        </w:tc>
        <w:tc>
          <w:tcPr>
            <w:tcW w:w="1201" w:type="dxa"/>
          </w:tcPr>
          <w:p>
            <w:pPr>
              <w:pStyle w:val="TableParagraph"/>
              <w:spacing w:before="79"/>
              <w:ind w:right="58"/>
              <w:jc w:val="right"/>
              <w:rPr>
                <w:sz w:val="20"/>
              </w:rPr>
            </w:pPr>
            <w:r>
              <w:rPr>
                <w:sz w:val="20"/>
              </w:rPr>
              <w:t>0.99</w:t>
            </w:r>
          </w:p>
        </w:tc>
      </w:tr>
      <w:tr>
        <w:trPr>
          <w:trHeight w:val="334" w:hRule="exact"/>
        </w:trPr>
        <w:tc>
          <w:tcPr>
            <w:tcW w:w="2420" w:type="dxa"/>
            <w:vMerge/>
          </w:tcPr>
          <w:p>
            <w:pPr/>
          </w:p>
        </w:tc>
        <w:tc>
          <w:tcPr>
            <w:tcW w:w="2460" w:type="dxa"/>
          </w:tcPr>
          <w:p>
            <w:pPr>
              <w:pStyle w:val="TableParagraph"/>
              <w:spacing w:line="223" w:lineRule="exact"/>
              <w:ind w:right="55"/>
              <w:jc w:val="right"/>
              <w:rPr>
                <w:sz w:val="20"/>
              </w:rPr>
            </w:pPr>
            <w:r>
              <w:rPr>
                <w:sz w:val="20"/>
              </w:rPr>
              <w:t>33</w:t>
            </w:r>
          </w:p>
        </w:tc>
        <w:tc>
          <w:tcPr>
            <w:tcW w:w="1201" w:type="dxa"/>
          </w:tcPr>
          <w:p>
            <w:pPr>
              <w:pStyle w:val="TableParagraph"/>
              <w:spacing w:before="79"/>
              <w:ind w:right="58"/>
              <w:jc w:val="right"/>
              <w:rPr>
                <w:sz w:val="20"/>
              </w:rPr>
            </w:pPr>
            <w:r>
              <w:rPr>
                <w:sz w:val="20"/>
              </w:rPr>
              <w:t>0.99</w:t>
            </w:r>
          </w:p>
        </w:tc>
      </w:tr>
      <w:tr>
        <w:trPr>
          <w:trHeight w:val="336" w:hRule="exact"/>
        </w:trPr>
        <w:tc>
          <w:tcPr>
            <w:tcW w:w="2420" w:type="dxa"/>
            <w:vMerge/>
          </w:tcPr>
          <w:p>
            <w:pPr/>
          </w:p>
        </w:tc>
        <w:tc>
          <w:tcPr>
            <w:tcW w:w="2460" w:type="dxa"/>
          </w:tcPr>
          <w:p>
            <w:pPr>
              <w:pStyle w:val="TableParagraph"/>
              <w:spacing w:line="226" w:lineRule="exact"/>
              <w:ind w:right="55"/>
              <w:jc w:val="right"/>
              <w:rPr>
                <w:sz w:val="20"/>
              </w:rPr>
            </w:pPr>
            <w:r>
              <w:rPr>
                <w:sz w:val="20"/>
              </w:rPr>
              <w:t>34</w:t>
            </w:r>
          </w:p>
        </w:tc>
        <w:tc>
          <w:tcPr>
            <w:tcW w:w="1201" w:type="dxa"/>
          </w:tcPr>
          <w:p>
            <w:pPr>
              <w:pStyle w:val="TableParagraph"/>
              <w:spacing w:before="79"/>
              <w:ind w:right="58"/>
              <w:jc w:val="right"/>
              <w:rPr>
                <w:sz w:val="20"/>
              </w:rPr>
            </w:pPr>
            <w:r>
              <w:rPr>
                <w:sz w:val="20"/>
              </w:rPr>
              <w:t>0.99</w:t>
            </w:r>
          </w:p>
        </w:tc>
      </w:tr>
    </w:tbl>
    <w:p>
      <w:pPr>
        <w:spacing w:after="0"/>
        <w:jc w:val="right"/>
        <w:rPr>
          <w:sz w:val="20"/>
        </w:rPr>
        <w:sectPr>
          <w:pgSz w:w="12240" w:h="15840"/>
          <w:pgMar w:header="0" w:footer="943" w:top="1360" w:bottom="1200" w:left="1720" w:right="1580"/>
        </w:sectPr>
      </w:pPr>
    </w:p>
    <w:tbl>
      <w:tblPr>
        <w:tblW w:w="0" w:type="auto"/>
        <w:jc w:val="left"/>
        <w:tblInd w:w="135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20"/>
        <w:gridCol w:w="2460"/>
        <w:gridCol w:w="1201"/>
      </w:tblGrid>
      <w:tr>
        <w:trPr>
          <w:trHeight w:val="327" w:hRule="exact"/>
        </w:trPr>
        <w:tc>
          <w:tcPr>
            <w:tcW w:w="2420" w:type="dxa"/>
            <w:vMerge w:val="restart"/>
            <w:tcBorders>
              <w:left w:val="single" w:sz="8" w:space="0" w:color="000000"/>
              <w:right w:val="single" w:sz="8" w:space="0" w:color="000000"/>
            </w:tcBorders>
          </w:tcPr>
          <w:p>
            <w:pPr/>
          </w:p>
        </w:tc>
        <w:tc>
          <w:tcPr>
            <w:tcW w:w="2460" w:type="dxa"/>
            <w:tcBorders>
              <w:left w:val="single" w:sz="8" w:space="0" w:color="000000"/>
              <w:bottom w:val="single" w:sz="8" w:space="0" w:color="000000"/>
              <w:right w:val="single" w:sz="8" w:space="0" w:color="000000"/>
            </w:tcBorders>
          </w:tcPr>
          <w:p>
            <w:pPr>
              <w:pStyle w:val="TableParagraph"/>
              <w:spacing w:line="224" w:lineRule="exact"/>
              <w:ind w:right="55"/>
              <w:jc w:val="right"/>
              <w:rPr>
                <w:sz w:val="20"/>
              </w:rPr>
            </w:pPr>
            <w:r>
              <w:rPr>
                <w:sz w:val="20"/>
              </w:rPr>
              <w:t>35</w:t>
            </w:r>
          </w:p>
        </w:tc>
        <w:tc>
          <w:tcPr>
            <w:tcW w:w="1201" w:type="dxa"/>
            <w:tcBorders>
              <w:left w:val="single" w:sz="8" w:space="0" w:color="000000"/>
              <w:bottom w:val="single" w:sz="8" w:space="0" w:color="000000"/>
              <w:right w:val="single" w:sz="8" w:space="0" w:color="000000"/>
            </w:tcBorders>
          </w:tcPr>
          <w:p>
            <w:pPr>
              <w:pStyle w:val="TableParagraph"/>
              <w:spacing w:before="80"/>
              <w:ind w:right="58"/>
              <w:jc w:val="right"/>
              <w:rPr>
                <w:sz w:val="20"/>
              </w:rPr>
            </w:pPr>
            <w:r>
              <w:rPr>
                <w:sz w:val="20"/>
              </w:rPr>
              <w:t>0.99</w:t>
            </w:r>
          </w:p>
        </w:tc>
      </w:tr>
      <w:tr>
        <w:trPr>
          <w:trHeight w:val="334"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36</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7"/>
              <w:ind w:right="58"/>
              <w:jc w:val="right"/>
              <w:rPr>
                <w:sz w:val="20"/>
              </w:rPr>
            </w:pPr>
            <w:r>
              <w:rPr>
                <w:sz w:val="20"/>
              </w:rPr>
              <w:t>0.99</w:t>
            </w:r>
          </w:p>
        </w:tc>
      </w:tr>
      <w:tr>
        <w:trPr>
          <w:trHeight w:val="336"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6" w:lineRule="exact"/>
              <w:ind w:right="55"/>
              <w:jc w:val="right"/>
              <w:rPr>
                <w:sz w:val="20"/>
              </w:rPr>
            </w:pPr>
            <w:r>
              <w:rPr>
                <w:sz w:val="20"/>
              </w:rPr>
              <w:t>37</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4"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38</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6"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6" w:lineRule="exact"/>
              <w:ind w:right="55"/>
              <w:jc w:val="right"/>
              <w:rPr>
                <w:sz w:val="20"/>
              </w:rPr>
            </w:pPr>
            <w:r>
              <w:rPr>
                <w:sz w:val="20"/>
              </w:rPr>
              <w:t>39</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6"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40</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4"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41</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7"/>
              <w:ind w:right="58"/>
              <w:jc w:val="right"/>
              <w:rPr>
                <w:sz w:val="20"/>
              </w:rPr>
            </w:pPr>
            <w:r>
              <w:rPr>
                <w:sz w:val="20"/>
              </w:rPr>
              <w:t>0.99</w:t>
            </w:r>
          </w:p>
        </w:tc>
      </w:tr>
      <w:tr>
        <w:trPr>
          <w:trHeight w:val="336" w:hRule="exact"/>
        </w:trPr>
        <w:tc>
          <w:tcPr>
            <w:tcW w:w="2420" w:type="dxa"/>
            <w:vMerge/>
            <w:tcBorders>
              <w:left w:val="single" w:sz="8" w:space="0" w:color="000000"/>
              <w:bottom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6" w:lineRule="exact"/>
              <w:ind w:right="55"/>
              <w:jc w:val="right"/>
              <w:rPr>
                <w:sz w:val="20"/>
              </w:rPr>
            </w:pPr>
            <w:r>
              <w:rPr>
                <w:sz w:val="20"/>
              </w:rPr>
              <w:t>42</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19" w:hRule="exact"/>
        </w:trPr>
        <w:tc>
          <w:tcPr>
            <w:tcW w:w="2420" w:type="dxa"/>
            <w:vMerge w:val="restart"/>
            <w:tcBorders>
              <w:top w:val="single" w:sz="8" w:space="0" w:color="000000"/>
              <w:left w:val="single" w:sz="8" w:space="0" w:color="000000"/>
              <w:right w:val="single" w:sz="8" w:space="0" w:color="000000"/>
            </w:tcBorders>
          </w:tcPr>
          <w:p>
            <w:pPr>
              <w:pStyle w:val="TableParagraph"/>
              <w:rPr>
                <w:b/>
                <w:i/>
                <w:sz w:val="20"/>
              </w:rPr>
            </w:pPr>
          </w:p>
          <w:p>
            <w:pPr>
              <w:pStyle w:val="TableParagraph"/>
              <w:rPr>
                <w:b/>
                <w:i/>
                <w:sz w:val="20"/>
              </w:rPr>
            </w:pPr>
          </w:p>
          <w:p>
            <w:pPr>
              <w:pStyle w:val="TableParagraph"/>
              <w:spacing w:before="4"/>
              <w:rPr>
                <w:b/>
                <w:i/>
                <w:sz w:val="25"/>
              </w:rPr>
            </w:pPr>
          </w:p>
          <w:p>
            <w:pPr>
              <w:pStyle w:val="TableParagraph"/>
              <w:spacing w:before="1"/>
              <w:ind w:left="804" w:hanging="399"/>
              <w:rPr>
                <w:sz w:val="20"/>
              </w:rPr>
            </w:pPr>
            <w:r>
              <w:rPr>
                <w:sz w:val="20"/>
              </w:rPr>
              <w:t>Consolidación de la transición</w:t>
            </w: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43</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63"/>
              <w:ind w:right="58"/>
              <w:jc w:val="right"/>
              <w:rPr>
                <w:sz w:val="20"/>
              </w:rPr>
            </w:pPr>
            <w:r>
              <w:rPr>
                <w:sz w:val="20"/>
              </w:rPr>
              <w:t>0.99</w:t>
            </w:r>
          </w:p>
        </w:tc>
      </w:tr>
      <w:tr>
        <w:trPr>
          <w:trHeight w:val="336"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44</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4"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45</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8"/>
              <w:ind w:right="58"/>
              <w:jc w:val="right"/>
              <w:rPr>
                <w:sz w:val="20"/>
              </w:rPr>
            </w:pPr>
            <w:r>
              <w:rPr>
                <w:sz w:val="20"/>
              </w:rPr>
              <w:t>0.99</w:t>
            </w:r>
          </w:p>
        </w:tc>
      </w:tr>
      <w:tr>
        <w:trPr>
          <w:trHeight w:val="336"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6" w:lineRule="exact"/>
              <w:ind w:right="55"/>
              <w:jc w:val="right"/>
              <w:rPr>
                <w:sz w:val="20"/>
              </w:rPr>
            </w:pPr>
            <w:r>
              <w:rPr>
                <w:sz w:val="20"/>
              </w:rPr>
              <w:t>46</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4"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47</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6" w:hRule="exact"/>
        </w:trPr>
        <w:tc>
          <w:tcPr>
            <w:tcW w:w="2420" w:type="dxa"/>
            <w:vMerge/>
            <w:tcBorders>
              <w:left w:val="single" w:sz="8" w:space="0" w:color="000000"/>
              <w:bottom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6" w:lineRule="exact"/>
              <w:ind w:right="55"/>
              <w:jc w:val="right"/>
              <w:rPr>
                <w:sz w:val="20"/>
              </w:rPr>
            </w:pPr>
            <w:r>
              <w:rPr>
                <w:sz w:val="20"/>
              </w:rPr>
              <w:t>48</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6" w:hRule="exact"/>
        </w:trPr>
        <w:tc>
          <w:tcPr>
            <w:tcW w:w="2420" w:type="dxa"/>
            <w:vMerge w:val="restart"/>
            <w:tcBorders>
              <w:top w:val="single" w:sz="8" w:space="0" w:color="000000"/>
              <w:left w:val="single" w:sz="8" w:space="0" w:color="000000"/>
              <w:right w:val="single" w:sz="8" w:space="0" w:color="000000"/>
            </w:tcBorders>
          </w:tcPr>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spacing w:before="11"/>
              <w:rPr>
                <w:b/>
                <w:i/>
                <w:sz w:val="19"/>
              </w:rPr>
            </w:pPr>
          </w:p>
          <w:p>
            <w:pPr>
              <w:pStyle w:val="TableParagraph"/>
              <w:ind w:left="624"/>
              <w:rPr>
                <w:sz w:val="20"/>
              </w:rPr>
            </w:pPr>
            <w:r>
              <w:rPr>
                <w:sz w:val="20"/>
              </w:rPr>
              <w:t>Trabajo actual</w:t>
            </w: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49</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4"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50</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7"/>
              <w:ind w:right="58"/>
              <w:jc w:val="right"/>
              <w:rPr>
                <w:sz w:val="20"/>
              </w:rPr>
            </w:pPr>
            <w:r>
              <w:rPr>
                <w:sz w:val="20"/>
              </w:rPr>
              <w:t>0.99</w:t>
            </w:r>
          </w:p>
        </w:tc>
      </w:tr>
      <w:tr>
        <w:trPr>
          <w:trHeight w:val="336"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6" w:lineRule="exact"/>
              <w:ind w:right="55"/>
              <w:jc w:val="right"/>
              <w:rPr>
                <w:sz w:val="20"/>
              </w:rPr>
            </w:pPr>
            <w:r>
              <w:rPr>
                <w:sz w:val="20"/>
              </w:rPr>
              <w:t>51</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4"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52</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6"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6" w:lineRule="exact"/>
              <w:ind w:right="55"/>
              <w:jc w:val="right"/>
              <w:rPr>
                <w:sz w:val="20"/>
              </w:rPr>
            </w:pPr>
            <w:r>
              <w:rPr>
                <w:sz w:val="20"/>
              </w:rPr>
              <w:t>53</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6"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54</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4"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55</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7"/>
              <w:ind w:right="58"/>
              <w:jc w:val="right"/>
              <w:rPr>
                <w:sz w:val="20"/>
              </w:rPr>
            </w:pPr>
            <w:r>
              <w:rPr>
                <w:sz w:val="20"/>
              </w:rPr>
              <w:t>0.99</w:t>
            </w:r>
          </w:p>
        </w:tc>
      </w:tr>
      <w:tr>
        <w:trPr>
          <w:trHeight w:val="336"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56</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4"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57</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7"/>
              <w:ind w:right="58"/>
              <w:jc w:val="right"/>
              <w:rPr>
                <w:sz w:val="20"/>
              </w:rPr>
            </w:pPr>
            <w:r>
              <w:rPr>
                <w:sz w:val="20"/>
              </w:rPr>
              <w:t>0.99</w:t>
            </w:r>
          </w:p>
        </w:tc>
      </w:tr>
      <w:tr>
        <w:trPr>
          <w:trHeight w:val="336"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6" w:lineRule="exact"/>
              <w:ind w:right="55"/>
              <w:jc w:val="right"/>
              <w:rPr>
                <w:sz w:val="20"/>
              </w:rPr>
            </w:pPr>
            <w:r>
              <w:rPr>
                <w:sz w:val="20"/>
              </w:rPr>
              <w:t>58</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4"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59</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6"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6" w:lineRule="exact"/>
              <w:ind w:right="55"/>
              <w:jc w:val="right"/>
              <w:rPr>
                <w:sz w:val="20"/>
              </w:rPr>
            </w:pPr>
            <w:r>
              <w:rPr>
                <w:sz w:val="20"/>
              </w:rPr>
              <w:t>60</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6"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61</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4"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62</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7"/>
              <w:ind w:right="58"/>
              <w:jc w:val="right"/>
              <w:rPr>
                <w:sz w:val="20"/>
              </w:rPr>
            </w:pPr>
            <w:r>
              <w:rPr>
                <w:sz w:val="20"/>
              </w:rPr>
              <w:t>0.99</w:t>
            </w:r>
          </w:p>
        </w:tc>
      </w:tr>
      <w:tr>
        <w:trPr>
          <w:trHeight w:val="336"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6" w:lineRule="exact"/>
              <w:ind w:right="55"/>
              <w:jc w:val="right"/>
              <w:rPr>
                <w:sz w:val="20"/>
              </w:rPr>
            </w:pPr>
            <w:r>
              <w:rPr>
                <w:sz w:val="20"/>
              </w:rPr>
              <w:t>63</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4"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64</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7"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6" w:lineRule="exact"/>
              <w:ind w:right="55"/>
              <w:jc w:val="right"/>
              <w:rPr>
                <w:sz w:val="20"/>
              </w:rPr>
            </w:pPr>
            <w:r>
              <w:rPr>
                <w:sz w:val="20"/>
              </w:rPr>
              <w:t>65</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80"/>
              <w:ind w:right="58"/>
              <w:jc w:val="right"/>
              <w:rPr>
                <w:sz w:val="20"/>
              </w:rPr>
            </w:pPr>
            <w:r>
              <w:rPr>
                <w:sz w:val="20"/>
              </w:rPr>
              <w:t>0.99</w:t>
            </w:r>
          </w:p>
        </w:tc>
      </w:tr>
      <w:tr>
        <w:trPr>
          <w:trHeight w:val="336"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66</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4" w:hRule="exact"/>
        </w:trPr>
        <w:tc>
          <w:tcPr>
            <w:tcW w:w="2420" w:type="dxa"/>
            <w:vMerge/>
            <w:tcBorders>
              <w:left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67</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7"/>
              <w:ind w:right="58"/>
              <w:jc w:val="right"/>
              <w:rPr>
                <w:sz w:val="20"/>
              </w:rPr>
            </w:pPr>
            <w:r>
              <w:rPr>
                <w:sz w:val="20"/>
              </w:rPr>
              <w:t>0.99</w:t>
            </w:r>
          </w:p>
        </w:tc>
      </w:tr>
      <w:tr>
        <w:trPr>
          <w:trHeight w:val="336" w:hRule="exact"/>
        </w:trPr>
        <w:tc>
          <w:tcPr>
            <w:tcW w:w="2420" w:type="dxa"/>
            <w:vMerge/>
            <w:tcBorders>
              <w:left w:val="single" w:sz="8" w:space="0" w:color="000000"/>
              <w:bottom w:val="single" w:sz="8" w:space="0" w:color="000000"/>
              <w:right w:val="single" w:sz="8" w:space="0" w:color="000000"/>
            </w:tcBorders>
          </w:tcPr>
          <w:p>
            <w:pPr/>
          </w:p>
        </w:tc>
        <w:tc>
          <w:tcPr>
            <w:tcW w:w="2460" w:type="dxa"/>
            <w:tcBorders>
              <w:top w:val="single" w:sz="8" w:space="0" w:color="000000"/>
              <w:left w:val="single" w:sz="8" w:space="0" w:color="000000"/>
              <w:bottom w:val="single" w:sz="8" w:space="0" w:color="000000"/>
              <w:right w:val="single" w:sz="8" w:space="0" w:color="000000"/>
            </w:tcBorders>
          </w:tcPr>
          <w:p>
            <w:pPr>
              <w:pStyle w:val="TableParagraph"/>
              <w:spacing w:line="223" w:lineRule="exact"/>
              <w:ind w:right="55"/>
              <w:jc w:val="right"/>
              <w:rPr>
                <w:sz w:val="20"/>
              </w:rPr>
            </w:pPr>
            <w:r>
              <w:rPr>
                <w:sz w:val="20"/>
              </w:rPr>
              <w:t>68</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79"/>
              <w:ind w:right="58"/>
              <w:jc w:val="right"/>
              <w:rPr>
                <w:sz w:val="20"/>
              </w:rPr>
            </w:pPr>
            <w:r>
              <w:rPr>
                <w:sz w:val="20"/>
              </w:rPr>
              <w:t>0.99</w:t>
            </w:r>
          </w:p>
        </w:tc>
      </w:tr>
      <w:tr>
        <w:trPr>
          <w:trHeight w:val="336" w:hRule="exact"/>
        </w:trPr>
        <w:tc>
          <w:tcPr>
            <w:tcW w:w="4880" w:type="dxa"/>
            <w:gridSpan w:val="2"/>
            <w:tcBorders>
              <w:top w:val="single" w:sz="8" w:space="0" w:color="000000"/>
              <w:left w:val="single" w:sz="8" w:space="0" w:color="000000"/>
              <w:bottom w:val="single" w:sz="8" w:space="0" w:color="000000"/>
              <w:right w:val="single" w:sz="8" w:space="0" w:color="000000"/>
            </w:tcBorders>
          </w:tcPr>
          <w:p>
            <w:pPr>
              <w:pStyle w:val="TableParagraph"/>
              <w:spacing w:before="77"/>
              <w:ind w:left="759"/>
              <w:rPr>
                <w:sz w:val="20"/>
              </w:rPr>
            </w:pPr>
            <w:r>
              <w:rPr>
                <w:sz w:val="20"/>
              </w:rPr>
              <w:t>Media del índice de validez del contenido</w:t>
            </w:r>
          </w:p>
        </w:tc>
        <w:tc>
          <w:tcPr>
            <w:tcW w:w="1201" w:type="dxa"/>
            <w:tcBorders>
              <w:top w:val="single" w:sz="8" w:space="0" w:color="000000"/>
              <w:left w:val="single" w:sz="8" w:space="0" w:color="000000"/>
              <w:bottom w:val="single" w:sz="8" w:space="0" w:color="000000"/>
              <w:right w:val="single" w:sz="8" w:space="0" w:color="000000"/>
            </w:tcBorders>
          </w:tcPr>
          <w:p>
            <w:pPr>
              <w:pStyle w:val="TableParagraph"/>
              <w:spacing w:before="82"/>
              <w:ind w:right="58"/>
              <w:jc w:val="right"/>
              <w:rPr>
                <w:b/>
                <w:sz w:val="20"/>
              </w:rPr>
            </w:pPr>
            <w:r>
              <w:rPr>
                <w:b/>
                <w:sz w:val="20"/>
              </w:rPr>
              <w:t>0.98</w:t>
            </w:r>
          </w:p>
        </w:tc>
      </w:tr>
    </w:tbl>
    <w:sectPr>
      <w:pgSz w:w="12240" w:h="15840"/>
      <w:pgMar w:header="0" w:footer="943" w:top="1400" w:bottom="114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ourier New">
    <w:altName w:val="Courier New"/>
    <w:charset w:val="0"/>
    <w:family w:val="modern"/>
    <w:pitch w:val="fixed"/>
  </w:font>
  <w:font w:name="Wingdings">
    <w:altName w:val="Wingdings"/>
    <w:charset w:val="2"/>
    <w:family w:val="auto"/>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5pt;margin-top:706.976013pt;width:9.550pt;height:13.05pt;mso-position-horizontal-relative:page;mso-position-vertical-relative:page;z-index:-4016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18.856018pt;width:13.3pt;height:13.05pt;mso-position-horizontal-relative:page;mso-position-vertical-relative:page;z-index:-401416" type="#_x0000_t202" filled="false" stroked="false">
          <v:textbox inset="0,0,0,0">
            <w:txbxContent>
              <w:p>
                <w:pPr>
                  <w:spacing w:line="245" w:lineRule="exact" w:before="0"/>
                  <w:ind w:left="20" w:right="-19" w:firstLine="0"/>
                  <w:jc w:val="left"/>
                  <w:rPr>
                    <w:rFonts w:ascii="Calibri"/>
                    <w:sz w:val="22"/>
                  </w:rPr>
                </w:pPr>
                <w:r>
                  <w:rPr>
                    <w:rFonts w:ascii="Calibri"/>
                    <w:sz w:val="22"/>
                  </w:rPr>
                  <w:t>30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18.856018pt;width:15.3pt;height:13.05pt;mso-position-horizontal-relative:page;mso-position-vertical-relative:page;z-index:-4013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18.856018pt;width:13.3pt;height:13.05pt;mso-position-horizontal-relative:page;mso-position-vertical-relative:page;z-index:-401368" type="#_x0000_t202" filled="false" stroked="false">
          <v:textbox inset="0,0,0,0">
            <w:txbxContent>
              <w:p>
                <w:pPr>
                  <w:spacing w:line="245" w:lineRule="exact" w:before="0"/>
                  <w:ind w:left="20" w:right="-19" w:firstLine="0"/>
                  <w:jc w:val="left"/>
                  <w:rPr>
                    <w:rFonts w:ascii="Calibri"/>
                    <w:sz w:val="22"/>
                  </w:rPr>
                </w:pPr>
                <w:r>
                  <w:rPr>
                    <w:rFonts w:ascii="Calibri"/>
                    <w:sz w:val="22"/>
                  </w:rPr>
                  <w:t>40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18.856018pt;width:15.3pt;height:13.05pt;mso-position-horizontal-relative:page;mso-position-vertical-relative:page;z-index:-4013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18.856018pt;width:13.3pt;height:13.05pt;mso-position-horizontal-relative:page;mso-position-vertical-relative:page;z-index:-401320" type="#_x0000_t202" filled="false" stroked="false">
          <v:textbox inset="0,0,0,0">
            <w:txbxContent>
              <w:p>
                <w:pPr>
                  <w:spacing w:line="245" w:lineRule="exact" w:before="0"/>
                  <w:ind w:left="20" w:right="-19" w:firstLine="0"/>
                  <w:jc w:val="left"/>
                  <w:rPr>
                    <w:rFonts w:ascii="Calibri"/>
                    <w:sz w:val="22"/>
                  </w:rPr>
                </w:pPr>
                <w:r>
                  <w:rPr>
                    <w:rFonts w:ascii="Calibri"/>
                    <w:sz w:val="22"/>
                  </w:rPr>
                  <w:t>50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18.856018pt;width:15.3pt;height:13.05pt;mso-position-horizontal-relative:page;mso-position-vertical-relative:page;z-index:-4012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56</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18.856018pt;width:13.3pt;height:13.05pt;mso-position-horizontal-relative:page;mso-position-vertical-relative:page;z-index:-401272" type="#_x0000_t202" filled="false" stroked="false">
          <v:textbox inset="0,0,0,0">
            <w:txbxContent>
              <w:p>
                <w:pPr>
                  <w:spacing w:line="245" w:lineRule="exact" w:before="0"/>
                  <w:ind w:left="20" w:right="-19" w:firstLine="0"/>
                  <w:jc w:val="left"/>
                  <w:rPr>
                    <w:rFonts w:ascii="Calibri"/>
                    <w:sz w:val="22"/>
                  </w:rPr>
                </w:pPr>
                <w:r>
                  <w:rPr>
                    <w:rFonts w:ascii="Calibri"/>
                    <w:sz w:val="22"/>
                  </w:rPr>
                  <w:t>60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5pt;margin-top:706.976013pt;width:18.55pt;height:13.05pt;mso-position-horizontal-relative:page;mso-position-vertical-relative:page;z-index:-4016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18.856018pt;width:13.3pt;height:13.05pt;mso-position-horizontal-relative:page;mso-position-vertical-relative:page;z-index:-401248" type="#_x0000_t202" filled="false" stroked="false">
          <v:textbox inset="0,0,0,0">
            <w:txbxContent>
              <w:p>
                <w:pPr>
                  <w:spacing w:line="245" w:lineRule="exact" w:before="0"/>
                  <w:ind w:left="20" w:right="-19" w:firstLine="0"/>
                  <w:jc w:val="left"/>
                  <w:rPr>
                    <w:rFonts w:ascii="Calibri"/>
                    <w:sz w:val="22"/>
                  </w:rPr>
                </w:pPr>
                <w:r>
                  <w:rPr>
                    <w:rFonts w:ascii="Calibri"/>
                    <w:sz w:val="22"/>
                  </w:rPr>
                  <w:t>61</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012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62</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01200" type="#_x0000_t202" filled="false" stroked="false">
          <v:textbox inset="0,0,0,0">
            <w:txbxContent>
              <w:p>
                <w:pPr>
                  <w:spacing w:line="245" w:lineRule="exact" w:before="0"/>
                  <w:ind w:left="20" w:right="-19" w:firstLine="0"/>
                  <w:jc w:val="left"/>
                  <w:rPr>
                    <w:rFonts w:ascii="Calibri"/>
                    <w:sz w:val="22"/>
                  </w:rPr>
                </w:pPr>
                <w:r>
                  <w:rPr>
                    <w:rFonts w:ascii="Calibri"/>
                    <w:sz w:val="22"/>
                  </w:rPr>
                  <w:t>70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011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01152" type="#_x0000_t202" filled="false" stroked="false">
          <v:textbox inset="0,0,0,0">
            <w:txbxContent>
              <w:p>
                <w:pPr>
                  <w:spacing w:line="245" w:lineRule="exact" w:before="0"/>
                  <w:ind w:left="20" w:right="-19" w:firstLine="0"/>
                  <w:jc w:val="left"/>
                  <w:rPr>
                    <w:rFonts w:ascii="Calibri"/>
                    <w:sz w:val="22"/>
                  </w:rPr>
                </w:pPr>
                <w:r>
                  <w:rPr>
                    <w:rFonts w:ascii="Calibri"/>
                    <w:sz w:val="22"/>
                  </w:rPr>
                  <w:t>80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011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01104" type="#_x0000_t202" filled="false" stroked="false">
          <v:textbox inset="0,0,0,0">
            <w:txbxContent>
              <w:p>
                <w:pPr>
                  <w:spacing w:line="245" w:lineRule="exact" w:before="0"/>
                  <w:ind w:left="20" w:right="-19" w:firstLine="0"/>
                  <w:jc w:val="left"/>
                  <w:rPr>
                    <w:rFonts w:ascii="Calibri"/>
                    <w:sz w:val="22"/>
                  </w:rPr>
                </w:pPr>
                <w:r>
                  <w:rPr>
                    <w:rFonts w:ascii="Calibri"/>
                    <w:sz w:val="22"/>
                  </w:rPr>
                  <w:t>90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010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08.339996pt;margin-top:730.856018pt;width:20.75pt;height:13.05pt;mso-position-horizontal-relative:page;mso-position-vertical-relative:page;z-index:-4010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103</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5pt;margin-top:706.976013pt;width:10.5pt;height:13.05pt;mso-position-horizontal-relative:page;mso-position-vertical-relative:page;z-index:-401584" type="#_x0000_t202" filled="false" stroked="false">
          <v:textbox inset="0,0,0,0">
            <w:txbxContent>
              <w:p>
                <w:pPr>
                  <w:spacing w:line="245" w:lineRule="exact" w:before="0"/>
                  <w:ind w:left="20" w:right="0" w:firstLine="0"/>
                  <w:jc w:val="left"/>
                  <w:rPr>
                    <w:rFonts w:ascii="Calibri"/>
                    <w:sz w:val="22"/>
                  </w:rPr>
                </w:pPr>
                <w:r>
                  <w:rPr>
                    <w:rFonts w:ascii="Calibri"/>
                    <w:sz w:val="22"/>
                  </w:rPr>
                  <w:t>IX</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010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105</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01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009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009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00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009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00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00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8pt;height:13.05pt;mso-position-horizontal-relative:page;mso-position-vertical-relative:page;z-index:-4008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182</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008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5pt;margin-top:706.976013pt;width:12.6pt;height:13.05pt;mso-position-horizontal-relative:page;mso-position-vertical-relative:page;z-index:-4015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XI</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00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200</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007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210</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08.339996pt;margin-top:730.856018pt;width:20.75pt;height:13.05pt;mso-position-horizontal-relative:page;mso-position-vertical-relative:page;z-index:-400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223</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00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230</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115.949997pt;margin-top:643.570007pt;width:11.25pt;height:9.4pt;mso-position-horizontal-relative:page;mso-position-vertical-relative:page;z-index:-400696" filled="false" stroked="true" strokeweight=".75pt" strokecolor="#000000">
          <w10:wrap type="none"/>
        </v:rect>
      </w:pict>
    </w:r>
    <w:r>
      <w:rPr/>
      <w:pict>
        <v:rect style="position:absolute;margin-left:115.949997pt;margin-top:627.549988pt;width:11.25pt;height:9.4pt;mso-position-horizontal-relative:page;mso-position-vertical-relative:page;z-index:-400672" filled="false" stroked="true" strokeweight=".75pt" strokecolor="#000000">
          <w10:wrap type="none"/>
        </v:rect>
      </w:pict>
    </w:r>
    <w:r>
      <w:rPr/>
      <w:pict>
        <v:rect style="position:absolute;margin-left:115.949997pt;margin-top:611.479980pt;width:11.25pt;height:9.4pt;mso-position-horizontal-relative:page;mso-position-vertical-relative:page;z-index:-400648" filled="false" stroked="true" strokeweight=".75pt" strokecolor="#000000">
          <w10:wrap type="none"/>
        </v:rect>
      </w:pict>
    </w:r>
    <w:r>
      <w:rPr/>
      <w:pict>
        <v:shape style="position:absolute;margin-left:509.339996pt;margin-top:730.856018pt;width:18.75pt;height:13.05pt;mso-position-horizontal-relative:page;mso-position-vertical-relative:page;z-index:-400624" type="#_x0000_t202" filled="false" stroked="false">
          <v:textbox inset="0,0,0,0">
            <w:txbxContent>
              <w:p>
                <w:pPr>
                  <w:spacing w:line="245" w:lineRule="exact" w:before="0"/>
                  <w:ind w:left="20" w:right="0" w:firstLine="0"/>
                  <w:jc w:val="left"/>
                  <w:rPr>
                    <w:rFonts w:ascii="Calibri"/>
                    <w:sz w:val="22"/>
                  </w:rPr>
                </w:pPr>
                <w:r>
                  <w:rPr>
                    <w:rFonts w:ascii="Calibri"/>
                    <w:sz w:val="22"/>
                  </w:rPr>
                  <w:t>235</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00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236</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08.339996pt;margin-top:730.856018pt;width:20.75pt;height:13.05pt;mso-position-horizontal-relative:page;mso-position-vertical-relative:page;z-index:-400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249</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pt;margin-top:718.856018pt;width:9.6pt;height:13.05pt;mso-position-horizontal-relative:page;mso-position-vertical-relative:page;z-index:-4015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18.856018pt;width:13.3pt;height:13.05pt;mso-position-horizontal-relative:page;mso-position-vertical-relative:page;z-index:-401512" type="#_x0000_t202" filled="false" stroked="false">
          <v:textbox inset="0,0,0,0">
            <w:txbxContent>
              <w:p>
                <w:pPr>
                  <w:spacing w:line="245" w:lineRule="exact" w:before="0"/>
                  <w:ind w:left="20" w:right="-19" w:firstLine="0"/>
                  <w:jc w:val="left"/>
                  <w:rPr>
                    <w:rFonts w:ascii="Calibri"/>
                    <w:sz w:val="22"/>
                  </w:rPr>
                </w:pPr>
                <w:r>
                  <w:rPr>
                    <w:rFonts w:ascii="Calibri"/>
                    <w:sz w:val="22"/>
                  </w:rPr>
                  <w:t>10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18.856018pt;width:15.3pt;height:13.05pt;mso-position-horizontal-relative:page;mso-position-vertical-relative:page;z-index:-4014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18.856018pt;width:13.3pt;height:13.05pt;mso-position-horizontal-relative:page;mso-position-vertical-relative:page;z-index:-401464" type="#_x0000_t202" filled="false" stroked="false">
          <v:textbox inset="0,0,0,0">
            <w:txbxContent>
              <w:p>
                <w:pPr>
                  <w:spacing w:line="245" w:lineRule="exact" w:before="0"/>
                  <w:ind w:left="20" w:right="-19" w:firstLine="0"/>
                  <w:jc w:val="left"/>
                  <w:rPr>
                    <w:rFonts w:ascii="Calibri"/>
                    <w:sz w:val="22"/>
                  </w:rPr>
                </w:pPr>
                <w:r>
                  <w:rPr>
                    <w:rFonts w:ascii="Calibri"/>
                    <w:sz w:val="22"/>
                  </w:rPr>
                  <w:t>20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18.856018pt;width:15.3pt;height:13.05pt;mso-position-horizontal-relative:page;mso-position-vertical-relative:page;z-index:-4014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9">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8">
    <w:multiLevelType w:val="hybridMultilevel"/>
    <w:lvl w:ilvl="0">
      <w:start w:val="1"/>
      <w:numFmt w:val="lowerLetter"/>
      <w:lvlText w:val="%1)"/>
      <w:lvlJc w:val="left"/>
      <w:pPr>
        <w:ind w:left="822"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2">
    <w:multiLevelType w:val="hybridMultilevel"/>
    <w:lvl w:ilvl="0">
      <w:start w:val="3"/>
      <w:numFmt w:val="decimal"/>
      <w:lvlText w:val="%1."/>
      <w:lvlJc w:val="left"/>
      <w:pPr>
        <w:ind w:left="462" w:hanging="360"/>
        <w:jc w:val="right"/>
      </w:pPr>
      <w:rPr>
        <w:rFonts w:hint="default"/>
        <w:spacing w:val="-2"/>
        <w:w w:val="99"/>
      </w:rPr>
    </w:lvl>
    <w:lvl w:ilvl="1">
      <w:start w:val="1"/>
      <w:numFmt w:val="bullet"/>
      <w:lvlText w:val="•"/>
      <w:lvlJc w:val="left"/>
      <w:pPr>
        <w:ind w:left="1240" w:hanging="360"/>
      </w:pPr>
      <w:rPr>
        <w:rFonts w:hint="default"/>
      </w:rPr>
    </w:lvl>
    <w:lvl w:ilvl="2">
      <w:start w:val="1"/>
      <w:numFmt w:val="bullet"/>
      <w:lvlText w:val="•"/>
      <w:lvlJc w:val="left"/>
      <w:pPr>
        <w:ind w:left="2108" w:hanging="360"/>
      </w:pPr>
      <w:rPr>
        <w:rFonts w:hint="default"/>
      </w:rPr>
    </w:lvl>
    <w:lvl w:ilvl="3">
      <w:start w:val="1"/>
      <w:numFmt w:val="bullet"/>
      <w:lvlText w:val="•"/>
      <w:lvlJc w:val="left"/>
      <w:pPr>
        <w:ind w:left="2977" w:hanging="360"/>
      </w:pPr>
      <w:rPr>
        <w:rFonts w:hint="default"/>
      </w:rPr>
    </w:lvl>
    <w:lvl w:ilvl="4">
      <w:start w:val="1"/>
      <w:numFmt w:val="bullet"/>
      <w:lvlText w:val="•"/>
      <w:lvlJc w:val="left"/>
      <w:pPr>
        <w:ind w:left="3846" w:hanging="360"/>
      </w:pPr>
      <w:rPr>
        <w:rFonts w:hint="default"/>
      </w:rPr>
    </w:lvl>
    <w:lvl w:ilvl="5">
      <w:start w:val="1"/>
      <w:numFmt w:val="bullet"/>
      <w:lvlText w:val="•"/>
      <w:lvlJc w:val="left"/>
      <w:pPr>
        <w:ind w:left="4715" w:hanging="360"/>
      </w:pPr>
      <w:rPr>
        <w:rFonts w:hint="default"/>
      </w:rPr>
    </w:lvl>
    <w:lvl w:ilvl="6">
      <w:start w:val="1"/>
      <w:numFmt w:val="bullet"/>
      <w:lvlText w:val="•"/>
      <w:lvlJc w:val="left"/>
      <w:pPr>
        <w:ind w:left="5584" w:hanging="360"/>
      </w:pPr>
      <w:rPr>
        <w:rFonts w:hint="default"/>
      </w:rPr>
    </w:lvl>
    <w:lvl w:ilvl="7">
      <w:start w:val="1"/>
      <w:numFmt w:val="bullet"/>
      <w:lvlText w:val="•"/>
      <w:lvlJc w:val="left"/>
      <w:pPr>
        <w:ind w:left="6453" w:hanging="360"/>
      </w:pPr>
      <w:rPr>
        <w:rFonts w:hint="default"/>
      </w:rPr>
    </w:lvl>
    <w:lvl w:ilvl="8">
      <w:start w:val="1"/>
      <w:numFmt w:val="bullet"/>
      <w:lvlText w:val="•"/>
      <w:lvlJc w:val="left"/>
      <w:pPr>
        <w:ind w:left="7322" w:hanging="360"/>
      </w:pPr>
      <w:rPr>
        <w:rFonts w:hint="default"/>
      </w:rPr>
    </w:lvl>
  </w:abstractNum>
  <w:abstractNum w:abstractNumId="81">
    <w:multiLevelType w:val="hybridMultilevel"/>
    <w:lvl w:ilvl="0">
      <w:start w:val="1"/>
      <w:numFmt w:val="upperLetter"/>
      <w:lvlText w:val="%1."/>
      <w:lvlJc w:val="left"/>
      <w:pPr>
        <w:ind w:left="382" w:hanging="281"/>
        <w:jc w:val="right"/>
      </w:pPr>
      <w:rPr>
        <w:rFonts w:hint="default" w:ascii="Times New Roman" w:hAnsi="Times New Roman" w:eastAsia="Times New Roman" w:cs="Times New Roman"/>
        <w:b/>
        <w:bCs/>
        <w:i/>
        <w:spacing w:val="-3"/>
        <w:w w:val="99"/>
        <w:sz w:val="24"/>
        <w:szCs w:val="24"/>
      </w:rPr>
    </w:lvl>
    <w:lvl w:ilvl="1">
      <w:start w:val="1"/>
      <w:numFmt w:val="decimal"/>
      <w:lvlText w:val="%2."/>
      <w:lvlJc w:val="left"/>
      <w:pPr>
        <w:ind w:left="462" w:hanging="360"/>
        <w:jc w:val="left"/>
      </w:pPr>
      <w:rPr>
        <w:rFonts w:hint="default" w:ascii="Times New Roman" w:hAnsi="Times New Roman" w:eastAsia="Times New Roman" w:cs="Times New Roman"/>
        <w:spacing w:val="-3"/>
        <w:w w:val="99"/>
        <w:sz w:val="24"/>
        <w:szCs w:val="24"/>
      </w:rPr>
    </w:lvl>
    <w:lvl w:ilvl="2">
      <w:start w:val="1"/>
      <w:numFmt w:val="bullet"/>
      <w:lvlText w:val="•"/>
      <w:lvlJc w:val="left"/>
      <w:pPr>
        <w:ind w:left="1415" w:hanging="360"/>
      </w:pPr>
      <w:rPr>
        <w:rFonts w:hint="default"/>
      </w:rPr>
    </w:lvl>
    <w:lvl w:ilvl="3">
      <w:start w:val="1"/>
      <w:numFmt w:val="bullet"/>
      <w:lvlText w:val="•"/>
      <w:lvlJc w:val="left"/>
      <w:pPr>
        <w:ind w:left="2371" w:hanging="360"/>
      </w:pPr>
      <w:rPr>
        <w:rFonts w:hint="default"/>
      </w:rPr>
    </w:lvl>
    <w:lvl w:ilvl="4">
      <w:start w:val="1"/>
      <w:numFmt w:val="bullet"/>
      <w:lvlText w:val="•"/>
      <w:lvlJc w:val="left"/>
      <w:pPr>
        <w:ind w:left="3326" w:hanging="360"/>
      </w:pPr>
      <w:rPr>
        <w:rFonts w:hint="default"/>
      </w:rPr>
    </w:lvl>
    <w:lvl w:ilvl="5">
      <w:start w:val="1"/>
      <w:numFmt w:val="bullet"/>
      <w:lvlText w:val="•"/>
      <w:lvlJc w:val="left"/>
      <w:pPr>
        <w:ind w:left="4282" w:hanging="360"/>
      </w:pPr>
      <w:rPr>
        <w:rFonts w:hint="default"/>
      </w:rPr>
    </w:lvl>
    <w:lvl w:ilvl="6">
      <w:start w:val="1"/>
      <w:numFmt w:val="bullet"/>
      <w:lvlText w:val="•"/>
      <w:lvlJc w:val="left"/>
      <w:pPr>
        <w:ind w:left="5237" w:hanging="360"/>
      </w:pPr>
      <w:rPr>
        <w:rFonts w:hint="default"/>
      </w:rPr>
    </w:lvl>
    <w:lvl w:ilvl="7">
      <w:start w:val="1"/>
      <w:numFmt w:val="bullet"/>
      <w:lvlText w:val="•"/>
      <w:lvlJc w:val="left"/>
      <w:pPr>
        <w:ind w:left="6193" w:hanging="360"/>
      </w:pPr>
      <w:rPr>
        <w:rFonts w:hint="default"/>
      </w:rPr>
    </w:lvl>
    <w:lvl w:ilvl="8">
      <w:start w:val="1"/>
      <w:numFmt w:val="bullet"/>
      <w:lvlText w:val="•"/>
      <w:lvlJc w:val="left"/>
      <w:pPr>
        <w:ind w:left="7148" w:hanging="360"/>
      </w:pPr>
      <w:rPr>
        <w:rFonts w:hint="default"/>
      </w:rPr>
    </w:lvl>
  </w:abstractNum>
  <w:abstractNum w:abstractNumId="80">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78">
    <w:multiLevelType w:val="hybridMultilevel"/>
    <w:lvl w:ilvl="0">
      <w:start w:val="8"/>
      <w:numFmt w:val="decimal"/>
      <w:lvlText w:val="%1"/>
      <w:lvlJc w:val="left"/>
      <w:pPr>
        <w:ind w:left="702" w:hanging="600"/>
        <w:jc w:val="left"/>
      </w:pPr>
      <w:rPr>
        <w:rFonts w:hint="default"/>
      </w:rPr>
    </w:lvl>
    <w:lvl w:ilvl="1">
      <w:start w:val="2"/>
      <w:numFmt w:val="decimal"/>
      <w:lvlText w:val="%1.%2"/>
      <w:lvlJc w:val="left"/>
      <w:pPr>
        <w:ind w:left="702" w:hanging="600"/>
        <w:jc w:val="left"/>
      </w:pPr>
      <w:rPr>
        <w:rFonts w:hint="default"/>
      </w:rPr>
    </w:lvl>
    <w:lvl w:ilvl="2">
      <w:start w:val="1"/>
      <w:numFmt w:val="decimal"/>
      <w:lvlText w:val="%1.%2.%3."/>
      <w:lvlJc w:val="left"/>
      <w:pPr>
        <w:ind w:left="702" w:hanging="60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2985" w:hanging="360"/>
      </w:pPr>
      <w:rPr>
        <w:rFonts w:hint="default"/>
      </w:rPr>
    </w:lvl>
    <w:lvl w:ilvl="5">
      <w:start w:val="1"/>
      <w:numFmt w:val="bullet"/>
      <w:lvlText w:val="•"/>
      <w:lvlJc w:val="left"/>
      <w:pPr>
        <w:ind w:left="3997" w:hanging="360"/>
      </w:pPr>
      <w:rPr>
        <w:rFonts w:hint="default"/>
      </w:rPr>
    </w:lvl>
    <w:lvl w:ilvl="6">
      <w:start w:val="1"/>
      <w:numFmt w:val="bullet"/>
      <w:lvlText w:val="•"/>
      <w:lvlJc w:val="left"/>
      <w:pPr>
        <w:ind w:left="5010" w:hanging="360"/>
      </w:pPr>
      <w:rPr>
        <w:rFonts w:hint="default"/>
      </w:rPr>
    </w:lvl>
    <w:lvl w:ilvl="7">
      <w:start w:val="1"/>
      <w:numFmt w:val="bullet"/>
      <w:lvlText w:val="•"/>
      <w:lvlJc w:val="left"/>
      <w:pPr>
        <w:ind w:left="6022" w:hanging="360"/>
      </w:pPr>
      <w:rPr>
        <w:rFonts w:hint="default"/>
      </w:rPr>
    </w:lvl>
    <w:lvl w:ilvl="8">
      <w:start w:val="1"/>
      <w:numFmt w:val="bullet"/>
      <w:lvlText w:val="•"/>
      <w:lvlJc w:val="left"/>
      <w:pPr>
        <w:ind w:left="7035" w:hanging="360"/>
      </w:pPr>
      <w:rPr>
        <w:rFonts w:hint="default"/>
      </w:rPr>
    </w:lvl>
  </w:abstractNum>
  <w:abstractNum w:abstractNumId="77">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22" w:hanging="360"/>
      </w:pPr>
      <w:rPr>
        <w:rFonts w:hint="default"/>
      </w:rPr>
    </w:lvl>
    <w:lvl w:ilvl="3">
      <w:start w:val="1"/>
      <w:numFmt w:val="bullet"/>
      <w:lvlText w:val="•"/>
      <w:lvlJc w:val="left"/>
      <w:pPr>
        <w:ind w:left="2624" w:hanging="360"/>
      </w:pPr>
      <w:rPr>
        <w:rFonts w:hint="default"/>
      </w:rPr>
    </w:lvl>
    <w:lvl w:ilvl="4">
      <w:start w:val="1"/>
      <w:numFmt w:val="bullet"/>
      <w:lvlText w:val="•"/>
      <w:lvlJc w:val="left"/>
      <w:pPr>
        <w:ind w:left="3526" w:hanging="360"/>
      </w:pPr>
      <w:rPr>
        <w:rFonts w:hint="default"/>
      </w:rPr>
    </w:lvl>
    <w:lvl w:ilvl="5">
      <w:start w:val="1"/>
      <w:numFmt w:val="bullet"/>
      <w:lvlText w:val="•"/>
      <w:lvlJc w:val="left"/>
      <w:pPr>
        <w:ind w:left="4428" w:hanging="360"/>
      </w:pPr>
      <w:rPr>
        <w:rFonts w:hint="default"/>
      </w:rPr>
    </w:lvl>
    <w:lvl w:ilvl="6">
      <w:start w:val="1"/>
      <w:numFmt w:val="bullet"/>
      <w:lvlText w:val="•"/>
      <w:lvlJc w:val="left"/>
      <w:pPr>
        <w:ind w:left="5331" w:hanging="360"/>
      </w:pPr>
      <w:rPr>
        <w:rFonts w:hint="default"/>
      </w:rPr>
    </w:lvl>
    <w:lvl w:ilvl="7">
      <w:start w:val="1"/>
      <w:numFmt w:val="bullet"/>
      <w:lvlText w:val="•"/>
      <w:lvlJc w:val="left"/>
      <w:pPr>
        <w:ind w:left="6233" w:hanging="360"/>
      </w:pPr>
      <w:rPr>
        <w:rFonts w:hint="default"/>
      </w:rPr>
    </w:lvl>
    <w:lvl w:ilvl="8">
      <w:start w:val="1"/>
      <w:numFmt w:val="bullet"/>
      <w:lvlText w:val="•"/>
      <w:lvlJc w:val="left"/>
      <w:pPr>
        <w:ind w:left="7135" w:hanging="360"/>
      </w:pPr>
      <w:rPr>
        <w:rFonts w:hint="default"/>
      </w:rPr>
    </w:lvl>
  </w:abstractNum>
  <w:abstractNum w:abstractNumId="76">
    <w:multiLevelType w:val="hybridMultilevel"/>
    <w:lvl w:ilvl="0">
      <w:start w:val="8"/>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w w:val="100"/>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75">
    <w:multiLevelType w:val="hybridMultilevel"/>
    <w:lvl w:ilvl="0">
      <w:start w:val="7"/>
      <w:numFmt w:val="decimal"/>
      <w:lvlText w:val="%1"/>
      <w:lvlJc w:val="left"/>
      <w:pPr>
        <w:ind w:left="830" w:hanging="708"/>
        <w:jc w:val="left"/>
      </w:pPr>
      <w:rPr>
        <w:rFonts w:hint="default"/>
      </w:rPr>
    </w:lvl>
    <w:lvl w:ilvl="1">
      <w:start w:val="1"/>
      <w:numFmt w:val="decimal"/>
      <w:lvlText w:val="%1.%2."/>
      <w:lvlJc w:val="left"/>
      <w:pPr>
        <w:ind w:left="830" w:hanging="708"/>
        <w:jc w:val="left"/>
      </w:pPr>
      <w:rPr>
        <w:rFonts w:hint="default" w:ascii="Times New Roman" w:hAnsi="Times New Roman" w:eastAsia="Times New Roman" w:cs="Times New Roman"/>
        <w:b/>
        <w:bCs/>
        <w:spacing w:val="-13"/>
        <w:w w:val="99"/>
        <w:sz w:val="24"/>
        <w:szCs w:val="24"/>
      </w:rPr>
    </w:lvl>
    <w:lvl w:ilvl="2">
      <w:start w:val="1"/>
      <w:numFmt w:val="decimal"/>
      <w:lvlText w:val="%1.%2.%3."/>
      <w:lvlJc w:val="left"/>
      <w:pPr>
        <w:ind w:left="830" w:hanging="708"/>
        <w:jc w:val="left"/>
      </w:pPr>
      <w:rPr>
        <w:rFonts w:hint="default" w:ascii="Times New Roman" w:hAnsi="Times New Roman" w:eastAsia="Times New Roman" w:cs="Times New Roman"/>
        <w:b/>
        <w:bCs/>
        <w:spacing w:val="-13"/>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3580" w:hanging="360"/>
      </w:pPr>
      <w:rPr>
        <w:rFonts w:hint="default"/>
      </w:rPr>
    </w:lvl>
    <w:lvl w:ilvl="5">
      <w:start w:val="1"/>
      <w:numFmt w:val="bullet"/>
      <w:lvlText w:val="•"/>
      <w:lvlJc w:val="left"/>
      <w:pPr>
        <w:ind w:left="4493" w:hanging="360"/>
      </w:pPr>
      <w:rPr>
        <w:rFonts w:hint="default"/>
      </w:rPr>
    </w:lvl>
    <w:lvl w:ilvl="6">
      <w:start w:val="1"/>
      <w:numFmt w:val="bullet"/>
      <w:lvlText w:val="•"/>
      <w:lvlJc w:val="left"/>
      <w:pPr>
        <w:ind w:left="5406" w:hanging="360"/>
      </w:pPr>
      <w:rPr>
        <w:rFonts w:hint="default"/>
      </w:rPr>
    </w:lvl>
    <w:lvl w:ilvl="7">
      <w:start w:val="1"/>
      <w:numFmt w:val="bullet"/>
      <w:lvlText w:val="•"/>
      <w:lvlJc w:val="left"/>
      <w:pPr>
        <w:ind w:left="6320" w:hanging="360"/>
      </w:pPr>
      <w:rPr>
        <w:rFonts w:hint="default"/>
      </w:rPr>
    </w:lvl>
    <w:lvl w:ilvl="8">
      <w:start w:val="1"/>
      <w:numFmt w:val="bullet"/>
      <w:lvlText w:val="•"/>
      <w:lvlJc w:val="left"/>
      <w:pPr>
        <w:ind w:left="7233" w:hanging="360"/>
      </w:pPr>
      <w:rPr>
        <w:rFonts w:hint="default"/>
      </w:rPr>
    </w:lvl>
  </w:abstractNum>
  <w:abstractNum w:abstractNumId="74">
    <w:multiLevelType w:val="hybridMultilevel"/>
    <w:lvl w:ilvl="0">
      <w:start w:val="6"/>
      <w:numFmt w:val="decimal"/>
      <w:lvlText w:val="%1"/>
      <w:lvlJc w:val="left"/>
      <w:pPr>
        <w:ind w:left="830" w:hanging="720"/>
        <w:jc w:val="left"/>
      </w:pPr>
      <w:rPr>
        <w:rFonts w:hint="default"/>
      </w:rPr>
    </w:lvl>
    <w:lvl w:ilvl="1">
      <w:start w:val="1"/>
      <w:numFmt w:val="decimal"/>
      <w:lvlText w:val="%1.%2."/>
      <w:lvlJc w:val="left"/>
      <w:pPr>
        <w:ind w:left="830" w:hanging="720"/>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488" w:hanging="720"/>
      </w:pPr>
      <w:rPr>
        <w:rFonts w:hint="default"/>
      </w:rPr>
    </w:lvl>
    <w:lvl w:ilvl="3">
      <w:start w:val="1"/>
      <w:numFmt w:val="bullet"/>
      <w:lvlText w:val="•"/>
      <w:lvlJc w:val="left"/>
      <w:pPr>
        <w:ind w:left="3312" w:hanging="720"/>
      </w:pPr>
      <w:rPr>
        <w:rFonts w:hint="default"/>
      </w:rPr>
    </w:lvl>
    <w:lvl w:ilvl="4">
      <w:start w:val="1"/>
      <w:numFmt w:val="bullet"/>
      <w:lvlText w:val="•"/>
      <w:lvlJc w:val="left"/>
      <w:pPr>
        <w:ind w:left="4136" w:hanging="720"/>
      </w:pPr>
      <w:rPr>
        <w:rFonts w:hint="default"/>
      </w:rPr>
    </w:lvl>
    <w:lvl w:ilvl="5">
      <w:start w:val="1"/>
      <w:numFmt w:val="bullet"/>
      <w:lvlText w:val="•"/>
      <w:lvlJc w:val="left"/>
      <w:pPr>
        <w:ind w:left="4960" w:hanging="720"/>
      </w:pPr>
      <w:rPr>
        <w:rFonts w:hint="default"/>
      </w:rPr>
    </w:lvl>
    <w:lvl w:ilvl="6">
      <w:start w:val="1"/>
      <w:numFmt w:val="bullet"/>
      <w:lvlText w:val="•"/>
      <w:lvlJc w:val="left"/>
      <w:pPr>
        <w:ind w:left="5784" w:hanging="720"/>
      </w:pPr>
      <w:rPr>
        <w:rFonts w:hint="default"/>
      </w:rPr>
    </w:lvl>
    <w:lvl w:ilvl="7">
      <w:start w:val="1"/>
      <w:numFmt w:val="bullet"/>
      <w:lvlText w:val="•"/>
      <w:lvlJc w:val="left"/>
      <w:pPr>
        <w:ind w:left="6608" w:hanging="720"/>
      </w:pPr>
      <w:rPr>
        <w:rFonts w:hint="default"/>
      </w:rPr>
    </w:lvl>
    <w:lvl w:ilvl="8">
      <w:start w:val="1"/>
      <w:numFmt w:val="bullet"/>
      <w:lvlText w:val="•"/>
      <w:lvlJc w:val="left"/>
      <w:pPr>
        <w:ind w:left="7432" w:hanging="720"/>
      </w:pPr>
      <w:rPr>
        <w:rFonts w:hint="default"/>
      </w:rPr>
    </w:lvl>
  </w:abstractNum>
  <w:abstractNum w:abstractNumId="73">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72">
    <w:multiLevelType w:val="hybridMultilevel"/>
    <w:lvl w:ilvl="0">
      <w:start w:val="5"/>
      <w:numFmt w:val="decimal"/>
      <w:lvlText w:val="%1"/>
      <w:lvlJc w:val="left"/>
      <w:pPr>
        <w:ind w:left="522" w:hanging="420"/>
        <w:jc w:val="left"/>
      </w:pPr>
      <w:rPr>
        <w:rFonts w:hint="default"/>
      </w:rPr>
    </w:lvl>
    <w:lvl w:ilvl="1">
      <w:start w:val="5"/>
      <w:numFmt w:val="decimal"/>
      <w:lvlText w:val="%1.%2."/>
      <w:lvlJc w:val="left"/>
      <w:pPr>
        <w:ind w:left="522" w:hanging="420"/>
        <w:jc w:val="right"/>
      </w:pPr>
      <w:rPr>
        <w:rFonts w:hint="default" w:ascii="Times New Roman" w:hAnsi="Times New Roman" w:eastAsia="Times New Roman" w:cs="Times New Roman"/>
        <w:b/>
        <w:bCs/>
        <w:spacing w:val="-2"/>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71">
    <w:multiLevelType w:val="hybridMultilevel"/>
    <w:lvl w:ilvl="0">
      <w:start w:val="5"/>
      <w:numFmt w:val="decimal"/>
      <w:lvlText w:val="%1"/>
      <w:lvlJc w:val="left"/>
      <w:pPr>
        <w:ind w:left="522" w:hanging="420"/>
        <w:jc w:val="left"/>
      </w:pPr>
      <w:rPr>
        <w:rFonts w:hint="default"/>
      </w:rPr>
    </w:lvl>
    <w:lvl w:ilvl="1">
      <w:start w:val="2"/>
      <w:numFmt w:val="decimal"/>
      <w:lvlText w:val="%1.%2."/>
      <w:lvlJc w:val="left"/>
      <w:pPr>
        <w:ind w:left="522" w:hanging="420"/>
        <w:jc w:val="left"/>
      </w:pPr>
      <w:rPr>
        <w:rFonts w:hint="default" w:ascii="Times New Roman" w:hAnsi="Times New Roman" w:eastAsia="Times New Roman" w:cs="Times New Roman"/>
        <w:b/>
        <w:bCs/>
        <w:spacing w:val="-1"/>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745" w:hanging="360"/>
      </w:pPr>
      <w:rPr>
        <w:rFonts w:hint="default" w:ascii="Symbol" w:hAnsi="Symbol" w:eastAsia="Symbol" w:cs="Symbol"/>
        <w:w w:val="100"/>
        <w:sz w:val="24"/>
        <w:szCs w:val="24"/>
      </w:rPr>
    </w:lvl>
    <w:lvl w:ilvl="4">
      <w:start w:val="1"/>
      <w:numFmt w:val="bullet"/>
      <w:lvlText w:val="•"/>
      <w:lvlJc w:val="left"/>
      <w:pPr>
        <w:ind w:left="2305" w:hanging="360"/>
      </w:pPr>
      <w:rPr>
        <w:rFonts w:hint="default"/>
      </w:rPr>
    </w:lvl>
    <w:lvl w:ilvl="5">
      <w:start w:val="1"/>
      <w:numFmt w:val="bullet"/>
      <w:lvlText w:val="•"/>
      <w:lvlJc w:val="left"/>
      <w:pPr>
        <w:ind w:left="3431" w:hanging="360"/>
      </w:pPr>
      <w:rPr>
        <w:rFonts w:hint="default"/>
      </w:rPr>
    </w:lvl>
    <w:lvl w:ilvl="6">
      <w:start w:val="1"/>
      <w:numFmt w:val="bullet"/>
      <w:lvlText w:val="•"/>
      <w:lvlJc w:val="left"/>
      <w:pPr>
        <w:ind w:left="4557" w:hanging="360"/>
      </w:pPr>
      <w:rPr>
        <w:rFonts w:hint="default"/>
      </w:rPr>
    </w:lvl>
    <w:lvl w:ilvl="7">
      <w:start w:val="1"/>
      <w:numFmt w:val="bullet"/>
      <w:lvlText w:val="•"/>
      <w:lvlJc w:val="left"/>
      <w:pPr>
        <w:ind w:left="5682" w:hanging="360"/>
      </w:pPr>
      <w:rPr>
        <w:rFonts w:hint="default"/>
      </w:rPr>
    </w:lvl>
    <w:lvl w:ilvl="8">
      <w:start w:val="1"/>
      <w:numFmt w:val="bullet"/>
      <w:lvlText w:val="•"/>
      <w:lvlJc w:val="left"/>
      <w:pPr>
        <w:ind w:left="6808" w:hanging="360"/>
      </w:pPr>
      <w:rPr>
        <w:rFonts w:hint="default"/>
      </w:rPr>
    </w:lvl>
  </w:abstractNum>
  <w:abstractNum w:abstractNumId="70">
    <w:multiLevelType w:val="hybridMultilevel"/>
    <w:lvl w:ilvl="0">
      <w:start w:val="5"/>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69">
    <w:multiLevelType w:val="hybridMultilevel"/>
    <w:lvl w:ilvl="0">
      <w:start w:val="4"/>
      <w:numFmt w:val="decimal"/>
      <w:lvlText w:val="%1"/>
      <w:lvlJc w:val="left"/>
      <w:pPr>
        <w:ind w:left="890" w:hanging="790"/>
        <w:jc w:val="left"/>
      </w:pPr>
      <w:rPr>
        <w:rFonts w:hint="default"/>
      </w:rPr>
    </w:lvl>
    <w:lvl w:ilvl="1">
      <w:start w:val="2"/>
      <w:numFmt w:val="decimal"/>
      <w:lvlText w:val="%1.%2."/>
      <w:lvlJc w:val="left"/>
      <w:pPr>
        <w:ind w:left="890" w:hanging="79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w w:val="100"/>
        <w:sz w:val="24"/>
        <w:szCs w:val="24"/>
      </w:rPr>
    </w:lvl>
    <w:lvl w:ilvl="3">
      <w:start w:val="1"/>
      <w:numFmt w:val="bullet"/>
      <w:lvlText w:val="•"/>
      <w:lvlJc w:val="left"/>
      <w:pPr>
        <w:ind w:left="2713" w:hanging="600"/>
      </w:pPr>
      <w:rPr>
        <w:rFonts w:hint="default"/>
      </w:rPr>
    </w:lvl>
    <w:lvl w:ilvl="4">
      <w:start w:val="1"/>
      <w:numFmt w:val="bullet"/>
      <w:lvlText w:val="•"/>
      <w:lvlJc w:val="left"/>
      <w:pPr>
        <w:ind w:left="3620" w:hanging="600"/>
      </w:pPr>
      <w:rPr>
        <w:rFonts w:hint="default"/>
      </w:rPr>
    </w:lvl>
    <w:lvl w:ilvl="5">
      <w:start w:val="1"/>
      <w:numFmt w:val="bullet"/>
      <w:lvlText w:val="•"/>
      <w:lvlJc w:val="left"/>
      <w:pPr>
        <w:ind w:left="4526" w:hanging="600"/>
      </w:pPr>
      <w:rPr>
        <w:rFonts w:hint="default"/>
      </w:rPr>
    </w:lvl>
    <w:lvl w:ilvl="6">
      <w:start w:val="1"/>
      <w:numFmt w:val="bullet"/>
      <w:lvlText w:val="•"/>
      <w:lvlJc w:val="left"/>
      <w:pPr>
        <w:ind w:left="5433" w:hanging="600"/>
      </w:pPr>
      <w:rPr>
        <w:rFonts w:hint="default"/>
      </w:rPr>
    </w:lvl>
    <w:lvl w:ilvl="7">
      <w:start w:val="1"/>
      <w:numFmt w:val="bullet"/>
      <w:lvlText w:val="•"/>
      <w:lvlJc w:val="left"/>
      <w:pPr>
        <w:ind w:left="6340" w:hanging="600"/>
      </w:pPr>
      <w:rPr>
        <w:rFonts w:hint="default"/>
      </w:rPr>
    </w:lvl>
    <w:lvl w:ilvl="8">
      <w:start w:val="1"/>
      <w:numFmt w:val="bullet"/>
      <w:lvlText w:val="•"/>
      <w:lvlJc w:val="left"/>
      <w:pPr>
        <w:ind w:left="7246" w:hanging="600"/>
      </w:pPr>
      <w:rPr>
        <w:rFonts w:hint="default"/>
      </w:rPr>
    </w:lvl>
  </w:abstractNum>
  <w:abstractNum w:abstractNumId="68">
    <w:multiLevelType w:val="hybridMultilevel"/>
    <w:lvl w:ilvl="0">
      <w:start w:val="4"/>
      <w:numFmt w:val="decimal"/>
      <w:lvlText w:val="%1"/>
      <w:lvlJc w:val="left"/>
      <w:pPr>
        <w:ind w:left="702" w:hanging="600"/>
        <w:jc w:val="left"/>
      </w:pPr>
      <w:rPr>
        <w:rFonts w:hint="default"/>
      </w:rPr>
    </w:lvl>
    <w:lvl w:ilvl="1">
      <w:start w:val="1"/>
      <w:numFmt w:val="decimal"/>
      <w:lvlText w:val="%1.%2"/>
      <w:lvlJc w:val="left"/>
      <w:pPr>
        <w:ind w:left="702" w:hanging="600"/>
        <w:jc w:val="left"/>
      </w:pPr>
      <w:rPr>
        <w:rFonts w:hint="default"/>
      </w:rPr>
    </w:lvl>
    <w:lvl w:ilvl="2">
      <w:start w:val="4"/>
      <w:numFmt w:val="decimal"/>
      <w:lvlText w:val="%1.%2.%3."/>
      <w:lvlJc w:val="left"/>
      <w:pPr>
        <w:ind w:left="702" w:hanging="60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67">
    <w:multiLevelType w:val="hybridMultilevel"/>
    <w:lvl w:ilvl="0">
      <w:start w:val="4"/>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66">
    <w:multiLevelType w:val="hybridMultilevel"/>
    <w:lvl w:ilvl="0">
      <w:start w:val="1"/>
      <w:numFmt w:val="lowerLetter"/>
      <w:lvlText w:val="%1)"/>
      <w:lvlJc w:val="left"/>
      <w:pPr>
        <w:ind w:left="381" w:hanging="260"/>
        <w:jc w:val="left"/>
      </w:pPr>
      <w:rPr>
        <w:rFonts w:hint="default" w:ascii="Times New Roman" w:hAnsi="Times New Roman" w:eastAsia="Times New Roman" w:cs="Times New Roman"/>
        <w:b/>
        <w:bCs/>
        <w:w w:val="99"/>
        <w:sz w:val="24"/>
        <w:szCs w:val="24"/>
      </w:rPr>
    </w:lvl>
    <w:lvl w:ilvl="1">
      <w:start w:val="1"/>
      <w:numFmt w:val="decimal"/>
      <w:lvlText w:val="%2."/>
      <w:lvlJc w:val="left"/>
      <w:pPr>
        <w:ind w:left="822" w:hanging="360"/>
        <w:jc w:val="left"/>
      </w:pPr>
      <w:rPr>
        <w:rFonts w:hint="default" w:ascii="Times New Roman" w:hAnsi="Times New Roman" w:eastAsia="Times New Roman" w:cs="Times New Roman"/>
        <w:b/>
        <w:bCs/>
        <w:spacing w:val="-21"/>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65">
    <w:multiLevelType w:val="hybridMultilevel"/>
    <w:lvl w:ilvl="0">
      <w:start w:val="3"/>
      <w:numFmt w:val="decimal"/>
      <w:lvlText w:val="%1"/>
      <w:lvlJc w:val="left"/>
      <w:pPr>
        <w:ind w:left="542" w:hanging="420"/>
        <w:jc w:val="left"/>
      </w:pPr>
      <w:rPr>
        <w:rFonts w:hint="default"/>
      </w:rPr>
    </w:lvl>
    <w:lvl w:ilvl="1">
      <w:start w:val="9"/>
      <w:numFmt w:val="decimal"/>
      <w:lvlText w:val="%1.%2."/>
      <w:lvlJc w:val="left"/>
      <w:pPr>
        <w:ind w:left="542" w:hanging="42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w w:val="100"/>
        <w:sz w:val="24"/>
        <w:szCs w:val="24"/>
      </w:rPr>
    </w:lvl>
    <w:lvl w:ilvl="3">
      <w:start w:val="1"/>
      <w:numFmt w:val="decimal"/>
      <w:lvlText w:val="%1.%2.%3.%4."/>
      <w:lvlJc w:val="left"/>
      <w:pPr>
        <w:ind w:left="882" w:hanging="780"/>
        <w:jc w:val="left"/>
      </w:pPr>
      <w:rPr>
        <w:rFonts w:hint="default" w:ascii="Times New Roman" w:hAnsi="Times New Roman" w:eastAsia="Times New Roman" w:cs="Times New Roman"/>
        <w:b/>
        <w:bCs/>
        <w:w w:val="100"/>
        <w:sz w:val="24"/>
        <w:szCs w:val="24"/>
      </w:rPr>
    </w:lvl>
    <w:lvl w:ilvl="4">
      <w:start w:val="1"/>
      <w:numFmt w:val="bullet"/>
      <w:lvlText w:val="•"/>
      <w:lvlJc w:val="left"/>
      <w:pPr>
        <w:ind w:left="2925" w:hanging="780"/>
      </w:pPr>
      <w:rPr>
        <w:rFonts w:hint="default"/>
      </w:rPr>
    </w:lvl>
    <w:lvl w:ilvl="5">
      <w:start w:val="1"/>
      <w:numFmt w:val="bullet"/>
      <w:lvlText w:val="•"/>
      <w:lvlJc w:val="left"/>
      <w:pPr>
        <w:ind w:left="3947" w:hanging="780"/>
      </w:pPr>
      <w:rPr>
        <w:rFonts w:hint="default"/>
      </w:rPr>
    </w:lvl>
    <w:lvl w:ilvl="6">
      <w:start w:val="1"/>
      <w:numFmt w:val="bullet"/>
      <w:lvlText w:val="•"/>
      <w:lvlJc w:val="left"/>
      <w:pPr>
        <w:ind w:left="4970" w:hanging="780"/>
      </w:pPr>
      <w:rPr>
        <w:rFonts w:hint="default"/>
      </w:rPr>
    </w:lvl>
    <w:lvl w:ilvl="7">
      <w:start w:val="1"/>
      <w:numFmt w:val="bullet"/>
      <w:lvlText w:val="•"/>
      <w:lvlJc w:val="left"/>
      <w:pPr>
        <w:ind w:left="5992" w:hanging="780"/>
      </w:pPr>
      <w:rPr>
        <w:rFonts w:hint="default"/>
      </w:rPr>
    </w:lvl>
    <w:lvl w:ilvl="8">
      <w:start w:val="1"/>
      <w:numFmt w:val="bullet"/>
      <w:lvlText w:val="•"/>
      <w:lvlJc w:val="left"/>
      <w:pPr>
        <w:ind w:left="7015" w:hanging="780"/>
      </w:pPr>
      <w:rPr>
        <w:rFonts w:hint="default"/>
      </w:rPr>
    </w:lvl>
  </w:abstractNum>
  <w:abstractNum w:abstractNumId="64">
    <w:multiLevelType w:val="hybridMultilevel"/>
    <w:lvl w:ilvl="0">
      <w:start w:val="1"/>
      <w:numFmt w:val="bullet"/>
      <w:lvlText w:val=""/>
      <w:lvlJc w:val="left"/>
      <w:pPr>
        <w:ind w:left="603" w:hanging="361"/>
      </w:pPr>
      <w:rPr>
        <w:rFonts w:hint="default" w:ascii="Symbol" w:hAnsi="Symbol" w:eastAsia="Symbol" w:cs="Symbol"/>
        <w:w w:val="100"/>
        <w:sz w:val="22"/>
        <w:szCs w:val="22"/>
      </w:rPr>
    </w:lvl>
    <w:lvl w:ilvl="1">
      <w:start w:val="1"/>
      <w:numFmt w:val="bullet"/>
      <w:lvlText w:val="•"/>
      <w:lvlJc w:val="left"/>
      <w:pPr>
        <w:ind w:left="996" w:hanging="361"/>
      </w:pPr>
      <w:rPr>
        <w:rFonts w:hint="default"/>
      </w:rPr>
    </w:lvl>
    <w:lvl w:ilvl="2">
      <w:start w:val="1"/>
      <w:numFmt w:val="bullet"/>
      <w:lvlText w:val="•"/>
      <w:lvlJc w:val="left"/>
      <w:pPr>
        <w:ind w:left="1392" w:hanging="361"/>
      </w:pPr>
      <w:rPr>
        <w:rFonts w:hint="default"/>
      </w:rPr>
    </w:lvl>
    <w:lvl w:ilvl="3">
      <w:start w:val="1"/>
      <w:numFmt w:val="bullet"/>
      <w:lvlText w:val="•"/>
      <w:lvlJc w:val="left"/>
      <w:pPr>
        <w:ind w:left="1788" w:hanging="361"/>
      </w:pPr>
      <w:rPr>
        <w:rFonts w:hint="default"/>
      </w:rPr>
    </w:lvl>
    <w:lvl w:ilvl="4">
      <w:start w:val="1"/>
      <w:numFmt w:val="bullet"/>
      <w:lvlText w:val="•"/>
      <w:lvlJc w:val="left"/>
      <w:pPr>
        <w:ind w:left="2184" w:hanging="361"/>
      </w:pPr>
      <w:rPr>
        <w:rFonts w:hint="default"/>
      </w:rPr>
    </w:lvl>
    <w:lvl w:ilvl="5">
      <w:start w:val="1"/>
      <w:numFmt w:val="bullet"/>
      <w:lvlText w:val="•"/>
      <w:lvlJc w:val="left"/>
      <w:pPr>
        <w:ind w:left="2580" w:hanging="361"/>
      </w:pPr>
      <w:rPr>
        <w:rFonts w:hint="default"/>
      </w:rPr>
    </w:lvl>
    <w:lvl w:ilvl="6">
      <w:start w:val="1"/>
      <w:numFmt w:val="bullet"/>
      <w:lvlText w:val="•"/>
      <w:lvlJc w:val="left"/>
      <w:pPr>
        <w:ind w:left="2976" w:hanging="361"/>
      </w:pPr>
      <w:rPr>
        <w:rFonts w:hint="default"/>
      </w:rPr>
    </w:lvl>
    <w:lvl w:ilvl="7">
      <w:start w:val="1"/>
      <w:numFmt w:val="bullet"/>
      <w:lvlText w:val="•"/>
      <w:lvlJc w:val="left"/>
      <w:pPr>
        <w:ind w:left="3373" w:hanging="361"/>
      </w:pPr>
      <w:rPr>
        <w:rFonts w:hint="default"/>
      </w:rPr>
    </w:lvl>
    <w:lvl w:ilvl="8">
      <w:start w:val="1"/>
      <w:numFmt w:val="bullet"/>
      <w:lvlText w:val="•"/>
      <w:lvlJc w:val="left"/>
      <w:pPr>
        <w:ind w:left="3769" w:hanging="361"/>
      </w:pPr>
      <w:rPr>
        <w:rFonts w:hint="default"/>
      </w:rPr>
    </w:lvl>
  </w:abstractNum>
  <w:abstractNum w:abstractNumId="63">
    <w:multiLevelType w:val="hybridMultilevel"/>
    <w:lvl w:ilvl="0">
      <w:start w:val="1"/>
      <w:numFmt w:val="bullet"/>
      <w:lvlText w:val=""/>
      <w:lvlJc w:val="left"/>
      <w:pPr>
        <w:ind w:left="559" w:hanging="360"/>
      </w:pPr>
      <w:rPr>
        <w:rFonts w:hint="default" w:ascii="Symbol" w:hAnsi="Symbol" w:eastAsia="Symbol" w:cs="Symbol"/>
        <w:w w:val="100"/>
        <w:sz w:val="22"/>
        <w:szCs w:val="22"/>
      </w:rPr>
    </w:lvl>
    <w:lvl w:ilvl="1">
      <w:start w:val="1"/>
      <w:numFmt w:val="bullet"/>
      <w:lvlText w:val="•"/>
      <w:lvlJc w:val="left"/>
      <w:pPr>
        <w:ind w:left="948" w:hanging="360"/>
      </w:pPr>
      <w:rPr>
        <w:rFonts w:hint="default"/>
      </w:rPr>
    </w:lvl>
    <w:lvl w:ilvl="2">
      <w:start w:val="1"/>
      <w:numFmt w:val="bullet"/>
      <w:lvlText w:val="•"/>
      <w:lvlJc w:val="left"/>
      <w:pPr>
        <w:ind w:left="1337" w:hanging="360"/>
      </w:pPr>
      <w:rPr>
        <w:rFonts w:hint="default"/>
      </w:rPr>
    </w:lvl>
    <w:lvl w:ilvl="3">
      <w:start w:val="1"/>
      <w:numFmt w:val="bullet"/>
      <w:lvlText w:val="•"/>
      <w:lvlJc w:val="left"/>
      <w:pPr>
        <w:ind w:left="1725" w:hanging="360"/>
      </w:pPr>
      <w:rPr>
        <w:rFonts w:hint="default"/>
      </w:rPr>
    </w:lvl>
    <w:lvl w:ilvl="4">
      <w:start w:val="1"/>
      <w:numFmt w:val="bullet"/>
      <w:lvlText w:val="•"/>
      <w:lvlJc w:val="left"/>
      <w:pPr>
        <w:ind w:left="2114" w:hanging="360"/>
      </w:pPr>
      <w:rPr>
        <w:rFonts w:hint="default"/>
      </w:rPr>
    </w:lvl>
    <w:lvl w:ilvl="5">
      <w:start w:val="1"/>
      <w:numFmt w:val="bullet"/>
      <w:lvlText w:val="•"/>
      <w:lvlJc w:val="left"/>
      <w:pPr>
        <w:ind w:left="2502" w:hanging="360"/>
      </w:pPr>
      <w:rPr>
        <w:rFonts w:hint="default"/>
      </w:rPr>
    </w:lvl>
    <w:lvl w:ilvl="6">
      <w:start w:val="1"/>
      <w:numFmt w:val="bullet"/>
      <w:lvlText w:val="•"/>
      <w:lvlJc w:val="left"/>
      <w:pPr>
        <w:ind w:left="2891" w:hanging="360"/>
      </w:pPr>
      <w:rPr>
        <w:rFonts w:hint="default"/>
      </w:rPr>
    </w:lvl>
    <w:lvl w:ilvl="7">
      <w:start w:val="1"/>
      <w:numFmt w:val="bullet"/>
      <w:lvlText w:val="•"/>
      <w:lvlJc w:val="left"/>
      <w:pPr>
        <w:ind w:left="3279" w:hanging="360"/>
      </w:pPr>
      <w:rPr>
        <w:rFonts w:hint="default"/>
      </w:rPr>
    </w:lvl>
    <w:lvl w:ilvl="8">
      <w:start w:val="1"/>
      <w:numFmt w:val="bullet"/>
      <w:lvlText w:val="•"/>
      <w:lvlJc w:val="left"/>
      <w:pPr>
        <w:ind w:left="3668" w:hanging="360"/>
      </w:pPr>
      <w:rPr>
        <w:rFonts w:hint="default"/>
      </w:rPr>
    </w:lvl>
  </w:abstractNum>
  <w:abstractNum w:abstractNumId="62">
    <w:multiLevelType w:val="hybridMultilevel"/>
    <w:lvl w:ilvl="0">
      <w:start w:val="1"/>
      <w:numFmt w:val="bullet"/>
      <w:lvlText w:val=""/>
      <w:lvlJc w:val="left"/>
      <w:pPr>
        <w:ind w:left="820" w:hanging="361"/>
      </w:pPr>
      <w:rPr>
        <w:rFonts w:hint="default" w:ascii="Symbol" w:hAnsi="Symbol" w:eastAsia="Symbol" w:cs="Symbol"/>
        <w:w w:val="100"/>
        <w:sz w:val="22"/>
        <w:szCs w:val="22"/>
      </w:rPr>
    </w:lvl>
    <w:lvl w:ilvl="1">
      <w:start w:val="1"/>
      <w:numFmt w:val="bullet"/>
      <w:lvlText w:val="•"/>
      <w:lvlJc w:val="left"/>
      <w:pPr>
        <w:ind w:left="1151" w:hanging="361"/>
      </w:pPr>
      <w:rPr>
        <w:rFonts w:hint="default"/>
      </w:rPr>
    </w:lvl>
    <w:lvl w:ilvl="2">
      <w:start w:val="1"/>
      <w:numFmt w:val="bullet"/>
      <w:lvlText w:val="•"/>
      <w:lvlJc w:val="left"/>
      <w:pPr>
        <w:ind w:left="1483" w:hanging="361"/>
      </w:pPr>
      <w:rPr>
        <w:rFonts w:hint="default"/>
      </w:rPr>
    </w:lvl>
    <w:lvl w:ilvl="3">
      <w:start w:val="1"/>
      <w:numFmt w:val="bullet"/>
      <w:lvlText w:val="•"/>
      <w:lvlJc w:val="left"/>
      <w:pPr>
        <w:ind w:left="1815" w:hanging="361"/>
      </w:pPr>
      <w:rPr>
        <w:rFonts w:hint="default"/>
      </w:rPr>
    </w:lvl>
    <w:lvl w:ilvl="4">
      <w:start w:val="1"/>
      <w:numFmt w:val="bullet"/>
      <w:lvlText w:val="•"/>
      <w:lvlJc w:val="left"/>
      <w:pPr>
        <w:ind w:left="2147" w:hanging="361"/>
      </w:pPr>
      <w:rPr>
        <w:rFonts w:hint="default"/>
      </w:rPr>
    </w:lvl>
    <w:lvl w:ilvl="5">
      <w:start w:val="1"/>
      <w:numFmt w:val="bullet"/>
      <w:lvlText w:val="•"/>
      <w:lvlJc w:val="left"/>
      <w:pPr>
        <w:ind w:left="2479" w:hanging="361"/>
      </w:pPr>
      <w:rPr>
        <w:rFonts w:hint="default"/>
      </w:rPr>
    </w:lvl>
    <w:lvl w:ilvl="6">
      <w:start w:val="1"/>
      <w:numFmt w:val="bullet"/>
      <w:lvlText w:val="•"/>
      <w:lvlJc w:val="left"/>
      <w:pPr>
        <w:ind w:left="2811" w:hanging="361"/>
      </w:pPr>
      <w:rPr>
        <w:rFonts w:hint="default"/>
      </w:rPr>
    </w:lvl>
    <w:lvl w:ilvl="7">
      <w:start w:val="1"/>
      <w:numFmt w:val="bullet"/>
      <w:lvlText w:val="•"/>
      <w:lvlJc w:val="left"/>
      <w:pPr>
        <w:ind w:left="3143" w:hanging="361"/>
      </w:pPr>
      <w:rPr>
        <w:rFonts w:hint="default"/>
      </w:rPr>
    </w:lvl>
    <w:lvl w:ilvl="8">
      <w:start w:val="1"/>
      <w:numFmt w:val="bullet"/>
      <w:lvlText w:val="•"/>
      <w:lvlJc w:val="left"/>
      <w:pPr>
        <w:ind w:left="3475" w:hanging="361"/>
      </w:pPr>
      <w:rPr>
        <w:rFonts w:hint="default"/>
      </w:rPr>
    </w:lvl>
  </w:abstractNum>
  <w:abstractNum w:abstractNumId="61">
    <w:multiLevelType w:val="hybridMultilevel"/>
    <w:lvl w:ilvl="0">
      <w:start w:val="1"/>
      <w:numFmt w:val="bullet"/>
      <w:lvlText w:val=""/>
      <w:lvlJc w:val="left"/>
      <w:pPr>
        <w:ind w:left="359" w:hanging="360"/>
      </w:pPr>
      <w:rPr>
        <w:rFonts w:hint="default" w:ascii="Symbol" w:hAnsi="Symbol" w:eastAsia="Symbol" w:cs="Symbol"/>
        <w:w w:val="100"/>
        <w:sz w:val="22"/>
        <w:szCs w:val="22"/>
      </w:rPr>
    </w:lvl>
    <w:lvl w:ilvl="1">
      <w:start w:val="1"/>
      <w:numFmt w:val="bullet"/>
      <w:lvlText w:val="•"/>
      <w:lvlJc w:val="left"/>
      <w:pPr>
        <w:ind w:left="726" w:hanging="360"/>
      </w:pPr>
      <w:rPr>
        <w:rFonts w:hint="default"/>
      </w:rPr>
    </w:lvl>
    <w:lvl w:ilvl="2">
      <w:start w:val="1"/>
      <w:numFmt w:val="bullet"/>
      <w:lvlText w:val="•"/>
      <w:lvlJc w:val="left"/>
      <w:pPr>
        <w:ind w:left="1093" w:hanging="360"/>
      </w:pPr>
      <w:rPr>
        <w:rFonts w:hint="default"/>
      </w:rPr>
    </w:lvl>
    <w:lvl w:ilvl="3">
      <w:start w:val="1"/>
      <w:numFmt w:val="bullet"/>
      <w:lvlText w:val="•"/>
      <w:lvlJc w:val="left"/>
      <w:pPr>
        <w:ind w:left="1460" w:hanging="360"/>
      </w:pPr>
      <w:rPr>
        <w:rFonts w:hint="default"/>
      </w:rPr>
    </w:lvl>
    <w:lvl w:ilvl="4">
      <w:start w:val="1"/>
      <w:numFmt w:val="bullet"/>
      <w:lvlText w:val="•"/>
      <w:lvlJc w:val="left"/>
      <w:pPr>
        <w:ind w:left="1827" w:hanging="360"/>
      </w:pPr>
      <w:rPr>
        <w:rFonts w:hint="default"/>
      </w:rPr>
    </w:lvl>
    <w:lvl w:ilvl="5">
      <w:start w:val="1"/>
      <w:numFmt w:val="bullet"/>
      <w:lvlText w:val="•"/>
      <w:lvlJc w:val="left"/>
      <w:pPr>
        <w:ind w:left="2194" w:hanging="360"/>
      </w:pPr>
      <w:rPr>
        <w:rFonts w:hint="default"/>
      </w:rPr>
    </w:lvl>
    <w:lvl w:ilvl="6">
      <w:start w:val="1"/>
      <w:numFmt w:val="bullet"/>
      <w:lvlText w:val="•"/>
      <w:lvlJc w:val="left"/>
      <w:pPr>
        <w:ind w:left="2560" w:hanging="360"/>
      </w:pPr>
      <w:rPr>
        <w:rFonts w:hint="default"/>
      </w:rPr>
    </w:lvl>
    <w:lvl w:ilvl="7">
      <w:start w:val="1"/>
      <w:numFmt w:val="bullet"/>
      <w:lvlText w:val="•"/>
      <w:lvlJc w:val="left"/>
      <w:pPr>
        <w:ind w:left="2927" w:hanging="360"/>
      </w:pPr>
      <w:rPr>
        <w:rFonts w:hint="default"/>
      </w:rPr>
    </w:lvl>
    <w:lvl w:ilvl="8">
      <w:start w:val="1"/>
      <w:numFmt w:val="bullet"/>
      <w:lvlText w:val="•"/>
      <w:lvlJc w:val="left"/>
      <w:pPr>
        <w:ind w:left="3294" w:hanging="360"/>
      </w:pPr>
      <w:rPr>
        <w:rFonts w:hint="default"/>
      </w:rPr>
    </w:lvl>
  </w:abstractNum>
  <w:abstractNum w:abstractNumId="60">
    <w:multiLevelType w:val="hybridMultilevel"/>
    <w:lvl w:ilvl="0">
      <w:start w:val="1"/>
      <w:numFmt w:val="lowerLetter"/>
      <w:lvlText w:val="%1)"/>
      <w:lvlJc w:val="left"/>
      <w:pPr>
        <w:ind w:left="361" w:hanging="260"/>
        <w:jc w:val="left"/>
      </w:pPr>
      <w:rPr>
        <w:rFonts w:hint="default" w:ascii="Times New Roman" w:hAnsi="Times New Roman" w:eastAsia="Times New Roman" w:cs="Times New Roman"/>
        <w:b/>
        <w:bCs/>
        <w:w w:val="99"/>
        <w:sz w:val="24"/>
        <w:szCs w:val="24"/>
      </w:rPr>
    </w:lvl>
    <w:lvl w:ilvl="1">
      <w:start w:val="1"/>
      <w:numFmt w:val="bullet"/>
      <w:lvlText w:val="•"/>
      <w:lvlJc w:val="left"/>
      <w:pPr>
        <w:ind w:left="1230" w:hanging="260"/>
      </w:pPr>
      <w:rPr>
        <w:rFonts w:hint="default"/>
      </w:rPr>
    </w:lvl>
    <w:lvl w:ilvl="2">
      <w:start w:val="1"/>
      <w:numFmt w:val="bullet"/>
      <w:lvlText w:val="•"/>
      <w:lvlJc w:val="left"/>
      <w:pPr>
        <w:ind w:left="2100" w:hanging="260"/>
      </w:pPr>
      <w:rPr>
        <w:rFonts w:hint="default"/>
      </w:rPr>
    </w:lvl>
    <w:lvl w:ilvl="3">
      <w:start w:val="1"/>
      <w:numFmt w:val="bullet"/>
      <w:lvlText w:val="•"/>
      <w:lvlJc w:val="left"/>
      <w:pPr>
        <w:ind w:left="2970" w:hanging="260"/>
      </w:pPr>
      <w:rPr>
        <w:rFonts w:hint="default"/>
      </w:rPr>
    </w:lvl>
    <w:lvl w:ilvl="4">
      <w:start w:val="1"/>
      <w:numFmt w:val="bullet"/>
      <w:lvlText w:val="•"/>
      <w:lvlJc w:val="left"/>
      <w:pPr>
        <w:ind w:left="3840" w:hanging="260"/>
      </w:pPr>
      <w:rPr>
        <w:rFonts w:hint="default"/>
      </w:rPr>
    </w:lvl>
    <w:lvl w:ilvl="5">
      <w:start w:val="1"/>
      <w:numFmt w:val="bullet"/>
      <w:lvlText w:val="•"/>
      <w:lvlJc w:val="left"/>
      <w:pPr>
        <w:ind w:left="4710" w:hanging="260"/>
      </w:pPr>
      <w:rPr>
        <w:rFonts w:hint="default"/>
      </w:rPr>
    </w:lvl>
    <w:lvl w:ilvl="6">
      <w:start w:val="1"/>
      <w:numFmt w:val="bullet"/>
      <w:lvlText w:val="•"/>
      <w:lvlJc w:val="left"/>
      <w:pPr>
        <w:ind w:left="5580" w:hanging="260"/>
      </w:pPr>
      <w:rPr>
        <w:rFonts w:hint="default"/>
      </w:rPr>
    </w:lvl>
    <w:lvl w:ilvl="7">
      <w:start w:val="1"/>
      <w:numFmt w:val="bullet"/>
      <w:lvlText w:val="•"/>
      <w:lvlJc w:val="left"/>
      <w:pPr>
        <w:ind w:left="6450" w:hanging="260"/>
      </w:pPr>
      <w:rPr>
        <w:rFonts w:hint="default"/>
      </w:rPr>
    </w:lvl>
    <w:lvl w:ilvl="8">
      <w:start w:val="1"/>
      <w:numFmt w:val="bullet"/>
      <w:lvlText w:val="•"/>
      <w:lvlJc w:val="left"/>
      <w:pPr>
        <w:ind w:left="7320" w:hanging="260"/>
      </w:pPr>
      <w:rPr>
        <w:rFonts w:hint="default"/>
      </w:rPr>
    </w:lvl>
  </w:abstractNum>
  <w:abstractNum w:abstractNumId="59">
    <w:multiLevelType w:val="hybridMultilevel"/>
    <w:lvl w:ilvl="0">
      <w:start w:val="3"/>
      <w:numFmt w:val="decimal"/>
      <w:lvlText w:val="%1"/>
      <w:lvlJc w:val="left"/>
      <w:pPr>
        <w:ind w:left="522" w:hanging="420"/>
        <w:jc w:val="left"/>
      </w:pPr>
      <w:rPr>
        <w:rFonts w:hint="default"/>
      </w:rPr>
    </w:lvl>
    <w:lvl w:ilvl="1">
      <w:start w:val="5"/>
      <w:numFmt w:val="decimal"/>
      <w:lvlText w:val="%1.%2."/>
      <w:lvlJc w:val="left"/>
      <w:pPr>
        <w:ind w:left="522" w:hanging="42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58">
    <w:multiLevelType w:val="hybridMultilevel"/>
    <w:lvl w:ilvl="0">
      <w:start w:val="1"/>
      <w:numFmt w:val="bullet"/>
      <w:lvlText w:val=""/>
      <w:lvlJc w:val="left"/>
      <w:pPr>
        <w:ind w:left="703" w:hanging="360"/>
      </w:pPr>
      <w:rPr>
        <w:rFonts w:hint="default" w:ascii="Symbol" w:hAnsi="Symbol" w:eastAsia="Symbol" w:cs="Symbol"/>
        <w:w w:val="99"/>
        <w:sz w:val="20"/>
        <w:szCs w:val="20"/>
      </w:rPr>
    </w:lvl>
    <w:lvl w:ilvl="1">
      <w:start w:val="1"/>
      <w:numFmt w:val="bullet"/>
      <w:lvlText w:val="•"/>
      <w:lvlJc w:val="left"/>
      <w:pPr>
        <w:ind w:left="1069" w:hanging="360"/>
      </w:pPr>
      <w:rPr>
        <w:rFonts w:hint="default"/>
      </w:rPr>
    </w:lvl>
    <w:lvl w:ilvl="2">
      <w:start w:val="1"/>
      <w:numFmt w:val="bullet"/>
      <w:lvlText w:val="•"/>
      <w:lvlJc w:val="left"/>
      <w:pPr>
        <w:ind w:left="1439" w:hanging="360"/>
      </w:pPr>
      <w:rPr>
        <w:rFonts w:hint="default"/>
      </w:rPr>
    </w:lvl>
    <w:lvl w:ilvl="3">
      <w:start w:val="1"/>
      <w:numFmt w:val="bullet"/>
      <w:lvlText w:val="•"/>
      <w:lvlJc w:val="left"/>
      <w:pPr>
        <w:ind w:left="1809" w:hanging="360"/>
      </w:pPr>
      <w:rPr>
        <w:rFonts w:hint="default"/>
      </w:rPr>
    </w:lvl>
    <w:lvl w:ilvl="4">
      <w:start w:val="1"/>
      <w:numFmt w:val="bullet"/>
      <w:lvlText w:val="•"/>
      <w:lvlJc w:val="left"/>
      <w:pPr>
        <w:ind w:left="2179" w:hanging="360"/>
      </w:pPr>
      <w:rPr>
        <w:rFonts w:hint="default"/>
      </w:rPr>
    </w:lvl>
    <w:lvl w:ilvl="5">
      <w:start w:val="1"/>
      <w:numFmt w:val="bullet"/>
      <w:lvlText w:val="•"/>
      <w:lvlJc w:val="left"/>
      <w:pPr>
        <w:ind w:left="2549" w:hanging="360"/>
      </w:pPr>
      <w:rPr>
        <w:rFonts w:hint="default"/>
      </w:rPr>
    </w:lvl>
    <w:lvl w:ilvl="6">
      <w:start w:val="1"/>
      <w:numFmt w:val="bullet"/>
      <w:lvlText w:val="•"/>
      <w:lvlJc w:val="left"/>
      <w:pPr>
        <w:ind w:left="2919" w:hanging="360"/>
      </w:pPr>
      <w:rPr>
        <w:rFonts w:hint="default"/>
      </w:rPr>
    </w:lvl>
    <w:lvl w:ilvl="7">
      <w:start w:val="1"/>
      <w:numFmt w:val="bullet"/>
      <w:lvlText w:val="•"/>
      <w:lvlJc w:val="left"/>
      <w:pPr>
        <w:ind w:left="3289" w:hanging="360"/>
      </w:pPr>
      <w:rPr>
        <w:rFonts w:hint="default"/>
      </w:rPr>
    </w:lvl>
    <w:lvl w:ilvl="8">
      <w:start w:val="1"/>
      <w:numFmt w:val="bullet"/>
      <w:lvlText w:val="•"/>
      <w:lvlJc w:val="left"/>
      <w:pPr>
        <w:ind w:left="3659" w:hanging="360"/>
      </w:pPr>
      <w:rPr>
        <w:rFonts w:hint="default"/>
      </w:rPr>
    </w:lvl>
  </w:abstractNum>
  <w:abstractNum w:abstractNumId="57">
    <w:multiLevelType w:val="hybridMultilevel"/>
    <w:lvl w:ilvl="0">
      <w:start w:val="1"/>
      <w:numFmt w:val="bullet"/>
      <w:lvlText w:val=""/>
      <w:lvlJc w:val="left"/>
      <w:pPr>
        <w:ind w:left="560" w:hanging="360"/>
      </w:pPr>
      <w:rPr>
        <w:rFonts w:hint="default" w:ascii="Symbol" w:hAnsi="Symbol" w:eastAsia="Symbol" w:cs="Symbol"/>
        <w:w w:val="99"/>
        <w:sz w:val="20"/>
        <w:szCs w:val="20"/>
      </w:rPr>
    </w:lvl>
    <w:lvl w:ilvl="1">
      <w:start w:val="1"/>
      <w:numFmt w:val="bullet"/>
      <w:lvlText w:val="•"/>
      <w:lvlJc w:val="left"/>
      <w:pPr>
        <w:ind w:left="938" w:hanging="360"/>
      </w:pPr>
      <w:rPr>
        <w:rFonts w:hint="default"/>
      </w:rPr>
    </w:lvl>
    <w:lvl w:ilvl="2">
      <w:start w:val="1"/>
      <w:numFmt w:val="bullet"/>
      <w:lvlText w:val="•"/>
      <w:lvlJc w:val="left"/>
      <w:pPr>
        <w:ind w:left="1317" w:hanging="360"/>
      </w:pPr>
      <w:rPr>
        <w:rFonts w:hint="default"/>
      </w:rPr>
    </w:lvl>
    <w:lvl w:ilvl="3">
      <w:start w:val="1"/>
      <w:numFmt w:val="bullet"/>
      <w:lvlText w:val="•"/>
      <w:lvlJc w:val="left"/>
      <w:pPr>
        <w:ind w:left="1695" w:hanging="360"/>
      </w:pPr>
      <w:rPr>
        <w:rFonts w:hint="default"/>
      </w:rPr>
    </w:lvl>
    <w:lvl w:ilvl="4">
      <w:start w:val="1"/>
      <w:numFmt w:val="bullet"/>
      <w:lvlText w:val="•"/>
      <w:lvlJc w:val="left"/>
      <w:pPr>
        <w:ind w:left="2074" w:hanging="360"/>
      </w:pPr>
      <w:rPr>
        <w:rFonts w:hint="default"/>
      </w:rPr>
    </w:lvl>
    <w:lvl w:ilvl="5">
      <w:start w:val="1"/>
      <w:numFmt w:val="bullet"/>
      <w:lvlText w:val="•"/>
      <w:lvlJc w:val="left"/>
      <w:pPr>
        <w:ind w:left="2452" w:hanging="360"/>
      </w:pPr>
      <w:rPr>
        <w:rFonts w:hint="default"/>
      </w:rPr>
    </w:lvl>
    <w:lvl w:ilvl="6">
      <w:start w:val="1"/>
      <w:numFmt w:val="bullet"/>
      <w:lvlText w:val="•"/>
      <w:lvlJc w:val="left"/>
      <w:pPr>
        <w:ind w:left="2831" w:hanging="360"/>
      </w:pPr>
      <w:rPr>
        <w:rFonts w:hint="default"/>
      </w:rPr>
    </w:lvl>
    <w:lvl w:ilvl="7">
      <w:start w:val="1"/>
      <w:numFmt w:val="bullet"/>
      <w:lvlText w:val="•"/>
      <w:lvlJc w:val="left"/>
      <w:pPr>
        <w:ind w:left="3209" w:hanging="360"/>
      </w:pPr>
      <w:rPr>
        <w:rFonts w:hint="default"/>
      </w:rPr>
    </w:lvl>
    <w:lvl w:ilvl="8">
      <w:start w:val="1"/>
      <w:numFmt w:val="bullet"/>
      <w:lvlText w:val="•"/>
      <w:lvlJc w:val="left"/>
      <w:pPr>
        <w:ind w:left="3588" w:hanging="360"/>
      </w:pPr>
      <w:rPr>
        <w:rFonts w:hint="default"/>
      </w:rPr>
    </w:lvl>
  </w:abstractNum>
  <w:abstractNum w:abstractNumId="56">
    <w:multiLevelType w:val="hybridMultilevel"/>
    <w:lvl w:ilvl="0">
      <w:start w:val="1"/>
      <w:numFmt w:val="lowerLetter"/>
      <w:lvlText w:val="%1)"/>
      <w:lvlJc w:val="left"/>
      <w:pPr>
        <w:ind w:left="361" w:hanging="260"/>
        <w:jc w:val="left"/>
      </w:pPr>
      <w:rPr>
        <w:rFonts w:hint="default" w:ascii="Times New Roman" w:hAnsi="Times New Roman" w:eastAsia="Times New Roman" w:cs="Times New Roman"/>
        <w:b/>
        <w:bCs/>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55">
    <w:multiLevelType w:val="hybridMultilevel"/>
    <w:lvl w:ilvl="0">
      <w:start w:val="1"/>
      <w:numFmt w:val="decimal"/>
      <w:lvlText w:val="%1."/>
      <w:lvlJc w:val="left"/>
      <w:pPr>
        <w:ind w:left="842"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54">
    <w:multiLevelType w:val="hybridMultilevel"/>
    <w:lvl w:ilvl="0">
      <w:start w:val="3"/>
      <w:numFmt w:val="decimal"/>
      <w:lvlText w:val="%1"/>
      <w:lvlJc w:val="left"/>
      <w:pPr>
        <w:ind w:left="542" w:hanging="420"/>
        <w:jc w:val="left"/>
      </w:pPr>
      <w:rPr>
        <w:rFonts w:hint="default"/>
      </w:rPr>
    </w:lvl>
    <w:lvl w:ilvl="1">
      <w:start w:val="4"/>
      <w:numFmt w:val="decimal"/>
      <w:lvlText w:val="%1.%2."/>
      <w:lvlJc w:val="left"/>
      <w:pPr>
        <w:ind w:left="542" w:hanging="42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722" w:hanging="600"/>
        <w:jc w:val="left"/>
      </w:pPr>
      <w:rPr>
        <w:rFonts w:hint="default" w:ascii="Times New Roman" w:hAnsi="Times New Roman" w:eastAsia="Times New Roman" w:cs="Times New Roman"/>
        <w:b/>
        <w:bCs/>
        <w:w w:val="100"/>
        <w:sz w:val="24"/>
        <w:szCs w:val="24"/>
      </w:rPr>
    </w:lvl>
    <w:lvl w:ilvl="3">
      <w:start w:val="1"/>
      <w:numFmt w:val="lowerLetter"/>
      <w:lvlText w:val="%4)"/>
      <w:lvlJc w:val="left"/>
      <w:pPr>
        <w:ind w:left="822" w:hanging="360"/>
        <w:jc w:val="right"/>
      </w:pPr>
      <w:rPr>
        <w:rFonts w:hint="default" w:ascii="Times New Roman" w:hAnsi="Times New Roman" w:eastAsia="Times New Roman" w:cs="Times New Roman"/>
        <w:b/>
        <w:bCs/>
        <w:spacing w:val="-20"/>
        <w:w w:val="99"/>
        <w:sz w:val="24"/>
        <w:szCs w:val="24"/>
      </w:rPr>
    </w:lvl>
    <w:lvl w:ilvl="4">
      <w:start w:val="1"/>
      <w:numFmt w:val="decimal"/>
      <w:lvlText w:val="%5."/>
      <w:lvlJc w:val="left"/>
      <w:pPr>
        <w:ind w:left="842" w:hanging="360"/>
        <w:jc w:val="left"/>
      </w:pPr>
      <w:rPr>
        <w:rFonts w:hint="default" w:ascii="Times New Roman" w:hAnsi="Times New Roman" w:eastAsia="Times New Roman" w:cs="Times New Roman"/>
        <w:spacing w:val="-2"/>
        <w:w w:val="99"/>
        <w:sz w:val="24"/>
        <w:szCs w:val="24"/>
      </w:rPr>
    </w:lvl>
    <w:lvl w:ilvl="5">
      <w:start w:val="1"/>
      <w:numFmt w:val="bullet"/>
      <w:lvlText w:val="•"/>
      <w:lvlJc w:val="left"/>
      <w:pPr>
        <w:ind w:left="3188" w:hanging="360"/>
      </w:pPr>
      <w:rPr>
        <w:rFonts w:hint="default"/>
      </w:rPr>
    </w:lvl>
    <w:lvl w:ilvl="6">
      <w:start w:val="1"/>
      <w:numFmt w:val="bullet"/>
      <w:lvlText w:val="•"/>
      <w:lvlJc w:val="left"/>
      <w:pPr>
        <w:ind w:left="4362" w:hanging="360"/>
      </w:pPr>
      <w:rPr>
        <w:rFonts w:hint="default"/>
      </w:rPr>
    </w:lvl>
    <w:lvl w:ilvl="7">
      <w:start w:val="1"/>
      <w:numFmt w:val="bullet"/>
      <w:lvlText w:val="•"/>
      <w:lvlJc w:val="left"/>
      <w:pPr>
        <w:ind w:left="5537" w:hanging="360"/>
      </w:pPr>
      <w:rPr>
        <w:rFonts w:hint="default"/>
      </w:rPr>
    </w:lvl>
    <w:lvl w:ilvl="8">
      <w:start w:val="1"/>
      <w:numFmt w:val="bullet"/>
      <w:lvlText w:val="•"/>
      <w:lvlJc w:val="left"/>
      <w:pPr>
        <w:ind w:left="6711" w:hanging="360"/>
      </w:pPr>
      <w:rPr>
        <w:rFonts w:hint="default"/>
      </w:rPr>
    </w:lvl>
  </w:abstractNum>
  <w:abstractNum w:abstractNumId="53">
    <w:multiLevelType w:val="hybridMultilevel"/>
    <w:lvl w:ilvl="0">
      <w:start w:val="1"/>
      <w:numFmt w:val="decimal"/>
      <w:lvlText w:val="%1."/>
      <w:lvlJc w:val="left"/>
      <w:pPr>
        <w:ind w:left="342" w:hanging="240"/>
        <w:jc w:val="left"/>
      </w:pPr>
      <w:rPr>
        <w:rFonts w:hint="default" w:ascii="Times New Roman" w:hAnsi="Times New Roman" w:eastAsia="Times New Roman" w:cs="Times New Roman"/>
        <w:b/>
        <w:bCs/>
        <w:spacing w:val="-2"/>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52">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1">
    <w:multiLevelType w:val="hybridMultilevel"/>
    <w:lvl w:ilvl="0">
      <w:start w:val="3"/>
      <w:numFmt w:val="decimal"/>
      <w:lvlText w:val="%1"/>
      <w:lvlJc w:val="left"/>
      <w:pPr>
        <w:ind w:left="882" w:hanging="780"/>
        <w:jc w:val="left"/>
      </w:pPr>
      <w:rPr>
        <w:rFonts w:hint="default"/>
      </w:rPr>
    </w:lvl>
    <w:lvl w:ilvl="1">
      <w:start w:val="3"/>
      <w:numFmt w:val="decimal"/>
      <w:lvlText w:val="%1.%2"/>
      <w:lvlJc w:val="left"/>
      <w:pPr>
        <w:ind w:left="882" w:hanging="780"/>
        <w:jc w:val="left"/>
      </w:pPr>
      <w:rPr>
        <w:rFonts w:hint="default"/>
      </w:rPr>
    </w:lvl>
    <w:lvl w:ilvl="2">
      <w:start w:val="2"/>
      <w:numFmt w:val="decimal"/>
      <w:lvlText w:val="%1.%2.%3"/>
      <w:lvlJc w:val="left"/>
      <w:pPr>
        <w:ind w:left="882" w:hanging="780"/>
        <w:jc w:val="left"/>
      </w:pPr>
      <w:rPr>
        <w:rFonts w:hint="default"/>
      </w:rPr>
    </w:lvl>
    <w:lvl w:ilvl="3">
      <w:start w:val="1"/>
      <w:numFmt w:val="decimal"/>
      <w:lvlText w:val="%1.%2.%3.%4."/>
      <w:lvlJc w:val="left"/>
      <w:pPr>
        <w:ind w:left="882" w:hanging="780"/>
        <w:jc w:val="left"/>
      </w:pPr>
      <w:rPr>
        <w:rFonts w:hint="default" w:ascii="Times New Roman" w:hAnsi="Times New Roman" w:eastAsia="Times New Roman" w:cs="Times New Roman"/>
        <w:b/>
        <w:bCs/>
        <w:w w:val="100"/>
        <w:sz w:val="24"/>
        <w:szCs w:val="24"/>
      </w:rPr>
    </w:lvl>
    <w:lvl w:ilvl="4">
      <w:start w:val="1"/>
      <w:numFmt w:val="decimal"/>
      <w:lvlText w:val="%5."/>
      <w:lvlJc w:val="left"/>
      <w:pPr>
        <w:ind w:left="822" w:hanging="360"/>
        <w:jc w:val="right"/>
      </w:pPr>
      <w:rPr>
        <w:rFonts w:hint="default"/>
        <w:spacing w:val="-1"/>
        <w:w w:val="100"/>
      </w:rPr>
    </w:lvl>
    <w:lvl w:ilvl="5">
      <w:start w:val="1"/>
      <w:numFmt w:val="bullet"/>
      <w:lvlText w:val="o"/>
      <w:lvlJc w:val="left"/>
      <w:pPr>
        <w:ind w:left="1542" w:hanging="360"/>
      </w:pPr>
      <w:rPr>
        <w:rFonts w:hint="default" w:ascii="Courier New" w:hAnsi="Courier New" w:eastAsia="Courier New" w:cs="Courier New"/>
        <w:w w:val="100"/>
        <w:sz w:val="24"/>
        <w:szCs w:val="24"/>
      </w:rPr>
    </w:lvl>
    <w:lvl w:ilvl="6">
      <w:start w:val="1"/>
      <w:numFmt w:val="bullet"/>
      <w:lvlText w:val="o"/>
      <w:lvlJc w:val="left"/>
      <w:pPr>
        <w:ind w:left="1542" w:hanging="360"/>
      </w:pPr>
      <w:rPr>
        <w:rFonts w:hint="default" w:ascii="Courier New" w:hAnsi="Courier New" w:eastAsia="Courier New" w:cs="Courier New"/>
        <w:w w:val="100"/>
        <w:sz w:val="24"/>
        <w:szCs w:val="24"/>
      </w:rPr>
    </w:lvl>
    <w:lvl w:ilvl="7">
      <w:start w:val="1"/>
      <w:numFmt w:val="bullet"/>
      <w:lvlText w:val="•"/>
      <w:lvlJc w:val="left"/>
      <w:pPr>
        <w:ind w:left="5768" w:hanging="360"/>
      </w:pPr>
      <w:rPr>
        <w:rFonts w:hint="default"/>
      </w:rPr>
    </w:lvl>
    <w:lvl w:ilvl="8">
      <w:start w:val="1"/>
      <w:numFmt w:val="bullet"/>
      <w:lvlText w:val="•"/>
      <w:lvlJc w:val="left"/>
      <w:pPr>
        <w:ind w:left="6825" w:hanging="360"/>
      </w:pPr>
      <w:rPr>
        <w:rFonts w:hint="default"/>
      </w:rPr>
    </w:lvl>
  </w:abstractNum>
  <w:abstractNum w:abstractNumId="50">
    <w:multiLevelType w:val="hybridMultilevel"/>
    <w:lvl w:ilvl="0">
      <w:start w:val="3"/>
      <w:numFmt w:val="decimal"/>
      <w:lvlText w:val="%1"/>
      <w:lvlJc w:val="left"/>
      <w:pPr>
        <w:ind w:left="702" w:hanging="600"/>
        <w:jc w:val="left"/>
      </w:pPr>
      <w:rPr>
        <w:rFonts w:hint="default"/>
      </w:rPr>
    </w:lvl>
    <w:lvl w:ilvl="1">
      <w:start w:val="3"/>
      <w:numFmt w:val="decimal"/>
      <w:lvlText w:val="%1.%2"/>
      <w:lvlJc w:val="left"/>
      <w:pPr>
        <w:ind w:left="702" w:hanging="600"/>
        <w:jc w:val="left"/>
      </w:pPr>
      <w:rPr>
        <w:rFonts w:hint="default"/>
      </w:rPr>
    </w:lvl>
    <w:lvl w:ilvl="2">
      <w:start w:val="1"/>
      <w:numFmt w:val="decimal"/>
      <w:lvlText w:val="%1.%2.%3."/>
      <w:lvlJc w:val="left"/>
      <w:pPr>
        <w:ind w:left="702" w:hanging="600"/>
        <w:jc w:val="left"/>
      </w:pPr>
      <w:rPr>
        <w:rFonts w:hint="default" w:ascii="Times New Roman" w:hAnsi="Times New Roman" w:eastAsia="Times New Roman" w:cs="Times New Roman"/>
        <w:b/>
        <w:bCs/>
        <w:w w:val="100"/>
        <w:sz w:val="24"/>
        <w:szCs w:val="24"/>
      </w:rPr>
    </w:lvl>
    <w:lvl w:ilvl="3">
      <w:start w:val="1"/>
      <w:numFmt w:val="bullet"/>
      <w:lvlText w:val=""/>
      <w:lvlJc w:val="left"/>
      <w:pPr>
        <w:ind w:left="842" w:hanging="360"/>
      </w:pPr>
      <w:rPr>
        <w:rFonts w:hint="default" w:ascii="Symbol" w:hAnsi="Symbol" w:eastAsia="Symbol" w:cs="Symbol"/>
        <w:w w:val="100"/>
        <w:sz w:val="24"/>
        <w:szCs w:val="24"/>
      </w:rPr>
    </w:lvl>
    <w:lvl w:ilvl="4">
      <w:start w:val="1"/>
      <w:numFmt w:val="bullet"/>
      <w:lvlText w:val="•"/>
      <w:lvlJc w:val="left"/>
      <w:pPr>
        <w:ind w:left="3580" w:hanging="360"/>
      </w:pPr>
      <w:rPr>
        <w:rFonts w:hint="default"/>
      </w:rPr>
    </w:lvl>
    <w:lvl w:ilvl="5">
      <w:start w:val="1"/>
      <w:numFmt w:val="bullet"/>
      <w:lvlText w:val="•"/>
      <w:lvlJc w:val="left"/>
      <w:pPr>
        <w:ind w:left="4493" w:hanging="360"/>
      </w:pPr>
      <w:rPr>
        <w:rFonts w:hint="default"/>
      </w:rPr>
    </w:lvl>
    <w:lvl w:ilvl="6">
      <w:start w:val="1"/>
      <w:numFmt w:val="bullet"/>
      <w:lvlText w:val="•"/>
      <w:lvlJc w:val="left"/>
      <w:pPr>
        <w:ind w:left="5406" w:hanging="360"/>
      </w:pPr>
      <w:rPr>
        <w:rFonts w:hint="default"/>
      </w:rPr>
    </w:lvl>
    <w:lvl w:ilvl="7">
      <w:start w:val="1"/>
      <w:numFmt w:val="bullet"/>
      <w:lvlText w:val="•"/>
      <w:lvlJc w:val="left"/>
      <w:pPr>
        <w:ind w:left="6320" w:hanging="360"/>
      </w:pPr>
      <w:rPr>
        <w:rFonts w:hint="default"/>
      </w:rPr>
    </w:lvl>
    <w:lvl w:ilvl="8">
      <w:start w:val="1"/>
      <w:numFmt w:val="bullet"/>
      <w:lvlText w:val="•"/>
      <w:lvlJc w:val="left"/>
      <w:pPr>
        <w:ind w:left="7233" w:hanging="360"/>
      </w:pPr>
      <w:rPr>
        <w:rFonts w:hint="default"/>
      </w:rPr>
    </w:lvl>
  </w:abstractNum>
  <w:abstractNum w:abstractNumId="49">
    <w:multiLevelType w:val="hybridMultilevel"/>
    <w:lvl w:ilvl="0">
      <w:start w:val="3"/>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spacing w:val="-4"/>
        <w:w w:val="99"/>
        <w:sz w:val="24"/>
        <w:szCs w:val="24"/>
      </w:rPr>
    </w:lvl>
    <w:lvl w:ilvl="2">
      <w:start w:val="1"/>
      <w:numFmt w:val="lowerLetter"/>
      <w:lvlText w:val="%3."/>
      <w:lvlJc w:val="left"/>
      <w:pPr>
        <w:ind w:left="884" w:hanging="360"/>
        <w:jc w:val="left"/>
      </w:pPr>
      <w:rPr>
        <w:rFonts w:hint="default" w:ascii="Times New Roman" w:hAnsi="Times New Roman" w:eastAsia="Times New Roman" w:cs="Times New Roman"/>
        <w:spacing w:val="-3"/>
        <w:w w:val="99"/>
        <w:sz w:val="24"/>
        <w:szCs w:val="24"/>
      </w:rPr>
    </w:lvl>
    <w:lvl w:ilvl="3">
      <w:start w:val="1"/>
      <w:numFmt w:val="bullet"/>
      <w:lvlText w:val="•"/>
      <w:lvlJc w:val="left"/>
      <w:pPr>
        <w:ind w:left="2697" w:hanging="360"/>
      </w:pPr>
      <w:rPr>
        <w:rFonts w:hint="default"/>
      </w:rPr>
    </w:lvl>
    <w:lvl w:ilvl="4">
      <w:start w:val="1"/>
      <w:numFmt w:val="bullet"/>
      <w:lvlText w:val="•"/>
      <w:lvlJc w:val="left"/>
      <w:pPr>
        <w:ind w:left="3606" w:hanging="360"/>
      </w:pPr>
      <w:rPr>
        <w:rFonts w:hint="default"/>
      </w:rPr>
    </w:lvl>
    <w:lvl w:ilvl="5">
      <w:start w:val="1"/>
      <w:numFmt w:val="bullet"/>
      <w:lvlText w:val="•"/>
      <w:lvlJc w:val="left"/>
      <w:pPr>
        <w:ind w:left="4515" w:hanging="360"/>
      </w:pPr>
      <w:rPr>
        <w:rFonts w:hint="default"/>
      </w:rPr>
    </w:lvl>
    <w:lvl w:ilvl="6">
      <w:start w:val="1"/>
      <w:numFmt w:val="bullet"/>
      <w:lvlText w:val="•"/>
      <w:lvlJc w:val="left"/>
      <w:pPr>
        <w:ind w:left="5424"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2" w:hanging="360"/>
      </w:pPr>
      <w:rPr>
        <w:rFonts w:hint="default"/>
      </w:rPr>
    </w:lvl>
  </w:abstractNum>
  <w:abstractNum w:abstractNumId="48">
    <w:multiLevelType w:val="hybridMultilevel"/>
    <w:lvl w:ilvl="0">
      <w:start w:val="2"/>
      <w:numFmt w:val="decimal"/>
      <w:lvlText w:val="%1"/>
      <w:lvlJc w:val="left"/>
      <w:pPr>
        <w:ind w:left="102" w:hanging="420"/>
        <w:jc w:val="left"/>
      </w:pPr>
      <w:rPr>
        <w:rFonts w:hint="default"/>
      </w:rPr>
    </w:lvl>
    <w:lvl w:ilvl="1">
      <w:start w:val="2"/>
      <w:numFmt w:val="decimal"/>
      <w:lvlText w:val="%1.%2."/>
      <w:lvlJc w:val="left"/>
      <w:pPr>
        <w:ind w:left="102" w:hanging="420"/>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1892" w:hanging="420"/>
      </w:pPr>
      <w:rPr>
        <w:rFonts w:hint="default"/>
      </w:rPr>
    </w:lvl>
    <w:lvl w:ilvl="3">
      <w:start w:val="1"/>
      <w:numFmt w:val="bullet"/>
      <w:lvlText w:val="•"/>
      <w:lvlJc w:val="left"/>
      <w:pPr>
        <w:ind w:left="2788" w:hanging="420"/>
      </w:pPr>
      <w:rPr>
        <w:rFonts w:hint="default"/>
      </w:rPr>
    </w:lvl>
    <w:lvl w:ilvl="4">
      <w:start w:val="1"/>
      <w:numFmt w:val="bullet"/>
      <w:lvlText w:val="•"/>
      <w:lvlJc w:val="left"/>
      <w:pPr>
        <w:ind w:left="3684" w:hanging="420"/>
      </w:pPr>
      <w:rPr>
        <w:rFonts w:hint="default"/>
      </w:rPr>
    </w:lvl>
    <w:lvl w:ilvl="5">
      <w:start w:val="1"/>
      <w:numFmt w:val="bullet"/>
      <w:lvlText w:val="•"/>
      <w:lvlJc w:val="left"/>
      <w:pPr>
        <w:ind w:left="4580" w:hanging="420"/>
      </w:pPr>
      <w:rPr>
        <w:rFonts w:hint="default"/>
      </w:rPr>
    </w:lvl>
    <w:lvl w:ilvl="6">
      <w:start w:val="1"/>
      <w:numFmt w:val="bullet"/>
      <w:lvlText w:val="•"/>
      <w:lvlJc w:val="left"/>
      <w:pPr>
        <w:ind w:left="5476" w:hanging="420"/>
      </w:pPr>
      <w:rPr>
        <w:rFonts w:hint="default"/>
      </w:rPr>
    </w:lvl>
    <w:lvl w:ilvl="7">
      <w:start w:val="1"/>
      <w:numFmt w:val="bullet"/>
      <w:lvlText w:val="•"/>
      <w:lvlJc w:val="left"/>
      <w:pPr>
        <w:ind w:left="6372" w:hanging="420"/>
      </w:pPr>
      <w:rPr>
        <w:rFonts w:hint="default"/>
      </w:rPr>
    </w:lvl>
    <w:lvl w:ilvl="8">
      <w:start w:val="1"/>
      <w:numFmt w:val="bullet"/>
      <w:lvlText w:val="•"/>
      <w:lvlJc w:val="left"/>
      <w:pPr>
        <w:ind w:left="7268" w:hanging="420"/>
      </w:pPr>
      <w:rPr>
        <w:rFonts w:hint="default"/>
      </w:rPr>
    </w:lvl>
  </w:abstractNum>
  <w:abstractNum w:abstractNumId="47">
    <w:multiLevelType w:val="hybridMultilevel"/>
    <w:lvl w:ilvl="0">
      <w:start w:val="1"/>
      <w:numFmt w:val="lowerLetter"/>
      <w:lvlText w:val="%1."/>
      <w:lvlJc w:val="left"/>
      <w:pPr>
        <w:ind w:left="822" w:hanging="360"/>
        <w:jc w:val="right"/>
      </w:pPr>
      <w:rPr>
        <w:rFonts w:hint="default" w:ascii="Times New Roman" w:hAnsi="Times New Roman" w:eastAsia="Times New Roman" w:cs="Times New Roman"/>
        <w:spacing w:val="-30"/>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6">
    <w:multiLevelType w:val="hybridMultilevel"/>
    <w:lvl w:ilvl="0">
      <w:start w:val="2"/>
      <w:numFmt w:val="decimal"/>
      <w:lvlText w:val="%1"/>
      <w:lvlJc w:val="left"/>
      <w:pPr>
        <w:ind w:left="822" w:hanging="720"/>
        <w:jc w:val="left"/>
      </w:pPr>
      <w:rPr>
        <w:rFonts w:hint="default"/>
      </w:rPr>
    </w:lvl>
    <w:lvl w:ilvl="1">
      <w:start w:val="1"/>
      <w:numFmt w:val="decimal"/>
      <w:lvlText w:val="%1.%2"/>
      <w:lvlJc w:val="left"/>
      <w:pPr>
        <w:ind w:left="822" w:hanging="720"/>
        <w:jc w:val="left"/>
      </w:pPr>
      <w:rPr>
        <w:rFonts w:hint="default"/>
      </w:rPr>
    </w:lvl>
    <w:lvl w:ilvl="2">
      <w:start w:val="1"/>
      <w:numFmt w:val="decimal"/>
      <w:lvlText w:val="%1.%2.%3."/>
      <w:lvlJc w:val="left"/>
      <w:pPr>
        <w:ind w:left="822" w:hanging="720"/>
        <w:jc w:val="left"/>
      </w:pPr>
      <w:rPr>
        <w:rFonts w:hint="default" w:ascii="Times New Roman" w:hAnsi="Times New Roman" w:eastAsia="Times New Roman" w:cs="Times New Roman"/>
        <w:b/>
        <w:bCs/>
        <w:spacing w:val="-3"/>
        <w:w w:val="99"/>
        <w:sz w:val="24"/>
        <w:szCs w:val="24"/>
      </w:rPr>
    </w:lvl>
    <w:lvl w:ilvl="3">
      <w:start w:val="1"/>
      <w:numFmt w:val="decimal"/>
      <w:lvlText w:val="%1.%2.%3.%4."/>
      <w:lvlJc w:val="left"/>
      <w:pPr>
        <w:ind w:left="942" w:hanging="840"/>
        <w:jc w:val="left"/>
      </w:pPr>
      <w:rPr>
        <w:rFonts w:hint="default" w:ascii="Times New Roman" w:hAnsi="Times New Roman" w:eastAsia="Times New Roman" w:cs="Times New Roman"/>
        <w:b/>
        <w:bCs/>
        <w:spacing w:val="-2"/>
        <w:w w:val="99"/>
        <w:sz w:val="24"/>
        <w:szCs w:val="24"/>
      </w:rPr>
    </w:lvl>
    <w:lvl w:ilvl="4">
      <w:start w:val="1"/>
      <w:numFmt w:val="lowerLetter"/>
      <w:lvlText w:val="%5."/>
      <w:lvlJc w:val="left"/>
      <w:pPr>
        <w:ind w:left="822" w:hanging="360"/>
        <w:jc w:val="left"/>
      </w:pPr>
      <w:rPr>
        <w:rFonts w:hint="default" w:ascii="Times New Roman" w:hAnsi="Times New Roman" w:eastAsia="Times New Roman" w:cs="Times New Roman"/>
        <w:spacing w:val="-3"/>
        <w:w w:val="100"/>
        <w:sz w:val="24"/>
        <w:szCs w:val="24"/>
      </w:rPr>
    </w:lvl>
    <w:lvl w:ilvl="5">
      <w:start w:val="1"/>
      <w:numFmt w:val="bullet"/>
      <w:lvlText w:val="•"/>
      <w:lvlJc w:val="left"/>
      <w:pPr>
        <w:ind w:left="4548" w:hanging="360"/>
      </w:pPr>
      <w:rPr>
        <w:rFonts w:hint="default"/>
      </w:rPr>
    </w:lvl>
    <w:lvl w:ilvl="6">
      <w:start w:val="1"/>
      <w:numFmt w:val="bullet"/>
      <w:lvlText w:val="•"/>
      <w:lvlJc w:val="left"/>
      <w:pPr>
        <w:ind w:left="5451" w:hanging="360"/>
      </w:pPr>
      <w:rPr>
        <w:rFonts w:hint="default"/>
      </w:rPr>
    </w:lvl>
    <w:lvl w:ilvl="7">
      <w:start w:val="1"/>
      <w:numFmt w:val="bullet"/>
      <w:lvlText w:val="•"/>
      <w:lvlJc w:val="left"/>
      <w:pPr>
        <w:ind w:left="6353" w:hanging="360"/>
      </w:pPr>
      <w:rPr>
        <w:rFonts w:hint="default"/>
      </w:rPr>
    </w:lvl>
    <w:lvl w:ilvl="8">
      <w:start w:val="1"/>
      <w:numFmt w:val="bullet"/>
      <w:lvlText w:val="•"/>
      <w:lvlJc w:val="left"/>
      <w:pPr>
        <w:ind w:left="7255" w:hanging="360"/>
      </w:pPr>
      <w:rPr>
        <w:rFonts w:hint="default"/>
      </w:rPr>
    </w:lvl>
  </w:abstractNum>
  <w:abstractNum w:abstractNumId="45">
    <w:multiLevelType w:val="hybridMultilevel"/>
    <w:lvl w:ilvl="0">
      <w:start w:val="2"/>
      <w:numFmt w:val="decimal"/>
      <w:lvlText w:val="%1"/>
      <w:lvlJc w:val="left"/>
      <w:pPr>
        <w:ind w:left="463" w:hanging="361"/>
        <w:jc w:val="left"/>
      </w:pPr>
      <w:rPr>
        <w:rFonts w:hint="default"/>
      </w:rPr>
    </w:lvl>
    <w:lvl w:ilvl="1">
      <w:start w:val="1"/>
      <w:numFmt w:val="decimal"/>
      <w:lvlText w:val="%1.%2."/>
      <w:lvlJc w:val="left"/>
      <w:pPr>
        <w:ind w:left="463" w:hanging="361"/>
        <w:jc w:val="left"/>
      </w:pPr>
      <w:rPr>
        <w:rFonts w:hint="default" w:ascii="Times New Roman" w:hAnsi="Times New Roman" w:eastAsia="Times New Roman" w:cs="Times New Roman"/>
        <w:b/>
        <w:bCs/>
        <w:spacing w:val="-1"/>
        <w:w w:val="100"/>
        <w:sz w:val="24"/>
        <w:szCs w:val="24"/>
      </w:rPr>
    </w:lvl>
    <w:lvl w:ilvl="2">
      <w:start w:val="1"/>
      <w:numFmt w:val="decimal"/>
      <w:lvlText w:val="%3."/>
      <w:lvlJc w:val="left"/>
      <w:pPr>
        <w:ind w:left="822" w:hanging="360"/>
        <w:jc w:val="left"/>
      </w:pPr>
      <w:rPr>
        <w:rFonts w:hint="default" w:ascii="Times New Roman" w:hAnsi="Times New Roman" w:eastAsia="Times New Roman" w:cs="Times New Roman"/>
        <w:spacing w:val="-5"/>
        <w:w w:val="99"/>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44">
    <w:multiLevelType w:val="hybridMultilevel"/>
    <w:lvl w:ilvl="0">
      <w:start w:val="1"/>
      <w:numFmt w:val="lowerLetter"/>
      <w:lvlText w:val="%1)"/>
      <w:lvlJc w:val="left"/>
      <w:pPr>
        <w:ind w:left="362" w:hanging="260"/>
        <w:jc w:val="left"/>
      </w:pPr>
      <w:rPr>
        <w:rFonts w:hint="default" w:ascii="Times New Roman" w:hAnsi="Times New Roman" w:eastAsia="Times New Roman" w:cs="Times New Roman"/>
        <w:b/>
        <w:bCs/>
        <w:spacing w:val="-2"/>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43">
    <w:multiLevelType w:val="hybridMultilevel"/>
    <w:lvl w:ilvl="0">
      <w:start w:val="1"/>
      <w:numFmt w:val="lowerLetter"/>
      <w:lvlText w:val="%1)"/>
      <w:lvlJc w:val="left"/>
      <w:pPr>
        <w:ind w:left="362" w:hanging="260"/>
        <w:jc w:val="left"/>
      </w:pPr>
      <w:rPr>
        <w:rFonts w:hint="default" w:ascii="Times New Roman" w:hAnsi="Times New Roman" w:eastAsia="Times New Roman" w:cs="Times New Roman"/>
        <w:b/>
        <w:bCs/>
        <w:spacing w:val="-4"/>
        <w:w w:val="99"/>
        <w:sz w:val="24"/>
        <w:szCs w:val="24"/>
      </w:rPr>
    </w:lvl>
    <w:lvl w:ilvl="1">
      <w:start w:val="1"/>
      <w:numFmt w:val="bullet"/>
      <w:lvlText w:val="•"/>
      <w:lvlJc w:val="left"/>
      <w:pPr>
        <w:ind w:left="1230" w:hanging="260"/>
      </w:pPr>
      <w:rPr>
        <w:rFonts w:hint="default"/>
      </w:rPr>
    </w:lvl>
    <w:lvl w:ilvl="2">
      <w:start w:val="1"/>
      <w:numFmt w:val="bullet"/>
      <w:lvlText w:val="•"/>
      <w:lvlJc w:val="left"/>
      <w:pPr>
        <w:ind w:left="2100" w:hanging="260"/>
      </w:pPr>
      <w:rPr>
        <w:rFonts w:hint="default"/>
      </w:rPr>
    </w:lvl>
    <w:lvl w:ilvl="3">
      <w:start w:val="1"/>
      <w:numFmt w:val="bullet"/>
      <w:lvlText w:val="•"/>
      <w:lvlJc w:val="left"/>
      <w:pPr>
        <w:ind w:left="2970" w:hanging="260"/>
      </w:pPr>
      <w:rPr>
        <w:rFonts w:hint="default"/>
      </w:rPr>
    </w:lvl>
    <w:lvl w:ilvl="4">
      <w:start w:val="1"/>
      <w:numFmt w:val="bullet"/>
      <w:lvlText w:val="•"/>
      <w:lvlJc w:val="left"/>
      <w:pPr>
        <w:ind w:left="3840" w:hanging="260"/>
      </w:pPr>
      <w:rPr>
        <w:rFonts w:hint="default"/>
      </w:rPr>
    </w:lvl>
    <w:lvl w:ilvl="5">
      <w:start w:val="1"/>
      <w:numFmt w:val="bullet"/>
      <w:lvlText w:val="•"/>
      <w:lvlJc w:val="left"/>
      <w:pPr>
        <w:ind w:left="4710" w:hanging="260"/>
      </w:pPr>
      <w:rPr>
        <w:rFonts w:hint="default"/>
      </w:rPr>
    </w:lvl>
    <w:lvl w:ilvl="6">
      <w:start w:val="1"/>
      <w:numFmt w:val="bullet"/>
      <w:lvlText w:val="•"/>
      <w:lvlJc w:val="left"/>
      <w:pPr>
        <w:ind w:left="5580" w:hanging="260"/>
      </w:pPr>
      <w:rPr>
        <w:rFonts w:hint="default"/>
      </w:rPr>
    </w:lvl>
    <w:lvl w:ilvl="7">
      <w:start w:val="1"/>
      <w:numFmt w:val="bullet"/>
      <w:lvlText w:val="•"/>
      <w:lvlJc w:val="left"/>
      <w:pPr>
        <w:ind w:left="6450" w:hanging="260"/>
      </w:pPr>
      <w:rPr>
        <w:rFonts w:hint="default"/>
      </w:rPr>
    </w:lvl>
    <w:lvl w:ilvl="8">
      <w:start w:val="1"/>
      <w:numFmt w:val="bullet"/>
      <w:lvlText w:val="•"/>
      <w:lvlJc w:val="left"/>
      <w:pPr>
        <w:ind w:left="7320" w:hanging="260"/>
      </w:pPr>
      <w:rPr>
        <w:rFonts w:hint="default"/>
      </w:rPr>
    </w:lvl>
  </w:abstractNum>
  <w:abstractNum w:abstractNumId="42">
    <w:multiLevelType w:val="hybridMultilevel"/>
    <w:lvl w:ilvl="0">
      <w:start w:val="1"/>
      <w:numFmt w:val="lowerLetter"/>
      <w:lvlText w:val="%1)"/>
      <w:lvlJc w:val="left"/>
      <w:pPr>
        <w:ind w:left="362" w:hanging="260"/>
        <w:jc w:val="right"/>
      </w:pPr>
      <w:rPr>
        <w:rFonts w:hint="default" w:ascii="Times New Roman" w:hAnsi="Times New Roman" w:eastAsia="Times New Roman" w:cs="Times New Roman"/>
        <w:b/>
        <w:bCs/>
        <w:spacing w:val="-4"/>
        <w:w w:val="99"/>
        <w:sz w:val="24"/>
        <w:szCs w:val="24"/>
      </w:rPr>
    </w:lvl>
    <w:lvl w:ilvl="1">
      <w:start w:val="1"/>
      <w:numFmt w:val="bullet"/>
      <w:lvlText w:val="•"/>
      <w:lvlJc w:val="left"/>
      <w:pPr>
        <w:ind w:left="1230" w:hanging="260"/>
      </w:pPr>
      <w:rPr>
        <w:rFonts w:hint="default"/>
      </w:rPr>
    </w:lvl>
    <w:lvl w:ilvl="2">
      <w:start w:val="1"/>
      <w:numFmt w:val="bullet"/>
      <w:lvlText w:val="•"/>
      <w:lvlJc w:val="left"/>
      <w:pPr>
        <w:ind w:left="2100" w:hanging="260"/>
      </w:pPr>
      <w:rPr>
        <w:rFonts w:hint="default"/>
      </w:rPr>
    </w:lvl>
    <w:lvl w:ilvl="3">
      <w:start w:val="1"/>
      <w:numFmt w:val="bullet"/>
      <w:lvlText w:val="•"/>
      <w:lvlJc w:val="left"/>
      <w:pPr>
        <w:ind w:left="2970" w:hanging="260"/>
      </w:pPr>
      <w:rPr>
        <w:rFonts w:hint="default"/>
      </w:rPr>
    </w:lvl>
    <w:lvl w:ilvl="4">
      <w:start w:val="1"/>
      <w:numFmt w:val="bullet"/>
      <w:lvlText w:val="•"/>
      <w:lvlJc w:val="left"/>
      <w:pPr>
        <w:ind w:left="3840" w:hanging="260"/>
      </w:pPr>
      <w:rPr>
        <w:rFonts w:hint="default"/>
      </w:rPr>
    </w:lvl>
    <w:lvl w:ilvl="5">
      <w:start w:val="1"/>
      <w:numFmt w:val="bullet"/>
      <w:lvlText w:val="•"/>
      <w:lvlJc w:val="left"/>
      <w:pPr>
        <w:ind w:left="4710" w:hanging="260"/>
      </w:pPr>
      <w:rPr>
        <w:rFonts w:hint="default"/>
      </w:rPr>
    </w:lvl>
    <w:lvl w:ilvl="6">
      <w:start w:val="1"/>
      <w:numFmt w:val="bullet"/>
      <w:lvlText w:val="•"/>
      <w:lvlJc w:val="left"/>
      <w:pPr>
        <w:ind w:left="5580" w:hanging="260"/>
      </w:pPr>
      <w:rPr>
        <w:rFonts w:hint="default"/>
      </w:rPr>
    </w:lvl>
    <w:lvl w:ilvl="7">
      <w:start w:val="1"/>
      <w:numFmt w:val="bullet"/>
      <w:lvlText w:val="•"/>
      <w:lvlJc w:val="left"/>
      <w:pPr>
        <w:ind w:left="6450" w:hanging="260"/>
      </w:pPr>
      <w:rPr>
        <w:rFonts w:hint="default"/>
      </w:rPr>
    </w:lvl>
    <w:lvl w:ilvl="8">
      <w:start w:val="1"/>
      <w:numFmt w:val="bullet"/>
      <w:lvlText w:val="•"/>
      <w:lvlJc w:val="left"/>
      <w:pPr>
        <w:ind w:left="7320" w:hanging="260"/>
      </w:pPr>
      <w:rPr>
        <w:rFonts w:hint="default"/>
      </w:rPr>
    </w:lvl>
  </w:abstractNum>
  <w:abstractNum w:abstractNumId="41">
    <w:multiLevelType w:val="hybridMultilevel"/>
    <w:lvl w:ilvl="0">
      <w:start w:val="1"/>
      <w:numFmt w:val="decimal"/>
      <w:lvlText w:val="%1"/>
      <w:lvlJc w:val="left"/>
      <w:pPr>
        <w:ind w:left="702" w:hanging="600"/>
        <w:jc w:val="left"/>
      </w:pPr>
      <w:rPr>
        <w:rFonts w:hint="default"/>
      </w:rPr>
    </w:lvl>
    <w:lvl w:ilvl="1">
      <w:start w:val="3"/>
      <w:numFmt w:val="decimal"/>
      <w:lvlText w:val="%1.%2"/>
      <w:lvlJc w:val="left"/>
      <w:pPr>
        <w:ind w:left="702" w:hanging="600"/>
        <w:jc w:val="left"/>
      </w:pPr>
      <w:rPr>
        <w:rFonts w:hint="default"/>
      </w:rPr>
    </w:lvl>
    <w:lvl w:ilvl="2">
      <w:start w:val="1"/>
      <w:numFmt w:val="decimal"/>
      <w:lvlText w:val="%1.%2.%3."/>
      <w:lvlJc w:val="left"/>
      <w:pPr>
        <w:ind w:left="702" w:hanging="600"/>
        <w:jc w:val="right"/>
      </w:pPr>
      <w:rPr>
        <w:rFonts w:hint="default" w:ascii="Times New Roman" w:hAnsi="Times New Roman" w:eastAsia="Times New Roman" w:cs="Times New Roman"/>
        <w:b/>
        <w:bCs/>
        <w:w w:val="100"/>
        <w:sz w:val="24"/>
        <w:szCs w:val="24"/>
      </w:rPr>
    </w:lvl>
    <w:lvl w:ilvl="3">
      <w:start w:val="1"/>
      <w:numFmt w:val="bullet"/>
      <w:lvlText w:val="•"/>
      <w:lvlJc w:val="left"/>
      <w:pPr>
        <w:ind w:left="3208" w:hanging="600"/>
      </w:pPr>
      <w:rPr>
        <w:rFonts w:hint="default"/>
      </w:rPr>
    </w:lvl>
    <w:lvl w:ilvl="4">
      <w:start w:val="1"/>
      <w:numFmt w:val="bullet"/>
      <w:lvlText w:val="•"/>
      <w:lvlJc w:val="left"/>
      <w:pPr>
        <w:ind w:left="4044" w:hanging="600"/>
      </w:pPr>
      <w:rPr>
        <w:rFonts w:hint="default"/>
      </w:rPr>
    </w:lvl>
    <w:lvl w:ilvl="5">
      <w:start w:val="1"/>
      <w:numFmt w:val="bullet"/>
      <w:lvlText w:val="•"/>
      <w:lvlJc w:val="left"/>
      <w:pPr>
        <w:ind w:left="4880" w:hanging="600"/>
      </w:pPr>
      <w:rPr>
        <w:rFonts w:hint="default"/>
      </w:rPr>
    </w:lvl>
    <w:lvl w:ilvl="6">
      <w:start w:val="1"/>
      <w:numFmt w:val="bullet"/>
      <w:lvlText w:val="•"/>
      <w:lvlJc w:val="left"/>
      <w:pPr>
        <w:ind w:left="5716" w:hanging="600"/>
      </w:pPr>
      <w:rPr>
        <w:rFonts w:hint="default"/>
      </w:rPr>
    </w:lvl>
    <w:lvl w:ilvl="7">
      <w:start w:val="1"/>
      <w:numFmt w:val="bullet"/>
      <w:lvlText w:val="•"/>
      <w:lvlJc w:val="left"/>
      <w:pPr>
        <w:ind w:left="6552" w:hanging="600"/>
      </w:pPr>
      <w:rPr>
        <w:rFonts w:hint="default"/>
      </w:rPr>
    </w:lvl>
    <w:lvl w:ilvl="8">
      <w:start w:val="1"/>
      <w:numFmt w:val="bullet"/>
      <w:lvlText w:val="•"/>
      <w:lvlJc w:val="left"/>
      <w:pPr>
        <w:ind w:left="7388" w:hanging="600"/>
      </w:pPr>
      <w:rPr>
        <w:rFonts w:hint="default"/>
      </w:rPr>
    </w:lvl>
  </w:abstractNum>
  <w:abstractNum w:abstractNumId="40">
    <w:multiLevelType w:val="hybridMultilevel"/>
    <w:lvl w:ilvl="0">
      <w:start w:val="1"/>
      <w:numFmt w:val="decimal"/>
      <w:lvlText w:val="%1"/>
      <w:lvlJc w:val="left"/>
      <w:pPr>
        <w:ind w:left="582" w:hanging="480"/>
        <w:jc w:val="left"/>
      </w:pPr>
      <w:rPr>
        <w:rFonts w:hint="default"/>
      </w:rPr>
    </w:lvl>
    <w:lvl w:ilvl="1">
      <w:start w:val="3"/>
      <w:numFmt w:val="decimal"/>
      <w:lvlText w:val="%1.%2."/>
      <w:lvlJc w:val="left"/>
      <w:pPr>
        <w:ind w:left="582" w:hanging="480"/>
        <w:jc w:val="left"/>
      </w:pPr>
      <w:rPr>
        <w:rFonts w:hint="default" w:ascii="Times New Roman" w:hAnsi="Times New Roman" w:eastAsia="Times New Roman" w:cs="Times New Roman"/>
        <w:b/>
        <w:bCs/>
        <w:spacing w:val="-3"/>
        <w:w w:val="99"/>
        <w:sz w:val="24"/>
        <w:szCs w:val="24"/>
      </w:rPr>
    </w:lvl>
    <w:lvl w:ilvl="2">
      <w:start w:val="1"/>
      <w:numFmt w:val="bullet"/>
      <w:lvlText w:val=""/>
      <w:lvlJc w:val="left"/>
      <w:pPr>
        <w:ind w:left="1530" w:hanging="360"/>
      </w:pPr>
      <w:rPr>
        <w:rFonts w:hint="default" w:ascii="Symbol" w:hAnsi="Symbol" w:eastAsia="Symbol" w:cs="Symbol"/>
        <w:w w:val="100"/>
        <w:sz w:val="24"/>
        <w:szCs w:val="24"/>
      </w:rPr>
    </w:lvl>
    <w:lvl w:ilvl="3">
      <w:start w:val="1"/>
      <w:numFmt w:val="bullet"/>
      <w:lvlText w:val="•"/>
      <w:lvlJc w:val="left"/>
      <w:pPr>
        <w:ind w:left="3211"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88" w:hanging="360"/>
      </w:pPr>
      <w:rPr>
        <w:rFonts w:hint="default"/>
      </w:rPr>
    </w:lvl>
  </w:abstractNum>
  <w:abstractNum w:abstractNumId="39">
    <w:multiLevelType w:val="hybridMultilevel"/>
    <w:lvl w:ilvl="0">
      <w:start w:val="1"/>
      <w:numFmt w:val="lowerLetter"/>
      <w:lvlText w:val="%1)"/>
      <w:lvlJc w:val="left"/>
      <w:pPr>
        <w:ind w:left="361" w:hanging="260"/>
        <w:jc w:val="left"/>
      </w:pPr>
      <w:rPr>
        <w:rFonts w:hint="default" w:ascii="Times New Roman" w:hAnsi="Times New Roman" w:eastAsia="Times New Roman" w:cs="Times New Roman"/>
        <w:b/>
        <w:bCs/>
        <w:i/>
        <w:w w:val="99"/>
        <w:sz w:val="24"/>
        <w:szCs w:val="24"/>
      </w:rPr>
    </w:lvl>
    <w:lvl w:ilvl="1">
      <w:start w:val="1"/>
      <w:numFmt w:val="bullet"/>
      <w:lvlText w:val=""/>
      <w:lvlJc w:val="left"/>
      <w:pPr>
        <w:ind w:left="822" w:hanging="360"/>
      </w:pPr>
      <w:rPr>
        <w:rFonts w:hint="default"/>
        <w:w w:val="100"/>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7">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540" w:hanging="360"/>
      </w:pPr>
      <w:rPr>
        <w:rFonts w:hint="default"/>
      </w:rPr>
    </w:lvl>
    <w:lvl w:ilvl="2">
      <w:start w:val="1"/>
      <w:numFmt w:val="bullet"/>
      <w:lvlText w:val="•"/>
      <w:lvlJc w:val="left"/>
      <w:pPr>
        <w:ind w:left="2375"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88" w:hanging="360"/>
      </w:pPr>
      <w:rPr>
        <w:rFonts w:hint="default"/>
      </w:rPr>
    </w:lvl>
  </w:abstractNum>
  <w:abstractNum w:abstractNumId="36">
    <w:multiLevelType w:val="hybridMultilevel"/>
    <w:lvl w:ilvl="0">
      <w:start w:val="1"/>
      <w:numFmt w:val="decimal"/>
      <w:lvlText w:val="%1."/>
      <w:lvlJc w:val="left"/>
      <w:pPr>
        <w:ind w:left="1273"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2058" w:hanging="360"/>
      </w:pPr>
      <w:rPr>
        <w:rFonts w:hint="default"/>
      </w:rPr>
    </w:lvl>
    <w:lvl w:ilvl="2">
      <w:start w:val="1"/>
      <w:numFmt w:val="bullet"/>
      <w:lvlText w:val="•"/>
      <w:lvlJc w:val="left"/>
      <w:pPr>
        <w:ind w:left="2836" w:hanging="360"/>
      </w:pPr>
      <w:rPr>
        <w:rFonts w:hint="default"/>
      </w:rPr>
    </w:lvl>
    <w:lvl w:ilvl="3">
      <w:start w:val="1"/>
      <w:numFmt w:val="bullet"/>
      <w:lvlText w:val="•"/>
      <w:lvlJc w:val="left"/>
      <w:pPr>
        <w:ind w:left="3614" w:hanging="360"/>
      </w:pPr>
      <w:rPr>
        <w:rFonts w:hint="default"/>
      </w:rPr>
    </w:lvl>
    <w:lvl w:ilvl="4">
      <w:start w:val="1"/>
      <w:numFmt w:val="bullet"/>
      <w:lvlText w:val="•"/>
      <w:lvlJc w:val="left"/>
      <w:pPr>
        <w:ind w:left="4392" w:hanging="360"/>
      </w:pPr>
      <w:rPr>
        <w:rFonts w:hint="default"/>
      </w:rPr>
    </w:lvl>
    <w:lvl w:ilvl="5">
      <w:start w:val="1"/>
      <w:numFmt w:val="bullet"/>
      <w:lvlText w:val="•"/>
      <w:lvlJc w:val="left"/>
      <w:pPr>
        <w:ind w:left="5170" w:hanging="360"/>
      </w:pPr>
      <w:rPr>
        <w:rFonts w:hint="default"/>
      </w:rPr>
    </w:lvl>
    <w:lvl w:ilvl="6">
      <w:start w:val="1"/>
      <w:numFmt w:val="bullet"/>
      <w:lvlText w:val="•"/>
      <w:lvlJc w:val="left"/>
      <w:pPr>
        <w:ind w:left="5948" w:hanging="360"/>
      </w:pPr>
      <w:rPr>
        <w:rFonts w:hint="default"/>
      </w:rPr>
    </w:lvl>
    <w:lvl w:ilvl="7">
      <w:start w:val="1"/>
      <w:numFmt w:val="bullet"/>
      <w:lvlText w:val="•"/>
      <w:lvlJc w:val="left"/>
      <w:pPr>
        <w:ind w:left="6726" w:hanging="360"/>
      </w:pPr>
      <w:rPr>
        <w:rFonts w:hint="default"/>
      </w:rPr>
    </w:lvl>
    <w:lvl w:ilvl="8">
      <w:start w:val="1"/>
      <w:numFmt w:val="bullet"/>
      <w:lvlText w:val="•"/>
      <w:lvlJc w:val="left"/>
      <w:pPr>
        <w:ind w:left="7504" w:hanging="360"/>
      </w:pPr>
      <w:rPr>
        <w:rFonts w:hint="default"/>
      </w:rPr>
    </w:lvl>
  </w:abstractNum>
  <w:abstractNum w:abstractNumId="35">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4">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o"/>
      <w:lvlJc w:val="left"/>
      <w:pPr>
        <w:ind w:left="1542" w:hanging="360"/>
      </w:pPr>
      <w:rPr>
        <w:rFonts w:hint="default" w:ascii="Courier New" w:hAnsi="Courier New" w:eastAsia="Courier New" w:cs="Courier New"/>
        <w:w w:val="100"/>
        <w:sz w:val="24"/>
        <w:szCs w:val="24"/>
      </w:rPr>
    </w:lvl>
    <w:lvl w:ilvl="2">
      <w:start w:val="1"/>
      <w:numFmt w:val="bullet"/>
      <w:lvlText w:val="•"/>
      <w:lvlJc w:val="left"/>
      <w:pPr>
        <w:ind w:left="2375"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88" w:hanging="360"/>
      </w:pPr>
      <w:rPr>
        <w:rFonts w:hint="default"/>
      </w:rPr>
    </w:lvl>
  </w:abstractNum>
  <w:abstractNum w:abstractNumId="33">
    <w:multiLevelType w:val="hybridMultilevel"/>
    <w:lvl w:ilvl="0">
      <w:start w:val="1"/>
      <w:numFmt w:val="bullet"/>
      <w:lvlText w:val=""/>
      <w:lvlJc w:val="left"/>
      <w:pPr>
        <w:ind w:left="534" w:hanging="360"/>
      </w:pPr>
      <w:rPr>
        <w:rFonts w:hint="default" w:ascii="Symbol" w:hAnsi="Symbol" w:eastAsia="Symbol" w:cs="Symbol"/>
        <w:w w:val="99"/>
        <w:sz w:val="20"/>
        <w:szCs w:val="20"/>
      </w:rPr>
    </w:lvl>
    <w:lvl w:ilvl="1">
      <w:start w:val="1"/>
      <w:numFmt w:val="bullet"/>
      <w:lvlText w:val="•"/>
      <w:lvlJc w:val="left"/>
      <w:pPr>
        <w:ind w:left="907" w:hanging="360"/>
      </w:pPr>
      <w:rPr>
        <w:rFonts w:hint="default"/>
      </w:rPr>
    </w:lvl>
    <w:lvl w:ilvl="2">
      <w:start w:val="1"/>
      <w:numFmt w:val="bullet"/>
      <w:lvlText w:val="•"/>
      <w:lvlJc w:val="left"/>
      <w:pPr>
        <w:ind w:left="1275" w:hanging="360"/>
      </w:pPr>
      <w:rPr>
        <w:rFonts w:hint="default"/>
      </w:rPr>
    </w:lvl>
    <w:lvl w:ilvl="3">
      <w:start w:val="1"/>
      <w:numFmt w:val="bullet"/>
      <w:lvlText w:val="•"/>
      <w:lvlJc w:val="left"/>
      <w:pPr>
        <w:ind w:left="1643" w:hanging="360"/>
      </w:pPr>
      <w:rPr>
        <w:rFonts w:hint="default"/>
      </w:rPr>
    </w:lvl>
    <w:lvl w:ilvl="4">
      <w:start w:val="1"/>
      <w:numFmt w:val="bullet"/>
      <w:lvlText w:val="•"/>
      <w:lvlJc w:val="left"/>
      <w:pPr>
        <w:ind w:left="2011" w:hanging="360"/>
      </w:pPr>
      <w:rPr>
        <w:rFonts w:hint="default"/>
      </w:rPr>
    </w:lvl>
    <w:lvl w:ilvl="5">
      <w:start w:val="1"/>
      <w:numFmt w:val="bullet"/>
      <w:lvlText w:val="•"/>
      <w:lvlJc w:val="left"/>
      <w:pPr>
        <w:ind w:left="2379" w:hanging="360"/>
      </w:pPr>
      <w:rPr>
        <w:rFonts w:hint="default"/>
      </w:rPr>
    </w:lvl>
    <w:lvl w:ilvl="6">
      <w:start w:val="1"/>
      <w:numFmt w:val="bullet"/>
      <w:lvlText w:val="•"/>
      <w:lvlJc w:val="left"/>
      <w:pPr>
        <w:ind w:left="2747" w:hanging="360"/>
      </w:pPr>
      <w:rPr>
        <w:rFonts w:hint="default"/>
      </w:rPr>
    </w:lvl>
    <w:lvl w:ilvl="7">
      <w:start w:val="1"/>
      <w:numFmt w:val="bullet"/>
      <w:lvlText w:val="•"/>
      <w:lvlJc w:val="left"/>
      <w:pPr>
        <w:ind w:left="3115" w:hanging="360"/>
      </w:pPr>
      <w:rPr>
        <w:rFonts w:hint="default"/>
      </w:rPr>
    </w:lvl>
    <w:lvl w:ilvl="8">
      <w:start w:val="1"/>
      <w:numFmt w:val="bullet"/>
      <w:lvlText w:val="•"/>
      <w:lvlJc w:val="left"/>
      <w:pPr>
        <w:ind w:left="3483" w:hanging="360"/>
      </w:pPr>
      <w:rPr>
        <w:rFonts w:hint="default"/>
      </w:rPr>
    </w:lvl>
  </w:abstractNum>
  <w:abstractNum w:abstractNumId="32">
    <w:multiLevelType w:val="hybridMultilevel"/>
    <w:lvl w:ilvl="0">
      <w:start w:val="1"/>
      <w:numFmt w:val="bullet"/>
      <w:lvlText w:val=""/>
      <w:lvlJc w:val="left"/>
      <w:pPr>
        <w:ind w:left="534" w:hanging="360"/>
      </w:pPr>
      <w:rPr>
        <w:rFonts w:hint="default" w:ascii="Symbol" w:hAnsi="Symbol" w:eastAsia="Symbol" w:cs="Symbol"/>
        <w:w w:val="99"/>
        <w:sz w:val="20"/>
        <w:szCs w:val="20"/>
      </w:rPr>
    </w:lvl>
    <w:lvl w:ilvl="1">
      <w:start w:val="1"/>
      <w:numFmt w:val="bullet"/>
      <w:lvlText w:val="•"/>
      <w:lvlJc w:val="left"/>
      <w:pPr>
        <w:ind w:left="907" w:hanging="360"/>
      </w:pPr>
      <w:rPr>
        <w:rFonts w:hint="default"/>
      </w:rPr>
    </w:lvl>
    <w:lvl w:ilvl="2">
      <w:start w:val="1"/>
      <w:numFmt w:val="bullet"/>
      <w:lvlText w:val="•"/>
      <w:lvlJc w:val="left"/>
      <w:pPr>
        <w:ind w:left="1275" w:hanging="360"/>
      </w:pPr>
      <w:rPr>
        <w:rFonts w:hint="default"/>
      </w:rPr>
    </w:lvl>
    <w:lvl w:ilvl="3">
      <w:start w:val="1"/>
      <w:numFmt w:val="bullet"/>
      <w:lvlText w:val="•"/>
      <w:lvlJc w:val="left"/>
      <w:pPr>
        <w:ind w:left="1643" w:hanging="360"/>
      </w:pPr>
      <w:rPr>
        <w:rFonts w:hint="default"/>
      </w:rPr>
    </w:lvl>
    <w:lvl w:ilvl="4">
      <w:start w:val="1"/>
      <w:numFmt w:val="bullet"/>
      <w:lvlText w:val="•"/>
      <w:lvlJc w:val="left"/>
      <w:pPr>
        <w:ind w:left="2011" w:hanging="360"/>
      </w:pPr>
      <w:rPr>
        <w:rFonts w:hint="default"/>
      </w:rPr>
    </w:lvl>
    <w:lvl w:ilvl="5">
      <w:start w:val="1"/>
      <w:numFmt w:val="bullet"/>
      <w:lvlText w:val="•"/>
      <w:lvlJc w:val="left"/>
      <w:pPr>
        <w:ind w:left="2379" w:hanging="360"/>
      </w:pPr>
      <w:rPr>
        <w:rFonts w:hint="default"/>
      </w:rPr>
    </w:lvl>
    <w:lvl w:ilvl="6">
      <w:start w:val="1"/>
      <w:numFmt w:val="bullet"/>
      <w:lvlText w:val="•"/>
      <w:lvlJc w:val="left"/>
      <w:pPr>
        <w:ind w:left="2747" w:hanging="360"/>
      </w:pPr>
      <w:rPr>
        <w:rFonts w:hint="default"/>
      </w:rPr>
    </w:lvl>
    <w:lvl w:ilvl="7">
      <w:start w:val="1"/>
      <w:numFmt w:val="bullet"/>
      <w:lvlText w:val="•"/>
      <w:lvlJc w:val="left"/>
      <w:pPr>
        <w:ind w:left="3115" w:hanging="360"/>
      </w:pPr>
      <w:rPr>
        <w:rFonts w:hint="default"/>
      </w:rPr>
    </w:lvl>
    <w:lvl w:ilvl="8">
      <w:start w:val="1"/>
      <w:numFmt w:val="bullet"/>
      <w:lvlText w:val="•"/>
      <w:lvlJc w:val="left"/>
      <w:pPr>
        <w:ind w:left="3483" w:hanging="360"/>
      </w:pPr>
      <w:rPr>
        <w:rFonts w:hint="default"/>
      </w:rPr>
    </w:lvl>
  </w:abstractNum>
  <w:abstractNum w:abstractNumId="31">
    <w:multiLevelType w:val="hybridMultilevel"/>
    <w:lvl w:ilvl="0">
      <w:start w:val="1"/>
      <w:numFmt w:val="bullet"/>
      <w:lvlText w:val=""/>
      <w:lvlJc w:val="left"/>
      <w:pPr>
        <w:ind w:left="534" w:hanging="360"/>
      </w:pPr>
      <w:rPr>
        <w:rFonts w:hint="default" w:ascii="Symbol" w:hAnsi="Symbol" w:eastAsia="Symbol" w:cs="Symbol"/>
        <w:w w:val="99"/>
        <w:sz w:val="20"/>
        <w:szCs w:val="20"/>
      </w:rPr>
    </w:lvl>
    <w:lvl w:ilvl="1">
      <w:start w:val="1"/>
      <w:numFmt w:val="bullet"/>
      <w:lvlText w:val="•"/>
      <w:lvlJc w:val="left"/>
      <w:pPr>
        <w:ind w:left="907" w:hanging="360"/>
      </w:pPr>
      <w:rPr>
        <w:rFonts w:hint="default"/>
      </w:rPr>
    </w:lvl>
    <w:lvl w:ilvl="2">
      <w:start w:val="1"/>
      <w:numFmt w:val="bullet"/>
      <w:lvlText w:val="•"/>
      <w:lvlJc w:val="left"/>
      <w:pPr>
        <w:ind w:left="1275" w:hanging="360"/>
      </w:pPr>
      <w:rPr>
        <w:rFonts w:hint="default"/>
      </w:rPr>
    </w:lvl>
    <w:lvl w:ilvl="3">
      <w:start w:val="1"/>
      <w:numFmt w:val="bullet"/>
      <w:lvlText w:val="•"/>
      <w:lvlJc w:val="left"/>
      <w:pPr>
        <w:ind w:left="1643" w:hanging="360"/>
      </w:pPr>
      <w:rPr>
        <w:rFonts w:hint="default"/>
      </w:rPr>
    </w:lvl>
    <w:lvl w:ilvl="4">
      <w:start w:val="1"/>
      <w:numFmt w:val="bullet"/>
      <w:lvlText w:val="•"/>
      <w:lvlJc w:val="left"/>
      <w:pPr>
        <w:ind w:left="2011" w:hanging="360"/>
      </w:pPr>
      <w:rPr>
        <w:rFonts w:hint="default"/>
      </w:rPr>
    </w:lvl>
    <w:lvl w:ilvl="5">
      <w:start w:val="1"/>
      <w:numFmt w:val="bullet"/>
      <w:lvlText w:val="•"/>
      <w:lvlJc w:val="left"/>
      <w:pPr>
        <w:ind w:left="2379" w:hanging="360"/>
      </w:pPr>
      <w:rPr>
        <w:rFonts w:hint="default"/>
      </w:rPr>
    </w:lvl>
    <w:lvl w:ilvl="6">
      <w:start w:val="1"/>
      <w:numFmt w:val="bullet"/>
      <w:lvlText w:val="•"/>
      <w:lvlJc w:val="left"/>
      <w:pPr>
        <w:ind w:left="2747" w:hanging="360"/>
      </w:pPr>
      <w:rPr>
        <w:rFonts w:hint="default"/>
      </w:rPr>
    </w:lvl>
    <w:lvl w:ilvl="7">
      <w:start w:val="1"/>
      <w:numFmt w:val="bullet"/>
      <w:lvlText w:val="•"/>
      <w:lvlJc w:val="left"/>
      <w:pPr>
        <w:ind w:left="3115" w:hanging="360"/>
      </w:pPr>
      <w:rPr>
        <w:rFonts w:hint="default"/>
      </w:rPr>
    </w:lvl>
    <w:lvl w:ilvl="8">
      <w:start w:val="1"/>
      <w:numFmt w:val="bullet"/>
      <w:lvlText w:val="•"/>
      <w:lvlJc w:val="left"/>
      <w:pPr>
        <w:ind w:left="3483" w:hanging="360"/>
      </w:pPr>
      <w:rPr>
        <w:rFonts w:hint="default"/>
      </w:rPr>
    </w:lvl>
  </w:abstractNum>
  <w:abstractNum w:abstractNumId="30">
    <w:multiLevelType w:val="hybridMultilevel"/>
    <w:lvl w:ilvl="0">
      <w:start w:val="1"/>
      <w:numFmt w:val="bullet"/>
      <w:lvlText w:val=""/>
      <w:lvlJc w:val="left"/>
      <w:pPr>
        <w:ind w:left="534" w:hanging="360"/>
      </w:pPr>
      <w:rPr>
        <w:rFonts w:hint="default" w:ascii="Symbol" w:hAnsi="Symbol" w:eastAsia="Symbol" w:cs="Symbol"/>
        <w:w w:val="99"/>
        <w:sz w:val="20"/>
        <w:szCs w:val="20"/>
      </w:rPr>
    </w:lvl>
    <w:lvl w:ilvl="1">
      <w:start w:val="1"/>
      <w:numFmt w:val="bullet"/>
      <w:lvlText w:val="•"/>
      <w:lvlJc w:val="left"/>
      <w:pPr>
        <w:ind w:left="907" w:hanging="360"/>
      </w:pPr>
      <w:rPr>
        <w:rFonts w:hint="default"/>
      </w:rPr>
    </w:lvl>
    <w:lvl w:ilvl="2">
      <w:start w:val="1"/>
      <w:numFmt w:val="bullet"/>
      <w:lvlText w:val="•"/>
      <w:lvlJc w:val="left"/>
      <w:pPr>
        <w:ind w:left="1275" w:hanging="360"/>
      </w:pPr>
      <w:rPr>
        <w:rFonts w:hint="default"/>
      </w:rPr>
    </w:lvl>
    <w:lvl w:ilvl="3">
      <w:start w:val="1"/>
      <w:numFmt w:val="bullet"/>
      <w:lvlText w:val="•"/>
      <w:lvlJc w:val="left"/>
      <w:pPr>
        <w:ind w:left="1643" w:hanging="360"/>
      </w:pPr>
      <w:rPr>
        <w:rFonts w:hint="default"/>
      </w:rPr>
    </w:lvl>
    <w:lvl w:ilvl="4">
      <w:start w:val="1"/>
      <w:numFmt w:val="bullet"/>
      <w:lvlText w:val="•"/>
      <w:lvlJc w:val="left"/>
      <w:pPr>
        <w:ind w:left="2011" w:hanging="360"/>
      </w:pPr>
      <w:rPr>
        <w:rFonts w:hint="default"/>
      </w:rPr>
    </w:lvl>
    <w:lvl w:ilvl="5">
      <w:start w:val="1"/>
      <w:numFmt w:val="bullet"/>
      <w:lvlText w:val="•"/>
      <w:lvlJc w:val="left"/>
      <w:pPr>
        <w:ind w:left="2379" w:hanging="360"/>
      </w:pPr>
      <w:rPr>
        <w:rFonts w:hint="default"/>
      </w:rPr>
    </w:lvl>
    <w:lvl w:ilvl="6">
      <w:start w:val="1"/>
      <w:numFmt w:val="bullet"/>
      <w:lvlText w:val="•"/>
      <w:lvlJc w:val="left"/>
      <w:pPr>
        <w:ind w:left="2747" w:hanging="360"/>
      </w:pPr>
      <w:rPr>
        <w:rFonts w:hint="default"/>
      </w:rPr>
    </w:lvl>
    <w:lvl w:ilvl="7">
      <w:start w:val="1"/>
      <w:numFmt w:val="bullet"/>
      <w:lvlText w:val="•"/>
      <w:lvlJc w:val="left"/>
      <w:pPr>
        <w:ind w:left="3115" w:hanging="360"/>
      </w:pPr>
      <w:rPr>
        <w:rFonts w:hint="default"/>
      </w:rPr>
    </w:lvl>
    <w:lvl w:ilvl="8">
      <w:start w:val="1"/>
      <w:numFmt w:val="bullet"/>
      <w:lvlText w:val="•"/>
      <w:lvlJc w:val="left"/>
      <w:pPr>
        <w:ind w:left="3483" w:hanging="360"/>
      </w:pPr>
      <w:rPr>
        <w:rFonts w:hint="default"/>
      </w:rPr>
    </w:lvl>
  </w:abstractNum>
  <w:abstractNum w:abstractNumId="29">
    <w:multiLevelType w:val="hybridMultilevel"/>
    <w:lvl w:ilvl="0">
      <w:start w:val="1"/>
      <w:numFmt w:val="bullet"/>
      <w:lvlText w:val=""/>
      <w:lvlJc w:val="left"/>
      <w:pPr>
        <w:ind w:left="534" w:hanging="360"/>
      </w:pPr>
      <w:rPr>
        <w:rFonts w:hint="default" w:ascii="Symbol" w:hAnsi="Symbol" w:eastAsia="Symbol" w:cs="Symbol"/>
        <w:w w:val="99"/>
        <w:sz w:val="20"/>
        <w:szCs w:val="20"/>
      </w:rPr>
    </w:lvl>
    <w:lvl w:ilvl="1">
      <w:start w:val="1"/>
      <w:numFmt w:val="bullet"/>
      <w:lvlText w:val="•"/>
      <w:lvlJc w:val="left"/>
      <w:pPr>
        <w:ind w:left="907" w:hanging="360"/>
      </w:pPr>
      <w:rPr>
        <w:rFonts w:hint="default"/>
      </w:rPr>
    </w:lvl>
    <w:lvl w:ilvl="2">
      <w:start w:val="1"/>
      <w:numFmt w:val="bullet"/>
      <w:lvlText w:val="•"/>
      <w:lvlJc w:val="left"/>
      <w:pPr>
        <w:ind w:left="1275" w:hanging="360"/>
      </w:pPr>
      <w:rPr>
        <w:rFonts w:hint="default"/>
      </w:rPr>
    </w:lvl>
    <w:lvl w:ilvl="3">
      <w:start w:val="1"/>
      <w:numFmt w:val="bullet"/>
      <w:lvlText w:val="•"/>
      <w:lvlJc w:val="left"/>
      <w:pPr>
        <w:ind w:left="1643" w:hanging="360"/>
      </w:pPr>
      <w:rPr>
        <w:rFonts w:hint="default"/>
      </w:rPr>
    </w:lvl>
    <w:lvl w:ilvl="4">
      <w:start w:val="1"/>
      <w:numFmt w:val="bullet"/>
      <w:lvlText w:val="•"/>
      <w:lvlJc w:val="left"/>
      <w:pPr>
        <w:ind w:left="2011" w:hanging="360"/>
      </w:pPr>
      <w:rPr>
        <w:rFonts w:hint="default"/>
      </w:rPr>
    </w:lvl>
    <w:lvl w:ilvl="5">
      <w:start w:val="1"/>
      <w:numFmt w:val="bullet"/>
      <w:lvlText w:val="•"/>
      <w:lvlJc w:val="left"/>
      <w:pPr>
        <w:ind w:left="2379" w:hanging="360"/>
      </w:pPr>
      <w:rPr>
        <w:rFonts w:hint="default"/>
      </w:rPr>
    </w:lvl>
    <w:lvl w:ilvl="6">
      <w:start w:val="1"/>
      <w:numFmt w:val="bullet"/>
      <w:lvlText w:val="•"/>
      <w:lvlJc w:val="left"/>
      <w:pPr>
        <w:ind w:left="2747" w:hanging="360"/>
      </w:pPr>
      <w:rPr>
        <w:rFonts w:hint="default"/>
      </w:rPr>
    </w:lvl>
    <w:lvl w:ilvl="7">
      <w:start w:val="1"/>
      <w:numFmt w:val="bullet"/>
      <w:lvlText w:val="•"/>
      <w:lvlJc w:val="left"/>
      <w:pPr>
        <w:ind w:left="3115" w:hanging="360"/>
      </w:pPr>
      <w:rPr>
        <w:rFonts w:hint="default"/>
      </w:rPr>
    </w:lvl>
    <w:lvl w:ilvl="8">
      <w:start w:val="1"/>
      <w:numFmt w:val="bullet"/>
      <w:lvlText w:val="•"/>
      <w:lvlJc w:val="left"/>
      <w:pPr>
        <w:ind w:left="3483" w:hanging="360"/>
      </w:pPr>
      <w:rPr>
        <w:rFonts w:hint="default"/>
      </w:rPr>
    </w:lvl>
  </w:abstractNum>
  <w:abstractNum w:abstractNumId="28">
    <w:multiLevelType w:val="hybridMultilevel"/>
    <w:lvl w:ilvl="0">
      <w:start w:val="1"/>
      <w:numFmt w:val="bullet"/>
      <w:lvlText w:val=""/>
      <w:lvlJc w:val="left"/>
      <w:pPr>
        <w:ind w:left="534" w:hanging="360"/>
      </w:pPr>
      <w:rPr>
        <w:rFonts w:hint="default" w:ascii="Symbol" w:hAnsi="Symbol" w:eastAsia="Symbol" w:cs="Symbol"/>
        <w:w w:val="99"/>
        <w:sz w:val="20"/>
        <w:szCs w:val="20"/>
      </w:rPr>
    </w:lvl>
    <w:lvl w:ilvl="1">
      <w:start w:val="1"/>
      <w:numFmt w:val="bullet"/>
      <w:lvlText w:val="•"/>
      <w:lvlJc w:val="left"/>
      <w:pPr>
        <w:ind w:left="907" w:hanging="360"/>
      </w:pPr>
      <w:rPr>
        <w:rFonts w:hint="default"/>
      </w:rPr>
    </w:lvl>
    <w:lvl w:ilvl="2">
      <w:start w:val="1"/>
      <w:numFmt w:val="bullet"/>
      <w:lvlText w:val="•"/>
      <w:lvlJc w:val="left"/>
      <w:pPr>
        <w:ind w:left="1275" w:hanging="360"/>
      </w:pPr>
      <w:rPr>
        <w:rFonts w:hint="default"/>
      </w:rPr>
    </w:lvl>
    <w:lvl w:ilvl="3">
      <w:start w:val="1"/>
      <w:numFmt w:val="bullet"/>
      <w:lvlText w:val="•"/>
      <w:lvlJc w:val="left"/>
      <w:pPr>
        <w:ind w:left="1643" w:hanging="360"/>
      </w:pPr>
      <w:rPr>
        <w:rFonts w:hint="default"/>
      </w:rPr>
    </w:lvl>
    <w:lvl w:ilvl="4">
      <w:start w:val="1"/>
      <w:numFmt w:val="bullet"/>
      <w:lvlText w:val="•"/>
      <w:lvlJc w:val="left"/>
      <w:pPr>
        <w:ind w:left="2011" w:hanging="360"/>
      </w:pPr>
      <w:rPr>
        <w:rFonts w:hint="default"/>
      </w:rPr>
    </w:lvl>
    <w:lvl w:ilvl="5">
      <w:start w:val="1"/>
      <w:numFmt w:val="bullet"/>
      <w:lvlText w:val="•"/>
      <w:lvlJc w:val="left"/>
      <w:pPr>
        <w:ind w:left="2379" w:hanging="360"/>
      </w:pPr>
      <w:rPr>
        <w:rFonts w:hint="default"/>
      </w:rPr>
    </w:lvl>
    <w:lvl w:ilvl="6">
      <w:start w:val="1"/>
      <w:numFmt w:val="bullet"/>
      <w:lvlText w:val="•"/>
      <w:lvlJc w:val="left"/>
      <w:pPr>
        <w:ind w:left="2747" w:hanging="360"/>
      </w:pPr>
      <w:rPr>
        <w:rFonts w:hint="default"/>
      </w:rPr>
    </w:lvl>
    <w:lvl w:ilvl="7">
      <w:start w:val="1"/>
      <w:numFmt w:val="bullet"/>
      <w:lvlText w:val="•"/>
      <w:lvlJc w:val="left"/>
      <w:pPr>
        <w:ind w:left="3115" w:hanging="360"/>
      </w:pPr>
      <w:rPr>
        <w:rFonts w:hint="default"/>
      </w:rPr>
    </w:lvl>
    <w:lvl w:ilvl="8">
      <w:start w:val="1"/>
      <w:numFmt w:val="bullet"/>
      <w:lvlText w:val="•"/>
      <w:lvlJc w:val="left"/>
      <w:pPr>
        <w:ind w:left="3483" w:hanging="360"/>
      </w:pPr>
      <w:rPr>
        <w:rFonts w:hint="default"/>
      </w:rPr>
    </w:lvl>
  </w:abstractNum>
  <w:abstractNum w:abstractNumId="27">
    <w:multiLevelType w:val="hybridMultilevel"/>
    <w:lvl w:ilvl="0">
      <w:start w:val="1"/>
      <w:numFmt w:val="bullet"/>
      <w:lvlText w:val=""/>
      <w:lvlJc w:val="left"/>
      <w:pPr>
        <w:ind w:left="534" w:hanging="360"/>
      </w:pPr>
      <w:rPr>
        <w:rFonts w:hint="default" w:ascii="Symbol" w:hAnsi="Symbol" w:eastAsia="Symbol" w:cs="Symbol"/>
        <w:w w:val="99"/>
        <w:sz w:val="20"/>
        <w:szCs w:val="20"/>
      </w:rPr>
    </w:lvl>
    <w:lvl w:ilvl="1">
      <w:start w:val="1"/>
      <w:numFmt w:val="bullet"/>
      <w:lvlText w:val=""/>
      <w:lvlJc w:val="left"/>
      <w:pPr>
        <w:ind w:left="894" w:hanging="360"/>
      </w:pPr>
      <w:rPr>
        <w:rFonts w:hint="default" w:ascii="Wingdings" w:hAnsi="Wingdings" w:eastAsia="Wingdings" w:cs="Wingdings"/>
        <w:w w:val="99"/>
        <w:sz w:val="20"/>
        <w:szCs w:val="20"/>
      </w:rPr>
    </w:lvl>
    <w:lvl w:ilvl="2">
      <w:start w:val="1"/>
      <w:numFmt w:val="bullet"/>
      <w:lvlText w:val="•"/>
      <w:lvlJc w:val="left"/>
      <w:pPr>
        <w:ind w:left="900" w:hanging="360"/>
      </w:pPr>
      <w:rPr>
        <w:rFonts w:hint="default"/>
      </w:rPr>
    </w:lvl>
    <w:lvl w:ilvl="3">
      <w:start w:val="1"/>
      <w:numFmt w:val="bullet"/>
      <w:lvlText w:val="•"/>
      <w:lvlJc w:val="left"/>
      <w:pPr>
        <w:ind w:left="1314" w:hanging="360"/>
      </w:pPr>
      <w:rPr>
        <w:rFonts w:hint="default"/>
      </w:rPr>
    </w:lvl>
    <w:lvl w:ilvl="4">
      <w:start w:val="1"/>
      <w:numFmt w:val="bullet"/>
      <w:lvlText w:val="•"/>
      <w:lvlJc w:val="left"/>
      <w:pPr>
        <w:ind w:left="1729" w:hanging="360"/>
      </w:pPr>
      <w:rPr>
        <w:rFonts w:hint="default"/>
      </w:rPr>
    </w:lvl>
    <w:lvl w:ilvl="5">
      <w:start w:val="1"/>
      <w:numFmt w:val="bullet"/>
      <w:lvlText w:val="•"/>
      <w:lvlJc w:val="left"/>
      <w:pPr>
        <w:ind w:left="2144" w:hanging="360"/>
      </w:pPr>
      <w:rPr>
        <w:rFonts w:hint="default"/>
      </w:rPr>
    </w:lvl>
    <w:lvl w:ilvl="6">
      <w:start w:val="1"/>
      <w:numFmt w:val="bullet"/>
      <w:lvlText w:val="•"/>
      <w:lvlJc w:val="left"/>
      <w:pPr>
        <w:ind w:left="2559" w:hanging="360"/>
      </w:pPr>
      <w:rPr>
        <w:rFonts w:hint="default"/>
      </w:rPr>
    </w:lvl>
    <w:lvl w:ilvl="7">
      <w:start w:val="1"/>
      <w:numFmt w:val="bullet"/>
      <w:lvlText w:val="•"/>
      <w:lvlJc w:val="left"/>
      <w:pPr>
        <w:ind w:left="2974" w:hanging="360"/>
      </w:pPr>
      <w:rPr>
        <w:rFonts w:hint="default"/>
      </w:rPr>
    </w:lvl>
    <w:lvl w:ilvl="8">
      <w:start w:val="1"/>
      <w:numFmt w:val="bullet"/>
      <w:lvlText w:val="•"/>
      <w:lvlJc w:val="left"/>
      <w:pPr>
        <w:ind w:left="3389" w:hanging="360"/>
      </w:pPr>
      <w:rPr>
        <w:rFonts w:hint="default"/>
      </w:rPr>
    </w:lvl>
  </w:abstractNum>
  <w:abstractNum w:abstractNumId="26">
    <w:multiLevelType w:val="hybridMultilevel"/>
    <w:lvl w:ilvl="0">
      <w:start w:val="1"/>
      <w:numFmt w:val="decimal"/>
      <w:lvlText w:val="%1"/>
      <w:lvlJc w:val="left"/>
      <w:pPr>
        <w:ind w:left="822" w:hanging="720"/>
        <w:jc w:val="left"/>
      </w:pPr>
      <w:rPr>
        <w:rFonts w:hint="default"/>
      </w:rPr>
    </w:lvl>
    <w:lvl w:ilvl="1">
      <w:start w:val="1"/>
      <w:numFmt w:val="decimal"/>
      <w:lvlText w:val="%1.%2."/>
      <w:lvlJc w:val="left"/>
      <w:pPr>
        <w:ind w:left="822" w:hanging="720"/>
        <w:jc w:val="left"/>
      </w:pPr>
      <w:rPr>
        <w:rFonts w:hint="default"/>
        <w:b/>
        <w:bCs/>
        <w:spacing w:val="-2"/>
        <w:w w:val="99"/>
      </w:rPr>
    </w:lvl>
    <w:lvl w:ilvl="2">
      <w:start w:val="1"/>
      <w:numFmt w:val="decimal"/>
      <w:lvlText w:val="%1.%2.%3."/>
      <w:lvlJc w:val="left"/>
      <w:pPr>
        <w:ind w:left="822" w:hanging="72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1530" w:hanging="360"/>
      </w:pPr>
      <w:rPr>
        <w:rFonts w:hint="default" w:ascii="Symbol" w:hAnsi="Symbol" w:eastAsia="Symbol" w:cs="Symbol"/>
        <w:w w:val="100"/>
        <w:sz w:val="24"/>
        <w:szCs w:val="24"/>
      </w:rPr>
    </w:lvl>
    <w:lvl w:ilvl="4">
      <w:start w:val="1"/>
      <w:numFmt w:val="bullet"/>
      <w:lvlText w:val="•"/>
      <w:lvlJc w:val="left"/>
      <w:pPr>
        <w:ind w:left="404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88" w:hanging="360"/>
      </w:pPr>
      <w:rPr>
        <w:rFonts w:hint="default"/>
      </w:rPr>
    </w:lvl>
  </w:abstractNum>
  <w:abstractNum w:abstractNumId="25">
    <w:multiLevelType w:val="hybridMultilevel"/>
    <w:lvl w:ilvl="0">
      <w:start w:val="7"/>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Times New Roman" w:hAnsi="Times New Roman" w:eastAsia="Times New Roman" w:cs="Times New Roman"/>
        <w:spacing w:val="-3"/>
        <w:w w:val="99"/>
        <w:sz w:val="24"/>
        <w:szCs w:val="24"/>
      </w:rPr>
    </w:lvl>
    <w:lvl w:ilvl="2">
      <w:start w:val="1"/>
      <w:numFmt w:val="bullet"/>
      <w:lvlText w:val="•"/>
      <w:lvlJc w:val="left"/>
      <w:pPr>
        <w:ind w:left="2340" w:hanging="567"/>
      </w:pPr>
      <w:rPr>
        <w:rFonts w:hint="default"/>
      </w:rPr>
    </w:lvl>
    <w:lvl w:ilvl="3">
      <w:start w:val="1"/>
      <w:numFmt w:val="bullet"/>
      <w:lvlText w:val="•"/>
      <w:lvlJc w:val="left"/>
      <w:pPr>
        <w:ind w:left="3180" w:hanging="567"/>
      </w:pPr>
      <w:rPr>
        <w:rFonts w:hint="default"/>
      </w:rPr>
    </w:lvl>
    <w:lvl w:ilvl="4">
      <w:start w:val="1"/>
      <w:numFmt w:val="bullet"/>
      <w:lvlText w:val="•"/>
      <w:lvlJc w:val="left"/>
      <w:pPr>
        <w:ind w:left="4020" w:hanging="567"/>
      </w:pPr>
      <w:rPr>
        <w:rFonts w:hint="default"/>
      </w:rPr>
    </w:lvl>
    <w:lvl w:ilvl="5">
      <w:start w:val="1"/>
      <w:numFmt w:val="bullet"/>
      <w:lvlText w:val="•"/>
      <w:lvlJc w:val="left"/>
      <w:pPr>
        <w:ind w:left="4860" w:hanging="567"/>
      </w:pPr>
      <w:rPr>
        <w:rFonts w:hint="default"/>
      </w:rPr>
    </w:lvl>
    <w:lvl w:ilvl="6">
      <w:start w:val="1"/>
      <w:numFmt w:val="bullet"/>
      <w:lvlText w:val="•"/>
      <w:lvlJc w:val="left"/>
      <w:pPr>
        <w:ind w:left="5700" w:hanging="567"/>
      </w:pPr>
      <w:rPr>
        <w:rFonts w:hint="default"/>
      </w:rPr>
    </w:lvl>
    <w:lvl w:ilvl="7">
      <w:start w:val="1"/>
      <w:numFmt w:val="bullet"/>
      <w:lvlText w:val="•"/>
      <w:lvlJc w:val="left"/>
      <w:pPr>
        <w:ind w:left="6540" w:hanging="567"/>
      </w:pPr>
      <w:rPr>
        <w:rFonts w:hint="default"/>
      </w:rPr>
    </w:lvl>
    <w:lvl w:ilvl="8">
      <w:start w:val="1"/>
      <w:numFmt w:val="bullet"/>
      <w:lvlText w:val="•"/>
      <w:lvlJc w:val="left"/>
      <w:pPr>
        <w:ind w:left="7380" w:hanging="567"/>
      </w:pPr>
      <w:rPr>
        <w:rFonts w:hint="default"/>
      </w:rPr>
    </w:lvl>
  </w:abstractNum>
  <w:abstractNum w:abstractNumId="24">
    <w:multiLevelType w:val="hybridMultilevel"/>
    <w:lvl w:ilvl="0">
      <w:start w:val="6"/>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Times New Roman" w:hAnsi="Times New Roman" w:eastAsia="Times New Roman" w:cs="Times New Roman"/>
        <w:spacing w:val="-2"/>
        <w:w w:val="100"/>
        <w:sz w:val="24"/>
        <w:szCs w:val="24"/>
      </w:rPr>
    </w:lvl>
    <w:lvl w:ilvl="2">
      <w:start w:val="1"/>
      <w:numFmt w:val="bullet"/>
      <w:lvlText w:val="•"/>
      <w:lvlJc w:val="left"/>
      <w:pPr>
        <w:ind w:left="2340" w:hanging="567"/>
      </w:pPr>
      <w:rPr>
        <w:rFonts w:hint="default"/>
      </w:rPr>
    </w:lvl>
    <w:lvl w:ilvl="3">
      <w:start w:val="1"/>
      <w:numFmt w:val="bullet"/>
      <w:lvlText w:val="•"/>
      <w:lvlJc w:val="left"/>
      <w:pPr>
        <w:ind w:left="3180" w:hanging="567"/>
      </w:pPr>
      <w:rPr>
        <w:rFonts w:hint="default"/>
      </w:rPr>
    </w:lvl>
    <w:lvl w:ilvl="4">
      <w:start w:val="1"/>
      <w:numFmt w:val="bullet"/>
      <w:lvlText w:val="•"/>
      <w:lvlJc w:val="left"/>
      <w:pPr>
        <w:ind w:left="4020" w:hanging="567"/>
      </w:pPr>
      <w:rPr>
        <w:rFonts w:hint="default"/>
      </w:rPr>
    </w:lvl>
    <w:lvl w:ilvl="5">
      <w:start w:val="1"/>
      <w:numFmt w:val="bullet"/>
      <w:lvlText w:val="•"/>
      <w:lvlJc w:val="left"/>
      <w:pPr>
        <w:ind w:left="4860" w:hanging="567"/>
      </w:pPr>
      <w:rPr>
        <w:rFonts w:hint="default"/>
      </w:rPr>
    </w:lvl>
    <w:lvl w:ilvl="6">
      <w:start w:val="1"/>
      <w:numFmt w:val="bullet"/>
      <w:lvlText w:val="•"/>
      <w:lvlJc w:val="left"/>
      <w:pPr>
        <w:ind w:left="5700" w:hanging="567"/>
      </w:pPr>
      <w:rPr>
        <w:rFonts w:hint="default"/>
      </w:rPr>
    </w:lvl>
    <w:lvl w:ilvl="7">
      <w:start w:val="1"/>
      <w:numFmt w:val="bullet"/>
      <w:lvlText w:val="•"/>
      <w:lvlJc w:val="left"/>
      <w:pPr>
        <w:ind w:left="6540" w:hanging="567"/>
      </w:pPr>
      <w:rPr>
        <w:rFonts w:hint="default"/>
      </w:rPr>
    </w:lvl>
    <w:lvl w:ilvl="8">
      <w:start w:val="1"/>
      <w:numFmt w:val="bullet"/>
      <w:lvlText w:val="•"/>
      <w:lvlJc w:val="left"/>
      <w:pPr>
        <w:ind w:left="7380" w:hanging="567"/>
      </w:pPr>
      <w:rPr>
        <w:rFonts w:hint="default"/>
      </w:rPr>
    </w:lvl>
  </w:abstractNum>
  <w:abstractNum w:abstractNumId="23">
    <w:multiLevelType w:val="hybridMultilevel"/>
    <w:lvl w:ilvl="0">
      <w:start w:val="4"/>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Times New Roman" w:hAnsi="Times New Roman" w:eastAsia="Times New Roman" w:cs="Times New Roman"/>
        <w:spacing w:val="-4"/>
        <w:w w:val="99"/>
        <w:sz w:val="24"/>
        <w:szCs w:val="24"/>
      </w:rPr>
    </w:lvl>
    <w:lvl w:ilvl="2">
      <w:start w:val="1"/>
      <w:numFmt w:val="bullet"/>
      <w:lvlText w:val="•"/>
      <w:lvlJc w:val="left"/>
      <w:pPr>
        <w:ind w:left="2340" w:hanging="567"/>
      </w:pPr>
      <w:rPr>
        <w:rFonts w:hint="default"/>
      </w:rPr>
    </w:lvl>
    <w:lvl w:ilvl="3">
      <w:start w:val="1"/>
      <w:numFmt w:val="bullet"/>
      <w:lvlText w:val="•"/>
      <w:lvlJc w:val="left"/>
      <w:pPr>
        <w:ind w:left="3180" w:hanging="567"/>
      </w:pPr>
      <w:rPr>
        <w:rFonts w:hint="default"/>
      </w:rPr>
    </w:lvl>
    <w:lvl w:ilvl="4">
      <w:start w:val="1"/>
      <w:numFmt w:val="bullet"/>
      <w:lvlText w:val="•"/>
      <w:lvlJc w:val="left"/>
      <w:pPr>
        <w:ind w:left="4020" w:hanging="567"/>
      </w:pPr>
      <w:rPr>
        <w:rFonts w:hint="default"/>
      </w:rPr>
    </w:lvl>
    <w:lvl w:ilvl="5">
      <w:start w:val="1"/>
      <w:numFmt w:val="bullet"/>
      <w:lvlText w:val="•"/>
      <w:lvlJc w:val="left"/>
      <w:pPr>
        <w:ind w:left="4860" w:hanging="567"/>
      </w:pPr>
      <w:rPr>
        <w:rFonts w:hint="default"/>
      </w:rPr>
    </w:lvl>
    <w:lvl w:ilvl="6">
      <w:start w:val="1"/>
      <w:numFmt w:val="bullet"/>
      <w:lvlText w:val="•"/>
      <w:lvlJc w:val="left"/>
      <w:pPr>
        <w:ind w:left="5700" w:hanging="567"/>
      </w:pPr>
      <w:rPr>
        <w:rFonts w:hint="default"/>
      </w:rPr>
    </w:lvl>
    <w:lvl w:ilvl="7">
      <w:start w:val="1"/>
      <w:numFmt w:val="bullet"/>
      <w:lvlText w:val="•"/>
      <w:lvlJc w:val="left"/>
      <w:pPr>
        <w:ind w:left="6540" w:hanging="567"/>
      </w:pPr>
      <w:rPr>
        <w:rFonts w:hint="default"/>
      </w:rPr>
    </w:lvl>
    <w:lvl w:ilvl="8">
      <w:start w:val="1"/>
      <w:numFmt w:val="bullet"/>
      <w:lvlText w:val="•"/>
      <w:lvlJc w:val="left"/>
      <w:pPr>
        <w:ind w:left="7380" w:hanging="567"/>
      </w:pPr>
      <w:rPr>
        <w:rFonts w:hint="default"/>
      </w:rPr>
    </w:lvl>
  </w:abstractNum>
  <w:abstractNum w:abstractNumId="22">
    <w:multiLevelType w:val="hybridMultilevel"/>
    <w:lvl w:ilvl="0">
      <w:start w:val="3"/>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340" w:hanging="567"/>
      </w:pPr>
      <w:rPr>
        <w:rFonts w:hint="default"/>
      </w:rPr>
    </w:lvl>
    <w:lvl w:ilvl="3">
      <w:start w:val="1"/>
      <w:numFmt w:val="bullet"/>
      <w:lvlText w:val="•"/>
      <w:lvlJc w:val="left"/>
      <w:pPr>
        <w:ind w:left="3180" w:hanging="567"/>
      </w:pPr>
      <w:rPr>
        <w:rFonts w:hint="default"/>
      </w:rPr>
    </w:lvl>
    <w:lvl w:ilvl="4">
      <w:start w:val="1"/>
      <w:numFmt w:val="bullet"/>
      <w:lvlText w:val="•"/>
      <w:lvlJc w:val="left"/>
      <w:pPr>
        <w:ind w:left="4020" w:hanging="567"/>
      </w:pPr>
      <w:rPr>
        <w:rFonts w:hint="default"/>
      </w:rPr>
    </w:lvl>
    <w:lvl w:ilvl="5">
      <w:start w:val="1"/>
      <w:numFmt w:val="bullet"/>
      <w:lvlText w:val="•"/>
      <w:lvlJc w:val="left"/>
      <w:pPr>
        <w:ind w:left="4860" w:hanging="567"/>
      </w:pPr>
      <w:rPr>
        <w:rFonts w:hint="default"/>
      </w:rPr>
    </w:lvl>
    <w:lvl w:ilvl="6">
      <w:start w:val="1"/>
      <w:numFmt w:val="bullet"/>
      <w:lvlText w:val="•"/>
      <w:lvlJc w:val="left"/>
      <w:pPr>
        <w:ind w:left="5700" w:hanging="567"/>
      </w:pPr>
      <w:rPr>
        <w:rFonts w:hint="default"/>
      </w:rPr>
    </w:lvl>
    <w:lvl w:ilvl="7">
      <w:start w:val="1"/>
      <w:numFmt w:val="bullet"/>
      <w:lvlText w:val="•"/>
      <w:lvlJc w:val="left"/>
      <w:pPr>
        <w:ind w:left="6540" w:hanging="567"/>
      </w:pPr>
      <w:rPr>
        <w:rFonts w:hint="default"/>
      </w:rPr>
    </w:lvl>
    <w:lvl w:ilvl="8">
      <w:start w:val="1"/>
      <w:numFmt w:val="bullet"/>
      <w:lvlText w:val="•"/>
      <w:lvlJc w:val="left"/>
      <w:pPr>
        <w:ind w:left="7380" w:hanging="567"/>
      </w:pPr>
      <w:rPr>
        <w:rFonts w:hint="default"/>
      </w:rPr>
    </w:lvl>
  </w:abstractNum>
  <w:abstractNum w:abstractNumId="21">
    <w:multiLevelType w:val="hybridMultilevel"/>
    <w:lvl w:ilvl="0">
      <w:start w:val="2"/>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Times New Roman" w:hAnsi="Times New Roman" w:eastAsia="Times New Roman" w:cs="Times New Roman"/>
        <w:spacing w:val="-3"/>
        <w:w w:val="99"/>
        <w:sz w:val="24"/>
        <w:szCs w:val="24"/>
      </w:rPr>
    </w:lvl>
    <w:lvl w:ilvl="2">
      <w:start w:val="1"/>
      <w:numFmt w:val="bullet"/>
      <w:lvlText w:val="•"/>
      <w:lvlJc w:val="left"/>
      <w:pPr>
        <w:ind w:left="2340" w:hanging="567"/>
      </w:pPr>
      <w:rPr>
        <w:rFonts w:hint="default"/>
      </w:rPr>
    </w:lvl>
    <w:lvl w:ilvl="3">
      <w:start w:val="1"/>
      <w:numFmt w:val="bullet"/>
      <w:lvlText w:val="•"/>
      <w:lvlJc w:val="left"/>
      <w:pPr>
        <w:ind w:left="3180" w:hanging="567"/>
      </w:pPr>
      <w:rPr>
        <w:rFonts w:hint="default"/>
      </w:rPr>
    </w:lvl>
    <w:lvl w:ilvl="4">
      <w:start w:val="1"/>
      <w:numFmt w:val="bullet"/>
      <w:lvlText w:val="•"/>
      <w:lvlJc w:val="left"/>
      <w:pPr>
        <w:ind w:left="4020" w:hanging="567"/>
      </w:pPr>
      <w:rPr>
        <w:rFonts w:hint="default"/>
      </w:rPr>
    </w:lvl>
    <w:lvl w:ilvl="5">
      <w:start w:val="1"/>
      <w:numFmt w:val="bullet"/>
      <w:lvlText w:val="•"/>
      <w:lvlJc w:val="left"/>
      <w:pPr>
        <w:ind w:left="4860" w:hanging="567"/>
      </w:pPr>
      <w:rPr>
        <w:rFonts w:hint="default"/>
      </w:rPr>
    </w:lvl>
    <w:lvl w:ilvl="6">
      <w:start w:val="1"/>
      <w:numFmt w:val="bullet"/>
      <w:lvlText w:val="•"/>
      <w:lvlJc w:val="left"/>
      <w:pPr>
        <w:ind w:left="5700" w:hanging="567"/>
      </w:pPr>
      <w:rPr>
        <w:rFonts w:hint="default"/>
      </w:rPr>
    </w:lvl>
    <w:lvl w:ilvl="7">
      <w:start w:val="1"/>
      <w:numFmt w:val="bullet"/>
      <w:lvlText w:val="•"/>
      <w:lvlJc w:val="left"/>
      <w:pPr>
        <w:ind w:left="6540" w:hanging="567"/>
      </w:pPr>
      <w:rPr>
        <w:rFonts w:hint="default"/>
      </w:rPr>
    </w:lvl>
    <w:lvl w:ilvl="8">
      <w:start w:val="1"/>
      <w:numFmt w:val="bullet"/>
      <w:lvlText w:val="•"/>
      <w:lvlJc w:val="left"/>
      <w:pPr>
        <w:ind w:left="7380" w:hanging="567"/>
      </w:pPr>
      <w:rPr>
        <w:rFonts w:hint="default"/>
      </w:rPr>
    </w:lvl>
  </w:abstractNum>
  <w:abstractNum w:abstractNumId="20">
    <w:multiLevelType w:val="hybridMultilevel"/>
    <w:lvl w:ilvl="0">
      <w:start w:val="1"/>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Times New Roman" w:hAnsi="Times New Roman" w:eastAsia="Times New Roman" w:cs="Times New Roman"/>
        <w:spacing w:val="-2"/>
        <w:w w:val="100"/>
        <w:sz w:val="24"/>
        <w:szCs w:val="24"/>
      </w:rPr>
    </w:lvl>
    <w:lvl w:ilvl="2">
      <w:start w:val="1"/>
      <w:numFmt w:val="bullet"/>
      <w:lvlText w:val="•"/>
      <w:lvlJc w:val="left"/>
      <w:pPr>
        <w:ind w:left="2340" w:hanging="567"/>
      </w:pPr>
      <w:rPr>
        <w:rFonts w:hint="default"/>
      </w:rPr>
    </w:lvl>
    <w:lvl w:ilvl="3">
      <w:start w:val="1"/>
      <w:numFmt w:val="bullet"/>
      <w:lvlText w:val="•"/>
      <w:lvlJc w:val="left"/>
      <w:pPr>
        <w:ind w:left="3180" w:hanging="567"/>
      </w:pPr>
      <w:rPr>
        <w:rFonts w:hint="default"/>
      </w:rPr>
    </w:lvl>
    <w:lvl w:ilvl="4">
      <w:start w:val="1"/>
      <w:numFmt w:val="bullet"/>
      <w:lvlText w:val="•"/>
      <w:lvlJc w:val="left"/>
      <w:pPr>
        <w:ind w:left="4020" w:hanging="567"/>
      </w:pPr>
      <w:rPr>
        <w:rFonts w:hint="default"/>
      </w:rPr>
    </w:lvl>
    <w:lvl w:ilvl="5">
      <w:start w:val="1"/>
      <w:numFmt w:val="bullet"/>
      <w:lvlText w:val="•"/>
      <w:lvlJc w:val="left"/>
      <w:pPr>
        <w:ind w:left="4860" w:hanging="567"/>
      </w:pPr>
      <w:rPr>
        <w:rFonts w:hint="default"/>
      </w:rPr>
    </w:lvl>
    <w:lvl w:ilvl="6">
      <w:start w:val="1"/>
      <w:numFmt w:val="bullet"/>
      <w:lvlText w:val="•"/>
      <w:lvlJc w:val="left"/>
      <w:pPr>
        <w:ind w:left="5700" w:hanging="567"/>
      </w:pPr>
      <w:rPr>
        <w:rFonts w:hint="default"/>
      </w:rPr>
    </w:lvl>
    <w:lvl w:ilvl="7">
      <w:start w:val="1"/>
      <w:numFmt w:val="bullet"/>
      <w:lvlText w:val="•"/>
      <w:lvlJc w:val="left"/>
      <w:pPr>
        <w:ind w:left="6540" w:hanging="567"/>
      </w:pPr>
      <w:rPr>
        <w:rFonts w:hint="default"/>
      </w:rPr>
    </w:lvl>
    <w:lvl w:ilvl="8">
      <w:start w:val="1"/>
      <w:numFmt w:val="bullet"/>
      <w:lvlText w:val="•"/>
      <w:lvlJc w:val="left"/>
      <w:pPr>
        <w:ind w:left="7380" w:hanging="567"/>
      </w:pPr>
      <w:rPr>
        <w:rFonts w:hint="default"/>
      </w:rPr>
    </w:lvl>
  </w:abstractNum>
  <w:abstractNum w:abstractNumId="19">
    <w:multiLevelType w:val="hybridMultilevel"/>
    <w:lvl w:ilvl="0">
      <w:start w:val="7"/>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Times New Roman" w:hAnsi="Times New Roman" w:eastAsia="Times New Roman" w:cs="Times New Roman"/>
        <w:spacing w:val="-5"/>
        <w:w w:val="99"/>
        <w:sz w:val="24"/>
        <w:szCs w:val="24"/>
      </w:rPr>
    </w:lvl>
    <w:lvl w:ilvl="2">
      <w:start w:val="1"/>
      <w:numFmt w:val="bullet"/>
      <w:lvlText w:val="•"/>
      <w:lvlJc w:val="left"/>
      <w:pPr>
        <w:ind w:left="2340" w:hanging="567"/>
      </w:pPr>
      <w:rPr>
        <w:rFonts w:hint="default"/>
      </w:rPr>
    </w:lvl>
    <w:lvl w:ilvl="3">
      <w:start w:val="1"/>
      <w:numFmt w:val="bullet"/>
      <w:lvlText w:val="•"/>
      <w:lvlJc w:val="left"/>
      <w:pPr>
        <w:ind w:left="3180" w:hanging="567"/>
      </w:pPr>
      <w:rPr>
        <w:rFonts w:hint="default"/>
      </w:rPr>
    </w:lvl>
    <w:lvl w:ilvl="4">
      <w:start w:val="1"/>
      <w:numFmt w:val="bullet"/>
      <w:lvlText w:val="•"/>
      <w:lvlJc w:val="left"/>
      <w:pPr>
        <w:ind w:left="4020" w:hanging="567"/>
      </w:pPr>
      <w:rPr>
        <w:rFonts w:hint="default"/>
      </w:rPr>
    </w:lvl>
    <w:lvl w:ilvl="5">
      <w:start w:val="1"/>
      <w:numFmt w:val="bullet"/>
      <w:lvlText w:val="•"/>
      <w:lvlJc w:val="left"/>
      <w:pPr>
        <w:ind w:left="4860" w:hanging="567"/>
      </w:pPr>
      <w:rPr>
        <w:rFonts w:hint="default"/>
      </w:rPr>
    </w:lvl>
    <w:lvl w:ilvl="6">
      <w:start w:val="1"/>
      <w:numFmt w:val="bullet"/>
      <w:lvlText w:val="•"/>
      <w:lvlJc w:val="left"/>
      <w:pPr>
        <w:ind w:left="5700" w:hanging="567"/>
      </w:pPr>
      <w:rPr>
        <w:rFonts w:hint="default"/>
      </w:rPr>
    </w:lvl>
    <w:lvl w:ilvl="7">
      <w:start w:val="1"/>
      <w:numFmt w:val="bullet"/>
      <w:lvlText w:val="•"/>
      <w:lvlJc w:val="left"/>
      <w:pPr>
        <w:ind w:left="6540" w:hanging="567"/>
      </w:pPr>
      <w:rPr>
        <w:rFonts w:hint="default"/>
      </w:rPr>
    </w:lvl>
    <w:lvl w:ilvl="8">
      <w:start w:val="1"/>
      <w:numFmt w:val="bullet"/>
      <w:lvlText w:val="•"/>
      <w:lvlJc w:val="left"/>
      <w:pPr>
        <w:ind w:left="7380" w:hanging="567"/>
      </w:pPr>
      <w:rPr>
        <w:rFonts w:hint="default"/>
      </w:rPr>
    </w:lvl>
  </w:abstractNum>
  <w:abstractNum w:abstractNumId="18">
    <w:multiLevelType w:val="hybridMultilevel"/>
    <w:lvl w:ilvl="0">
      <w:start w:val="6"/>
      <w:numFmt w:val="decimal"/>
      <w:lvlText w:val="%1"/>
      <w:lvlJc w:val="left"/>
      <w:pPr>
        <w:ind w:left="668" w:hanging="567"/>
        <w:jc w:val="left"/>
      </w:pPr>
      <w:rPr>
        <w:rFonts w:hint="default"/>
      </w:rPr>
    </w:lvl>
    <w:lvl w:ilvl="1">
      <w:start w:val="1"/>
      <w:numFmt w:val="decimal"/>
      <w:lvlText w:val="%1.%2."/>
      <w:lvlJc w:val="left"/>
      <w:pPr>
        <w:ind w:left="102" w:hanging="567"/>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1593" w:hanging="567"/>
      </w:pPr>
      <w:rPr>
        <w:rFonts w:hint="default"/>
      </w:rPr>
    </w:lvl>
    <w:lvl w:ilvl="3">
      <w:start w:val="1"/>
      <w:numFmt w:val="bullet"/>
      <w:lvlText w:val="•"/>
      <w:lvlJc w:val="left"/>
      <w:pPr>
        <w:ind w:left="2526" w:hanging="567"/>
      </w:pPr>
      <w:rPr>
        <w:rFonts w:hint="default"/>
      </w:rPr>
    </w:lvl>
    <w:lvl w:ilvl="4">
      <w:start w:val="1"/>
      <w:numFmt w:val="bullet"/>
      <w:lvlText w:val="•"/>
      <w:lvlJc w:val="left"/>
      <w:pPr>
        <w:ind w:left="3460" w:hanging="567"/>
      </w:pPr>
      <w:rPr>
        <w:rFonts w:hint="default"/>
      </w:rPr>
    </w:lvl>
    <w:lvl w:ilvl="5">
      <w:start w:val="1"/>
      <w:numFmt w:val="bullet"/>
      <w:lvlText w:val="•"/>
      <w:lvlJc w:val="left"/>
      <w:pPr>
        <w:ind w:left="4393" w:hanging="567"/>
      </w:pPr>
      <w:rPr>
        <w:rFonts w:hint="default"/>
      </w:rPr>
    </w:lvl>
    <w:lvl w:ilvl="6">
      <w:start w:val="1"/>
      <w:numFmt w:val="bullet"/>
      <w:lvlText w:val="•"/>
      <w:lvlJc w:val="left"/>
      <w:pPr>
        <w:ind w:left="5326" w:hanging="567"/>
      </w:pPr>
      <w:rPr>
        <w:rFonts w:hint="default"/>
      </w:rPr>
    </w:lvl>
    <w:lvl w:ilvl="7">
      <w:start w:val="1"/>
      <w:numFmt w:val="bullet"/>
      <w:lvlText w:val="•"/>
      <w:lvlJc w:val="left"/>
      <w:pPr>
        <w:ind w:left="6260" w:hanging="567"/>
      </w:pPr>
      <w:rPr>
        <w:rFonts w:hint="default"/>
      </w:rPr>
    </w:lvl>
    <w:lvl w:ilvl="8">
      <w:start w:val="1"/>
      <w:numFmt w:val="bullet"/>
      <w:lvlText w:val="•"/>
      <w:lvlJc w:val="left"/>
      <w:pPr>
        <w:ind w:left="7193" w:hanging="567"/>
      </w:pPr>
      <w:rPr>
        <w:rFonts w:hint="default"/>
      </w:rPr>
    </w:lvl>
  </w:abstractNum>
  <w:abstractNum w:abstractNumId="17">
    <w:multiLevelType w:val="hybridMultilevel"/>
    <w:lvl w:ilvl="0">
      <w:start w:val="5"/>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340" w:hanging="567"/>
      </w:pPr>
      <w:rPr>
        <w:rFonts w:hint="default"/>
      </w:rPr>
    </w:lvl>
    <w:lvl w:ilvl="3">
      <w:start w:val="1"/>
      <w:numFmt w:val="bullet"/>
      <w:lvlText w:val="•"/>
      <w:lvlJc w:val="left"/>
      <w:pPr>
        <w:ind w:left="3180" w:hanging="567"/>
      </w:pPr>
      <w:rPr>
        <w:rFonts w:hint="default"/>
      </w:rPr>
    </w:lvl>
    <w:lvl w:ilvl="4">
      <w:start w:val="1"/>
      <w:numFmt w:val="bullet"/>
      <w:lvlText w:val="•"/>
      <w:lvlJc w:val="left"/>
      <w:pPr>
        <w:ind w:left="4020" w:hanging="567"/>
      </w:pPr>
      <w:rPr>
        <w:rFonts w:hint="default"/>
      </w:rPr>
    </w:lvl>
    <w:lvl w:ilvl="5">
      <w:start w:val="1"/>
      <w:numFmt w:val="bullet"/>
      <w:lvlText w:val="•"/>
      <w:lvlJc w:val="left"/>
      <w:pPr>
        <w:ind w:left="4860" w:hanging="567"/>
      </w:pPr>
      <w:rPr>
        <w:rFonts w:hint="default"/>
      </w:rPr>
    </w:lvl>
    <w:lvl w:ilvl="6">
      <w:start w:val="1"/>
      <w:numFmt w:val="bullet"/>
      <w:lvlText w:val="•"/>
      <w:lvlJc w:val="left"/>
      <w:pPr>
        <w:ind w:left="5700" w:hanging="567"/>
      </w:pPr>
      <w:rPr>
        <w:rFonts w:hint="default"/>
      </w:rPr>
    </w:lvl>
    <w:lvl w:ilvl="7">
      <w:start w:val="1"/>
      <w:numFmt w:val="bullet"/>
      <w:lvlText w:val="•"/>
      <w:lvlJc w:val="left"/>
      <w:pPr>
        <w:ind w:left="6540" w:hanging="567"/>
      </w:pPr>
      <w:rPr>
        <w:rFonts w:hint="default"/>
      </w:rPr>
    </w:lvl>
    <w:lvl w:ilvl="8">
      <w:start w:val="1"/>
      <w:numFmt w:val="bullet"/>
      <w:lvlText w:val="•"/>
      <w:lvlJc w:val="left"/>
      <w:pPr>
        <w:ind w:left="7380" w:hanging="567"/>
      </w:pPr>
      <w:rPr>
        <w:rFonts w:hint="default"/>
      </w:rPr>
    </w:lvl>
  </w:abstractNum>
  <w:abstractNum w:abstractNumId="16">
    <w:multiLevelType w:val="hybridMultilevel"/>
    <w:lvl w:ilvl="0">
      <w:start w:val="3"/>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Times New Roman" w:hAnsi="Times New Roman" w:eastAsia="Times New Roman" w:cs="Times New Roman"/>
        <w:spacing w:val="-5"/>
        <w:w w:val="99"/>
        <w:sz w:val="24"/>
        <w:szCs w:val="24"/>
      </w:rPr>
    </w:lvl>
    <w:lvl w:ilvl="2">
      <w:start w:val="1"/>
      <w:numFmt w:val="bullet"/>
      <w:lvlText w:val="•"/>
      <w:lvlJc w:val="left"/>
      <w:pPr>
        <w:ind w:left="2340" w:hanging="567"/>
      </w:pPr>
      <w:rPr>
        <w:rFonts w:hint="default"/>
      </w:rPr>
    </w:lvl>
    <w:lvl w:ilvl="3">
      <w:start w:val="1"/>
      <w:numFmt w:val="bullet"/>
      <w:lvlText w:val="•"/>
      <w:lvlJc w:val="left"/>
      <w:pPr>
        <w:ind w:left="3180" w:hanging="567"/>
      </w:pPr>
      <w:rPr>
        <w:rFonts w:hint="default"/>
      </w:rPr>
    </w:lvl>
    <w:lvl w:ilvl="4">
      <w:start w:val="1"/>
      <w:numFmt w:val="bullet"/>
      <w:lvlText w:val="•"/>
      <w:lvlJc w:val="left"/>
      <w:pPr>
        <w:ind w:left="4020" w:hanging="567"/>
      </w:pPr>
      <w:rPr>
        <w:rFonts w:hint="default"/>
      </w:rPr>
    </w:lvl>
    <w:lvl w:ilvl="5">
      <w:start w:val="1"/>
      <w:numFmt w:val="bullet"/>
      <w:lvlText w:val="•"/>
      <w:lvlJc w:val="left"/>
      <w:pPr>
        <w:ind w:left="4860" w:hanging="567"/>
      </w:pPr>
      <w:rPr>
        <w:rFonts w:hint="default"/>
      </w:rPr>
    </w:lvl>
    <w:lvl w:ilvl="6">
      <w:start w:val="1"/>
      <w:numFmt w:val="bullet"/>
      <w:lvlText w:val="•"/>
      <w:lvlJc w:val="left"/>
      <w:pPr>
        <w:ind w:left="5700" w:hanging="567"/>
      </w:pPr>
      <w:rPr>
        <w:rFonts w:hint="default"/>
      </w:rPr>
    </w:lvl>
    <w:lvl w:ilvl="7">
      <w:start w:val="1"/>
      <w:numFmt w:val="bullet"/>
      <w:lvlText w:val="•"/>
      <w:lvlJc w:val="left"/>
      <w:pPr>
        <w:ind w:left="6540" w:hanging="567"/>
      </w:pPr>
      <w:rPr>
        <w:rFonts w:hint="default"/>
      </w:rPr>
    </w:lvl>
    <w:lvl w:ilvl="8">
      <w:start w:val="1"/>
      <w:numFmt w:val="bullet"/>
      <w:lvlText w:val="•"/>
      <w:lvlJc w:val="left"/>
      <w:pPr>
        <w:ind w:left="7380" w:hanging="567"/>
      </w:pPr>
      <w:rPr>
        <w:rFonts w:hint="default"/>
      </w:rPr>
    </w:lvl>
  </w:abstractNum>
  <w:abstractNum w:abstractNumId="15">
    <w:multiLevelType w:val="hybridMultilevel"/>
    <w:lvl w:ilvl="0">
      <w:start w:val="1"/>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340" w:hanging="567"/>
      </w:pPr>
      <w:rPr>
        <w:rFonts w:hint="default"/>
      </w:rPr>
    </w:lvl>
    <w:lvl w:ilvl="3">
      <w:start w:val="1"/>
      <w:numFmt w:val="bullet"/>
      <w:lvlText w:val="•"/>
      <w:lvlJc w:val="left"/>
      <w:pPr>
        <w:ind w:left="3180" w:hanging="567"/>
      </w:pPr>
      <w:rPr>
        <w:rFonts w:hint="default"/>
      </w:rPr>
    </w:lvl>
    <w:lvl w:ilvl="4">
      <w:start w:val="1"/>
      <w:numFmt w:val="bullet"/>
      <w:lvlText w:val="•"/>
      <w:lvlJc w:val="left"/>
      <w:pPr>
        <w:ind w:left="4020" w:hanging="567"/>
      </w:pPr>
      <w:rPr>
        <w:rFonts w:hint="default"/>
      </w:rPr>
    </w:lvl>
    <w:lvl w:ilvl="5">
      <w:start w:val="1"/>
      <w:numFmt w:val="bullet"/>
      <w:lvlText w:val="•"/>
      <w:lvlJc w:val="left"/>
      <w:pPr>
        <w:ind w:left="4860" w:hanging="567"/>
      </w:pPr>
      <w:rPr>
        <w:rFonts w:hint="default"/>
      </w:rPr>
    </w:lvl>
    <w:lvl w:ilvl="6">
      <w:start w:val="1"/>
      <w:numFmt w:val="bullet"/>
      <w:lvlText w:val="•"/>
      <w:lvlJc w:val="left"/>
      <w:pPr>
        <w:ind w:left="5700" w:hanging="567"/>
      </w:pPr>
      <w:rPr>
        <w:rFonts w:hint="default"/>
      </w:rPr>
    </w:lvl>
    <w:lvl w:ilvl="7">
      <w:start w:val="1"/>
      <w:numFmt w:val="bullet"/>
      <w:lvlText w:val="•"/>
      <w:lvlJc w:val="left"/>
      <w:pPr>
        <w:ind w:left="6540" w:hanging="567"/>
      </w:pPr>
      <w:rPr>
        <w:rFonts w:hint="default"/>
      </w:rPr>
    </w:lvl>
    <w:lvl w:ilvl="8">
      <w:start w:val="1"/>
      <w:numFmt w:val="bullet"/>
      <w:lvlText w:val="•"/>
      <w:lvlJc w:val="left"/>
      <w:pPr>
        <w:ind w:left="7380" w:hanging="567"/>
      </w:pPr>
      <w:rPr>
        <w:rFonts w:hint="default"/>
      </w:rPr>
    </w:lvl>
  </w:abstractNum>
  <w:abstractNum w:abstractNumId="14">
    <w:multiLevelType w:val="hybridMultilevel"/>
    <w:lvl w:ilvl="0">
      <w:start w:val="8"/>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spacing w:val="-2"/>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spacing w:val="-3"/>
        <w:w w:val="99"/>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13">
    <w:multiLevelType w:val="hybridMultilevel"/>
    <w:lvl w:ilvl="0">
      <w:start w:val="7"/>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Times New Roman" w:hAnsi="Times New Roman" w:eastAsia="Times New Roman" w:cs="Times New Roman"/>
        <w:spacing w:val="-2"/>
        <w:w w:val="99"/>
        <w:sz w:val="24"/>
        <w:szCs w:val="24"/>
      </w:rPr>
    </w:lvl>
    <w:lvl w:ilvl="2">
      <w:start w:val="1"/>
      <w:numFmt w:val="decimal"/>
      <w:lvlText w:val="%1.%2.%3."/>
      <w:lvlJc w:val="left"/>
      <w:pPr>
        <w:ind w:left="668" w:hanging="567"/>
        <w:jc w:val="left"/>
      </w:pPr>
      <w:rPr>
        <w:rFonts w:hint="default" w:ascii="Times New Roman" w:hAnsi="Times New Roman" w:eastAsia="Times New Roman" w:cs="Times New Roman"/>
        <w:w w:val="100"/>
        <w:sz w:val="24"/>
        <w:szCs w:val="24"/>
      </w:rPr>
    </w:lvl>
    <w:lvl w:ilvl="3">
      <w:start w:val="1"/>
      <w:numFmt w:val="bullet"/>
      <w:lvlText w:val="•"/>
      <w:lvlJc w:val="left"/>
      <w:pPr>
        <w:ind w:left="3180" w:hanging="567"/>
      </w:pPr>
      <w:rPr>
        <w:rFonts w:hint="default"/>
      </w:rPr>
    </w:lvl>
    <w:lvl w:ilvl="4">
      <w:start w:val="1"/>
      <w:numFmt w:val="bullet"/>
      <w:lvlText w:val="•"/>
      <w:lvlJc w:val="left"/>
      <w:pPr>
        <w:ind w:left="4020" w:hanging="567"/>
      </w:pPr>
      <w:rPr>
        <w:rFonts w:hint="default"/>
      </w:rPr>
    </w:lvl>
    <w:lvl w:ilvl="5">
      <w:start w:val="1"/>
      <w:numFmt w:val="bullet"/>
      <w:lvlText w:val="•"/>
      <w:lvlJc w:val="left"/>
      <w:pPr>
        <w:ind w:left="4860" w:hanging="567"/>
      </w:pPr>
      <w:rPr>
        <w:rFonts w:hint="default"/>
      </w:rPr>
    </w:lvl>
    <w:lvl w:ilvl="6">
      <w:start w:val="1"/>
      <w:numFmt w:val="bullet"/>
      <w:lvlText w:val="•"/>
      <w:lvlJc w:val="left"/>
      <w:pPr>
        <w:ind w:left="5700" w:hanging="567"/>
      </w:pPr>
      <w:rPr>
        <w:rFonts w:hint="default"/>
      </w:rPr>
    </w:lvl>
    <w:lvl w:ilvl="7">
      <w:start w:val="1"/>
      <w:numFmt w:val="bullet"/>
      <w:lvlText w:val="•"/>
      <w:lvlJc w:val="left"/>
      <w:pPr>
        <w:ind w:left="6540" w:hanging="567"/>
      </w:pPr>
      <w:rPr>
        <w:rFonts w:hint="default"/>
      </w:rPr>
    </w:lvl>
    <w:lvl w:ilvl="8">
      <w:start w:val="1"/>
      <w:numFmt w:val="bullet"/>
      <w:lvlText w:val="•"/>
      <w:lvlJc w:val="left"/>
      <w:pPr>
        <w:ind w:left="7380" w:hanging="567"/>
      </w:pPr>
      <w:rPr>
        <w:rFonts w:hint="default"/>
      </w:rPr>
    </w:lvl>
  </w:abstractNum>
  <w:abstractNum w:abstractNumId="12">
    <w:multiLevelType w:val="hybridMultilevel"/>
    <w:lvl w:ilvl="0">
      <w:start w:val="6"/>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340" w:hanging="567"/>
      </w:pPr>
      <w:rPr>
        <w:rFonts w:hint="default"/>
      </w:rPr>
    </w:lvl>
    <w:lvl w:ilvl="3">
      <w:start w:val="1"/>
      <w:numFmt w:val="bullet"/>
      <w:lvlText w:val="•"/>
      <w:lvlJc w:val="left"/>
      <w:pPr>
        <w:ind w:left="3180" w:hanging="567"/>
      </w:pPr>
      <w:rPr>
        <w:rFonts w:hint="default"/>
      </w:rPr>
    </w:lvl>
    <w:lvl w:ilvl="4">
      <w:start w:val="1"/>
      <w:numFmt w:val="bullet"/>
      <w:lvlText w:val="•"/>
      <w:lvlJc w:val="left"/>
      <w:pPr>
        <w:ind w:left="4020" w:hanging="567"/>
      </w:pPr>
      <w:rPr>
        <w:rFonts w:hint="default"/>
      </w:rPr>
    </w:lvl>
    <w:lvl w:ilvl="5">
      <w:start w:val="1"/>
      <w:numFmt w:val="bullet"/>
      <w:lvlText w:val="•"/>
      <w:lvlJc w:val="left"/>
      <w:pPr>
        <w:ind w:left="4860" w:hanging="567"/>
      </w:pPr>
      <w:rPr>
        <w:rFonts w:hint="default"/>
      </w:rPr>
    </w:lvl>
    <w:lvl w:ilvl="6">
      <w:start w:val="1"/>
      <w:numFmt w:val="bullet"/>
      <w:lvlText w:val="•"/>
      <w:lvlJc w:val="left"/>
      <w:pPr>
        <w:ind w:left="5700" w:hanging="567"/>
      </w:pPr>
      <w:rPr>
        <w:rFonts w:hint="default"/>
      </w:rPr>
    </w:lvl>
    <w:lvl w:ilvl="7">
      <w:start w:val="1"/>
      <w:numFmt w:val="bullet"/>
      <w:lvlText w:val="•"/>
      <w:lvlJc w:val="left"/>
      <w:pPr>
        <w:ind w:left="6540" w:hanging="567"/>
      </w:pPr>
      <w:rPr>
        <w:rFonts w:hint="default"/>
      </w:rPr>
    </w:lvl>
    <w:lvl w:ilvl="8">
      <w:start w:val="1"/>
      <w:numFmt w:val="bullet"/>
      <w:lvlText w:val="•"/>
      <w:lvlJc w:val="left"/>
      <w:pPr>
        <w:ind w:left="7380" w:hanging="567"/>
      </w:pPr>
      <w:rPr>
        <w:rFonts w:hint="default"/>
      </w:rPr>
    </w:lvl>
  </w:abstractNum>
  <w:abstractNum w:abstractNumId="11">
    <w:multiLevelType w:val="hybridMultilevel"/>
    <w:lvl w:ilvl="0">
      <w:start w:val="5"/>
      <w:numFmt w:val="decimal"/>
      <w:lvlText w:val="%1"/>
      <w:lvlJc w:val="left"/>
      <w:pPr>
        <w:ind w:left="522" w:hanging="420"/>
        <w:jc w:val="left"/>
      </w:pPr>
      <w:rPr>
        <w:rFonts w:hint="default"/>
      </w:rPr>
    </w:lvl>
    <w:lvl w:ilvl="1">
      <w:start w:val="5"/>
      <w:numFmt w:val="decimal"/>
      <w:lvlText w:val="%1.%2."/>
      <w:lvlJc w:val="left"/>
      <w:pPr>
        <w:ind w:left="522" w:hanging="420"/>
        <w:jc w:val="left"/>
      </w:pPr>
      <w:rPr>
        <w:rFonts w:hint="default" w:ascii="Times New Roman" w:hAnsi="Times New Roman" w:eastAsia="Times New Roman" w:cs="Times New Roman"/>
        <w:w w:val="99"/>
        <w:sz w:val="24"/>
        <w:szCs w:val="24"/>
      </w:rPr>
    </w:lvl>
    <w:lvl w:ilvl="2">
      <w:start w:val="1"/>
      <w:numFmt w:val="bullet"/>
      <w:lvlText w:val="•"/>
      <w:lvlJc w:val="left"/>
      <w:pPr>
        <w:ind w:left="2228" w:hanging="420"/>
      </w:pPr>
      <w:rPr>
        <w:rFonts w:hint="default"/>
      </w:rPr>
    </w:lvl>
    <w:lvl w:ilvl="3">
      <w:start w:val="1"/>
      <w:numFmt w:val="bullet"/>
      <w:lvlText w:val="•"/>
      <w:lvlJc w:val="left"/>
      <w:pPr>
        <w:ind w:left="3082" w:hanging="420"/>
      </w:pPr>
      <w:rPr>
        <w:rFonts w:hint="default"/>
      </w:rPr>
    </w:lvl>
    <w:lvl w:ilvl="4">
      <w:start w:val="1"/>
      <w:numFmt w:val="bullet"/>
      <w:lvlText w:val="•"/>
      <w:lvlJc w:val="left"/>
      <w:pPr>
        <w:ind w:left="3936" w:hanging="420"/>
      </w:pPr>
      <w:rPr>
        <w:rFonts w:hint="default"/>
      </w:rPr>
    </w:lvl>
    <w:lvl w:ilvl="5">
      <w:start w:val="1"/>
      <w:numFmt w:val="bullet"/>
      <w:lvlText w:val="•"/>
      <w:lvlJc w:val="left"/>
      <w:pPr>
        <w:ind w:left="4790" w:hanging="420"/>
      </w:pPr>
      <w:rPr>
        <w:rFonts w:hint="default"/>
      </w:rPr>
    </w:lvl>
    <w:lvl w:ilvl="6">
      <w:start w:val="1"/>
      <w:numFmt w:val="bullet"/>
      <w:lvlText w:val="•"/>
      <w:lvlJc w:val="left"/>
      <w:pPr>
        <w:ind w:left="5644" w:hanging="420"/>
      </w:pPr>
      <w:rPr>
        <w:rFonts w:hint="default"/>
      </w:rPr>
    </w:lvl>
    <w:lvl w:ilvl="7">
      <w:start w:val="1"/>
      <w:numFmt w:val="bullet"/>
      <w:lvlText w:val="•"/>
      <w:lvlJc w:val="left"/>
      <w:pPr>
        <w:ind w:left="6498" w:hanging="420"/>
      </w:pPr>
      <w:rPr>
        <w:rFonts w:hint="default"/>
      </w:rPr>
    </w:lvl>
    <w:lvl w:ilvl="8">
      <w:start w:val="1"/>
      <w:numFmt w:val="bullet"/>
      <w:lvlText w:val="•"/>
      <w:lvlJc w:val="left"/>
      <w:pPr>
        <w:ind w:left="7352" w:hanging="420"/>
      </w:pPr>
      <w:rPr>
        <w:rFonts w:hint="default"/>
      </w:rPr>
    </w:lvl>
  </w:abstractNum>
  <w:abstractNum w:abstractNumId="10">
    <w:multiLevelType w:val="hybridMultilevel"/>
    <w:lvl w:ilvl="0">
      <w:start w:val="5"/>
      <w:numFmt w:val="decimal"/>
      <w:lvlText w:val="%1"/>
      <w:lvlJc w:val="left"/>
      <w:pPr>
        <w:ind w:left="522" w:hanging="420"/>
        <w:jc w:val="left"/>
      </w:pPr>
      <w:rPr>
        <w:rFonts w:hint="default"/>
      </w:rPr>
    </w:lvl>
    <w:lvl w:ilvl="1">
      <w:start w:val="2"/>
      <w:numFmt w:val="decimal"/>
      <w:lvlText w:val="%1.%2."/>
      <w:lvlJc w:val="left"/>
      <w:pPr>
        <w:ind w:left="522" w:hanging="420"/>
        <w:jc w:val="left"/>
      </w:pPr>
      <w:rPr>
        <w:rFonts w:hint="default" w:ascii="Times New Roman" w:hAnsi="Times New Roman" w:eastAsia="Times New Roman" w:cs="Times New Roman"/>
        <w:spacing w:val="-2"/>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9">
    <w:multiLevelType w:val="hybridMultilevel"/>
    <w:lvl w:ilvl="0">
      <w:start w:val="5"/>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spacing w:val="-3"/>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spacing w:val="-1"/>
        <w:w w:val="99"/>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8">
    <w:multiLevelType w:val="hybridMultilevel"/>
    <w:lvl w:ilvl="0">
      <w:start w:val="4"/>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spacing w:val="-2"/>
        <w:w w:val="99"/>
        <w:sz w:val="24"/>
        <w:szCs w:val="24"/>
      </w:rPr>
    </w:lvl>
    <w:lvl w:ilvl="2">
      <w:start w:val="1"/>
      <w:numFmt w:val="decimal"/>
      <w:lvlText w:val="%1.%2.%3."/>
      <w:lvlJc w:val="left"/>
      <w:pPr>
        <w:ind w:left="704" w:hanging="603"/>
        <w:jc w:val="left"/>
      </w:pPr>
      <w:rPr>
        <w:rFonts w:hint="default" w:ascii="Times New Roman" w:hAnsi="Times New Roman" w:eastAsia="Times New Roman" w:cs="Times New Roman"/>
        <w:w w:val="100"/>
        <w:sz w:val="24"/>
        <w:szCs w:val="24"/>
      </w:rPr>
    </w:lvl>
    <w:lvl w:ilvl="3">
      <w:start w:val="1"/>
      <w:numFmt w:val="bullet"/>
      <w:lvlText w:val="•"/>
      <w:lvlJc w:val="left"/>
      <w:pPr>
        <w:ind w:left="2557" w:hanging="603"/>
      </w:pPr>
      <w:rPr>
        <w:rFonts w:hint="default"/>
      </w:rPr>
    </w:lvl>
    <w:lvl w:ilvl="4">
      <w:start w:val="1"/>
      <w:numFmt w:val="bullet"/>
      <w:lvlText w:val="•"/>
      <w:lvlJc w:val="left"/>
      <w:pPr>
        <w:ind w:left="3486" w:hanging="603"/>
      </w:pPr>
      <w:rPr>
        <w:rFonts w:hint="default"/>
      </w:rPr>
    </w:lvl>
    <w:lvl w:ilvl="5">
      <w:start w:val="1"/>
      <w:numFmt w:val="bullet"/>
      <w:lvlText w:val="•"/>
      <w:lvlJc w:val="left"/>
      <w:pPr>
        <w:ind w:left="4415" w:hanging="603"/>
      </w:pPr>
      <w:rPr>
        <w:rFonts w:hint="default"/>
      </w:rPr>
    </w:lvl>
    <w:lvl w:ilvl="6">
      <w:start w:val="1"/>
      <w:numFmt w:val="bullet"/>
      <w:lvlText w:val="•"/>
      <w:lvlJc w:val="left"/>
      <w:pPr>
        <w:ind w:left="5344" w:hanging="603"/>
      </w:pPr>
      <w:rPr>
        <w:rFonts w:hint="default"/>
      </w:rPr>
    </w:lvl>
    <w:lvl w:ilvl="7">
      <w:start w:val="1"/>
      <w:numFmt w:val="bullet"/>
      <w:lvlText w:val="•"/>
      <w:lvlJc w:val="left"/>
      <w:pPr>
        <w:ind w:left="6273" w:hanging="603"/>
      </w:pPr>
      <w:rPr>
        <w:rFonts w:hint="default"/>
      </w:rPr>
    </w:lvl>
    <w:lvl w:ilvl="8">
      <w:start w:val="1"/>
      <w:numFmt w:val="bullet"/>
      <w:lvlText w:val="•"/>
      <w:lvlJc w:val="left"/>
      <w:pPr>
        <w:ind w:left="7202" w:hanging="603"/>
      </w:pPr>
      <w:rPr>
        <w:rFonts w:hint="default"/>
      </w:rPr>
    </w:lvl>
  </w:abstractNum>
  <w:abstractNum w:abstractNumId="7">
    <w:multiLevelType w:val="hybridMultilevel"/>
    <w:lvl w:ilvl="0">
      <w:start w:val="3"/>
      <w:numFmt w:val="decimal"/>
      <w:lvlText w:val="%1"/>
      <w:lvlJc w:val="left"/>
      <w:pPr>
        <w:ind w:left="522" w:hanging="420"/>
        <w:jc w:val="left"/>
      </w:pPr>
      <w:rPr>
        <w:rFonts w:hint="default"/>
      </w:rPr>
    </w:lvl>
    <w:lvl w:ilvl="1">
      <w:start w:val="6"/>
      <w:numFmt w:val="decimal"/>
      <w:lvlText w:val="%1.%2."/>
      <w:lvlJc w:val="left"/>
      <w:pPr>
        <w:ind w:left="522" w:hanging="420"/>
        <w:jc w:val="left"/>
      </w:pPr>
      <w:rPr>
        <w:rFonts w:hint="default" w:ascii="Times New Roman" w:hAnsi="Times New Roman" w:eastAsia="Times New Roman" w:cs="Times New Roman"/>
        <w:spacing w:val="-3"/>
        <w:w w:val="99"/>
        <w:sz w:val="24"/>
        <w:szCs w:val="24"/>
      </w:rPr>
    </w:lvl>
    <w:lvl w:ilvl="2">
      <w:start w:val="1"/>
      <w:numFmt w:val="bullet"/>
      <w:lvlText w:val="•"/>
      <w:lvlJc w:val="left"/>
      <w:pPr>
        <w:ind w:left="2228" w:hanging="420"/>
      </w:pPr>
      <w:rPr>
        <w:rFonts w:hint="default"/>
      </w:rPr>
    </w:lvl>
    <w:lvl w:ilvl="3">
      <w:start w:val="1"/>
      <w:numFmt w:val="bullet"/>
      <w:lvlText w:val="•"/>
      <w:lvlJc w:val="left"/>
      <w:pPr>
        <w:ind w:left="3082" w:hanging="420"/>
      </w:pPr>
      <w:rPr>
        <w:rFonts w:hint="default"/>
      </w:rPr>
    </w:lvl>
    <w:lvl w:ilvl="4">
      <w:start w:val="1"/>
      <w:numFmt w:val="bullet"/>
      <w:lvlText w:val="•"/>
      <w:lvlJc w:val="left"/>
      <w:pPr>
        <w:ind w:left="3936" w:hanging="420"/>
      </w:pPr>
      <w:rPr>
        <w:rFonts w:hint="default"/>
      </w:rPr>
    </w:lvl>
    <w:lvl w:ilvl="5">
      <w:start w:val="1"/>
      <w:numFmt w:val="bullet"/>
      <w:lvlText w:val="•"/>
      <w:lvlJc w:val="left"/>
      <w:pPr>
        <w:ind w:left="4790" w:hanging="420"/>
      </w:pPr>
      <w:rPr>
        <w:rFonts w:hint="default"/>
      </w:rPr>
    </w:lvl>
    <w:lvl w:ilvl="6">
      <w:start w:val="1"/>
      <w:numFmt w:val="bullet"/>
      <w:lvlText w:val="•"/>
      <w:lvlJc w:val="left"/>
      <w:pPr>
        <w:ind w:left="5644" w:hanging="420"/>
      </w:pPr>
      <w:rPr>
        <w:rFonts w:hint="default"/>
      </w:rPr>
    </w:lvl>
    <w:lvl w:ilvl="7">
      <w:start w:val="1"/>
      <w:numFmt w:val="bullet"/>
      <w:lvlText w:val="•"/>
      <w:lvlJc w:val="left"/>
      <w:pPr>
        <w:ind w:left="6498" w:hanging="420"/>
      </w:pPr>
      <w:rPr>
        <w:rFonts w:hint="default"/>
      </w:rPr>
    </w:lvl>
    <w:lvl w:ilvl="8">
      <w:start w:val="1"/>
      <w:numFmt w:val="bullet"/>
      <w:lvlText w:val="•"/>
      <w:lvlJc w:val="left"/>
      <w:pPr>
        <w:ind w:left="7352" w:hanging="420"/>
      </w:pPr>
      <w:rPr>
        <w:rFonts w:hint="default"/>
      </w:rPr>
    </w:lvl>
  </w:abstractNum>
  <w:abstractNum w:abstractNumId="6">
    <w:multiLevelType w:val="hybridMultilevel"/>
    <w:lvl w:ilvl="0">
      <w:start w:val="3"/>
      <w:numFmt w:val="decimal"/>
      <w:lvlText w:val="%1"/>
      <w:lvlJc w:val="left"/>
      <w:pPr>
        <w:ind w:left="522" w:hanging="420"/>
        <w:jc w:val="left"/>
      </w:pPr>
      <w:rPr>
        <w:rFonts w:hint="default"/>
      </w:rPr>
    </w:lvl>
    <w:lvl w:ilvl="1">
      <w:start w:val="5"/>
      <w:numFmt w:val="decimal"/>
      <w:lvlText w:val="%1.%2."/>
      <w:lvlJc w:val="left"/>
      <w:pPr>
        <w:ind w:left="522" w:hanging="420"/>
        <w:jc w:val="left"/>
      </w:pPr>
      <w:rPr>
        <w:rFonts w:hint="default" w:ascii="Times New Roman" w:hAnsi="Times New Roman" w:eastAsia="Times New Roman" w:cs="Times New Roman"/>
        <w:spacing w:val="-3"/>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5">
    <w:multiLevelType w:val="hybridMultilevel"/>
    <w:lvl w:ilvl="0">
      <w:start w:val="3"/>
      <w:numFmt w:val="decimal"/>
      <w:lvlText w:val="%1"/>
      <w:lvlJc w:val="left"/>
      <w:pPr>
        <w:ind w:left="522" w:hanging="420"/>
        <w:jc w:val="left"/>
      </w:pPr>
      <w:rPr>
        <w:rFonts w:hint="default"/>
      </w:rPr>
    </w:lvl>
    <w:lvl w:ilvl="1">
      <w:start w:val="4"/>
      <w:numFmt w:val="decimal"/>
      <w:lvlText w:val="%1.%2."/>
      <w:lvlJc w:val="left"/>
      <w:pPr>
        <w:ind w:left="522" w:hanging="420"/>
        <w:jc w:val="left"/>
      </w:pPr>
      <w:rPr>
        <w:rFonts w:hint="default" w:ascii="Times New Roman" w:hAnsi="Times New Roman" w:eastAsia="Times New Roman" w:cs="Times New Roman"/>
        <w:spacing w:val="-3"/>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4">
    <w:multiLevelType w:val="hybridMultilevel"/>
    <w:lvl w:ilvl="0">
      <w:start w:val="3"/>
      <w:numFmt w:val="decimal"/>
      <w:lvlText w:val="%1"/>
      <w:lvlJc w:val="left"/>
      <w:pPr>
        <w:ind w:left="524" w:hanging="423"/>
        <w:jc w:val="left"/>
      </w:pPr>
      <w:rPr>
        <w:rFonts w:hint="default"/>
      </w:rPr>
    </w:lvl>
    <w:lvl w:ilvl="1">
      <w:start w:val="1"/>
      <w:numFmt w:val="decimal"/>
      <w:lvlText w:val="%1.%2."/>
      <w:lvlJc w:val="left"/>
      <w:pPr>
        <w:ind w:left="524" w:hanging="423"/>
        <w:jc w:val="left"/>
      </w:pPr>
      <w:rPr>
        <w:rFonts w:hint="default" w:ascii="Times New Roman" w:hAnsi="Times New Roman" w:eastAsia="Times New Roman" w:cs="Times New Roman"/>
        <w:w w:val="100"/>
        <w:sz w:val="24"/>
        <w:szCs w:val="24"/>
      </w:rPr>
    </w:lvl>
    <w:lvl w:ilvl="2">
      <w:start w:val="1"/>
      <w:numFmt w:val="decimal"/>
      <w:lvlText w:val="%1.%2.%3."/>
      <w:lvlJc w:val="left"/>
      <w:pPr>
        <w:ind w:left="702" w:hanging="600"/>
        <w:jc w:val="left"/>
      </w:pPr>
      <w:rPr>
        <w:rFonts w:hint="default" w:ascii="Times New Roman" w:hAnsi="Times New Roman" w:eastAsia="Times New Roman" w:cs="Times New Roman"/>
        <w:spacing w:val="-5"/>
        <w:w w:val="99"/>
        <w:sz w:val="24"/>
        <w:szCs w:val="24"/>
      </w:rPr>
    </w:lvl>
    <w:lvl w:ilvl="3">
      <w:start w:val="1"/>
      <w:numFmt w:val="decimal"/>
      <w:lvlText w:val="%1.%2.%3.%4."/>
      <w:lvlJc w:val="left"/>
      <w:pPr>
        <w:ind w:left="882" w:hanging="780"/>
        <w:jc w:val="left"/>
      </w:pPr>
      <w:rPr>
        <w:rFonts w:hint="default" w:ascii="Times New Roman" w:hAnsi="Times New Roman" w:eastAsia="Times New Roman" w:cs="Times New Roman"/>
        <w:spacing w:val="-2"/>
        <w:w w:val="99"/>
        <w:sz w:val="24"/>
        <w:szCs w:val="24"/>
      </w:rPr>
    </w:lvl>
    <w:lvl w:ilvl="4">
      <w:start w:val="1"/>
      <w:numFmt w:val="bullet"/>
      <w:lvlText w:val="•"/>
      <w:lvlJc w:val="left"/>
      <w:pPr>
        <w:ind w:left="2925" w:hanging="780"/>
      </w:pPr>
      <w:rPr>
        <w:rFonts w:hint="default"/>
      </w:rPr>
    </w:lvl>
    <w:lvl w:ilvl="5">
      <w:start w:val="1"/>
      <w:numFmt w:val="bullet"/>
      <w:lvlText w:val="•"/>
      <w:lvlJc w:val="left"/>
      <w:pPr>
        <w:ind w:left="3947" w:hanging="780"/>
      </w:pPr>
      <w:rPr>
        <w:rFonts w:hint="default"/>
      </w:rPr>
    </w:lvl>
    <w:lvl w:ilvl="6">
      <w:start w:val="1"/>
      <w:numFmt w:val="bullet"/>
      <w:lvlText w:val="•"/>
      <w:lvlJc w:val="left"/>
      <w:pPr>
        <w:ind w:left="4970" w:hanging="780"/>
      </w:pPr>
      <w:rPr>
        <w:rFonts w:hint="default"/>
      </w:rPr>
    </w:lvl>
    <w:lvl w:ilvl="7">
      <w:start w:val="1"/>
      <w:numFmt w:val="bullet"/>
      <w:lvlText w:val="•"/>
      <w:lvlJc w:val="left"/>
      <w:pPr>
        <w:ind w:left="5992" w:hanging="780"/>
      </w:pPr>
      <w:rPr>
        <w:rFonts w:hint="default"/>
      </w:rPr>
    </w:lvl>
    <w:lvl w:ilvl="8">
      <w:start w:val="1"/>
      <w:numFmt w:val="bullet"/>
      <w:lvlText w:val="•"/>
      <w:lvlJc w:val="left"/>
      <w:pPr>
        <w:ind w:left="7015" w:hanging="780"/>
      </w:pPr>
      <w:rPr>
        <w:rFonts w:hint="default"/>
      </w:rPr>
    </w:lvl>
  </w:abstractNum>
  <w:abstractNum w:abstractNumId="3">
    <w:multiLevelType w:val="hybridMultilevel"/>
    <w:lvl w:ilvl="0">
      <w:start w:val="2"/>
      <w:numFmt w:val="decimal"/>
      <w:lvlText w:val="%1"/>
      <w:lvlJc w:val="left"/>
      <w:pPr>
        <w:ind w:left="102" w:hanging="420"/>
        <w:jc w:val="left"/>
      </w:pPr>
      <w:rPr>
        <w:rFonts w:hint="default"/>
      </w:rPr>
    </w:lvl>
    <w:lvl w:ilvl="1">
      <w:start w:val="2"/>
      <w:numFmt w:val="decimal"/>
      <w:lvlText w:val="%1.%2."/>
      <w:lvlJc w:val="left"/>
      <w:pPr>
        <w:ind w:left="102" w:hanging="420"/>
        <w:jc w:val="left"/>
      </w:pPr>
      <w:rPr>
        <w:rFonts w:hint="default" w:ascii="Times New Roman" w:hAnsi="Times New Roman" w:eastAsia="Times New Roman" w:cs="Times New Roman"/>
        <w:spacing w:val="-1"/>
        <w:w w:val="100"/>
        <w:sz w:val="24"/>
        <w:szCs w:val="24"/>
      </w:rPr>
    </w:lvl>
    <w:lvl w:ilvl="2">
      <w:start w:val="1"/>
      <w:numFmt w:val="bullet"/>
      <w:lvlText w:val="•"/>
      <w:lvlJc w:val="left"/>
      <w:pPr>
        <w:ind w:left="1892" w:hanging="420"/>
      </w:pPr>
      <w:rPr>
        <w:rFonts w:hint="default"/>
      </w:rPr>
    </w:lvl>
    <w:lvl w:ilvl="3">
      <w:start w:val="1"/>
      <w:numFmt w:val="bullet"/>
      <w:lvlText w:val="•"/>
      <w:lvlJc w:val="left"/>
      <w:pPr>
        <w:ind w:left="2788" w:hanging="420"/>
      </w:pPr>
      <w:rPr>
        <w:rFonts w:hint="default"/>
      </w:rPr>
    </w:lvl>
    <w:lvl w:ilvl="4">
      <w:start w:val="1"/>
      <w:numFmt w:val="bullet"/>
      <w:lvlText w:val="•"/>
      <w:lvlJc w:val="left"/>
      <w:pPr>
        <w:ind w:left="3684" w:hanging="420"/>
      </w:pPr>
      <w:rPr>
        <w:rFonts w:hint="default"/>
      </w:rPr>
    </w:lvl>
    <w:lvl w:ilvl="5">
      <w:start w:val="1"/>
      <w:numFmt w:val="bullet"/>
      <w:lvlText w:val="•"/>
      <w:lvlJc w:val="left"/>
      <w:pPr>
        <w:ind w:left="4580" w:hanging="420"/>
      </w:pPr>
      <w:rPr>
        <w:rFonts w:hint="default"/>
      </w:rPr>
    </w:lvl>
    <w:lvl w:ilvl="6">
      <w:start w:val="1"/>
      <w:numFmt w:val="bullet"/>
      <w:lvlText w:val="•"/>
      <w:lvlJc w:val="left"/>
      <w:pPr>
        <w:ind w:left="5476" w:hanging="420"/>
      </w:pPr>
      <w:rPr>
        <w:rFonts w:hint="default"/>
      </w:rPr>
    </w:lvl>
    <w:lvl w:ilvl="7">
      <w:start w:val="1"/>
      <w:numFmt w:val="bullet"/>
      <w:lvlText w:val="•"/>
      <w:lvlJc w:val="left"/>
      <w:pPr>
        <w:ind w:left="6372" w:hanging="420"/>
      </w:pPr>
      <w:rPr>
        <w:rFonts w:hint="default"/>
      </w:rPr>
    </w:lvl>
    <w:lvl w:ilvl="8">
      <w:start w:val="1"/>
      <w:numFmt w:val="bullet"/>
      <w:lvlText w:val="•"/>
      <w:lvlJc w:val="left"/>
      <w:pPr>
        <w:ind w:left="7268" w:hanging="420"/>
      </w:pPr>
      <w:rPr>
        <w:rFonts w:hint="default"/>
      </w:rPr>
    </w:lvl>
  </w:abstractNum>
  <w:abstractNum w:abstractNumId="2">
    <w:multiLevelType w:val="hybridMultilevel"/>
    <w:lvl w:ilvl="0">
      <w:start w:val="2"/>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Times New Roman" w:hAnsi="Times New Roman" w:eastAsia="Times New Roman" w:cs="Times New Roman"/>
        <w:spacing w:val="-2"/>
        <w:w w:val="99"/>
        <w:sz w:val="24"/>
        <w:szCs w:val="24"/>
      </w:rPr>
    </w:lvl>
    <w:lvl w:ilvl="2">
      <w:start w:val="1"/>
      <w:numFmt w:val="decimal"/>
      <w:lvlText w:val="%1.%2.%3."/>
      <w:lvlJc w:val="left"/>
      <w:pPr>
        <w:ind w:left="668" w:hanging="567"/>
        <w:jc w:val="left"/>
      </w:pPr>
      <w:rPr>
        <w:rFonts w:hint="default" w:ascii="Times New Roman" w:hAnsi="Times New Roman" w:eastAsia="Times New Roman" w:cs="Times New Roman"/>
        <w:w w:val="100"/>
        <w:sz w:val="24"/>
        <w:szCs w:val="24"/>
      </w:rPr>
    </w:lvl>
    <w:lvl w:ilvl="3">
      <w:start w:val="1"/>
      <w:numFmt w:val="decimal"/>
      <w:lvlText w:val="%1.%2.%3.%4."/>
      <w:lvlJc w:val="left"/>
      <w:pPr>
        <w:ind w:left="942" w:hanging="840"/>
        <w:jc w:val="left"/>
      </w:pPr>
      <w:rPr>
        <w:rFonts w:hint="default" w:ascii="Times New Roman" w:hAnsi="Times New Roman" w:eastAsia="Times New Roman" w:cs="Times New Roman"/>
        <w:spacing w:val="-2"/>
        <w:w w:val="100"/>
        <w:sz w:val="24"/>
        <w:szCs w:val="24"/>
      </w:rPr>
    </w:lvl>
    <w:lvl w:ilvl="4">
      <w:start w:val="1"/>
      <w:numFmt w:val="bullet"/>
      <w:lvlText w:val="•"/>
      <w:lvlJc w:val="left"/>
      <w:pPr>
        <w:ind w:left="3646" w:hanging="840"/>
      </w:pPr>
      <w:rPr>
        <w:rFonts w:hint="default"/>
      </w:rPr>
    </w:lvl>
    <w:lvl w:ilvl="5">
      <w:start w:val="1"/>
      <w:numFmt w:val="bullet"/>
      <w:lvlText w:val="•"/>
      <w:lvlJc w:val="left"/>
      <w:pPr>
        <w:ind w:left="4548" w:hanging="840"/>
      </w:pPr>
      <w:rPr>
        <w:rFonts w:hint="default"/>
      </w:rPr>
    </w:lvl>
    <w:lvl w:ilvl="6">
      <w:start w:val="1"/>
      <w:numFmt w:val="bullet"/>
      <w:lvlText w:val="•"/>
      <w:lvlJc w:val="left"/>
      <w:pPr>
        <w:ind w:left="5451" w:hanging="840"/>
      </w:pPr>
      <w:rPr>
        <w:rFonts w:hint="default"/>
      </w:rPr>
    </w:lvl>
    <w:lvl w:ilvl="7">
      <w:start w:val="1"/>
      <w:numFmt w:val="bullet"/>
      <w:lvlText w:val="•"/>
      <w:lvlJc w:val="left"/>
      <w:pPr>
        <w:ind w:left="6353" w:hanging="840"/>
      </w:pPr>
      <w:rPr>
        <w:rFonts w:hint="default"/>
      </w:rPr>
    </w:lvl>
    <w:lvl w:ilvl="8">
      <w:start w:val="1"/>
      <w:numFmt w:val="bullet"/>
      <w:lvlText w:val="•"/>
      <w:lvlJc w:val="left"/>
      <w:pPr>
        <w:ind w:left="7255" w:hanging="840"/>
      </w:pPr>
      <w:rPr>
        <w:rFonts w:hint="default"/>
      </w:rPr>
    </w:lvl>
  </w:abstractNum>
  <w:abstractNum w:abstractNumId="1">
    <w:multiLevelType w:val="hybridMultilevel"/>
    <w:lvl w:ilvl="0">
      <w:start w:val="1"/>
      <w:numFmt w:val="decimal"/>
      <w:lvlText w:val="%1"/>
      <w:lvlJc w:val="left"/>
      <w:pPr>
        <w:ind w:left="582" w:hanging="480"/>
        <w:jc w:val="left"/>
      </w:pPr>
      <w:rPr>
        <w:rFonts w:hint="default"/>
      </w:rPr>
    </w:lvl>
    <w:lvl w:ilvl="1">
      <w:start w:val="3"/>
      <w:numFmt w:val="decimal"/>
      <w:lvlText w:val="%1.%2."/>
      <w:lvlJc w:val="left"/>
      <w:pPr>
        <w:ind w:left="582" w:hanging="480"/>
        <w:jc w:val="left"/>
      </w:pPr>
      <w:rPr>
        <w:rFonts w:hint="default" w:ascii="Times New Roman" w:hAnsi="Times New Roman" w:eastAsia="Times New Roman" w:cs="Times New Roman"/>
        <w:spacing w:val="-2"/>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0">
    <w:multiLevelType w:val="hybridMultilevel"/>
    <w:lvl w:ilvl="0">
      <w:start w:val="1"/>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Times New Roman" w:hAnsi="Times New Roman" w:eastAsia="Times New Roman" w:cs="Times New Roman"/>
        <w:spacing w:val="-2"/>
        <w:w w:val="100"/>
        <w:sz w:val="24"/>
        <w:szCs w:val="24"/>
      </w:rPr>
    </w:lvl>
    <w:lvl w:ilvl="2">
      <w:start w:val="1"/>
      <w:numFmt w:val="decimal"/>
      <w:lvlText w:val="%1.%2.%3."/>
      <w:lvlJc w:val="left"/>
      <w:pPr>
        <w:ind w:left="668" w:hanging="567"/>
        <w:jc w:val="left"/>
      </w:pPr>
      <w:rPr>
        <w:rFonts w:hint="default" w:ascii="Times New Roman" w:hAnsi="Times New Roman" w:eastAsia="Times New Roman" w:cs="Times New Roman"/>
        <w:w w:val="100"/>
        <w:sz w:val="24"/>
        <w:szCs w:val="24"/>
      </w:rPr>
    </w:lvl>
    <w:lvl w:ilvl="3">
      <w:start w:val="1"/>
      <w:numFmt w:val="bullet"/>
      <w:lvlText w:val="•"/>
      <w:lvlJc w:val="left"/>
      <w:pPr>
        <w:ind w:left="2526" w:hanging="567"/>
      </w:pPr>
      <w:rPr>
        <w:rFonts w:hint="default"/>
      </w:rPr>
    </w:lvl>
    <w:lvl w:ilvl="4">
      <w:start w:val="1"/>
      <w:numFmt w:val="bullet"/>
      <w:lvlText w:val="•"/>
      <w:lvlJc w:val="left"/>
      <w:pPr>
        <w:ind w:left="3460" w:hanging="567"/>
      </w:pPr>
      <w:rPr>
        <w:rFonts w:hint="default"/>
      </w:rPr>
    </w:lvl>
    <w:lvl w:ilvl="5">
      <w:start w:val="1"/>
      <w:numFmt w:val="bullet"/>
      <w:lvlText w:val="•"/>
      <w:lvlJc w:val="left"/>
      <w:pPr>
        <w:ind w:left="4393" w:hanging="567"/>
      </w:pPr>
      <w:rPr>
        <w:rFonts w:hint="default"/>
      </w:rPr>
    </w:lvl>
    <w:lvl w:ilvl="6">
      <w:start w:val="1"/>
      <w:numFmt w:val="bullet"/>
      <w:lvlText w:val="•"/>
      <w:lvlJc w:val="left"/>
      <w:pPr>
        <w:ind w:left="5326" w:hanging="567"/>
      </w:pPr>
      <w:rPr>
        <w:rFonts w:hint="default"/>
      </w:rPr>
    </w:lvl>
    <w:lvl w:ilvl="7">
      <w:start w:val="1"/>
      <w:numFmt w:val="bullet"/>
      <w:lvlText w:val="•"/>
      <w:lvlJc w:val="left"/>
      <w:pPr>
        <w:ind w:left="6260" w:hanging="567"/>
      </w:pPr>
      <w:rPr>
        <w:rFonts w:hint="default"/>
      </w:rPr>
    </w:lvl>
    <w:lvl w:ilvl="8">
      <w:start w:val="1"/>
      <w:numFmt w:val="bullet"/>
      <w:lvlText w:val="•"/>
      <w:lvlJc w:val="left"/>
      <w:pPr>
        <w:ind w:left="7193" w:hanging="567"/>
      </w:pPr>
      <w:rPr>
        <w:rFonts w:hint="default"/>
      </w:rPr>
    </w:lvl>
  </w:abstractNum>
  <w:num w:numId="80">
    <w:abstractNumId w:val="79"/>
  </w:num>
  <w:num w:numId="39">
    <w:abstractNumId w:val="38"/>
  </w:num>
  <w:num w:numId="83">
    <w:abstractNumId w:val="82"/>
  </w:num>
  <w:num w:numId="82">
    <w:abstractNumId w:val="81"/>
  </w:num>
  <w:num w:numId="81">
    <w:abstractNumId w:val="80"/>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41"/>
      <w:ind w:left="102"/>
    </w:pPr>
    <w:rPr>
      <w:rFonts w:ascii="Times New Roman" w:hAnsi="Times New Roman" w:eastAsia="Times New Roman" w:cs="Times New Roman"/>
      <w:sz w:val="24"/>
      <w:szCs w:val="24"/>
    </w:rPr>
  </w:style>
  <w:style w:styleId="TOC2" w:type="paragraph">
    <w:name w:val="TOC 2"/>
    <w:basedOn w:val="Normal"/>
    <w:uiPriority w:val="1"/>
    <w:qFormat/>
    <w:pPr>
      <w:spacing w:before="146"/>
      <w:ind w:left="102"/>
    </w:pPr>
    <w:rPr>
      <w:rFonts w:ascii="Times New Roman" w:hAnsi="Times New Roman" w:eastAsia="Times New Roman" w:cs="Times New Roman"/>
      <w:sz w:val="22"/>
      <w:szCs w:val="22"/>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28"/>
      <w:ind w:left="1606" w:right="115"/>
      <w:jc w:val="center"/>
      <w:outlineLvl w:val="1"/>
    </w:pPr>
    <w:rPr>
      <w:rFonts w:ascii="Times New Roman" w:hAnsi="Times New Roman" w:eastAsia="Times New Roman" w:cs="Times New Roman"/>
      <w:b/>
      <w:bCs/>
      <w:sz w:val="36"/>
      <w:szCs w:val="36"/>
    </w:rPr>
  </w:style>
  <w:style w:styleId="Heading2" w:type="paragraph">
    <w:name w:val="Heading 2"/>
    <w:basedOn w:val="Normal"/>
    <w:uiPriority w:val="1"/>
    <w:qFormat/>
    <w:pPr>
      <w:spacing w:line="305" w:lineRule="exact"/>
      <w:ind w:left="1084" w:right="1552"/>
      <w:outlineLvl w:val="2"/>
    </w:pPr>
    <w:rPr>
      <w:rFonts w:ascii="Times New Roman" w:hAnsi="Times New Roman" w:eastAsia="Times New Roman" w:cs="Times New Roman"/>
      <w:b/>
      <w:bCs/>
      <w:sz w:val="28"/>
      <w:szCs w:val="28"/>
    </w:rPr>
  </w:style>
  <w:style w:styleId="Heading3" w:type="paragraph">
    <w:name w:val="Heading 3"/>
    <w:basedOn w:val="Normal"/>
    <w:uiPriority w:val="1"/>
    <w:qFormat/>
    <w:pPr>
      <w:spacing w:before="55"/>
      <w:jc w:val="both"/>
      <w:outlineLvl w:val="3"/>
    </w:pPr>
    <w:rPr>
      <w:rFonts w:ascii="Times New Roman" w:hAnsi="Times New Roman" w:eastAsia="Times New Roman" w:cs="Times New Roman"/>
      <w:b/>
      <w:bCs/>
      <w:sz w:val="24"/>
      <w:szCs w:val="24"/>
    </w:rPr>
  </w:style>
  <w:style w:styleId="Heading4" w:type="paragraph">
    <w:name w:val="Heading 4"/>
    <w:basedOn w:val="Normal"/>
    <w:uiPriority w:val="1"/>
    <w:qFormat/>
    <w:pPr>
      <w:ind w:left="382" w:hanging="280"/>
      <w:outlineLvl w:val="4"/>
    </w:pPr>
    <w:rPr>
      <w:rFonts w:ascii="Times New Roman" w:hAnsi="Times New Roman" w:eastAsia="Times New Roman" w:cs="Times New Roman"/>
      <w:b/>
      <w:bCs/>
      <w:i/>
      <w:sz w:val="24"/>
      <w:szCs w:val="24"/>
    </w:rPr>
  </w:style>
  <w:style w:styleId="ListParagraph" w:type="paragraph">
    <w:name w:val="List Paragraph"/>
    <w:basedOn w:val="Normal"/>
    <w:uiPriority w:val="1"/>
    <w:qFormat/>
    <w:pPr>
      <w:spacing w:before="141"/>
      <w:ind w:left="822" w:hanging="360"/>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image" Target="media/image4.png"/><Relationship Id="rId16" Type="http://schemas.openxmlformats.org/officeDocument/2006/relationships/image" Target="media/image5.png"/><Relationship Id="rId17" Type="http://schemas.openxmlformats.org/officeDocument/2006/relationships/footer" Target="footer8.xml"/><Relationship Id="rId18" Type="http://schemas.openxmlformats.org/officeDocument/2006/relationships/footer" Target="footer9.xml"/><Relationship Id="rId19" Type="http://schemas.openxmlformats.org/officeDocument/2006/relationships/footer" Target="footer10.xml"/><Relationship Id="rId20" Type="http://schemas.openxmlformats.org/officeDocument/2006/relationships/footer" Target="footer11.xml"/><Relationship Id="rId21" Type="http://schemas.openxmlformats.org/officeDocument/2006/relationships/image" Target="media/image6.png"/><Relationship Id="rId22" Type="http://schemas.openxmlformats.org/officeDocument/2006/relationships/image" Target="media/image7.png"/><Relationship Id="rId23" Type="http://schemas.openxmlformats.org/officeDocument/2006/relationships/image" Target="media/image8.png"/><Relationship Id="rId24" Type="http://schemas.openxmlformats.org/officeDocument/2006/relationships/image" Target="media/image9.png"/><Relationship Id="rId25" Type="http://schemas.openxmlformats.org/officeDocument/2006/relationships/image" Target="media/image10.png"/><Relationship Id="rId26" Type="http://schemas.openxmlformats.org/officeDocument/2006/relationships/image" Target="media/image11.png"/><Relationship Id="rId27" Type="http://schemas.openxmlformats.org/officeDocument/2006/relationships/image" Target="media/image12.png"/><Relationship Id="rId28" Type="http://schemas.openxmlformats.org/officeDocument/2006/relationships/image" Target="media/image13.png"/><Relationship Id="rId29" Type="http://schemas.openxmlformats.org/officeDocument/2006/relationships/image" Target="media/image14.png"/><Relationship Id="rId30" Type="http://schemas.openxmlformats.org/officeDocument/2006/relationships/image" Target="media/image15.png"/><Relationship Id="rId31" Type="http://schemas.openxmlformats.org/officeDocument/2006/relationships/image" Target="media/image16.png"/><Relationship Id="rId32" Type="http://schemas.openxmlformats.org/officeDocument/2006/relationships/image" Target="media/image17.png"/><Relationship Id="rId33" Type="http://schemas.openxmlformats.org/officeDocument/2006/relationships/image" Target="media/image18.png"/><Relationship Id="rId34" Type="http://schemas.openxmlformats.org/officeDocument/2006/relationships/image" Target="media/image19.png"/><Relationship Id="rId35" Type="http://schemas.openxmlformats.org/officeDocument/2006/relationships/footer" Target="footer12.xml"/><Relationship Id="rId36" Type="http://schemas.openxmlformats.org/officeDocument/2006/relationships/footer" Target="footer13.xml"/><Relationship Id="rId37" Type="http://schemas.openxmlformats.org/officeDocument/2006/relationships/footer" Target="footer14.xml"/><Relationship Id="rId38" Type="http://schemas.openxmlformats.org/officeDocument/2006/relationships/footer" Target="footer15.xml"/><Relationship Id="rId39" Type="http://schemas.openxmlformats.org/officeDocument/2006/relationships/image" Target="media/image20.png"/><Relationship Id="rId40" Type="http://schemas.openxmlformats.org/officeDocument/2006/relationships/footer" Target="footer16.xml"/><Relationship Id="rId41" Type="http://schemas.openxmlformats.org/officeDocument/2006/relationships/footer" Target="footer17.xml"/><Relationship Id="rId42" Type="http://schemas.openxmlformats.org/officeDocument/2006/relationships/image" Target="media/image21.png"/><Relationship Id="rId43" Type="http://schemas.openxmlformats.org/officeDocument/2006/relationships/image" Target="media/image22.png"/><Relationship Id="rId44" Type="http://schemas.openxmlformats.org/officeDocument/2006/relationships/image" Target="media/image23.png"/><Relationship Id="rId45" Type="http://schemas.openxmlformats.org/officeDocument/2006/relationships/image" Target="media/image24.png"/><Relationship Id="rId46" Type="http://schemas.openxmlformats.org/officeDocument/2006/relationships/image" Target="media/image25.png"/><Relationship Id="rId47" Type="http://schemas.openxmlformats.org/officeDocument/2006/relationships/image" Target="media/image26.png"/><Relationship Id="rId48" Type="http://schemas.openxmlformats.org/officeDocument/2006/relationships/footer" Target="footer18.xml"/><Relationship Id="rId49" Type="http://schemas.openxmlformats.org/officeDocument/2006/relationships/footer" Target="footer19.xml"/><Relationship Id="rId50" Type="http://schemas.openxmlformats.org/officeDocument/2006/relationships/footer" Target="footer20.xml"/><Relationship Id="rId51" Type="http://schemas.openxmlformats.org/officeDocument/2006/relationships/footer" Target="footer21.xml"/><Relationship Id="rId52" Type="http://schemas.openxmlformats.org/officeDocument/2006/relationships/image" Target="media/image27.png"/><Relationship Id="rId53" Type="http://schemas.openxmlformats.org/officeDocument/2006/relationships/image" Target="media/image28.png"/><Relationship Id="rId54" Type="http://schemas.openxmlformats.org/officeDocument/2006/relationships/image" Target="media/image29.png"/><Relationship Id="rId55" Type="http://schemas.openxmlformats.org/officeDocument/2006/relationships/image" Target="media/image30.png"/><Relationship Id="rId56" Type="http://schemas.openxmlformats.org/officeDocument/2006/relationships/footer" Target="footer22.xml"/><Relationship Id="rId57" Type="http://schemas.openxmlformats.org/officeDocument/2006/relationships/footer" Target="footer23.xml"/><Relationship Id="rId58" Type="http://schemas.openxmlformats.org/officeDocument/2006/relationships/footer" Target="footer24.xml"/><Relationship Id="rId59" Type="http://schemas.openxmlformats.org/officeDocument/2006/relationships/footer" Target="footer25.xml"/><Relationship Id="rId60" Type="http://schemas.openxmlformats.org/officeDocument/2006/relationships/footer" Target="footer26.xml"/><Relationship Id="rId61" Type="http://schemas.openxmlformats.org/officeDocument/2006/relationships/footer" Target="footer27.xml"/><Relationship Id="rId62" Type="http://schemas.openxmlformats.org/officeDocument/2006/relationships/image" Target="media/image31.jpeg"/><Relationship Id="rId63" Type="http://schemas.openxmlformats.org/officeDocument/2006/relationships/image" Target="media/image32.jpeg"/><Relationship Id="rId64" Type="http://schemas.openxmlformats.org/officeDocument/2006/relationships/image" Target="media/image33.jpeg"/><Relationship Id="rId65" Type="http://schemas.openxmlformats.org/officeDocument/2006/relationships/footer" Target="footer28.xml"/><Relationship Id="rId66" Type="http://schemas.openxmlformats.org/officeDocument/2006/relationships/footer" Target="footer29.xml"/><Relationship Id="rId67" Type="http://schemas.openxmlformats.org/officeDocument/2006/relationships/image" Target="media/image34.jpeg"/><Relationship Id="rId68" Type="http://schemas.openxmlformats.org/officeDocument/2006/relationships/image" Target="media/image35.jpeg"/><Relationship Id="rId69" Type="http://schemas.openxmlformats.org/officeDocument/2006/relationships/footer" Target="footer30.xml"/><Relationship Id="rId70" Type="http://schemas.openxmlformats.org/officeDocument/2006/relationships/footer" Target="footer31.xml"/><Relationship Id="rId71" Type="http://schemas.openxmlformats.org/officeDocument/2006/relationships/image" Target="media/image36.jpeg"/><Relationship Id="rId72" Type="http://schemas.openxmlformats.org/officeDocument/2006/relationships/image" Target="media/image37.png"/><Relationship Id="rId73" Type="http://schemas.openxmlformats.org/officeDocument/2006/relationships/image" Target="media/image38.png"/><Relationship Id="rId74" Type="http://schemas.openxmlformats.org/officeDocument/2006/relationships/footer" Target="footer32.xml"/><Relationship Id="rId75" Type="http://schemas.openxmlformats.org/officeDocument/2006/relationships/image" Target="media/image39.jpeg"/><Relationship Id="rId76" Type="http://schemas.openxmlformats.org/officeDocument/2006/relationships/image" Target="media/image40.png"/><Relationship Id="rId77" Type="http://schemas.openxmlformats.org/officeDocument/2006/relationships/image" Target="media/image41.png"/><Relationship Id="rId78" Type="http://schemas.openxmlformats.org/officeDocument/2006/relationships/image" Target="media/image42.png"/><Relationship Id="rId79" Type="http://schemas.openxmlformats.org/officeDocument/2006/relationships/image" Target="media/image43.png"/><Relationship Id="rId80" Type="http://schemas.openxmlformats.org/officeDocument/2006/relationships/image" Target="media/image44.png"/><Relationship Id="rId81" Type="http://schemas.openxmlformats.org/officeDocument/2006/relationships/image" Target="media/image45.png"/><Relationship Id="rId82" Type="http://schemas.openxmlformats.org/officeDocument/2006/relationships/image" Target="media/image46.png"/><Relationship Id="rId83" Type="http://schemas.openxmlformats.org/officeDocument/2006/relationships/image" Target="media/image47.png"/><Relationship Id="rId84" Type="http://schemas.openxmlformats.org/officeDocument/2006/relationships/image" Target="media/image48.png"/><Relationship Id="rId85" Type="http://schemas.openxmlformats.org/officeDocument/2006/relationships/image" Target="media/image49.png"/><Relationship Id="rId86" Type="http://schemas.openxmlformats.org/officeDocument/2006/relationships/image" Target="media/image50.png"/><Relationship Id="rId87" Type="http://schemas.openxmlformats.org/officeDocument/2006/relationships/image" Target="media/image51.png"/><Relationship Id="rId88" Type="http://schemas.openxmlformats.org/officeDocument/2006/relationships/image" Target="media/image52.png"/><Relationship Id="rId89" Type="http://schemas.openxmlformats.org/officeDocument/2006/relationships/image" Target="media/image53.png"/><Relationship Id="rId90" Type="http://schemas.openxmlformats.org/officeDocument/2006/relationships/image" Target="media/image54.png"/><Relationship Id="rId91" Type="http://schemas.openxmlformats.org/officeDocument/2006/relationships/image" Target="media/image55.png"/><Relationship Id="rId92" Type="http://schemas.openxmlformats.org/officeDocument/2006/relationships/image" Target="media/image56.png"/><Relationship Id="rId93" Type="http://schemas.openxmlformats.org/officeDocument/2006/relationships/image" Target="media/image57.png"/><Relationship Id="rId94" Type="http://schemas.openxmlformats.org/officeDocument/2006/relationships/image" Target="media/image58.png"/><Relationship Id="rId95" Type="http://schemas.openxmlformats.org/officeDocument/2006/relationships/image" Target="media/image59.png"/><Relationship Id="rId96" Type="http://schemas.openxmlformats.org/officeDocument/2006/relationships/image" Target="media/image60.png"/><Relationship Id="rId97" Type="http://schemas.openxmlformats.org/officeDocument/2006/relationships/footer" Target="footer33.xml"/><Relationship Id="rId98" Type="http://schemas.openxmlformats.org/officeDocument/2006/relationships/image" Target="media/image61.png"/><Relationship Id="rId99" Type="http://schemas.openxmlformats.org/officeDocument/2006/relationships/image" Target="media/image62.png"/><Relationship Id="rId100" Type="http://schemas.openxmlformats.org/officeDocument/2006/relationships/image" Target="media/image63.png"/><Relationship Id="rId101" Type="http://schemas.openxmlformats.org/officeDocument/2006/relationships/image" Target="media/image64.png"/><Relationship Id="rId102" Type="http://schemas.openxmlformats.org/officeDocument/2006/relationships/image" Target="media/image65.png"/><Relationship Id="rId103" Type="http://schemas.openxmlformats.org/officeDocument/2006/relationships/footer" Target="footer34.xml"/><Relationship Id="rId104" Type="http://schemas.openxmlformats.org/officeDocument/2006/relationships/image" Target="media/image66.png"/><Relationship Id="rId105" Type="http://schemas.openxmlformats.org/officeDocument/2006/relationships/image" Target="media/image67.png"/><Relationship Id="rId106" Type="http://schemas.openxmlformats.org/officeDocument/2006/relationships/image" Target="media/image68.png"/><Relationship Id="rId107" Type="http://schemas.openxmlformats.org/officeDocument/2006/relationships/image" Target="media/image69.png"/><Relationship Id="rId108" Type="http://schemas.openxmlformats.org/officeDocument/2006/relationships/image" Target="media/image70.png"/><Relationship Id="rId109" Type="http://schemas.openxmlformats.org/officeDocument/2006/relationships/image" Target="media/image71.png"/><Relationship Id="rId110" Type="http://schemas.openxmlformats.org/officeDocument/2006/relationships/image" Target="media/image72.png"/><Relationship Id="rId111" Type="http://schemas.openxmlformats.org/officeDocument/2006/relationships/image" Target="media/image73.png"/><Relationship Id="rId112" Type="http://schemas.openxmlformats.org/officeDocument/2006/relationships/image" Target="media/image74.png"/><Relationship Id="rId113" Type="http://schemas.openxmlformats.org/officeDocument/2006/relationships/image" Target="media/image75.png"/><Relationship Id="rId114" Type="http://schemas.openxmlformats.org/officeDocument/2006/relationships/image" Target="media/image76.png"/><Relationship Id="rId115" Type="http://schemas.openxmlformats.org/officeDocument/2006/relationships/image" Target="media/image77.png"/><Relationship Id="rId116" Type="http://schemas.openxmlformats.org/officeDocument/2006/relationships/footer" Target="footer35.xml"/><Relationship Id="rId117" Type="http://schemas.openxmlformats.org/officeDocument/2006/relationships/image" Target="media/image78.png"/><Relationship Id="rId118" Type="http://schemas.openxmlformats.org/officeDocument/2006/relationships/footer" Target="footer36.xml"/><Relationship Id="rId119" Type="http://schemas.openxmlformats.org/officeDocument/2006/relationships/image" Target="media/image79.jpeg"/><Relationship Id="rId120" Type="http://schemas.openxmlformats.org/officeDocument/2006/relationships/footer" Target="footer37.xml"/><Relationship Id="rId121" Type="http://schemas.openxmlformats.org/officeDocument/2006/relationships/image" Target="media/image80.jpeg"/><Relationship Id="rId122" Type="http://schemas.openxmlformats.org/officeDocument/2006/relationships/image" Target="media/image81.jpeg"/><Relationship Id="rId123" Type="http://schemas.openxmlformats.org/officeDocument/2006/relationships/image" Target="media/image82.png"/><Relationship Id="rId124" Type="http://schemas.openxmlformats.org/officeDocument/2006/relationships/image" Target="media/image83.jpeg"/><Relationship Id="rId125" Type="http://schemas.openxmlformats.org/officeDocument/2006/relationships/image" Target="media/image84.png"/><Relationship Id="rId126" Type="http://schemas.openxmlformats.org/officeDocument/2006/relationships/image" Target="media/image85.jpeg"/><Relationship Id="rId127" Type="http://schemas.openxmlformats.org/officeDocument/2006/relationships/image" Target="media/image86.jpeg"/><Relationship Id="rId128" Type="http://schemas.openxmlformats.org/officeDocument/2006/relationships/image" Target="media/image87.jpeg"/><Relationship Id="rId129" Type="http://schemas.openxmlformats.org/officeDocument/2006/relationships/image" Target="media/image88.jpeg"/><Relationship Id="rId130" Type="http://schemas.openxmlformats.org/officeDocument/2006/relationships/image" Target="media/image89.jpeg"/><Relationship Id="rId131" Type="http://schemas.openxmlformats.org/officeDocument/2006/relationships/image" Target="media/image90.jpeg"/><Relationship Id="rId132" Type="http://schemas.openxmlformats.org/officeDocument/2006/relationships/footer" Target="footer38.xml"/><Relationship Id="rId133" Type="http://schemas.openxmlformats.org/officeDocument/2006/relationships/image" Target="media/image91.jpeg"/><Relationship Id="rId134" Type="http://schemas.openxmlformats.org/officeDocument/2006/relationships/image" Target="media/image92.jpeg"/><Relationship Id="rId135" Type="http://schemas.openxmlformats.org/officeDocument/2006/relationships/footer" Target="footer39.xml"/><Relationship Id="rId136" Type="http://schemas.openxmlformats.org/officeDocument/2006/relationships/image" Target="media/image93.png"/><Relationship Id="rId137" Type="http://schemas.openxmlformats.org/officeDocument/2006/relationships/image" Target="media/image94.png"/><Relationship Id="rId138" Type="http://schemas.openxmlformats.org/officeDocument/2006/relationships/footer" Target="footer40.xml"/><Relationship Id="rId139" Type="http://schemas.openxmlformats.org/officeDocument/2006/relationships/footer" Target="footer41.xml"/><Relationship Id="rId140" Type="http://schemas.openxmlformats.org/officeDocument/2006/relationships/hyperlink" Target="http://redie.uabc.mx/vol6no1/contenido-enriquez.html" TargetMode="External"/><Relationship Id="rId141" Type="http://schemas.openxmlformats.org/officeDocument/2006/relationships/hyperlink" Target="http://201.161.2.34/la_anuies/diries/" TargetMode="External"/><Relationship Id="rId142" Type="http://schemas.openxmlformats.org/officeDocument/2006/relationships/hyperlink" Target="http://www.banxico.gob.mx/publicaciones-y-discursos/publicaciones/informes-periodicos/anual/%7BB7834043-430B-E9E7-290E-0B57366C0D67%7D.pdf" TargetMode="External"/><Relationship Id="rId143" Type="http://schemas.openxmlformats.org/officeDocument/2006/relationships/hyperlink" Target="http://www.banxico.org.mx/SieInternet/consultarDirectorioInternetAction.do?accion=consultar%20CuadroAnalitico&amp;amp;idCuadro=CA126&amp;amp;sector=12&amp;amp;locale=es" TargetMode="External"/><Relationship Id="rId144" Type="http://schemas.openxmlformats.org/officeDocument/2006/relationships/hyperlink" Target="http://redie.uabc.mx/vol7no2/contenido-campos.html" TargetMode="External"/><Relationship Id="rId145" Type="http://schemas.openxmlformats.org/officeDocument/2006/relationships/hyperlink" Target="http://www.canacintra-digital.com.mx/home/index.php?option=com_content&amp;amp;view=article&amp;amp;id=335&amp;amp;Itemid=152" TargetMode="External"/><Relationship Id="rId146" Type="http://schemas.openxmlformats.org/officeDocument/2006/relationships/hyperlink" Target="http://www.cedefop.europa.eu/EN/Index.aspx" TargetMode="External"/><Relationship Id="rId147" Type="http://schemas.openxmlformats.org/officeDocument/2006/relationships/hyperlink" Target="http://www.cei.gov.ar/node/27" TargetMode="External"/><Relationship Id="rId148" Type="http://schemas.openxmlformats.org/officeDocument/2006/relationships/hyperlink" Target="http://www.ceneval.edu.mx/" TargetMode="External"/><Relationship Id="rId149" Type="http://schemas.openxmlformats.org/officeDocument/2006/relationships/hyperlink" Target="http://www.eclac.org/cgi-" TargetMode="External"/><Relationship Id="rId150" Type="http://schemas.openxmlformats.org/officeDocument/2006/relationships/hyperlink" Target="http://qacontent.edomex.gob.mx/coespo/numeralia/poblaciontotal/index.htm" TargetMode="External"/><Relationship Id="rId151" Type="http://schemas.openxmlformats.org/officeDocument/2006/relationships/hyperlink" Target="http://www.copaes.org.mx/FINAL/inicio.php" TargetMode="External"/><Relationship Id="rId152" Type="http://schemas.openxmlformats.org/officeDocument/2006/relationships/hyperlink" Target="https://conacyt.mx/" TargetMode="External"/><Relationship Id="rId153" Type="http://schemas.openxmlformats.org/officeDocument/2006/relationships/hyperlink" Target="http://www.fcm.uncu.edu.ar/joomla/index.php/home/acreditacion" TargetMode="External"/><Relationship Id="rId154" Type="http://schemas.openxmlformats.org/officeDocument/2006/relationships/hyperlink" Target="http://cuentame.inegi.org.mx/economia/default.aspx?tema=E" TargetMode="External"/><Relationship Id="rId155" Type="http://schemas.openxmlformats.org/officeDocument/2006/relationships/hyperlink" Target="http://www.apartados.hacienda.gob.mx/" TargetMode="External"/><Relationship Id="rId156" Type="http://schemas.openxmlformats.org/officeDocument/2006/relationships/hyperlink" Target="http://www.diariocolatino.com/es/20051011/documentos/23041/%C2%BFQu%C3%A9-es-la-flexibilidad-del-mercado-de-trabajo.htm?tpl=69" TargetMode="External"/><Relationship Id="rId157" Type="http://schemas.openxmlformats.org/officeDocument/2006/relationships/hyperlink" Target="http://www.compite.org.mx/DOFNuevaEstratificacionDeLasPyMEs.htm" TargetMode="External"/><Relationship Id="rId158" Type="http://schemas.openxmlformats.org/officeDocument/2006/relationships/hyperlink" Target="http://www.dgpp.sep.gob.mx/estadistica.html" TargetMode="External"/><Relationship Id="rId159" Type="http://schemas.openxmlformats.org/officeDocument/2006/relationships/hyperlink" Target="http://www.mineducacion.gov.co/1621/article-217744.html" TargetMode="External"/><Relationship Id="rId160" Type="http://schemas.openxmlformats.org/officeDocument/2006/relationships/hyperlink" Target="http://eleconomista.com.mx/finanzas-publicas/2011/01/06/pib-habria-crecido-54-cierre" TargetMode="External"/><Relationship Id="rId161" Type="http://schemas.openxmlformats.org/officeDocument/2006/relationships/hyperlink" Target="http://eleconomista.com.mx/industrias/2012/09/30/profesionistas-grueso-desempleo-estatal" TargetMode="External"/><Relationship Id="rId162" Type="http://schemas.openxmlformats.org/officeDocument/2006/relationships/hyperlink" Target="http://www.inegi.org.mx/est/contenidos/proyectos/encuestas/hogares/regulares/enoe/default.aspx" TargetMode="External"/><Relationship Id="rId163" Type="http://schemas.openxmlformats.org/officeDocument/2006/relationships/hyperlink" Target="http://epp.eurostat.ec.europa.eu/statistics_explained/index.php?title=File%3ATasas_de_empleo_por_grupos_de_edad_y_sexo._y_m%C3%A1ximo_nivel_de_estudios_alcanzado._tercer_trimestre_de_2010_%28%25%29_es.PNG&amp;amp;filetimestamp=20111005124701" TargetMode="External"/><Relationship Id="rId164" Type="http://schemas.openxmlformats.org/officeDocument/2006/relationships/hyperlink" Target="http://www.fimpes.org.mx/" TargetMode="External"/><Relationship Id="rId165" Type="http://schemas.openxmlformats.org/officeDocument/2006/relationships/hyperlink" Target="http://www.gbmarketingcr.net/diccionario.html" TargetMode="External"/><Relationship Id="rId166" Type="http://schemas.openxmlformats.org/officeDocument/2006/relationships/hyperlink" Target="http://www.indexmundi.com/g/g.aspx?c=mx&amp;amp;v=65&amp;amp;l=es" TargetMode="External"/><Relationship Id="rId167" Type="http://schemas.openxmlformats.org/officeDocument/2006/relationships/hyperlink" Target="http://www.uis.unesco.org/EDUCATION/Pages/international-standard-classification-of-education.aspx" TargetMode="External"/><Relationship Id="rId168" Type="http://schemas.openxmlformats.org/officeDocument/2006/relationships/hyperlink" Target="http://www.inea.gob.mx/" TargetMode="External"/><Relationship Id="rId169" Type="http://schemas.openxmlformats.org/officeDocument/2006/relationships/hyperlink" Target="http://www.inegi.org.mx/sistemas/bie/cuadrosestadisticos/GeneraCuadro.aspx?s=est&amp;amp;nc=492&amp;amp;c=23920" TargetMode="External"/><Relationship Id="rId170" Type="http://schemas.openxmlformats.org/officeDocument/2006/relationships/hyperlink" Target="http://www.cronica.com.mx/notas/2003/45735.html" TargetMode="External"/><Relationship Id="rId171" Type="http://schemas.openxmlformats.org/officeDocument/2006/relationships/hyperlink" Target="http://liajorgge.wordpress.com/2010/12/01/segunda-carrera-maestria-seguir-o-no-seguir-estudiando/" TargetMode="External"/><Relationship Id="rId172" Type="http://schemas.openxmlformats.org/officeDocument/2006/relationships/hyperlink" Target="http://www.leydesdorff.net/" TargetMode="External"/><Relationship Id="rId173" Type="http://schemas.openxmlformats.org/officeDocument/2006/relationships/hyperlink" Target="http://sexenio20002006.blogspot.mx/2007/11/educacin.html" TargetMode="External"/><Relationship Id="rId174" Type="http://schemas.openxmlformats.org/officeDocument/2006/relationships/hyperlink" Target="http://it.kaizen.com/fileadmin/DATA/kaizen_it/Documents/Publications/Business%20Week%20Toyota%27s%20Lost%20Its%20Quality%20Edge.pdf" TargetMode="External"/><Relationship Id="rId175" Type="http://schemas.openxmlformats.org/officeDocument/2006/relationships/hyperlink" Target="http://www.unne.edu.ar/cyt/2002/09-Educacion/D-027.pdf" TargetMode="External"/><Relationship Id="rId176" Type="http://schemas.openxmlformats.org/officeDocument/2006/relationships/hyperlink" Target="http://redie.uabc.mx/vol3no1/contenido-mungaray.html" TargetMode="External"/><Relationship Id="rId177" Type="http://schemas.openxmlformats.org/officeDocument/2006/relationships/hyperlink" Target="http://www.oecd-ilibrary.org/employment/oecd-employment-outlook-2012_empl_outlook-2012-en" TargetMode="External"/><Relationship Id="rId178" Type="http://schemas.openxmlformats.org/officeDocument/2006/relationships/hyperlink" Target="http://www.ilo.org/global/lang--es/index.htm" TargetMode="External"/><Relationship Id="rId179" Type="http://schemas.openxmlformats.org/officeDocument/2006/relationships/hyperlink" Target="http://bibliotecadigital.conevyt.org.mx/" TargetMode="External"/><Relationship Id="rId180" Type="http://schemas.openxmlformats.org/officeDocument/2006/relationships/hyperlink" Target="http://pnd.presidencia.gob.mx/" TargetMode="External"/><Relationship Id="rId181" Type="http://schemas.openxmlformats.org/officeDocument/2006/relationships/hyperlink" Target="http://www.empleo.gob.mx/es_mx/empleo/tendencias__de_empleo_de_las_carreras_profesi" TargetMode="External"/><Relationship Id="rId182" Type="http://schemas.openxmlformats.org/officeDocument/2006/relationships/hyperlink" Target="http://portal2.edomex.gob.mx/edomex/estado/geografiayestadistica/regiones/index.htm" TargetMode="External"/><Relationship Id="rId183" Type="http://schemas.openxmlformats.org/officeDocument/2006/relationships/hyperlink" Target="http://promep.sep.gob.mx/" TargetMode="External"/><Relationship Id="rId184" Type="http://schemas.openxmlformats.org/officeDocument/2006/relationships/hyperlink" Target="http://www.institutopyme.org/" TargetMode="External"/><Relationship Id="rId185" Type="http://schemas.openxmlformats.org/officeDocument/2006/relationships/hyperlink" Target="http://www.sep.gob.mx/" TargetMode="External"/><Relationship Id="rId186" Type="http://schemas.openxmlformats.org/officeDocument/2006/relationships/hyperlink" Target="http://www.sep.gob.mx/es/sep1/sep1_Estadisticas" TargetMode="External"/><Relationship Id="rId187" Type="http://schemas.openxmlformats.org/officeDocument/2006/relationships/hyperlink" Target="http://www.sep.gob.mx/es/sep1/educacion_por_niveles" TargetMode="External"/><Relationship Id="rId188" Type="http://schemas.openxmlformats.org/officeDocument/2006/relationships/hyperlink" Target="http://www.ses2.sep.gob.mx/cgi-bin/acronimos/sya.pl?busca=I" TargetMode="External"/><Relationship Id="rId189" Type="http://schemas.openxmlformats.org/officeDocument/2006/relationships/hyperlink" Target="http://www.vinculacion.ses.sep.gob.mx/" TargetMode="External"/><Relationship Id="rId190" Type="http://schemas.openxmlformats.org/officeDocument/2006/relationships/hyperlink" Target="http://www.sre.gob.mx/index.php/indicadores-economicos" TargetMode="External"/><Relationship Id="rId191" Type="http://schemas.openxmlformats.org/officeDocument/2006/relationships/hyperlink" Target="http://www.stps.gob.mx/bp/index.html" TargetMode="External"/><Relationship Id="rId192" Type="http://schemas.openxmlformats.org/officeDocument/2006/relationships/hyperlink" Target="http://es.thefreedictionary.com/incremento" TargetMode="External"/><Relationship Id="rId193" Type="http://schemas.openxmlformats.org/officeDocument/2006/relationships/hyperlink" Target="http://www.tuempresa.gob.mx/portal/comun/publico/file.do?llave=glosario" TargetMode="External"/><Relationship Id="rId194" Type="http://schemas.openxmlformats.org/officeDocument/2006/relationships/hyperlink" Target="http://portal.unesco.org/en/ev.php-URL_ID%3D11707%26URL_DO%3DDO_TOPIC%26URL_SECTION%3D201.html" TargetMode="External"/><Relationship Id="rId195" Type="http://schemas.openxmlformats.org/officeDocument/2006/relationships/hyperlink" Target="http://www.unesco.org/new/es/unesco/networks/" TargetMode="External"/><Relationship Id="rId196" Type="http://schemas.openxmlformats.org/officeDocument/2006/relationships/hyperlink" Target="http://www.uaemex.mx/SEyV/home%20historia.html" TargetMode="External"/><Relationship Id="rId197" Type="http://schemas.openxmlformats.org/officeDocument/2006/relationships/hyperlink" Target="http://www.uaemex.mx/feconomia/" TargetMode="External"/><Relationship Id="rId198" Type="http://schemas.openxmlformats.org/officeDocument/2006/relationships/hyperlink" Target="http://www.expansion.com/diccionario-economico/crecimiento-economico.html" TargetMode="External"/><Relationship Id="rId199" Type="http://schemas.openxmlformats.org/officeDocument/2006/relationships/image" Target="media/image95.png"/><Relationship Id="rId200" Type="http://schemas.openxmlformats.org/officeDocument/2006/relationships/image" Target="media/image96.png"/><Relationship Id="rId201" Type="http://schemas.openxmlformats.org/officeDocument/2006/relationships/image" Target="media/image97.png"/><Relationship Id="rId202" Type="http://schemas.openxmlformats.org/officeDocument/2006/relationships/image" Target="media/image98.png"/><Relationship Id="rId203" Type="http://schemas.openxmlformats.org/officeDocument/2006/relationships/image" Target="media/image99.png"/><Relationship Id="rId204" Type="http://schemas.openxmlformats.org/officeDocument/2006/relationships/image" Target="media/image100.png"/><Relationship Id="rId205" Type="http://schemas.openxmlformats.org/officeDocument/2006/relationships/image" Target="media/image101.png"/><Relationship Id="rId206" Type="http://schemas.openxmlformats.org/officeDocument/2006/relationships/image" Target="media/image102.png"/><Relationship Id="rId207" Type="http://schemas.openxmlformats.org/officeDocument/2006/relationships/image" Target="media/image103.png"/><Relationship Id="rId208" Type="http://schemas.openxmlformats.org/officeDocument/2006/relationships/image" Target="media/image104.png"/><Relationship Id="rId209" Type="http://schemas.openxmlformats.org/officeDocument/2006/relationships/image" Target="media/image105.png"/><Relationship Id="rId210" Type="http://schemas.openxmlformats.org/officeDocument/2006/relationships/image" Target="media/image106.png"/><Relationship Id="rId211" Type="http://schemas.openxmlformats.org/officeDocument/2006/relationships/image" Target="media/image107.png"/><Relationship Id="rId212" Type="http://schemas.openxmlformats.org/officeDocument/2006/relationships/image" Target="media/image108.png"/><Relationship Id="rId213" Type="http://schemas.openxmlformats.org/officeDocument/2006/relationships/image" Target="media/image109.png"/><Relationship Id="rId214" Type="http://schemas.openxmlformats.org/officeDocument/2006/relationships/footer" Target="footer42.xml"/><Relationship Id="rId215" Type="http://schemas.openxmlformats.org/officeDocument/2006/relationships/image" Target="media/image110.png"/><Relationship Id="rId216" Type="http://schemas.openxmlformats.org/officeDocument/2006/relationships/image" Target="media/image111.png"/><Relationship Id="rId217" Type="http://schemas.openxmlformats.org/officeDocument/2006/relationships/image" Target="media/image112.png"/><Relationship Id="rId218" Type="http://schemas.openxmlformats.org/officeDocument/2006/relationships/image" Target="media/image113.png"/><Relationship Id="rId219" Type="http://schemas.openxmlformats.org/officeDocument/2006/relationships/image" Target="media/image114.png"/><Relationship Id="rId220" Type="http://schemas.openxmlformats.org/officeDocument/2006/relationships/image" Target="media/image115.png"/><Relationship Id="rId221" Type="http://schemas.openxmlformats.org/officeDocument/2006/relationships/image" Target="media/image116.png"/><Relationship Id="rId222" Type="http://schemas.openxmlformats.org/officeDocument/2006/relationships/image" Target="media/image117.png"/><Relationship Id="rId223" Type="http://schemas.openxmlformats.org/officeDocument/2006/relationships/image" Target="media/image118.png"/><Relationship Id="rId224" Type="http://schemas.openxmlformats.org/officeDocument/2006/relationships/image" Target="media/image119.png"/><Relationship Id="rId225" Type="http://schemas.openxmlformats.org/officeDocument/2006/relationships/image" Target="media/image120.png"/><Relationship Id="rId226" Type="http://schemas.openxmlformats.org/officeDocument/2006/relationships/image" Target="media/image121.png"/><Relationship Id="rId227" Type="http://schemas.openxmlformats.org/officeDocument/2006/relationships/image" Target="media/image122.png"/><Relationship Id="rId228" Type="http://schemas.openxmlformats.org/officeDocument/2006/relationships/image" Target="media/image123.png"/><Relationship Id="rId229" Type="http://schemas.openxmlformats.org/officeDocument/2006/relationships/image" Target="media/image124.png"/><Relationship Id="rId230" Type="http://schemas.openxmlformats.org/officeDocument/2006/relationships/image" Target="media/image125.png"/><Relationship Id="rId231" Type="http://schemas.openxmlformats.org/officeDocument/2006/relationships/image" Target="media/image126.png"/><Relationship Id="rId232" Type="http://schemas.openxmlformats.org/officeDocument/2006/relationships/image" Target="media/image127.png"/><Relationship Id="rId233" Type="http://schemas.openxmlformats.org/officeDocument/2006/relationships/footer" Target="footer43.xml"/><Relationship Id="rId234" Type="http://schemas.openxmlformats.org/officeDocument/2006/relationships/image" Target="media/image128.jpeg"/><Relationship Id="rId235" Type="http://schemas.openxmlformats.org/officeDocument/2006/relationships/image" Target="media/image129.jpeg"/><Relationship Id="rId236" Type="http://schemas.openxmlformats.org/officeDocument/2006/relationships/image" Target="media/image130.png"/><Relationship Id="rId237" Type="http://schemas.openxmlformats.org/officeDocument/2006/relationships/image" Target="media/image131.png"/><Relationship Id="rId238" Type="http://schemas.openxmlformats.org/officeDocument/2006/relationships/footer" Target="footer44.xml"/><Relationship Id="rId239" Type="http://schemas.openxmlformats.org/officeDocument/2006/relationships/footer" Target="footer45.xml"/><Relationship Id="rId240" Type="http://schemas.openxmlformats.org/officeDocument/2006/relationships/footer" Target="footer46.xml"/><Relationship Id="rId24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Samsung</dc:creator>
  <dcterms:created xsi:type="dcterms:W3CDTF">2017-05-24T17:30:11Z</dcterms:created>
  <dcterms:modified xsi:type="dcterms:W3CDTF">2017-05-24T17:30:11Z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2016-06-29T00:00:00Z</vt:filetime>
  </property>
  <property fmtid="{D5CDD505-2E9C-101B-9397-08002B2CF9AE}" pid="3" name="Creator">
    <vt:lpwstr>Microsoft® Word 2010</vt:lpwstr>
  </property>
  <property fmtid="{D5CDD505-2E9C-101B-9397-08002B2CF9AE}" pid="4" name="LastSaved">
    <vt:filetime>2017-05-24T00:00:00Z</vt:filetime>
  </property>
</Properties>
</file>