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25"/>
        <w:rPr>
          <w:sz w:val="20"/>
        </w:rPr>
      </w:pPr>
      <w:r>
        <w:rPr>
          <w:sz w:val="20"/>
        </w:rPr>
        <w:drawing>
          <wp:inline distT="0" distB="0" distL="0" distR="0">
            <wp:extent cx="1211681" cy="1084706"/>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211681" cy="1084706"/>
                    </a:xfrm>
                    <a:prstGeom prst="rect">
                      <a:avLst/>
                    </a:prstGeom>
                  </pic:spPr>
                </pic:pic>
              </a:graphicData>
            </a:graphic>
          </wp:inline>
        </w:drawing>
      </w:r>
      <w:r>
        <w:rPr>
          <w:sz w:val="20"/>
        </w:rPr>
      </w:r>
    </w:p>
    <w:p>
      <w:pPr>
        <w:pStyle w:val="BodyText"/>
        <w:spacing w:before="8"/>
        <w:rPr>
          <w:sz w:val="21"/>
        </w:rPr>
      </w:pPr>
    </w:p>
    <w:p>
      <w:pPr>
        <w:spacing w:before="58"/>
        <w:ind w:left="2172" w:right="919" w:firstLine="0"/>
        <w:jc w:val="center"/>
        <w:rPr>
          <w:sz w:val="32"/>
        </w:rPr>
      </w:pPr>
      <w:r>
        <w:rPr/>
        <w:pict>
          <v:line style="position:absolute;mso-position-horizontal-relative:page;mso-position-vertical-relative:paragraph;z-index:1072" from="54.049999pt,-.392529pt" to="54.099999pt,244.107471pt" stroked="true" strokeweight=".75pt" strokecolor="#000000">
            <w10:wrap type="none"/>
          </v:line>
        </w:pict>
      </w:r>
      <w:r>
        <w:rPr/>
        <w:pict>
          <v:line style="position:absolute;mso-position-horizontal-relative:page;mso-position-vertical-relative:paragraph;z-index:1096" from="80.300003pt,-.392529pt" to="80.300003pt,244.107471pt" stroked="true" strokeweight=".75pt" strokecolor="#000000">
            <w10:wrap type="none"/>
          </v:line>
        </w:pict>
      </w:r>
      <w:r>
        <w:rPr>
          <w:sz w:val="32"/>
        </w:rPr>
        <w:t>Universidad Autónoma del Estado  de México</w:t>
      </w:r>
    </w:p>
    <w:p>
      <w:pPr>
        <w:pStyle w:val="BodyText"/>
        <w:rPr>
          <w:sz w:val="28"/>
        </w:rPr>
      </w:pPr>
    </w:p>
    <w:p>
      <w:pPr>
        <w:spacing w:line="360" w:lineRule="auto" w:before="0"/>
        <w:ind w:left="3296" w:right="2037" w:firstLine="0"/>
        <w:jc w:val="center"/>
        <w:rPr>
          <w:sz w:val="30"/>
        </w:rPr>
      </w:pPr>
      <w:r>
        <w:rPr>
          <w:sz w:val="30"/>
        </w:rPr>
        <w:t>Facultad de Contaduría y Administración Facultad de Economía</w:t>
      </w:r>
    </w:p>
    <w:p>
      <w:pPr>
        <w:pStyle w:val="BodyText"/>
        <w:spacing w:before="1"/>
        <w:rPr>
          <w:sz w:val="43"/>
        </w:rPr>
      </w:pPr>
    </w:p>
    <w:p>
      <w:pPr>
        <w:pStyle w:val="Heading1"/>
        <w:spacing w:before="1"/>
        <w:ind w:left="2179" w:right="919"/>
      </w:pPr>
      <w:r>
        <w:rPr>
          <w:color w:val="333333"/>
        </w:rPr>
        <w:t>Especialización y crecimiento manufacturero en las regiones Toluca-Lerma y Valle de México (1970-2008).</w:t>
      </w:r>
    </w:p>
    <w:p>
      <w:pPr>
        <w:spacing w:line="322" w:lineRule="exact" w:before="0"/>
        <w:ind w:left="2179" w:right="918" w:firstLine="0"/>
        <w:jc w:val="center"/>
        <w:rPr>
          <w:b/>
          <w:sz w:val="28"/>
        </w:rPr>
      </w:pPr>
      <w:r>
        <w:rPr>
          <w:b/>
          <w:color w:val="333333"/>
          <w:sz w:val="28"/>
        </w:rPr>
        <w:t>Un análisis comparativo</w:t>
      </w:r>
    </w:p>
    <w:p>
      <w:pPr>
        <w:pStyle w:val="BodyText"/>
        <w:rPr>
          <w:b/>
          <w:sz w:val="28"/>
        </w:rPr>
      </w:pPr>
    </w:p>
    <w:p>
      <w:pPr>
        <w:pStyle w:val="BodyText"/>
        <w:spacing w:before="8"/>
        <w:rPr>
          <w:b/>
          <w:sz w:val="27"/>
        </w:rPr>
      </w:pPr>
    </w:p>
    <w:p>
      <w:pPr>
        <w:spacing w:before="0"/>
        <w:ind w:left="2178" w:right="919" w:firstLine="0"/>
        <w:jc w:val="center"/>
        <w:rPr>
          <w:sz w:val="28"/>
        </w:rPr>
      </w:pPr>
      <w:r>
        <w:rPr>
          <w:color w:val="333333"/>
          <w:sz w:val="28"/>
        </w:rPr>
        <w:t>TESIS</w:t>
      </w:r>
    </w:p>
    <w:p>
      <w:pPr>
        <w:pStyle w:val="BodyText"/>
        <w:spacing w:before="10"/>
        <w:rPr>
          <w:sz w:val="27"/>
        </w:rPr>
      </w:pPr>
    </w:p>
    <w:p>
      <w:pPr>
        <w:spacing w:line="322" w:lineRule="exact" w:before="0"/>
        <w:ind w:left="2179" w:right="918" w:firstLine="0"/>
        <w:jc w:val="center"/>
        <w:rPr>
          <w:sz w:val="28"/>
        </w:rPr>
      </w:pPr>
      <w:r>
        <w:rPr>
          <w:color w:val="333333"/>
          <w:sz w:val="28"/>
        </w:rPr>
        <w:t>Que para obtener el grado de:</w:t>
      </w:r>
    </w:p>
    <w:p>
      <w:pPr>
        <w:spacing w:before="0"/>
        <w:ind w:left="2175" w:right="919" w:firstLine="0"/>
        <w:jc w:val="center"/>
        <w:rPr>
          <w:sz w:val="28"/>
        </w:rPr>
      </w:pPr>
      <w:r>
        <w:rPr>
          <w:color w:val="333333"/>
          <w:sz w:val="28"/>
        </w:rPr>
        <w:t>Doctora en Ciencias Económico Administrativas</w:t>
      </w:r>
    </w:p>
    <w:p>
      <w:pPr>
        <w:pStyle w:val="BodyText"/>
        <w:rPr>
          <w:sz w:val="28"/>
        </w:rPr>
      </w:pPr>
    </w:p>
    <w:p>
      <w:pPr>
        <w:pStyle w:val="BodyText"/>
        <w:rPr>
          <w:sz w:val="28"/>
        </w:rPr>
      </w:pPr>
    </w:p>
    <w:p>
      <w:pPr>
        <w:pStyle w:val="BodyText"/>
        <w:spacing w:before="1"/>
        <w:rPr>
          <w:sz w:val="28"/>
        </w:rPr>
      </w:pPr>
    </w:p>
    <w:p>
      <w:pPr>
        <w:spacing w:line="480" w:lineRule="auto" w:before="0"/>
        <w:ind w:left="4922" w:right="2905" w:firstLine="708"/>
        <w:jc w:val="left"/>
        <w:rPr>
          <w:sz w:val="28"/>
        </w:rPr>
      </w:pPr>
      <w:r>
        <w:rPr/>
        <w:drawing>
          <wp:anchor distT="0" distB="0" distL="0" distR="0" allowOverlap="1" layoutInCell="1" locked="0" behindDoc="0" simplePos="0" relativeHeight="1048">
            <wp:simplePos x="0" y="0"/>
            <wp:positionH relativeFrom="page">
              <wp:posOffset>269240</wp:posOffset>
            </wp:positionH>
            <wp:positionV relativeFrom="paragraph">
              <wp:posOffset>-176018</wp:posOffset>
            </wp:positionV>
            <wp:extent cx="1219200" cy="106680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1219200" cy="1066800"/>
                    </a:xfrm>
                    <a:prstGeom prst="rect">
                      <a:avLst/>
                    </a:prstGeom>
                  </pic:spPr>
                </pic:pic>
              </a:graphicData>
            </a:graphic>
          </wp:anchor>
        </w:drawing>
      </w:r>
      <w:r>
        <w:rPr>
          <w:color w:val="333333"/>
          <w:sz w:val="28"/>
        </w:rPr>
        <w:t>Presenta: </w:t>
      </w:r>
      <w:r>
        <w:rPr>
          <w:sz w:val="28"/>
        </w:rPr>
        <w:t>Liliana Rendón Rojas</w:t>
      </w:r>
    </w:p>
    <w:p>
      <w:pPr>
        <w:pStyle w:val="BodyText"/>
        <w:spacing w:before="1"/>
        <w:rPr>
          <w:sz w:val="29"/>
        </w:rPr>
      </w:pPr>
    </w:p>
    <w:p>
      <w:pPr>
        <w:spacing w:before="0"/>
        <w:ind w:left="2179" w:right="800" w:firstLine="0"/>
        <w:jc w:val="center"/>
        <w:rPr>
          <w:sz w:val="28"/>
        </w:rPr>
      </w:pPr>
      <w:r>
        <w:rPr>
          <w:sz w:val="28"/>
        </w:rPr>
        <w:t>Comité Tutorial:</w:t>
      </w:r>
    </w:p>
    <w:p>
      <w:pPr>
        <w:pStyle w:val="BodyText"/>
        <w:rPr>
          <w:sz w:val="28"/>
        </w:rPr>
      </w:pPr>
    </w:p>
    <w:p>
      <w:pPr>
        <w:pStyle w:val="BodyText"/>
        <w:spacing w:before="10"/>
        <w:rPr>
          <w:sz w:val="27"/>
        </w:rPr>
      </w:pPr>
    </w:p>
    <w:p>
      <w:pPr>
        <w:spacing w:line="360" w:lineRule="auto" w:before="0"/>
        <w:ind w:left="3941" w:right="2083" w:firstLine="2"/>
        <w:jc w:val="center"/>
        <w:rPr>
          <w:sz w:val="28"/>
        </w:rPr>
      </w:pPr>
      <w:r>
        <w:rPr/>
        <w:drawing>
          <wp:anchor distT="0" distB="0" distL="0" distR="0" allowOverlap="1" layoutInCell="1" locked="0" behindDoc="0" simplePos="0" relativeHeight="0">
            <wp:simplePos x="0" y="0"/>
            <wp:positionH relativeFrom="page">
              <wp:posOffset>467359</wp:posOffset>
            </wp:positionH>
            <wp:positionV relativeFrom="paragraph">
              <wp:posOffset>-125345</wp:posOffset>
            </wp:positionV>
            <wp:extent cx="878205" cy="1009015"/>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8" cstate="print"/>
                    <a:stretch>
                      <a:fillRect/>
                    </a:stretch>
                  </pic:blipFill>
                  <pic:spPr>
                    <a:xfrm>
                      <a:off x="0" y="0"/>
                      <a:ext cx="878205" cy="1009015"/>
                    </a:xfrm>
                    <a:prstGeom prst="rect">
                      <a:avLst/>
                    </a:prstGeom>
                  </pic:spPr>
                </pic:pic>
              </a:graphicData>
            </a:graphic>
          </wp:anchor>
        </w:drawing>
      </w:r>
      <w:r>
        <w:rPr>
          <w:sz w:val="28"/>
        </w:rPr>
        <w:t>Dra. Ma. Del Carmen Salgado Vega Dr. Oscar Manuel Rodríguez Pichardo Dr. Ryszard Rózga Luter</w:t>
      </w:r>
    </w:p>
    <w:p>
      <w:pPr>
        <w:pStyle w:val="BodyText"/>
        <w:rPr>
          <w:sz w:val="28"/>
        </w:rPr>
      </w:pPr>
    </w:p>
    <w:p>
      <w:pPr>
        <w:pStyle w:val="BodyText"/>
        <w:rPr>
          <w:sz w:val="28"/>
        </w:rPr>
      </w:pPr>
    </w:p>
    <w:p>
      <w:pPr>
        <w:pStyle w:val="BodyText"/>
        <w:spacing w:before="5"/>
        <w:rPr>
          <w:sz w:val="38"/>
        </w:rPr>
      </w:pPr>
    </w:p>
    <w:p>
      <w:pPr>
        <w:pStyle w:val="BodyText"/>
        <w:ind w:right="117"/>
        <w:jc w:val="right"/>
      </w:pPr>
      <w:r>
        <w:rPr/>
        <w:t>Toluca, México; Febrero de</w:t>
      </w:r>
      <w:r>
        <w:rPr>
          <w:spacing w:val="55"/>
        </w:rPr>
        <w:t> </w:t>
      </w:r>
      <w:r>
        <w:rPr/>
        <w:t>2013</w:t>
      </w:r>
    </w:p>
    <w:p>
      <w:pPr>
        <w:spacing w:after="0"/>
        <w:jc w:val="right"/>
        <w:sectPr>
          <w:footerReference w:type="default" r:id="rId5"/>
          <w:type w:val="continuous"/>
          <w:pgSz w:w="12240" w:h="15840"/>
          <w:pgMar w:footer="1003" w:top="500" w:bottom="1200" w:left="320" w:right="1580"/>
          <w:pgNumType w:start="1"/>
        </w:sectPr>
      </w:pPr>
    </w:p>
    <w:p>
      <w:pPr>
        <w:pStyle w:val="BodyText"/>
        <w:rPr>
          <w:sz w:val="20"/>
        </w:rPr>
      </w:pPr>
    </w:p>
    <w:p>
      <w:pPr>
        <w:pStyle w:val="BodyText"/>
        <w:rPr>
          <w:sz w:val="20"/>
        </w:rPr>
      </w:pPr>
    </w:p>
    <w:p>
      <w:pPr>
        <w:pStyle w:val="BodyText"/>
        <w:spacing w:before="1"/>
        <w:rPr>
          <w:sz w:val="20"/>
        </w:rPr>
      </w:pPr>
    </w:p>
    <w:p>
      <w:pPr>
        <w:spacing w:after="0"/>
        <w:rPr>
          <w:sz w:val="20"/>
        </w:rPr>
        <w:sectPr>
          <w:pgSz w:w="12240" w:h="15840"/>
          <w:pgMar w:header="0" w:footer="1003" w:top="1500" w:bottom="1200" w:left="1720" w:right="1580"/>
        </w:sectPr>
      </w:pPr>
    </w:p>
    <w:p>
      <w:pPr>
        <w:spacing w:before="65"/>
        <w:ind w:left="0" w:right="0" w:firstLine="0"/>
        <w:jc w:val="right"/>
        <w:rPr>
          <w:sz w:val="31"/>
        </w:rPr>
      </w:pPr>
      <w:r>
        <w:rPr>
          <w:sz w:val="31"/>
        </w:rPr>
        <w:t>Índice</w:t>
      </w:r>
    </w:p>
    <w:p>
      <w:pPr>
        <w:pStyle w:val="BodyText"/>
        <w:rPr>
          <w:sz w:val="22"/>
        </w:rPr>
      </w:pPr>
      <w:r>
        <w:rPr/>
        <w:br w:type="column"/>
      </w:r>
      <w:r>
        <w:rPr>
          <w:sz w:val="22"/>
        </w:rPr>
      </w:r>
    </w:p>
    <w:p>
      <w:pPr>
        <w:pStyle w:val="BodyText"/>
        <w:spacing w:before="7"/>
        <w:rPr>
          <w:sz w:val="19"/>
        </w:rPr>
      </w:pPr>
    </w:p>
    <w:p>
      <w:pPr>
        <w:spacing w:before="0"/>
        <w:ind w:left="0" w:right="1015" w:firstLine="0"/>
        <w:jc w:val="right"/>
        <w:rPr>
          <w:sz w:val="22"/>
        </w:rPr>
      </w:pPr>
      <w:r>
        <w:rPr>
          <w:sz w:val="22"/>
        </w:rPr>
        <w:t>Pág</w:t>
      </w:r>
    </w:p>
    <w:p>
      <w:pPr>
        <w:spacing w:after="0"/>
        <w:jc w:val="right"/>
        <w:rPr>
          <w:sz w:val="22"/>
        </w:rPr>
        <w:sectPr>
          <w:type w:val="continuous"/>
          <w:pgSz w:w="12240" w:h="15840"/>
          <w:pgMar w:top="500" w:bottom="1200" w:left="1720" w:right="1580"/>
          <w:cols w:num="2" w:equalWidth="0">
            <w:col w:w="4170" w:space="40"/>
            <w:col w:w="4730"/>
          </w:cols>
        </w:sectPr>
      </w:pPr>
    </w:p>
    <w:sdt>
      <w:sdtPr>
        <w:docPartObj>
          <w:docPartGallery w:val="Table of Contents"/>
          <w:docPartUnique/>
        </w:docPartObj>
      </w:sdtPr>
      <w:sdtEndPr/>
      <w:sdtContent>
        <w:p>
          <w:pPr>
            <w:pStyle w:val="TOC2"/>
            <w:tabs>
              <w:tab w:pos="7690" w:val="left" w:leader="dot"/>
            </w:tabs>
            <w:spacing w:before="43"/>
            <w:ind w:left="221" w:right="188" w:firstLine="0"/>
            <w:rPr>
              <w:sz w:val="22"/>
            </w:rPr>
          </w:pPr>
          <w:hyperlink w:history="true" w:anchor="_TOC_250016">
            <w:r>
              <w:rPr>
                <w:spacing w:val="-7"/>
              </w:rPr>
              <w:t>Introducción</w:t>
            </w:r>
            <w:r>
              <w:rPr>
                <w:spacing w:val="-7"/>
                <w:sz w:val="22"/>
              </w:rPr>
              <w:tab/>
            </w:r>
            <w:r>
              <w:rPr>
                <w:sz w:val="22"/>
              </w:rPr>
              <w:t>4</w:t>
            </w:r>
          </w:hyperlink>
        </w:p>
        <w:p>
          <w:pPr>
            <w:pStyle w:val="TOC1"/>
          </w:pPr>
          <w:r>
            <w:rPr/>
            <w:t>Capítulo 1.  Teorías del crecimiento económico regional</w:t>
          </w:r>
        </w:p>
        <w:p>
          <w:pPr>
            <w:pStyle w:val="TOC2"/>
            <w:tabs>
              <w:tab w:pos="7615" w:val="left" w:leader="dot"/>
            </w:tabs>
            <w:spacing w:before="38"/>
            <w:ind w:left="221" w:right="188" w:firstLine="0"/>
          </w:pPr>
          <w:hyperlink w:history="true" w:anchor="_TOC_250015">
            <w:r>
              <w:rPr>
                <w:spacing w:val="-7"/>
              </w:rPr>
              <w:t>Introducción</w:t>
              <w:tab/>
            </w:r>
            <w:r>
              <w:rPr/>
              <w:t>11</w:t>
            </w:r>
          </w:hyperlink>
        </w:p>
        <w:p>
          <w:pPr>
            <w:pStyle w:val="TOC2"/>
            <w:tabs>
              <w:tab w:pos="7615" w:val="left" w:leader="dot"/>
            </w:tabs>
            <w:ind w:left="221" w:right="188" w:firstLine="0"/>
          </w:pPr>
          <w:hyperlink w:history="true" w:anchor="_TOC_250014">
            <w:r>
              <w:rPr/>
              <w:t>1.1. </w:t>
            </w:r>
            <w:r>
              <w:rPr>
                <w:spacing w:val="-6"/>
              </w:rPr>
              <w:t>Antecedentes</w:t>
              <w:tab/>
            </w:r>
            <w:r>
              <w:rPr/>
              <w:t>14</w:t>
            </w:r>
          </w:hyperlink>
        </w:p>
        <w:p>
          <w:pPr>
            <w:pStyle w:val="TOC2"/>
            <w:numPr>
              <w:ilvl w:val="1"/>
              <w:numId w:val="1"/>
            </w:numPr>
            <w:tabs>
              <w:tab w:pos="581" w:val="left" w:leader="none"/>
              <w:tab w:pos="7615" w:val="left" w:leader="dot"/>
            </w:tabs>
            <w:spacing w:line="240" w:lineRule="auto" w:before="39" w:after="0"/>
            <w:ind w:left="580" w:right="0" w:hanging="359"/>
            <w:jc w:val="left"/>
          </w:pPr>
          <w:hyperlink w:history="true" w:anchor="_TOC_250013">
            <w:r>
              <w:rPr>
                <w:spacing w:val="-5"/>
              </w:rPr>
              <w:t>Modelos </w:t>
            </w:r>
            <w:r>
              <w:rPr/>
              <w:t>de </w:t>
            </w:r>
            <w:r>
              <w:rPr>
                <w:spacing w:val="-9"/>
              </w:rPr>
              <w:t>crecimiento. </w:t>
            </w:r>
            <w:r>
              <w:rPr>
                <w:spacing w:val="-10"/>
              </w:rPr>
              <w:t>Enfoque </w:t>
            </w:r>
            <w:r>
              <w:rPr/>
              <w:t>de</w:t>
            </w:r>
            <w:r>
              <w:rPr>
                <w:spacing w:val="20"/>
              </w:rPr>
              <w:t> </w:t>
            </w:r>
            <w:r>
              <w:rPr>
                <w:spacing w:val="-11"/>
              </w:rPr>
              <w:t>la</w:t>
            </w:r>
            <w:r>
              <w:rPr>
                <w:spacing w:val="-1"/>
              </w:rPr>
              <w:t> </w:t>
            </w:r>
            <w:r>
              <w:rPr>
                <w:spacing w:val="-6"/>
              </w:rPr>
              <w:t>oferta</w:t>
              <w:tab/>
            </w:r>
            <w:r>
              <w:rPr/>
              <w:t>16</w:t>
            </w:r>
          </w:hyperlink>
        </w:p>
        <w:p>
          <w:pPr>
            <w:pStyle w:val="TOC3"/>
            <w:numPr>
              <w:ilvl w:val="2"/>
              <w:numId w:val="1"/>
            </w:numPr>
            <w:tabs>
              <w:tab w:pos="1270" w:val="left" w:leader="none"/>
              <w:tab w:pos="7615" w:val="left" w:leader="dot"/>
            </w:tabs>
            <w:spacing w:line="240" w:lineRule="auto" w:before="39" w:after="0"/>
            <w:ind w:left="1269" w:right="0" w:hanging="598"/>
            <w:jc w:val="left"/>
          </w:pPr>
          <w:r>
            <w:rPr>
              <w:spacing w:val="-8"/>
            </w:rPr>
            <w:t>Teoria neoclásica</w:t>
          </w:r>
          <w:r>
            <w:rPr>
              <w:spacing w:val="10"/>
            </w:rPr>
            <w:t> </w:t>
          </w:r>
          <w:r>
            <w:rPr/>
            <w:t>del</w:t>
          </w:r>
          <w:r>
            <w:rPr>
              <w:spacing w:val="-22"/>
            </w:rPr>
            <w:t> </w:t>
          </w:r>
          <w:r>
            <w:rPr>
              <w:spacing w:val="-10"/>
            </w:rPr>
            <w:t>crecimiento</w:t>
            <w:tab/>
          </w:r>
          <w:r>
            <w:rPr/>
            <w:t>16</w:t>
          </w:r>
        </w:p>
        <w:p>
          <w:pPr>
            <w:pStyle w:val="TOC3"/>
            <w:numPr>
              <w:ilvl w:val="2"/>
              <w:numId w:val="1"/>
            </w:numPr>
            <w:tabs>
              <w:tab w:pos="1270" w:val="left" w:leader="none"/>
              <w:tab w:pos="7615" w:val="left" w:leader="dot"/>
            </w:tabs>
            <w:spacing w:line="240" w:lineRule="auto" w:before="39" w:after="0"/>
            <w:ind w:left="1269" w:right="0" w:hanging="598"/>
            <w:jc w:val="left"/>
          </w:pPr>
          <w:hyperlink w:history="true" w:anchor="_TOC_250012">
            <w:r>
              <w:rPr>
                <w:spacing w:val="-5"/>
              </w:rPr>
              <w:t>Nuevas </w:t>
            </w:r>
            <w:r>
              <w:rPr>
                <w:spacing w:val="-6"/>
              </w:rPr>
              <w:t>teorías </w:t>
            </w:r>
            <w:r>
              <w:rPr/>
              <w:t>del</w:t>
            </w:r>
            <w:r>
              <w:rPr>
                <w:spacing w:val="-15"/>
              </w:rPr>
              <w:t> </w:t>
            </w:r>
            <w:r>
              <w:rPr>
                <w:spacing w:val="-10"/>
              </w:rPr>
              <w:t>crecimiento</w:t>
            </w:r>
            <w:r>
              <w:rPr>
                <w:spacing w:val="1"/>
              </w:rPr>
              <w:t> </w:t>
            </w:r>
            <w:r>
              <w:rPr>
                <w:spacing w:val="-7"/>
              </w:rPr>
              <w:t>endógeno…</w:t>
              <w:tab/>
            </w:r>
            <w:r>
              <w:rPr/>
              <w:t>17</w:t>
            </w:r>
          </w:hyperlink>
        </w:p>
        <w:p>
          <w:pPr>
            <w:pStyle w:val="TOC3"/>
            <w:numPr>
              <w:ilvl w:val="2"/>
              <w:numId w:val="1"/>
            </w:numPr>
            <w:tabs>
              <w:tab w:pos="1270" w:val="left" w:leader="none"/>
              <w:tab w:pos="7615" w:val="left" w:leader="dot"/>
            </w:tabs>
            <w:spacing w:line="240" w:lineRule="auto" w:before="38" w:after="0"/>
            <w:ind w:left="1269" w:right="0" w:hanging="598"/>
            <w:jc w:val="left"/>
          </w:pPr>
          <w:hyperlink w:history="true" w:anchor="_TOC_250011">
            <w:r>
              <w:rPr>
                <w:spacing w:val="-6"/>
              </w:rPr>
              <w:t>El</w:t>
            </w:r>
            <w:r>
              <w:rPr>
                <w:spacing w:val="-22"/>
              </w:rPr>
              <w:t> </w:t>
            </w:r>
            <w:r>
              <w:rPr>
                <w:spacing w:val="-5"/>
              </w:rPr>
              <w:t>progreso</w:t>
            </w:r>
            <w:r>
              <w:rPr/>
              <w:t> </w:t>
            </w:r>
            <w:r>
              <w:rPr>
                <w:spacing w:val="-7"/>
              </w:rPr>
              <w:t>técnico…</w:t>
              <w:tab/>
            </w:r>
            <w:r>
              <w:rPr/>
              <w:t>19</w:t>
            </w:r>
          </w:hyperlink>
        </w:p>
        <w:p>
          <w:pPr>
            <w:pStyle w:val="TOC3"/>
            <w:numPr>
              <w:ilvl w:val="2"/>
              <w:numId w:val="1"/>
            </w:numPr>
            <w:tabs>
              <w:tab w:pos="1270" w:val="left" w:leader="none"/>
              <w:tab w:pos="7615" w:val="left" w:leader="dot"/>
            </w:tabs>
            <w:spacing w:line="240" w:lineRule="auto" w:before="39" w:after="0"/>
            <w:ind w:left="1269" w:right="0" w:hanging="598"/>
            <w:jc w:val="left"/>
          </w:pPr>
          <w:hyperlink w:history="true" w:anchor="_TOC_250010">
            <w:r>
              <w:rPr>
                <w:spacing w:val="-5"/>
              </w:rPr>
              <w:t>Las </w:t>
            </w:r>
            <w:r>
              <w:rPr>
                <w:spacing w:val="-11"/>
              </w:rPr>
              <w:t>instituciones </w:t>
            </w:r>
            <w:r>
              <w:rPr/>
              <w:t>y</w:t>
            </w:r>
            <w:r>
              <w:rPr>
                <w:spacing w:val="-5"/>
              </w:rPr>
              <w:t> </w:t>
            </w:r>
            <w:r>
              <w:rPr/>
              <w:t>el</w:t>
            </w:r>
            <w:r>
              <w:rPr>
                <w:spacing w:val="-23"/>
              </w:rPr>
              <w:t> </w:t>
            </w:r>
            <w:r>
              <w:rPr>
                <w:spacing w:val="-9"/>
              </w:rPr>
              <w:t>crecimiento…</w:t>
              <w:tab/>
            </w:r>
            <w:r>
              <w:rPr/>
              <w:t>20</w:t>
            </w:r>
          </w:hyperlink>
        </w:p>
        <w:p>
          <w:pPr>
            <w:pStyle w:val="TOC3"/>
            <w:numPr>
              <w:ilvl w:val="2"/>
              <w:numId w:val="1"/>
            </w:numPr>
            <w:tabs>
              <w:tab w:pos="1270" w:val="left" w:leader="none"/>
              <w:tab w:pos="7615" w:val="left" w:leader="dot"/>
            </w:tabs>
            <w:spacing w:line="240" w:lineRule="auto" w:before="39" w:after="0"/>
            <w:ind w:left="1269" w:right="0" w:hanging="598"/>
            <w:jc w:val="left"/>
          </w:pPr>
          <w:hyperlink w:history="true" w:anchor="_TOC_250009">
            <w:r>
              <w:rPr>
                <w:spacing w:val="-9"/>
              </w:rPr>
              <w:t>Especialización</w:t>
            </w:r>
            <w:r>
              <w:rPr>
                <w:spacing w:val="-16"/>
              </w:rPr>
              <w:t> </w:t>
            </w:r>
            <w:r>
              <w:rPr/>
              <w:t>y</w:t>
            </w:r>
            <w:r>
              <w:rPr>
                <w:spacing w:val="-16"/>
              </w:rPr>
              <w:t> </w:t>
            </w:r>
            <w:r>
              <w:rPr>
                <w:spacing w:val="-9"/>
              </w:rPr>
              <w:t>crecimiento.</w:t>
              <w:tab/>
            </w:r>
            <w:r>
              <w:rPr/>
              <w:t>23</w:t>
            </w:r>
          </w:hyperlink>
        </w:p>
        <w:p>
          <w:pPr>
            <w:pStyle w:val="TOC2"/>
            <w:numPr>
              <w:ilvl w:val="1"/>
              <w:numId w:val="2"/>
            </w:numPr>
            <w:tabs>
              <w:tab w:pos="641" w:val="left" w:leader="none"/>
              <w:tab w:pos="7615" w:val="left" w:leader="dot"/>
            </w:tabs>
            <w:spacing w:line="240" w:lineRule="auto" w:before="39" w:after="0"/>
            <w:ind w:left="640" w:right="0" w:hanging="419"/>
            <w:jc w:val="left"/>
          </w:pPr>
          <w:r>
            <w:rPr>
              <w:spacing w:val="-7"/>
            </w:rPr>
            <w:t>Teorías </w:t>
          </w:r>
          <w:r>
            <w:rPr/>
            <w:t>del </w:t>
          </w:r>
          <w:r>
            <w:rPr>
              <w:spacing w:val="-9"/>
            </w:rPr>
            <w:t>crecimiento. </w:t>
          </w:r>
          <w:r>
            <w:rPr>
              <w:spacing w:val="-10"/>
            </w:rPr>
            <w:t>Enfoque </w:t>
          </w:r>
          <w:r>
            <w:rPr/>
            <w:t>de</w:t>
          </w:r>
          <w:r>
            <w:rPr>
              <w:spacing w:val="4"/>
            </w:rPr>
            <w:t> </w:t>
          </w:r>
          <w:r>
            <w:rPr>
              <w:spacing w:val="-11"/>
            </w:rPr>
            <w:t>la</w:t>
          </w:r>
          <w:r>
            <w:rPr>
              <w:spacing w:val="-1"/>
            </w:rPr>
            <w:t> </w:t>
          </w:r>
          <w:r>
            <w:rPr>
              <w:spacing w:val="-7"/>
            </w:rPr>
            <w:t>demanda</w:t>
            <w:tab/>
          </w:r>
          <w:r>
            <w:rPr/>
            <w:t>26</w:t>
          </w:r>
        </w:p>
        <w:p>
          <w:pPr>
            <w:pStyle w:val="TOC3"/>
            <w:numPr>
              <w:ilvl w:val="2"/>
              <w:numId w:val="2"/>
            </w:numPr>
            <w:tabs>
              <w:tab w:pos="1270" w:val="left" w:leader="none"/>
              <w:tab w:pos="7615" w:val="left" w:leader="dot"/>
            </w:tabs>
            <w:spacing w:line="240" w:lineRule="auto" w:before="39" w:after="0"/>
            <w:ind w:left="1269" w:right="0" w:hanging="598"/>
            <w:jc w:val="left"/>
          </w:pPr>
          <w:hyperlink w:history="true" w:anchor="_TOC_250008">
            <w:r>
              <w:rPr>
                <w:spacing w:val="-5"/>
              </w:rPr>
              <w:t>Modelos </w:t>
            </w:r>
            <w:r>
              <w:rPr/>
              <w:t>de</w:t>
            </w:r>
            <w:r>
              <w:rPr>
                <w:spacing w:val="3"/>
              </w:rPr>
              <w:t> </w:t>
            </w:r>
            <w:r>
              <w:rPr>
                <w:spacing w:val="-6"/>
              </w:rPr>
              <w:t>causación</w:t>
            </w:r>
            <w:r>
              <w:rPr>
                <w:spacing w:val="-15"/>
              </w:rPr>
              <w:t> </w:t>
            </w:r>
            <w:r>
              <w:rPr>
                <w:spacing w:val="-12"/>
              </w:rPr>
              <w:t>acumulativa</w:t>
              <w:tab/>
            </w:r>
            <w:r>
              <w:rPr/>
              <w:t>27</w:t>
            </w:r>
          </w:hyperlink>
        </w:p>
        <w:p>
          <w:pPr>
            <w:pStyle w:val="TOC3"/>
            <w:numPr>
              <w:ilvl w:val="2"/>
              <w:numId w:val="2"/>
            </w:numPr>
            <w:tabs>
              <w:tab w:pos="1270" w:val="left" w:leader="none"/>
              <w:tab w:pos="7615" w:val="left" w:leader="dot"/>
            </w:tabs>
            <w:spacing w:line="240" w:lineRule="auto" w:before="38" w:after="0"/>
            <w:ind w:left="1269" w:right="0" w:hanging="598"/>
            <w:jc w:val="left"/>
          </w:pPr>
          <w:hyperlink w:history="true" w:anchor="_TOC_250007">
            <w:r>
              <w:rPr>
                <w:spacing w:val="-5"/>
              </w:rPr>
              <w:t>Las </w:t>
            </w:r>
            <w:r>
              <w:rPr>
                <w:spacing w:val="-9"/>
              </w:rPr>
              <w:t>leyes</w:t>
            </w:r>
            <w:r>
              <w:rPr>
                <w:spacing w:val="-2"/>
              </w:rPr>
              <w:t> </w:t>
            </w:r>
            <w:r>
              <w:rPr/>
              <w:t>de</w:t>
            </w:r>
            <w:r>
              <w:rPr>
                <w:spacing w:val="-1"/>
              </w:rPr>
              <w:t> </w:t>
            </w:r>
            <w:r>
              <w:rPr>
                <w:spacing w:val="-4"/>
              </w:rPr>
              <w:t>Kaldor</w:t>
              <w:tab/>
            </w:r>
            <w:r>
              <w:rPr/>
              <w:t>30</w:t>
            </w:r>
          </w:hyperlink>
        </w:p>
        <w:p>
          <w:pPr>
            <w:pStyle w:val="TOC3"/>
            <w:numPr>
              <w:ilvl w:val="2"/>
              <w:numId w:val="2"/>
            </w:numPr>
            <w:tabs>
              <w:tab w:pos="1270" w:val="left" w:leader="none"/>
              <w:tab w:pos="7615" w:val="left" w:leader="dot"/>
            </w:tabs>
            <w:spacing w:line="240" w:lineRule="auto" w:before="39" w:after="0"/>
            <w:ind w:left="1269" w:right="0" w:hanging="598"/>
            <w:jc w:val="left"/>
          </w:pPr>
          <w:r>
            <w:rPr/>
            <w:t>Otro </w:t>
          </w:r>
          <w:r>
            <w:rPr>
              <w:spacing w:val="-7"/>
            </w:rPr>
            <w:t>modelos </w:t>
          </w:r>
          <w:r>
            <w:rPr/>
            <w:t>de</w:t>
          </w:r>
          <w:r>
            <w:rPr>
              <w:spacing w:val="-2"/>
            </w:rPr>
            <w:t> </w:t>
          </w:r>
          <w:r>
            <w:rPr>
              <w:spacing w:val="-10"/>
            </w:rPr>
            <w:t>divergencia</w:t>
          </w:r>
          <w:r>
            <w:rPr>
              <w:spacing w:val="-3"/>
            </w:rPr>
            <w:t> </w:t>
          </w:r>
          <w:r>
            <w:rPr>
              <w:spacing w:val="-11"/>
            </w:rPr>
            <w:t>regional</w:t>
            <w:tab/>
          </w:r>
          <w:r>
            <w:rPr/>
            <w:t>35</w:t>
          </w:r>
        </w:p>
        <w:p>
          <w:pPr>
            <w:pStyle w:val="TOC4"/>
            <w:tabs>
              <w:tab w:pos="2020" w:val="left" w:leader="none"/>
              <w:tab w:pos="7615" w:val="left" w:leader="dot"/>
            </w:tabs>
          </w:pPr>
          <w:hyperlink w:history="true" w:anchor="_TOC_250006">
            <w:r>
              <w:rPr/>
              <w:t>1.3.3.1</w:t>
              <w:tab/>
            </w:r>
            <w:r>
              <w:rPr>
                <w:spacing w:val="-5"/>
              </w:rPr>
              <w:t>Modelos </w:t>
            </w:r>
            <w:r>
              <w:rPr/>
              <w:t>de base</w:t>
            </w:r>
            <w:r>
              <w:rPr>
                <w:spacing w:val="-1"/>
              </w:rPr>
              <w:t> </w:t>
            </w:r>
            <w:r>
              <w:rPr>
                <w:spacing w:val="-6"/>
              </w:rPr>
              <w:t>exportación</w:t>
              <w:tab/>
            </w:r>
            <w:r>
              <w:rPr/>
              <w:t>36</w:t>
            </w:r>
          </w:hyperlink>
        </w:p>
        <w:p>
          <w:pPr>
            <w:pStyle w:val="TOC4"/>
            <w:tabs>
              <w:tab w:pos="7615" w:val="left" w:leader="dot"/>
            </w:tabs>
          </w:pPr>
          <w:hyperlink w:history="true" w:anchor="_TOC_250005">
            <w:r>
              <w:rPr/>
              <w:t>1.3.3.2.   </w:t>
            </w:r>
            <w:r>
              <w:rPr>
                <w:spacing w:val="-4"/>
              </w:rPr>
              <w:t>Los </w:t>
            </w:r>
            <w:r>
              <w:rPr>
                <w:spacing w:val="-5"/>
              </w:rPr>
              <w:t>polos</w:t>
            </w:r>
            <w:r>
              <w:rPr>
                <w:spacing w:val="-19"/>
              </w:rPr>
              <w:t> </w:t>
            </w:r>
            <w:r>
              <w:rPr/>
              <w:t>de</w:t>
            </w:r>
            <w:r>
              <w:rPr>
                <w:spacing w:val="-4"/>
              </w:rPr>
              <w:t> </w:t>
            </w:r>
            <w:r>
              <w:rPr>
                <w:spacing w:val="-9"/>
              </w:rPr>
              <w:t>crecimiento…</w:t>
              <w:tab/>
            </w:r>
            <w:r>
              <w:rPr/>
              <w:t>37</w:t>
            </w:r>
          </w:hyperlink>
        </w:p>
        <w:p>
          <w:pPr>
            <w:pStyle w:val="TOC2"/>
            <w:tabs>
              <w:tab w:pos="7615" w:val="left" w:leader="dot"/>
            </w:tabs>
            <w:spacing w:before="38"/>
            <w:ind w:left="221" w:right="188" w:firstLine="0"/>
          </w:pPr>
          <w:hyperlink w:history="true" w:anchor="_TOC_250004">
            <w:r>
              <w:rPr>
                <w:spacing w:val="-7"/>
              </w:rPr>
              <w:t>Puntos</w:t>
            </w:r>
            <w:r>
              <w:rPr>
                <w:spacing w:val="-2"/>
              </w:rPr>
              <w:t> </w:t>
            </w:r>
            <w:r>
              <w:rPr>
                <w:spacing w:val="-9"/>
              </w:rPr>
              <w:t>concluyentes</w:t>
              <w:tab/>
            </w:r>
            <w:r>
              <w:rPr/>
              <w:t>39</w:t>
            </w:r>
          </w:hyperlink>
        </w:p>
        <w:p>
          <w:pPr>
            <w:pStyle w:val="TOC1"/>
            <w:spacing w:line="273" w:lineRule="auto" w:before="279"/>
            <w:ind w:right="3517"/>
          </w:pPr>
          <w:r>
            <w:rPr>
              <w:spacing w:val="-8"/>
            </w:rPr>
            <w:t>Capítulo </w:t>
          </w:r>
          <w:r>
            <w:rPr/>
            <w:t>2. </w:t>
          </w:r>
          <w:r>
            <w:rPr>
              <w:spacing w:val="-6"/>
            </w:rPr>
            <w:t>El </w:t>
          </w:r>
          <w:r>
            <w:rPr/>
            <w:t>proceso </w:t>
          </w:r>
          <w:r>
            <w:rPr>
              <w:spacing w:val="-8"/>
            </w:rPr>
            <w:t>de </w:t>
          </w:r>
          <w:r>
            <w:rPr>
              <w:spacing w:val="-7"/>
            </w:rPr>
            <w:t>industrialización, </w:t>
          </w:r>
          <w:r>
            <w:rPr/>
            <w:t>regiones: </w:t>
          </w:r>
          <w:r>
            <w:rPr>
              <w:spacing w:val="-7"/>
            </w:rPr>
            <w:t>Toluca-Lerma </w:t>
          </w:r>
          <w:r>
            <w:rPr/>
            <w:t>y </w:t>
          </w:r>
          <w:r>
            <w:rPr>
              <w:spacing w:val="-5"/>
            </w:rPr>
            <w:t>Valle </w:t>
          </w:r>
          <w:r>
            <w:rPr>
              <w:spacing w:val="-7"/>
            </w:rPr>
            <w:t>de  </w:t>
          </w:r>
          <w:r>
            <w:rPr>
              <w:spacing w:val="2"/>
            </w:rPr>
            <w:t>México</w:t>
          </w:r>
        </w:p>
        <w:p>
          <w:pPr>
            <w:pStyle w:val="TOC2"/>
            <w:tabs>
              <w:tab w:pos="7735" w:val="left" w:leader="dot"/>
            </w:tabs>
            <w:spacing w:before="1"/>
            <w:ind w:left="221" w:right="188" w:firstLine="0"/>
          </w:pPr>
          <w:hyperlink w:history="true" w:anchor="_TOC_250003">
            <w:r>
              <w:rPr>
                <w:spacing w:val="-7"/>
              </w:rPr>
              <w:t>Introducción</w:t>
              <w:tab/>
            </w:r>
            <w:r>
              <w:rPr/>
              <w:t>43</w:t>
            </w:r>
          </w:hyperlink>
        </w:p>
        <w:p>
          <w:pPr>
            <w:pStyle w:val="TOC2"/>
            <w:numPr>
              <w:ilvl w:val="1"/>
              <w:numId w:val="3"/>
            </w:numPr>
            <w:tabs>
              <w:tab w:pos="641" w:val="left" w:leader="none"/>
              <w:tab w:pos="7735" w:val="left" w:leader="dot"/>
            </w:tabs>
            <w:spacing w:line="240" w:lineRule="auto" w:before="39" w:after="0"/>
            <w:ind w:left="640" w:right="0" w:hanging="419"/>
            <w:jc w:val="left"/>
          </w:pPr>
          <w:hyperlink w:history="true" w:anchor="_TOC_250002">
            <w:r>
              <w:rPr>
                <w:spacing w:val="-6"/>
              </w:rPr>
              <w:t>Antecedentes</w:t>
              <w:tab/>
            </w:r>
            <w:r>
              <w:rPr/>
              <w:t>46</w:t>
            </w:r>
          </w:hyperlink>
        </w:p>
        <w:p>
          <w:pPr>
            <w:pStyle w:val="TOC2"/>
            <w:numPr>
              <w:ilvl w:val="1"/>
              <w:numId w:val="3"/>
            </w:numPr>
            <w:tabs>
              <w:tab w:pos="641" w:val="left" w:leader="none"/>
            </w:tabs>
            <w:spacing w:line="240" w:lineRule="auto" w:before="39" w:after="0"/>
            <w:ind w:left="640" w:right="0" w:hanging="419"/>
            <w:jc w:val="left"/>
          </w:pPr>
          <w:r>
            <w:rPr>
              <w:spacing w:val="-6"/>
            </w:rPr>
            <w:t>El </w:t>
          </w:r>
          <w:r>
            <w:rPr>
              <w:spacing w:val="-5"/>
            </w:rPr>
            <w:t>Modelo </w:t>
          </w:r>
          <w:r>
            <w:rPr/>
            <w:t>de </w:t>
          </w:r>
          <w:r>
            <w:rPr>
              <w:spacing w:val="-10"/>
            </w:rPr>
            <w:t>sustitución </w:t>
          </w:r>
          <w:r>
            <w:rPr/>
            <w:t>de</w:t>
          </w:r>
          <w:r>
            <w:rPr>
              <w:spacing w:val="-8"/>
            </w:rPr>
            <w:t> importaciones.</w:t>
          </w:r>
        </w:p>
        <w:p>
          <w:pPr>
            <w:pStyle w:val="TOC2"/>
            <w:tabs>
              <w:tab w:pos="7735" w:val="left" w:leader="dot"/>
            </w:tabs>
            <w:ind w:left="221" w:right="188" w:firstLine="0"/>
          </w:pPr>
          <w:r>
            <w:rPr>
              <w:spacing w:val="-9"/>
            </w:rPr>
            <w:t>Primera</w:t>
          </w:r>
          <w:r>
            <w:rPr/>
            <w:t> </w:t>
          </w:r>
          <w:r>
            <w:rPr>
              <w:spacing w:val="-3"/>
            </w:rPr>
            <w:t>etapa</w:t>
          </w:r>
          <w:r>
            <w:rPr/>
            <w:t> (1939-1958)</w:t>
            <w:tab/>
            <w:t>48</w:t>
          </w:r>
        </w:p>
        <w:p>
          <w:pPr>
            <w:pStyle w:val="TOC2"/>
            <w:numPr>
              <w:ilvl w:val="1"/>
              <w:numId w:val="3"/>
            </w:numPr>
            <w:tabs>
              <w:tab w:pos="641" w:val="left" w:leader="none"/>
            </w:tabs>
            <w:spacing w:line="240" w:lineRule="auto" w:before="39" w:after="0"/>
            <w:ind w:left="640" w:right="0" w:hanging="419"/>
            <w:jc w:val="left"/>
          </w:pPr>
          <w:r>
            <w:rPr>
              <w:spacing w:val="-6"/>
            </w:rPr>
            <w:t>El </w:t>
          </w:r>
          <w:r>
            <w:rPr>
              <w:spacing w:val="-5"/>
            </w:rPr>
            <w:t>Modelo </w:t>
          </w:r>
          <w:r>
            <w:rPr/>
            <w:t>de </w:t>
          </w:r>
          <w:r>
            <w:rPr>
              <w:spacing w:val="-10"/>
            </w:rPr>
            <w:t>sustitución </w:t>
          </w:r>
          <w:r>
            <w:rPr/>
            <w:t>de</w:t>
          </w:r>
          <w:r>
            <w:rPr>
              <w:spacing w:val="-8"/>
            </w:rPr>
            <w:t> importaciones.</w:t>
          </w:r>
        </w:p>
        <w:p>
          <w:pPr>
            <w:pStyle w:val="TOC2"/>
            <w:tabs>
              <w:tab w:pos="7735" w:val="left" w:leader="dot"/>
            </w:tabs>
            <w:spacing w:before="38"/>
            <w:ind w:left="221" w:right="188" w:firstLine="0"/>
          </w:pPr>
          <w:r>
            <w:rPr>
              <w:spacing w:val="-5"/>
            </w:rPr>
            <w:t>Etapa</w:t>
          </w:r>
          <w:r>
            <w:rPr>
              <w:spacing w:val="-1"/>
            </w:rPr>
            <w:t> </w:t>
          </w:r>
          <w:r>
            <w:rPr>
              <w:spacing w:val="-7"/>
            </w:rPr>
            <w:t>avanzada</w:t>
          </w:r>
          <w:r>
            <w:rPr>
              <w:spacing w:val="-1"/>
            </w:rPr>
            <w:t> </w:t>
          </w:r>
          <w:r>
            <w:rPr/>
            <w:t>(1959-1970)</w:t>
            <w:tab/>
            <w:t>51</w:t>
          </w:r>
        </w:p>
        <w:p>
          <w:pPr>
            <w:pStyle w:val="TOC2"/>
            <w:numPr>
              <w:ilvl w:val="1"/>
              <w:numId w:val="3"/>
            </w:numPr>
            <w:tabs>
              <w:tab w:pos="641" w:val="left" w:leader="none"/>
              <w:tab w:pos="7735" w:val="left" w:leader="dot"/>
            </w:tabs>
            <w:spacing w:line="240" w:lineRule="auto" w:before="39" w:after="0"/>
            <w:ind w:left="640" w:right="0" w:hanging="419"/>
            <w:jc w:val="left"/>
          </w:pPr>
          <w:r>
            <w:rPr>
              <w:spacing w:val="-10"/>
            </w:rPr>
            <w:t>Agotamiento </w:t>
          </w:r>
          <w:r>
            <w:rPr/>
            <w:t>del</w:t>
          </w:r>
          <w:r>
            <w:rPr>
              <w:spacing w:val="-11"/>
            </w:rPr>
            <w:t> </w:t>
          </w:r>
          <w:r>
            <w:rPr>
              <w:spacing w:val="-8"/>
            </w:rPr>
            <w:t>modelo</w:t>
          </w:r>
          <w:r>
            <w:rPr/>
            <w:t> (1975-1985)</w:t>
            <w:tab/>
            <w:t>53</w:t>
          </w:r>
        </w:p>
        <w:p>
          <w:pPr>
            <w:pStyle w:val="TOC2"/>
            <w:numPr>
              <w:ilvl w:val="1"/>
              <w:numId w:val="3"/>
            </w:numPr>
            <w:tabs>
              <w:tab w:pos="641" w:val="left" w:leader="none"/>
              <w:tab w:pos="7735" w:val="left" w:leader="dot"/>
            </w:tabs>
            <w:spacing w:line="240" w:lineRule="auto" w:before="39" w:after="0"/>
            <w:ind w:left="640" w:right="0" w:hanging="419"/>
            <w:jc w:val="left"/>
          </w:pPr>
          <w:hyperlink w:history="true" w:anchor="_TOC_250001">
            <w:r>
              <w:rPr>
                <w:spacing w:val="-6"/>
              </w:rPr>
              <w:t>El </w:t>
            </w:r>
            <w:r>
              <w:rPr>
                <w:spacing w:val="-9"/>
              </w:rPr>
              <w:t>cambio </w:t>
            </w:r>
            <w:r>
              <w:rPr>
                <w:spacing w:val="-8"/>
              </w:rPr>
              <w:t>estructural.</w:t>
            </w:r>
            <w:r>
              <w:rPr>
                <w:spacing w:val="-1"/>
              </w:rPr>
              <w:t> </w:t>
            </w:r>
            <w:r>
              <w:rPr>
                <w:spacing w:val="-6"/>
              </w:rPr>
              <w:t>Apertura</w:t>
            </w:r>
            <w:r>
              <w:rPr/>
              <w:t> </w:t>
            </w:r>
            <w:r>
              <w:rPr>
                <w:spacing w:val="-4"/>
              </w:rPr>
              <w:t>comercial.(1985-2008)</w:t>
              <w:tab/>
            </w:r>
            <w:r>
              <w:rPr/>
              <w:t>55</w:t>
            </w:r>
          </w:hyperlink>
        </w:p>
        <w:p>
          <w:pPr>
            <w:pStyle w:val="TOC2"/>
            <w:numPr>
              <w:ilvl w:val="1"/>
              <w:numId w:val="3"/>
            </w:numPr>
            <w:tabs>
              <w:tab w:pos="641" w:val="left" w:leader="none"/>
              <w:tab w:pos="7735" w:val="left" w:leader="dot"/>
            </w:tabs>
            <w:spacing w:line="240" w:lineRule="auto" w:before="39" w:after="0"/>
            <w:ind w:left="640" w:right="0" w:hanging="419"/>
            <w:jc w:val="left"/>
          </w:pPr>
          <w:r>
            <w:rPr>
              <w:spacing w:val="-6"/>
            </w:rPr>
            <w:t>La </w:t>
          </w:r>
          <w:r>
            <w:rPr>
              <w:spacing w:val="-11"/>
            </w:rPr>
            <w:t>industrialización </w:t>
          </w:r>
          <w:r>
            <w:rPr/>
            <w:t>del </w:t>
          </w:r>
          <w:r>
            <w:rPr>
              <w:spacing w:val="-5"/>
            </w:rPr>
            <w:t>Estado</w:t>
          </w:r>
          <w:r>
            <w:rPr>
              <w:spacing w:val="-20"/>
            </w:rPr>
            <w:t> </w:t>
          </w:r>
          <w:r>
            <w:rPr/>
            <w:t>de</w:t>
          </w:r>
          <w:r>
            <w:rPr>
              <w:spacing w:val="-1"/>
            </w:rPr>
            <w:t> </w:t>
          </w:r>
          <w:r>
            <w:rPr>
              <w:spacing w:val="-7"/>
            </w:rPr>
            <w:t>México…</w:t>
            <w:tab/>
          </w:r>
          <w:r>
            <w:rPr/>
            <w:t>60</w:t>
          </w:r>
        </w:p>
        <w:p>
          <w:pPr>
            <w:pStyle w:val="TOC2"/>
            <w:numPr>
              <w:ilvl w:val="1"/>
              <w:numId w:val="3"/>
            </w:numPr>
            <w:tabs>
              <w:tab w:pos="641" w:val="left" w:leader="none"/>
              <w:tab w:pos="7735" w:val="left" w:leader="dot"/>
            </w:tabs>
            <w:spacing w:line="240" w:lineRule="auto" w:before="39" w:after="0"/>
            <w:ind w:left="640" w:right="0" w:hanging="419"/>
            <w:jc w:val="left"/>
          </w:pPr>
          <w:r>
            <w:rPr>
              <w:spacing w:val="-8"/>
            </w:rPr>
            <w:t>Desarrollo </w:t>
          </w:r>
          <w:r>
            <w:rPr>
              <w:spacing w:val="-10"/>
            </w:rPr>
            <w:t>industrial </w:t>
          </w:r>
          <w:r>
            <w:rPr/>
            <w:t>de </w:t>
          </w:r>
          <w:r>
            <w:rPr>
              <w:spacing w:val="-11"/>
            </w:rPr>
            <w:t>la </w:t>
          </w:r>
          <w:r>
            <w:rPr>
              <w:spacing w:val="-9"/>
            </w:rPr>
            <w:t>Región </w:t>
          </w:r>
          <w:r>
            <w:rPr>
              <w:spacing w:val="3"/>
            </w:rPr>
            <w:t>Vale</w:t>
          </w:r>
          <w:r>
            <w:rPr>
              <w:spacing w:val="1"/>
            </w:rPr>
            <w:t> </w:t>
          </w:r>
          <w:r>
            <w:rPr/>
            <w:t>de</w:t>
          </w:r>
          <w:r>
            <w:rPr>
              <w:spacing w:val="-2"/>
            </w:rPr>
            <w:t> </w:t>
          </w:r>
          <w:r>
            <w:rPr>
              <w:spacing w:val="-7"/>
            </w:rPr>
            <w:t>México…</w:t>
            <w:tab/>
          </w:r>
          <w:r>
            <w:rPr/>
            <w:t>67</w:t>
          </w:r>
        </w:p>
        <w:p>
          <w:pPr>
            <w:pStyle w:val="TOC2"/>
            <w:numPr>
              <w:ilvl w:val="1"/>
              <w:numId w:val="3"/>
            </w:numPr>
            <w:tabs>
              <w:tab w:pos="641" w:val="left" w:leader="none"/>
              <w:tab w:pos="7735" w:val="left" w:leader="dot"/>
            </w:tabs>
            <w:spacing w:line="240" w:lineRule="auto" w:before="38" w:after="0"/>
            <w:ind w:left="640" w:right="0" w:hanging="419"/>
            <w:jc w:val="left"/>
          </w:pPr>
          <w:r>
            <w:rPr>
              <w:spacing w:val="-8"/>
            </w:rPr>
            <w:t>Desarrollo </w:t>
          </w:r>
          <w:r>
            <w:rPr>
              <w:spacing w:val="-10"/>
            </w:rPr>
            <w:t>industrial </w:t>
          </w:r>
          <w:r>
            <w:rPr/>
            <w:t>de </w:t>
          </w:r>
          <w:r>
            <w:rPr>
              <w:spacing w:val="-11"/>
            </w:rPr>
            <w:t>la</w:t>
          </w:r>
          <w:r>
            <w:rPr>
              <w:spacing w:val="2"/>
            </w:rPr>
            <w:t> </w:t>
          </w:r>
          <w:r>
            <w:rPr>
              <w:spacing w:val="-9"/>
            </w:rPr>
            <w:t>Región</w:t>
          </w:r>
          <w:r>
            <w:rPr>
              <w:spacing w:val="-14"/>
            </w:rPr>
            <w:t> </w:t>
          </w:r>
          <w:r>
            <w:rPr>
              <w:spacing w:val="-8"/>
            </w:rPr>
            <w:t>Toluca-Lerrma</w:t>
            <w:tab/>
          </w:r>
          <w:r>
            <w:rPr/>
            <w:t>74</w:t>
          </w:r>
        </w:p>
        <w:p>
          <w:pPr>
            <w:pStyle w:val="TOC2"/>
            <w:tabs>
              <w:tab w:pos="7735" w:val="left" w:leader="dot"/>
            </w:tabs>
            <w:ind w:left="221" w:right="188" w:firstLine="0"/>
          </w:pPr>
          <w:hyperlink w:history="true" w:anchor="_TOC_250000">
            <w:r>
              <w:rPr>
                <w:spacing w:val="-7"/>
              </w:rPr>
              <w:t>Puntos</w:t>
            </w:r>
            <w:r>
              <w:rPr>
                <w:spacing w:val="-2"/>
              </w:rPr>
              <w:t> </w:t>
            </w:r>
            <w:r>
              <w:rPr>
                <w:spacing w:val="-9"/>
              </w:rPr>
              <w:t>concluyentes</w:t>
              <w:tab/>
            </w:r>
            <w:r>
              <w:rPr/>
              <w:t>79</w:t>
            </w:r>
          </w:hyperlink>
        </w:p>
      </w:sdtContent>
    </w:sdt>
    <w:p>
      <w:pPr>
        <w:spacing w:after="0"/>
        <w:sectPr>
          <w:type w:val="continuous"/>
          <w:pgSz w:w="12240" w:h="15840"/>
          <w:pgMar w:top="500" w:bottom="1200" w:left="1720" w:right="1580"/>
        </w:sectPr>
      </w:pPr>
    </w:p>
    <w:p>
      <w:pPr>
        <w:pStyle w:val="Heading2"/>
        <w:spacing w:line="273" w:lineRule="auto" w:before="277"/>
        <w:ind w:left="221" w:right="1364"/>
      </w:pPr>
      <w:r>
        <w:rPr>
          <w:spacing w:val="-8"/>
        </w:rPr>
        <w:t>Capítulo </w:t>
      </w:r>
      <w:r>
        <w:rPr/>
        <w:t>3. </w:t>
      </w:r>
      <w:r>
        <w:rPr>
          <w:spacing w:val="-5"/>
        </w:rPr>
        <w:t>Análisis </w:t>
      </w:r>
      <w:r>
        <w:rPr>
          <w:spacing w:val="-7"/>
        </w:rPr>
        <w:t>de </w:t>
      </w:r>
      <w:r>
        <w:rPr>
          <w:spacing w:val="-4"/>
        </w:rPr>
        <w:t>la </w:t>
      </w:r>
      <w:r>
        <w:rPr>
          <w:spacing w:val="-8"/>
        </w:rPr>
        <w:t>industria </w:t>
      </w:r>
      <w:r>
        <w:rPr>
          <w:spacing w:val="-7"/>
        </w:rPr>
        <w:t>manufacturera, </w:t>
      </w:r>
      <w:r>
        <w:rPr/>
        <w:t>regiones </w:t>
      </w:r>
      <w:r>
        <w:rPr>
          <w:spacing w:val="-7"/>
        </w:rPr>
        <w:t>Toluca-Lerma </w:t>
      </w:r>
      <w:r>
        <w:rPr/>
        <w:t>y </w:t>
      </w:r>
      <w:r>
        <w:rPr>
          <w:spacing w:val="-5"/>
        </w:rPr>
        <w:t>Valle </w:t>
      </w:r>
      <w:r>
        <w:rPr>
          <w:spacing w:val="-7"/>
        </w:rPr>
        <w:t>de </w:t>
      </w:r>
      <w:r>
        <w:rPr>
          <w:spacing w:val="2"/>
        </w:rPr>
        <w:t>México</w:t>
      </w:r>
    </w:p>
    <w:p>
      <w:pPr>
        <w:pStyle w:val="BodyText"/>
        <w:tabs>
          <w:tab w:pos="7735" w:val="left" w:leader="dot"/>
        </w:tabs>
        <w:spacing w:before="317"/>
        <w:ind w:left="221" w:right="188"/>
      </w:pPr>
      <w:r>
        <w:rPr>
          <w:spacing w:val="-7"/>
        </w:rPr>
        <w:t>Introducción</w:t>
        <w:tab/>
      </w:r>
      <w:r>
        <w:rPr/>
        <w:t>83</w:t>
      </w:r>
    </w:p>
    <w:p>
      <w:pPr>
        <w:pStyle w:val="ListParagraph"/>
        <w:numPr>
          <w:ilvl w:val="1"/>
          <w:numId w:val="4"/>
        </w:numPr>
        <w:tabs>
          <w:tab w:pos="641" w:val="left" w:leader="none"/>
          <w:tab w:pos="7735" w:val="left" w:leader="dot"/>
        </w:tabs>
        <w:spacing w:line="240" w:lineRule="auto" w:before="39" w:after="0"/>
        <w:ind w:left="640" w:right="0" w:hanging="419"/>
        <w:jc w:val="left"/>
        <w:rPr>
          <w:sz w:val="24"/>
        </w:rPr>
      </w:pPr>
      <w:r>
        <w:rPr>
          <w:spacing w:val="-6"/>
          <w:sz w:val="24"/>
        </w:rPr>
        <w:t>Antecedentes</w:t>
        <w:tab/>
      </w:r>
      <w:r>
        <w:rPr>
          <w:sz w:val="24"/>
        </w:rPr>
        <w:t>85</w:t>
      </w:r>
    </w:p>
    <w:p>
      <w:pPr>
        <w:pStyle w:val="ListParagraph"/>
        <w:numPr>
          <w:ilvl w:val="1"/>
          <w:numId w:val="4"/>
        </w:numPr>
        <w:tabs>
          <w:tab w:pos="641" w:val="left" w:leader="none"/>
          <w:tab w:pos="7735" w:val="left" w:leader="dot"/>
        </w:tabs>
        <w:spacing w:line="240" w:lineRule="auto" w:before="38" w:after="0"/>
        <w:ind w:left="640" w:right="0" w:hanging="419"/>
        <w:jc w:val="left"/>
        <w:rPr>
          <w:sz w:val="24"/>
        </w:rPr>
      </w:pPr>
      <w:r>
        <w:rPr>
          <w:spacing w:val="-9"/>
          <w:sz w:val="24"/>
        </w:rPr>
        <w:t>Especialización </w:t>
      </w:r>
      <w:r>
        <w:rPr>
          <w:spacing w:val="-4"/>
          <w:sz w:val="24"/>
        </w:rPr>
        <w:t> </w:t>
      </w:r>
      <w:r>
        <w:rPr>
          <w:spacing w:val="-7"/>
          <w:sz w:val="24"/>
        </w:rPr>
        <w:t>productiva</w:t>
      </w:r>
      <w:r>
        <w:rPr>
          <w:sz w:val="24"/>
        </w:rPr>
        <w:t> </w:t>
      </w:r>
      <w:r>
        <w:rPr>
          <w:spacing w:val="-11"/>
          <w:sz w:val="24"/>
        </w:rPr>
        <w:t>regional</w:t>
        <w:tab/>
      </w:r>
      <w:r>
        <w:rPr>
          <w:sz w:val="24"/>
        </w:rPr>
        <w:t>93</w:t>
      </w:r>
    </w:p>
    <w:p>
      <w:pPr>
        <w:pStyle w:val="ListParagraph"/>
        <w:numPr>
          <w:ilvl w:val="2"/>
          <w:numId w:val="4"/>
        </w:numPr>
        <w:tabs>
          <w:tab w:pos="1330" w:val="left" w:leader="none"/>
          <w:tab w:pos="7735" w:val="left" w:leader="dot"/>
        </w:tabs>
        <w:spacing w:line="240" w:lineRule="auto" w:before="39" w:after="0"/>
        <w:ind w:left="1329" w:right="0" w:hanging="658"/>
        <w:jc w:val="left"/>
        <w:rPr>
          <w:sz w:val="24"/>
        </w:rPr>
      </w:pPr>
      <w:r>
        <w:rPr>
          <w:spacing w:val="-9"/>
          <w:sz w:val="24"/>
        </w:rPr>
        <w:t>Especialización</w:t>
      </w:r>
      <w:r>
        <w:rPr>
          <w:spacing w:val="-14"/>
          <w:sz w:val="24"/>
        </w:rPr>
        <w:t> </w:t>
      </w:r>
      <w:r>
        <w:rPr>
          <w:spacing w:val="-7"/>
          <w:sz w:val="24"/>
        </w:rPr>
        <w:t>absoluta</w:t>
        <w:tab/>
      </w:r>
      <w:r>
        <w:rPr>
          <w:sz w:val="24"/>
        </w:rPr>
        <w:t>93</w:t>
      </w:r>
    </w:p>
    <w:p>
      <w:pPr>
        <w:pStyle w:val="ListParagraph"/>
        <w:numPr>
          <w:ilvl w:val="2"/>
          <w:numId w:val="4"/>
        </w:numPr>
        <w:tabs>
          <w:tab w:pos="1330" w:val="left" w:leader="none"/>
          <w:tab w:pos="7735" w:val="left" w:leader="dot"/>
        </w:tabs>
        <w:spacing w:line="240" w:lineRule="auto" w:before="39" w:after="0"/>
        <w:ind w:left="1329" w:right="0" w:hanging="658"/>
        <w:jc w:val="left"/>
        <w:rPr>
          <w:sz w:val="24"/>
        </w:rPr>
      </w:pPr>
      <w:r>
        <w:rPr>
          <w:spacing w:val="-9"/>
          <w:sz w:val="24"/>
        </w:rPr>
        <w:t>Especialización </w:t>
      </w:r>
      <w:r>
        <w:rPr>
          <w:spacing w:val="-10"/>
          <w:sz w:val="24"/>
        </w:rPr>
        <w:t>relativa</w:t>
      </w:r>
      <w:r>
        <w:rPr>
          <w:spacing w:val="-6"/>
          <w:sz w:val="24"/>
        </w:rPr>
        <w:t> </w:t>
      </w:r>
      <w:r>
        <w:rPr>
          <w:sz w:val="24"/>
        </w:rPr>
        <w:t>o</w:t>
      </w:r>
      <w:r>
        <w:rPr>
          <w:spacing w:val="1"/>
          <w:sz w:val="24"/>
        </w:rPr>
        <w:t> </w:t>
      </w:r>
      <w:r>
        <w:rPr>
          <w:spacing w:val="-11"/>
          <w:sz w:val="24"/>
        </w:rPr>
        <w:t>interregional</w:t>
        <w:tab/>
      </w:r>
      <w:r>
        <w:rPr>
          <w:sz w:val="24"/>
        </w:rPr>
        <w:t>96</w:t>
      </w:r>
    </w:p>
    <w:p>
      <w:pPr>
        <w:pStyle w:val="ListParagraph"/>
        <w:numPr>
          <w:ilvl w:val="1"/>
          <w:numId w:val="4"/>
        </w:numPr>
        <w:tabs>
          <w:tab w:pos="641" w:val="left" w:leader="none"/>
          <w:tab w:pos="7615" w:val="left" w:leader="dot"/>
        </w:tabs>
        <w:spacing w:line="240" w:lineRule="auto" w:before="39" w:after="0"/>
        <w:ind w:left="640" w:right="0" w:hanging="419"/>
        <w:jc w:val="left"/>
        <w:rPr>
          <w:sz w:val="24"/>
        </w:rPr>
      </w:pPr>
      <w:r>
        <w:rPr>
          <w:spacing w:val="-8"/>
          <w:sz w:val="24"/>
        </w:rPr>
        <w:t>Estructura</w:t>
      </w:r>
      <w:r>
        <w:rPr>
          <w:sz w:val="24"/>
        </w:rPr>
        <w:t> </w:t>
      </w:r>
      <w:r>
        <w:rPr>
          <w:spacing w:val="-8"/>
          <w:sz w:val="24"/>
        </w:rPr>
        <w:t>económica</w:t>
      </w:r>
      <w:r>
        <w:rPr>
          <w:sz w:val="24"/>
        </w:rPr>
        <w:t> </w:t>
      </w:r>
      <w:r>
        <w:rPr>
          <w:spacing w:val="-8"/>
          <w:sz w:val="24"/>
        </w:rPr>
        <w:t>regional</w:t>
        <w:tab/>
      </w:r>
      <w:r>
        <w:rPr>
          <w:sz w:val="24"/>
        </w:rPr>
        <w:t>104</w:t>
      </w:r>
    </w:p>
    <w:p>
      <w:pPr>
        <w:pStyle w:val="ListParagraph"/>
        <w:numPr>
          <w:ilvl w:val="2"/>
          <w:numId w:val="4"/>
        </w:numPr>
        <w:tabs>
          <w:tab w:pos="1270" w:val="left" w:leader="none"/>
          <w:tab w:pos="7615" w:val="left" w:leader="dot"/>
        </w:tabs>
        <w:spacing w:line="240" w:lineRule="auto" w:before="39" w:after="0"/>
        <w:ind w:left="1269" w:right="0" w:hanging="598"/>
        <w:jc w:val="left"/>
        <w:rPr>
          <w:sz w:val="24"/>
        </w:rPr>
      </w:pPr>
      <w:r>
        <w:rPr>
          <w:spacing w:val="-9"/>
          <w:sz w:val="24"/>
        </w:rPr>
        <w:t>Coeficiente</w:t>
      </w:r>
      <w:r>
        <w:rPr>
          <w:spacing w:val="2"/>
          <w:sz w:val="24"/>
        </w:rPr>
        <w:t> </w:t>
      </w:r>
      <w:r>
        <w:rPr>
          <w:sz w:val="24"/>
        </w:rPr>
        <w:t>de</w:t>
      </w:r>
      <w:r>
        <w:rPr>
          <w:spacing w:val="2"/>
          <w:sz w:val="24"/>
        </w:rPr>
        <w:t> </w:t>
      </w:r>
      <w:r>
        <w:rPr>
          <w:spacing w:val="-9"/>
          <w:sz w:val="24"/>
        </w:rPr>
        <w:t>especialización</w:t>
        <w:tab/>
      </w:r>
      <w:r>
        <w:rPr>
          <w:sz w:val="24"/>
        </w:rPr>
        <w:t>105</w:t>
      </w:r>
    </w:p>
    <w:p>
      <w:pPr>
        <w:pStyle w:val="ListParagraph"/>
        <w:numPr>
          <w:ilvl w:val="2"/>
          <w:numId w:val="4"/>
        </w:numPr>
        <w:tabs>
          <w:tab w:pos="1270" w:val="left" w:leader="none"/>
          <w:tab w:pos="7615" w:val="left" w:leader="dot"/>
        </w:tabs>
        <w:spacing w:line="240" w:lineRule="auto" w:before="38" w:after="0"/>
        <w:ind w:left="1269" w:right="0" w:hanging="598"/>
        <w:jc w:val="left"/>
        <w:rPr>
          <w:sz w:val="24"/>
        </w:rPr>
      </w:pPr>
      <w:r>
        <w:rPr>
          <w:spacing w:val="-6"/>
          <w:sz w:val="24"/>
        </w:rPr>
        <w:t>Concentración</w:t>
      </w:r>
      <w:r>
        <w:rPr>
          <w:spacing w:val="-13"/>
          <w:sz w:val="24"/>
        </w:rPr>
        <w:t> </w:t>
      </w:r>
      <w:r>
        <w:rPr>
          <w:spacing w:val="-9"/>
          <w:sz w:val="24"/>
        </w:rPr>
        <w:t>geográfica</w:t>
      </w:r>
      <w:r>
        <w:rPr>
          <w:spacing w:val="1"/>
          <w:sz w:val="24"/>
        </w:rPr>
        <w:t> </w:t>
      </w:r>
      <w:r>
        <w:rPr>
          <w:spacing w:val="-8"/>
          <w:sz w:val="24"/>
        </w:rPr>
        <w:t>sectorial</w:t>
        <w:tab/>
      </w:r>
      <w:r>
        <w:rPr>
          <w:sz w:val="24"/>
        </w:rPr>
        <w:t>106</w:t>
      </w:r>
    </w:p>
    <w:p>
      <w:pPr>
        <w:pStyle w:val="ListParagraph"/>
        <w:numPr>
          <w:ilvl w:val="1"/>
          <w:numId w:val="4"/>
        </w:numPr>
        <w:tabs>
          <w:tab w:pos="641" w:val="left" w:leader="none"/>
          <w:tab w:pos="7615" w:val="left" w:leader="dot"/>
        </w:tabs>
        <w:spacing w:line="240" w:lineRule="auto" w:before="39" w:after="0"/>
        <w:ind w:left="640" w:right="0" w:hanging="419"/>
        <w:jc w:val="left"/>
        <w:rPr>
          <w:sz w:val="24"/>
        </w:rPr>
      </w:pPr>
      <w:r>
        <w:rPr>
          <w:spacing w:val="-12"/>
          <w:sz w:val="24"/>
        </w:rPr>
        <w:t>Dinámica</w:t>
      </w:r>
      <w:r>
        <w:rPr>
          <w:spacing w:val="-1"/>
          <w:sz w:val="24"/>
        </w:rPr>
        <w:t> </w:t>
      </w:r>
      <w:r>
        <w:rPr>
          <w:spacing w:val="-8"/>
          <w:sz w:val="24"/>
        </w:rPr>
        <w:t>regional</w:t>
        <w:tab/>
      </w:r>
      <w:r>
        <w:rPr>
          <w:sz w:val="24"/>
        </w:rPr>
        <w:t>108</w:t>
      </w:r>
    </w:p>
    <w:p>
      <w:pPr>
        <w:pStyle w:val="ListParagraph"/>
        <w:numPr>
          <w:ilvl w:val="2"/>
          <w:numId w:val="4"/>
        </w:numPr>
        <w:tabs>
          <w:tab w:pos="1270" w:val="left" w:leader="none"/>
          <w:tab w:pos="7615" w:val="left" w:leader="dot"/>
        </w:tabs>
        <w:spacing w:line="240" w:lineRule="auto" w:before="39" w:after="0"/>
        <w:ind w:left="1269" w:right="0" w:hanging="598"/>
        <w:jc w:val="left"/>
        <w:rPr>
          <w:sz w:val="24"/>
        </w:rPr>
      </w:pPr>
      <w:r>
        <w:rPr>
          <w:spacing w:val="-7"/>
          <w:sz w:val="24"/>
        </w:rPr>
        <w:t>Shife-Share</w:t>
        <w:tab/>
      </w:r>
      <w:r>
        <w:rPr>
          <w:sz w:val="24"/>
        </w:rPr>
        <w:t>108</w:t>
      </w:r>
    </w:p>
    <w:p>
      <w:pPr>
        <w:pStyle w:val="ListParagraph"/>
        <w:numPr>
          <w:ilvl w:val="2"/>
          <w:numId w:val="4"/>
        </w:numPr>
        <w:tabs>
          <w:tab w:pos="1270" w:val="left" w:leader="none"/>
          <w:tab w:pos="7615" w:val="left" w:leader="dot"/>
        </w:tabs>
        <w:spacing w:line="240" w:lineRule="auto" w:before="39" w:after="0"/>
        <w:ind w:left="1269" w:right="0" w:hanging="598"/>
        <w:jc w:val="left"/>
        <w:rPr>
          <w:sz w:val="24"/>
        </w:rPr>
      </w:pPr>
      <w:r>
        <w:rPr>
          <w:spacing w:val="-11"/>
          <w:sz w:val="24"/>
        </w:rPr>
        <w:t>Tipología </w:t>
      </w:r>
      <w:r>
        <w:rPr>
          <w:sz w:val="24"/>
        </w:rPr>
        <w:t>de</w:t>
      </w:r>
      <w:r>
        <w:rPr>
          <w:spacing w:val="10"/>
          <w:sz w:val="24"/>
        </w:rPr>
        <w:t> </w:t>
      </w:r>
      <w:r>
        <w:rPr>
          <w:spacing w:val="-8"/>
          <w:sz w:val="24"/>
        </w:rPr>
        <w:t>las</w:t>
      </w:r>
      <w:r>
        <w:rPr>
          <w:spacing w:val="-3"/>
          <w:sz w:val="24"/>
        </w:rPr>
        <w:t> </w:t>
      </w:r>
      <w:r>
        <w:rPr>
          <w:spacing w:val="-9"/>
          <w:sz w:val="24"/>
        </w:rPr>
        <w:t>regiones</w:t>
        <w:tab/>
      </w:r>
      <w:r>
        <w:rPr>
          <w:sz w:val="24"/>
        </w:rPr>
        <w:t>110</w:t>
      </w:r>
    </w:p>
    <w:p>
      <w:pPr>
        <w:pStyle w:val="ListParagraph"/>
        <w:numPr>
          <w:ilvl w:val="1"/>
          <w:numId w:val="4"/>
        </w:numPr>
        <w:tabs>
          <w:tab w:pos="641" w:val="left" w:leader="none"/>
          <w:tab w:pos="7615" w:val="left" w:leader="dot"/>
        </w:tabs>
        <w:spacing w:line="240" w:lineRule="auto" w:before="38" w:after="0"/>
        <w:ind w:left="640" w:right="0" w:hanging="419"/>
        <w:jc w:val="left"/>
        <w:rPr>
          <w:sz w:val="24"/>
        </w:rPr>
      </w:pPr>
      <w:r>
        <w:rPr>
          <w:spacing w:val="-8"/>
          <w:sz w:val="24"/>
        </w:rPr>
        <w:t>Industrias</w:t>
      </w:r>
      <w:r>
        <w:rPr>
          <w:spacing w:val="-3"/>
          <w:sz w:val="24"/>
        </w:rPr>
        <w:t> </w:t>
      </w:r>
      <w:r>
        <w:rPr>
          <w:spacing w:val="-8"/>
          <w:sz w:val="24"/>
        </w:rPr>
        <w:t>motrices</w:t>
        <w:tab/>
      </w:r>
      <w:r>
        <w:rPr>
          <w:sz w:val="24"/>
        </w:rPr>
        <w:t>114</w:t>
      </w:r>
    </w:p>
    <w:p>
      <w:pPr>
        <w:pStyle w:val="BodyText"/>
        <w:tabs>
          <w:tab w:pos="7615" w:val="left" w:leader="dot"/>
        </w:tabs>
        <w:spacing w:before="39"/>
        <w:ind w:left="221" w:right="188"/>
      </w:pPr>
      <w:r>
        <w:rPr>
          <w:spacing w:val="-7"/>
        </w:rPr>
        <w:t>Puntos</w:t>
      </w:r>
      <w:r>
        <w:rPr>
          <w:spacing w:val="-1"/>
        </w:rPr>
        <w:t> </w:t>
      </w:r>
      <w:r>
        <w:rPr>
          <w:spacing w:val="-9"/>
        </w:rPr>
        <w:t>concluyentes</w:t>
        <w:tab/>
      </w:r>
      <w:r>
        <w:rPr/>
        <w:t>117</w:t>
      </w:r>
    </w:p>
    <w:p>
      <w:pPr>
        <w:pStyle w:val="Heading2"/>
        <w:spacing w:before="564"/>
        <w:ind w:left="221" w:right="188"/>
      </w:pPr>
      <w:r>
        <w:rPr/>
        <w:t>Capítulo 4. Validación de la Primera y Segunda Ley de  Kaldor</w:t>
      </w:r>
    </w:p>
    <w:p>
      <w:pPr>
        <w:pStyle w:val="BodyText"/>
        <w:tabs>
          <w:tab w:pos="7615" w:val="left" w:leader="dot"/>
        </w:tabs>
        <w:spacing w:before="354"/>
        <w:ind w:left="221" w:right="188"/>
      </w:pPr>
      <w:r>
        <w:rPr>
          <w:spacing w:val="-7"/>
        </w:rPr>
        <w:t>Introducción</w:t>
        <w:tab/>
      </w:r>
      <w:r>
        <w:rPr/>
        <w:t>120</w:t>
      </w:r>
    </w:p>
    <w:p>
      <w:pPr>
        <w:pStyle w:val="BodyText"/>
        <w:tabs>
          <w:tab w:pos="7615" w:val="left" w:leader="dot"/>
        </w:tabs>
        <w:spacing w:before="39" w:after="18"/>
        <w:ind w:left="221" w:right="188"/>
      </w:pPr>
      <w:r>
        <w:rPr/>
        <w:t>4.1. </w:t>
      </w:r>
      <w:r>
        <w:rPr>
          <w:spacing w:val="-5"/>
        </w:rPr>
        <w:t>Las </w:t>
      </w:r>
      <w:r>
        <w:rPr>
          <w:spacing w:val="-9"/>
        </w:rPr>
        <w:t>leyes</w:t>
      </w:r>
      <w:r>
        <w:rPr>
          <w:spacing w:val="-2"/>
        </w:rPr>
        <w:t> </w:t>
      </w:r>
      <w:r>
        <w:rPr/>
        <w:t>de</w:t>
      </w:r>
      <w:r>
        <w:rPr>
          <w:spacing w:val="-3"/>
        </w:rPr>
        <w:t> Kaldor</w:t>
        <w:tab/>
      </w:r>
      <w:r>
        <w:rPr/>
        <w:t>121</w:t>
      </w:r>
    </w:p>
    <w:tbl>
      <w:tblPr>
        <w:tblW w:w="0" w:type="auto"/>
        <w:jc w:val="left"/>
        <w:tblInd w:w="18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75"/>
        <w:gridCol w:w="449"/>
      </w:tblGrid>
      <w:tr>
        <w:trPr>
          <w:trHeight w:val="329" w:hRule="exact"/>
        </w:trPr>
        <w:tc>
          <w:tcPr>
            <w:tcW w:w="7375" w:type="dxa"/>
          </w:tcPr>
          <w:p>
            <w:pPr>
              <w:pStyle w:val="TableParagraph"/>
              <w:spacing w:before="21"/>
              <w:ind w:left="485"/>
              <w:jc w:val="left"/>
              <w:rPr>
                <w:rFonts w:ascii="Times New Roman" w:hAnsi="Times New Roman"/>
                <w:sz w:val="24"/>
              </w:rPr>
            </w:pPr>
            <w:r>
              <w:rPr>
                <w:rFonts w:ascii="Times New Roman" w:hAnsi="Times New Roman"/>
                <w:sz w:val="24"/>
              </w:rPr>
              <w:t>4.1.1  Evidencia empírica ………………………………………………</w:t>
            </w:r>
          </w:p>
        </w:tc>
        <w:tc>
          <w:tcPr>
            <w:tcW w:w="449" w:type="dxa"/>
          </w:tcPr>
          <w:p>
            <w:pPr>
              <w:pStyle w:val="TableParagraph"/>
              <w:spacing w:before="21"/>
              <w:ind w:left="33" w:right="14"/>
              <w:jc w:val="center"/>
              <w:rPr>
                <w:rFonts w:ascii="Times New Roman"/>
                <w:sz w:val="24"/>
              </w:rPr>
            </w:pPr>
            <w:r>
              <w:rPr>
                <w:rFonts w:ascii="Times New Roman"/>
                <w:sz w:val="24"/>
              </w:rPr>
              <w:t>128</w:t>
            </w:r>
          </w:p>
        </w:tc>
      </w:tr>
      <w:tr>
        <w:trPr>
          <w:trHeight w:val="315" w:hRule="exact"/>
        </w:trPr>
        <w:tc>
          <w:tcPr>
            <w:tcW w:w="7375" w:type="dxa"/>
          </w:tcPr>
          <w:p>
            <w:pPr>
              <w:pStyle w:val="TableParagraph"/>
              <w:spacing w:before="6"/>
              <w:ind w:left="35"/>
              <w:jc w:val="left"/>
              <w:rPr>
                <w:rFonts w:ascii="Times New Roman" w:hAnsi="Times New Roman"/>
                <w:sz w:val="24"/>
              </w:rPr>
            </w:pPr>
            <w:r>
              <w:rPr>
                <w:rFonts w:ascii="Times New Roman" w:hAnsi="Times New Roman"/>
                <w:sz w:val="24"/>
              </w:rPr>
              <w:t>4.2. </w:t>
            </w:r>
            <w:r>
              <w:rPr>
                <w:rFonts w:ascii="Times New Roman" w:hAnsi="Times New Roman"/>
                <w:spacing w:val="-7"/>
                <w:sz w:val="24"/>
              </w:rPr>
              <w:t>Metodología </w:t>
            </w:r>
            <w:r>
              <w:rPr>
                <w:rFonts w:ascii="Times New Roman" w:hAnsi="Times New Roman"/>
                <w:sz w:val="24"/>
              </w:rPr>
              <w:t>e </w:t>
            </w:r>
            <w:r>
              <w:rPr>
                <w:rFonts w:ascii="Times New Roman" w:hAnsi="Times New Roman"/>
                <w:spacing w:val="-11"/>
                <w:sz w:val="24"/>
              </w:rPr>
              <w:t>información </w:t>
            </w:r>
            <w:r>
              <w:rPr>
                <w:rFonts w:ascii="Times New Roman" w:hAnsi="Times New Roman"/>
                <w:spacing w:val="-7"/>
                <w:sz w:val="24"/>
              </w:rPr>
              <w:t>estadística </w:t>
            </w:r>
            <w:r>
              <w:rPr>
                <w:rFonts w:ascii="Times New Roman" w:hAnsi="Times New Roman"/>
                <w:sz w:val="24"/>
              </w:rPr>
              <w:t>……………………………………</w:t>
            </w:r>
          </w:p>
        </w:tc>
        <w:tc>
          <w:tcPr>
            <w:tcW w:w="449" w:type="dxa"/>
          </w:tcPr>
          <w:p>
            <w:pPr>
              <w:pStyle w:val="TableParagraph"/>
              <w:spacing w:before="6"/>
              <w:ind w:left="33" w:right="14"/>
              <w:jc w:val="center"/>
              <w:rPr>
                <w:rFonts w:ascii="Times New Roman"/>
                <w:sz w:val="24"/>
              </w:rPr>
            </w:pPr>
            <w:r>
              <w:rPr>
                <w:rFonts w:ascii="Times New Roman"/>
                <w:sz w:val="24"/>
              </w:rPr>
              <w:t>126</w:t>
            </w:r>
          </w:p>
        </w:tc>
      </w:tr>
      <w:tr>
        <w:trPr>
          <w:trHeight w:val="315" w:hRule="exact"/>
        </w:trPr>
        <w:tc>
          <w:tcPr>
            <w:tcW w:w="7375" w:type="dxa"/>
          </w:tcPr>
          <w:p>
            <w:pPr>
              <w:pStyle w:val="TableParagraph"/>
              <w:spacing w:before="6"/>
              <w:ind w:left="485"/>
              <w:jc w:val="left"/>
              <w:rPr>
                <w:rFonts w:ascii="Times New Roman" w:hAnsi="Times New Roman"/>
                <w:sz w:val="24"/>
              </w:rPr>
            </w:pPr>
            <w:r>
              <w:rPr>
                <w:rFonts w:ascii="Times New Roman" w:hAnsi="Times New Roman"/>
                <w:sz w:val="24"/>
              </w:rPr>
              <w:t>4.2.1. Modelos de panel ………………….……………………………</w:t>
            </w:r>
          </w:p>
        </w:tc>
        <w:tc>
          <w:tcPr>
            <w:tcW w:w="449" w:type="dxa"/>
          </w:tcPr>
          <w:p>
            <w:pPr>
              <w:pStyle w:val="TableParagraph"/>
              <w:spacing w:before="6"/>
              <w:ind w:left="33" w:right="14"/>
              <w:jc w:val="center"/>
              <w:rPr>
                <w:rFonts w:ascii="Times New Roman"/>
                <w:sz w:val="24"/>
              </w:rPr>
            </w:pPr>
            <w:r>
              <w:rPr>
                <w:rFonts w:ascii="Times New Roman"/>
                <w:sz w:val="24"/>
              </w:rPr>
              <w:t>127</w:t>
            </w:r>
          </w:p>
        </w:tc>
      </w:tr>
      <w:tr>
        <w:trPr>
          <w:trHeight w:val="315" w:hRule="exact"/>
        </w:trPr>
        <w:tc>
          <w:tcPr>
            <w:tcW w:w="7375" w:type="dxa"/>
          </w:tcPr>
          <w:p>
            <w:pPr>
              <w:pStyle w:val="TableParagraph"/>
              <w:spacing w:before="6"/>
              <w:ind w:right="144"/>
              <w:rPr>
                <w:rFonts w:ascii="Times New Roman" w:hAnsi="Times New Roman"/>
                <w:sz w:val="24"/>
              </w:rPr>
            </w:pPr>
            <w:r>
              <w:rPr>
                <w:rFonts w:ascii="Times New Roman" w:hAnsi="Times New Roman"/>
                <w:sz w:val="24"/>
              </w:rPr>
              <w:t>4.2.2. ¿Efectos aleatorios o fijos? …………….…………………………</w:t>
            </w:r>
          </w:p>
        </w:tc>
        <w:tc>
          <w:tcPr>
            <w:tcW w:w="449" w:type="dxa"/>
          </w:tcPr>
          <w:p>
            <w:pPr>
              <w:pStyle w:val="TableParagraph"/>
              <w:spacing w:before="6"/>
              <w:ind w:left="33" w:right="14"/>
              <w:jc w:val="center"/>
              <w:rPr>
                <w:rFonts w:ascii="Times New Roman"/>
                <w:sz w:val="24"/>
              </w:rPr>
            </w:pPr>
            <w:r>
              <w:rPr>
                <w:rFonts w:ascii="Times New Roman"/>
                <w:sz w:val="24"/>
              </w:rPr>
              <w:t>128</w:t>
            </w:r>
          </w:p>
        </w:tc>
      </w:tr>
      <w:tr>
        <w:trPr>
          <w:trHeight w:val="315" w:hRule="exact"/>
        </w:trPr>
        <w:tc>
          <w:tcPr>
            <w:tcW w:w="7375" w:type="dxa"/>
          </w:tcPr>
          <w:p>
            <w:pPr>
              <w:pStyle w:val="TableParagraph"/>
              <w:spacing w:before="6"/>
              <w:ind w:right="52"/>
              <w:rPr>
                <w:rFonts w:ascii="Times New Roman" w:hAnsi="Times New Roman"/>
                <w:sz w:val="24"/>
              </w:rPr>
            </w:pPr>
            <w:r>
              <w:rPr>
                <w:rFonts w:ascii="Times New Roman" w:hAnsi="Times New Roman"/>
                <w:sz w:val="24"/>
              </w:rPr>
              <w:t>4.2.3. Modelos a estimar…………………………………………………</w:t>
            </w:r>
          </w:p>
        </w:tc>
        <w:tc>
          <w:tcPr>
            <w:tcW w:w="449" w:type="dxa"/>
          </w:tcPr>
          <w:p>
            <w:pPr>
              <w:pStyle w:val="TableParagraph"/>
              <w:spacing w:before="6"/>
              <w:ind w:left="33" w:right="14"/>
              <w:jc w:val="center"/>
              <w:rPr>
                <w:rFonts w:ascii="Times New Roman"/>
                <w:sz w:val="24"/>
              </w:rPr>
            </w:pPr>
            <w:r>
              <w:rPr>
                <w:rFonts w:ascii="Times New Roman"/>
                <w:sz w:val="24"/>
              </w:rPr>
              <w:t>130</w:t>
            </w:r>
          </w:p>
        </w:tc>
      </w:tr>
      <w:tr>
        <w:trPr>
          <w:trHeight w:val="315" w:hRule="exact"/>
        </w:trPr>
        <w:tc>
          <w:tcPr>
            <w:tcW w:w="7375" w:type="dxa"/>
          </w:tcPr>
          <w:p>
            <w:pPr>
              <w:pStyle w:val="TableParagraph"/>
              <w:spacing w:before="6"/>
              <w:ind w:left="35"/>
              <w:jc w:val="left"/>
              <w:rPr>
                <w:rFonts w:ascii="Times New Roman" w:hAnsi="Times New Roman"/>
                <w:sz w:val="24"/>
              </w:rPr>
            </w:pPr>
            <w:r>
              <w:rPr>
                <w:rFonts w:ascii="Times New Roman" w:hAnsi="Times New Roman"/>
                <w:sz w:val="24"/>
              </w:rPr>
              <w:t>4.3. </w:t>
            </w:r>
            <w:r>
              <w:rPr>
                <w:rFonts w:ascii="Times New Roman" w:hAnsi="Times New Roman"/>
                <w:spacing w:val="-9"/>
                <w:sz w:val="24"/>
              </w:rPr>
              <w:t>Información </w:t>
            </w:r>
            <w:r>
              <w:rPr>
                <w:rFonts w:ascii="Times New Roman" w:hAnsi="Times New Roman"/>
                <w:spacing w:val="-7"/>
                <w:sz w:val="24"/>
              </w:rPr>
              <w:t>estadística </w:t>
            </w:r>
            <w:r>
              <w:rPr>
                <w:rFonts w:ascii="Times New Roman" w:hAnsi="Times New Roman"/>
                <w:sz w:val="24"/>
              </w:rPr>
              <w:t>………..…………………………………………</w:t>
            </w:r>
          </w:p>
        </w:tc>
        <w:tc>
          <w:tcPr>
            <w:tcW w:w="449" w:type="dxa"/>
          </w:tcPr>
          <w:p>
            <w:pPr>
              <w:pStyle w:val="TableParagraph"/>
              <w:spacing w:before="6"/>
              <w:ind w:left="33" w:right="14"/>
              <w:jc w:val="center"/>
              <w:rPr>
                <w:rFonts w:ascii="Times New Roman"/>
                <w:sz w:val="24"/>
              </w:rPr>
            </w:pPr>
            <w:r>
              <w:rPr>
                <w:rFonts w:ascii="Times New Roman"/>
                <w:sz w:val="24"/>
              </w:rPr>
              <w:t>131</w:t>
            </w:r>
          </w:p>
        </w:tc>
      </w:tr>
      <w:tr>
        <w:trPr>
          <w:trHeight w:val="315" w:hRule="exact"/>
        </w:trPr>
        <w:tc>
          <w:tcPr>
            <w:tcW w:w="7375" w:type="dxa"/>
          </w:tcPr>
          <w:p>
            <w:pPr>
              <w:pStyle w:val="TableParagraph"/>
              <w:spacing w:before="6"/>
              <w:ind w:left="35"/>
              <w:jc w:val="left"/>
              <w:rPr>
                <w:rFonts w:ascii="Times New Roman" w:hAnsi="Times New Roman"/>
                <w:sz w:val="24"/>
              </w:rPr>
            </w:pPr>
            <w:r>
              <w:rPr>
                <w:rFonts w:ascii="Times New Roman" w:hAnsi="Times New Roman"/>
                <w:sz w:val="24"/>
              </w:rPr>
              <w:t>4.4. Resultados ………………………………………………………………</w:t>
            </w:r>
          </w:p>
        </w:tc>
        <w:tc>
          <w:tcPr>
            <w:tcW w:w="449" w:type="dxa"/>
          </w:tcPr>
          <w:p>
            <w:pPr>
              <w:pStyle w:val="TableParagraph"/>
              <w:spacing w:before="6"/>
              <w:ind w:left="33" w:right="14"/>
              <w:jc w:val="center"/>
              <w:rPr>
                <w:rFonts w:ascii="Times New Roman"/>
                <w:sz w:val="24"/>
              </w:rPr>
            </w:pPr>
            <w:r>
              <w:rPr>
                <w:rFonts w:ascii="Times New Roman"/>
                <w:sz w:val="24"/>
              </w:rPr>
              <w:t>138</w:t>
            </w:r>
          </w:p>
        </w:tc>
      </w:tr>
      <w:tr>
        <w:trPr>
          <w:trHeight w:val="472" w:hRule="exact"/>
        </w:trPr>
        <w:tc>
          <w:tcPr>
            <w:tcW w:w="7375" w:type="dxa"/>
          </w:tcPr>
          <w:p>
            <w:pPr>
              <w:pStyle w:val="TableParagraph"/>
              <w:spacing w:before="6"/>
              <w:ind w:left="35"/>
              <w:jc w:val="left"/>
              <w:rPr>
                <w:rFonts w:ascii="Times New Roman" w:hAnsi="Times New Roman"/>
                <w:sz w:val="24"/>
              </w:rPr>
            </w:pPr>
            <w:r>
              <w:rPr>
                <w:rFonts w:ascii="Times New Roman" w:hAnsi="Times New Roman"/>
                <w:sz w:val="24"/>
              </w:rPr>
              <w:t>Puntos concluyentes………………………………………………………….</w:t>
            </w:r>
          </w:p>
        </w:tc>
        <w:tc>
          <w:tcPr>
            <w:tcW w:w="449" w:type="dxa"/>
          </w:tcPr>
          <w:p>
            <w:pPr>
              <w:pStyle w:val="TableParagraph"/>
              <w:spacing w:before="6"/>
              <w:ind w:left="33" w:right="14"/>
              <w:jc w:val="center"/>
              <w:rPr>
                <w:rFonts w:ascii="Times New Roman"/>
                <w:sz w:val="24"/>
              </w:rPr>
            </w:pPr>
            <w:r>
              <w:rPr>
                <w:rFonts w:ascii="Times New Roman"/>
                <w:sz w:val="24"/>
              </w:rPr>
              <w:t>146</w:t>
            </w:r>
          </w:p>
        </w:tc>
      </w:tr>
      <w:tr>
        <w:trPr>
          <w:trHeight w:val="473" w:hRule="exact"/>
        </w:trPr>
        <w:tc>
          <w:tcPr>
            <w:tcW w:w="7375" w:type="dxa"/>
          </w:tcPr>
          <w:p>
            <w:pPr>
              <w:pStyle w:val="TableParagraph"/>
              <w:spacing w:before="164"/>
              <w:ind w:left="35"/>
              <w:jc w:val="left"/>
              <w:rPr>
                <w:sz w:val="24"/>
              </w:rPr>
            </w:pPr>
            <w:r>
              <w:rPr>
                <w:rFonts w:ascii="Times New Roman" w:hAnsi="Times New Roman"/>
                <w:b/>
                <w:sz w:val="24"/>
              </w:rPr>
              <w:t>Conclusiones generales </w:t>
            </w:r>
            <w:r>
              <w:rPr>
                <w:sz w:val="24"/>
              </w:rPr>
              <w:t>……………………………………………………</w:t>
            </w:r>
          </w:p>
        </w:tc>
        <w:tc>
          <w:tcPr>
            <w:tcW w:w="449" w:type="dxa"/>
          </w:tcPr>
          <w:p>
            <w:pPr>
              <w:pStyle w:val="TableParagraph"/>
              <w:spacing w:before="165"/>
              <w:ind w:left="33" w:right="14"/>
              <w:jc w:val="center"/>
              <w:rPr>
                <w:rFonts w:ascii="Times New Roman"/>
                <w:sz w:val="24"/>
              </w:rPr>
            </w:pPr>
            <w:r>
              <w:rPr>
                <w:rFonts w:ascii="Times New Roman"/>
                <w:sz w:val="24"/>
              </w:rPr>
              <w:t>149</w:t>
            </w:r>
          </w:p>
        </w:tc>
      </w:tr>
      <w:tr>
        <w:trPr>
          <w:trHeight w:val="315" w:hRule="exact"/>
        </w:trPr>
        <w:tc>
          <w:tcPr>
            <w:tcW w:w="7375" w:type="dxa"/>
          </w:tcPr>
          <w:p>
            <w:pPr>
              <w:pStyle w:val="TableParagraph"/>
              <w:spacing w:before="6"/>
              <w:ind w:left="35"/>
              <w:jc w:val="left"/>
              <w:rPr>
                <w:rFonts w:ascii="Times New Roman" w:hAnsi="Times New Roman"/>
                <w:sz w:val="24"/>
              </w:rPr>
            </w:pPr>
            <w:r>
              <w:rPr>
                <w:rFonts w:ascii="Times New Roman" w:hAnsi="Times New Roman"/>
                <w:sz w:val="24"/>
              </w:rPr>
              <w:t>Bibliografía ………………………….………………………………………</w:t>
            </w:r>
          </w:p>
        </w:tc>
        <w:tc>
          <w:tcPr>
            <w:tcW w:w="449" w:type="dxa"/>
          </w:tcPr>
          <w:p>
            <w:pPr>
              <w:pStyle w:val="TableParagraph"/>
              <w:spacing w:before="6"/>
              <w:ind w:left="33" w:right="14"/>
              <w:jc w:val="center"/>
              <w:rPr>
                <w:rFonts w:ascii="Times New Roman"/>
                <w:sz w:val="24"/>
              </w:rPr>
            </w:pPr>
            <w:r>
              <w:rPr>
                <w:rFonts w:ascii="Times New Roman"/>
                <w:sz w:val="24"/>
              </w:rPr>
              <w:t>157</w:t>
            </w:r>
          </w:p>
        </w:tc>
      </w:tr>
      <w:tr>
        <w:trPr>
          <w:trHeight w:val="315" w:hRule="exact"/>
        </w:trPr>
        <w:tc>
          <w:tcPr>
            <w:tcW w:w="7375" w:type="dxa"/>
          </w:tcPr>
          <w:p>
            <w:pPr>
              <w:pStyle w:val="TableParagraph"/>
              <w:spacing w:before="6"/>
              <w:ind w:left="35"/>
              <w:jc w:val="left"/>
              <w:rPr>
                <w:rFonts w:ascii="Times New Roman"/>
                <w:sz w:val="24"/>
              </w:rPr>
            </w:pPr>
            <w:r>
              <w:rPr>
                <w:rFonts w:ascii="Times New Roman"/>
                <w:sz w:val="24"/>
              </w:rPr>
              <w:t>Anexos</w:t>
            </w:r>
          </w:p>
        </w:tc>
        <w:tc>
          <w:tcPr>
            <w:tcW w:w="449" w:type="dxa"/>
          </w:tcPr>
          <w:p>
            <w:pPr/>
          </w:p>
        </w:tc>
      </w:tr>
      <w:tr>
        <w:trPr>
          <w:trHeight w:val="315" w:hRule="exact"/>
        </w:trPr>
        <w:tc>
          <w:tcPr>
            <w:tcW w:w="7375" w:type="dxa"/>
          </w:tcPr>
          <w:p>
            <w:pPr>
              <w:pStyle w:val="TableParagraph"/>
              <w:spacing w:before="6"/>
              <w:ind w:left="35"/>
              <w:jc w:val="left"/>
              <w:rPr>
                <w:rFonts w:ascii="Times New Roman" w:hAnsi="Times New Roman"/>
                <w:sz w:val="24"/>
              </w:rPr>
            </w:pPr>
            <w:r>
              <w:rPr>
                <w:rFonts w:ascii="Times New Roman" w:hAnsi="Times New Roman"/>
                <w:spacing w:val="-9"/>
                <w:sz w:val="24"/>
              </w:rPr>
              <w:t>Anexo </w:t>
            </w:r>
            <w:r>
              <w:rPr>
                <w:rFonts w:ascii="Times New Roman" w:hAnsi="Times New Roman"/>
                <w:spacing w:val="-8"/>
                <w:sz w:val="24"/>
              </w:rPr>
              <w:t>metodológico </w:t>
            </w:r>
            <w:r>
              <w:rPr>
                <w:rFonts w:ascii="Times New Roman" w:hAnsi="Times New Roman"/>
                <w:sz w:val="24"/>
              </w:rPr>
              <w:t>…………………………………………………………</w:t>
            </w:r>
          </w:p>
        </w:tc>
        <w:tc>
          <w:tcPr>
            <w:tcW w:w="449" w:type="dxa"/>
          </w:tcPr>
          <w:p>
            <w:pPr>
              <w:pStyle w:val="TableParagraph"/>
              <w:spacing w:before="6"/>
              <w:ind w:left="33" w:right="14"/>
              <w:jc w:val="center"/>
              <w:rPr>
                <w:rFonts w:ascii="Times New Roman"/>
                <w:sz w:val="24"/>
              </w:rPr>
            </w:pPr>
            <w:r>
              <w:rPr>
                <w:rFonts w:ascii="Times New Roman"/>
                <w:sz w:val="24"/>
              </w:rPr>
              <w:t>170</w:t>
            </w:r>
          </w:p>
        </w:tc>
      </w:tr>
      <w:tr>
        <w:trPr>
          <w:trHeight w:val="315" w:hRule="exact"/>
        </w:trPr>
        <w:tc>
          <w:tcPr>
            <w:tcW w:w="7375" w:type="dxa"/>
          </w:tcPr>
          <w:p>
            <w:pPr>
              <w:pStyle w:val="TableParagraph"/>
              <w:spacing w:before="6"/>
              <w:ind w:left="35"/>
              <w:jc w:val="left"/>
              <w:rPr>
                <w:rFonts w:ascii="Times New Roman" w:hAnsi="Times New Roman"/>
                <w:sz w:val="24"/>
              </w:rPr>
            </w:pPr>
            <w:r>
              <w:rPr>
                <w:rFonts w:ascii="Times New Roman" w:hAnsi="Times New Roman"/>
                <w:spacing w:val="-9"/>
                <w:sz w:val="24"/>
              </w:rPr>
              <w:t>Anexo </w:t>
            </w:r>
            <w:r>
              <w:rPr>
                <w:rFonts w:ascii="Times New Roman" w:hAnsi="Times New Roman"/>
                <w:sz w:val="24"/>
              </w:rPr>
              <w:t>1. Mapas de </w:t>
            </w:r>
            <w:r>
              <w:rPr>
                <w:rFonts w:ascii="Times New Roman" w:hAnsi="Times New Roman"/>
                <w:spacing w:val="-9"/>
                <w:sz w:val="24"/>
              </w:rPr>
              <w:t>especialización </w:t>
            </w:r>
            <w:r>
              <w:rPr>
                <w:rFonts w:ascii="Times New Roman" w:hAnsi="Times New Roman"/>
                <w:spacing w:val="-7"/>
                <w:sz w:val="24"/>
              </w:rPr>
              <w:t>productiva </w:t>
            </w:r>
            <w:r>
              <w:rPr>
                <w:rFonts w:ascii="Times New Roman" w:hAnsi="Times New Roman"/>
                <w:sz w:val="24"/>
              </w:rPr>
              <w:t>………………………………</w:t>
            </w:r>
          </w:p>
        </w:tc>
        <w:tc>
          <w:tcPr>
            <w:tcW w:w="449" w:type="dxa"/>
          </w:tcPr>
          <w:p>
            <w:pPr>
              <w:pStyle w:val="TableParagraph"/>
              <w:spacing w:before="6"/>
              <w:ind w:left="33" w:right="14"/>
              <w:jc w:val="center"/>
              <w:rPr>
                <w:rFonts w:ascii="Times New Roman"/>
                <w:sz w:val="24"/>
              </w:rPr>
            </w:pPr>
            <w:r>
              <w:rPr>
                <w:rFonts w:ascii="Times New Roman"/>
                <w:sz w:val="24"/>
              </w:rPr>
              <w:t>181</w:t>
            </w:r>
          </w:p>
        </w:tc>
      </w:tr>
      <w:tr>
        <w:trPr>
          <w:trHeight w:val="377" w:hRule="exact"/>
        </w:trPr>
        <w:tc>
          <w:tcPr>
            <w:tcW w:w="7375" w:type="dxa"/>
          </w:tcPr>
          <w:p>
            <w:pPr>
              <w:pStyle w:val="TableParagraph"/>
              <w:spacing w:before="6"/>
              <w:ind w:left="35"/>
              <w:jc w:val="left"/>
              <w:rPr>
                <w:rFonts w:ascii="Times New Roman" w:hAnsi="Times New Roman"/>
                <w:sz w:val="24"/>
              </w:rPr>
            </w:pPr>
            <w:r>
              <w:rPr>
                <w:rFonts w:ascii="Times New Roman" w:hAnsi="Times New Roman"/>
                <w:spacing w:val="-9"/>
                <w:sz w:val="24"/>
              </w:rPr>
              <w:t>Anexo </w:t>
            </w:r>
            <w:r>
              <w:rPr>
                <w:rFonts w:ascii="Times New Roman" w:hAnsi="Times New Roman"/>
                <w:sz w:val="24"/>
              </w:rPr>
              <w:t>2. </w:t>
            </w:r>
            <w:r>
              <w:rPr>
                <w:rFonts w:ascii="Times New Roman" w:hAnsi="Times New Roman"/>
                <w:spacing w:val="-3"/>
                <w:sz w:val="24"/>
              </w:rPr>
              <w:t>Censos </w:t>
            </w:r>
            <w:r>
              <w:rPr>
                <w:rFonts w:ascii="Times New Roman" w:hAnsi="Times New Roman"/>
                <w:spacing w:val="-4"/>
                <w:sz w:val="24"/>
              </w:rPr>
              <w:t>industriales…………………………………………………</w:t>
            </w:r>
          </w:p>
        </w:tc>
        <w:tc>
          <w:tcPr>
            <w:tcW w:w="449" w:type="dxa"/>
          </w:tcPr>
          <w:p>
            <w:pPr>
              <w:pStyle w:val="TableParagraph"/>
              <w:spacing w:before="6"/>
              <w:ind w:left="33" w:right="14"/>
              <w:jc w:val="center"/>
              <w:rPr>
                <w:rFonts w:ascii="Times New Roman"/>
                <w:sz w:val="24"/>
              </w:rPr>
            </w:pPr>
            <w:r>
              <w:rPr>
                <w:rFonts w:ascii="Times New Roman"/>
                <w:sz w:val="24"/>
              </w:rPr>
              <w:t>190</w:t>
            </w:r>
          </w:p>
        </w:tc>
      </w:tr>
    </w:tbl>
    <w:p>
      <w:pPr>
        <w:spacing w:after="0"/>
        <w:jc w:val="center"/>
        <w:rPr>
          <w:rFonts w:ascii="Times New Roman"/>
          <w:sz w:val="24"/>
        </w:rPr>
        <w:sectPr>
          <w:pgSz w:w="12240" w:h="15840"/>
          <w:pgMar w:header="0" w:footer="1003" w:top="1500" w:bottom="1200" w:left="1720" w:right="1580"/>
        </w:sectPr>
      </w:pPr>
    </w:p>
    <w:p>
      <w:pPr>
        <w:pStyle w:val="Heading2"/>
        <w:spacing w:before="55"/>
        <w:ind w:left="122" w:right="0"/>
        <w:jc w:val="both"/>
      </w:pPr>
      <w:bookmarkStart w:name="_TOC_250016" w:id="1"/>
      <w:bookmarkEnd w:id="1"/>
      <w:r>
        <w:rPr/>
        <w:t>Introducción</w:t>
      </w:r>
    </w:p>
    <w:p>
      <w:pPr>
        <w:pStyle w:val="BodyText"/>
        <w:rPr>
          <w:b/>
        </w:rPr>
      </w:pPr>
    </w:p>
    <w:p>
      <w:pPr>
        <w:pStyle w:val="BodyText"/>
        <w:spacing w:before="7"/>
        <w:rPr>
          <w:b/>
          <w:sz w:val="23"/>
        </w:rPr>
      </w:pPr>
    </w:p>
    <w:p>
      <w:pPr>
        <w:pStyle w:val="BodyText"/>
        <w:spacing w:line="360" w:lineRule="auto"/>
        <w:ind w:left="122" w:right="118"/>
        <w:jc w:val="both"/>
      </w:pPr>
      <w:r>
        <w:rPr/>
        <w:t>Es un hecho constatable que la base del desarrollo de un país es el crecimiento económico. Todo país, mediante sus modos de producción, aspira a alcanzar un crecimiento económico con el objetivo de lograr cambios cualitativos en su población con miras a incrementar el ingreso, para mejorar el nivel de vida de sus habitantes y obtener el reparto viable de la riqueza entre su población.</w:t>
      </w:r>
    </w:p>
    <w:p>
      <w:pPr>
        <w:pStyle w:val="BodyText"/>
        <w:spacing w:line="360" w:lineRule="auto" w:before="6"/>
        <w:ind w:left="122" w:right="124" w:firstLine="707"/>
        <w:jc w:val="both"/>
      </w:pPr>
      <w:r>
        <w:rPr/>
        <w:t>Así, la economía de una nación crece cuando registra aumento en el Producto Interno Bruto (PIB) real </w:t>
      </w:r>
      <w:r>
        <w:rPr>
          <w:i/>
        </w:rPr>
        <w:t>per cápita</w:t>
      </w:r>
      <w:r>
        <w:rPr/>
        <w:t>, lo cual es considerado como una medida de la prosperidad económica que refleja la cantidad de bienes y servicios de que dispone cada individuo de la sociedad.</w:t>
      </w:r>
    </w:p>
    <w:p>
      <w:pPr>
        <w:pStyle w:val="BodyText"/>
        <w:spacing w:line="352" w:lineRule="auto" w:before="6"/>
        <w:ind w:left="122" w:right="117" w:firstLine="707"/>
        <w:jc w:val="both"/>
      </w:pPr>
      <w:r>
        <w:rPr/>
        <w:t>Ante este contexto observamos un México inmerso en un lento crecimiento económico incapaz de responder a las exigencias que el tamaño del país requiere para su desarrollo. En las últimas dos décadas el crecimiento nacional ha quedado por debajo de los niveles previos a la crisis de 1982, al ser insuficiente para sostener el desarrollo económico nacional y el nivel de vida de la población porque ha permanecido estancado</w:t>
      </w:r>
      <w:r>
        <w:rPr>
          <w:position w:val="11"/>
          <w:sz w:val="16"/>
        </w:rPr>
        <w:t>1</w:t>
      </w:r>
      <w:r>
        <w:rPr/>
        <w:t>.</w:t>
      </w:r>
    </w:p>
    <w:p>
      <w:pPr>
        <w:pStyle w:val="BodyText"/>
        <w:spacing w:line="350" w:lineRule="auto"/>
        <w:ind w:left="122" w:right="115" w:firstLine="707"/>
        <w:jc w:val="both"/>
      </w:pPr>
      <w:r>
        <w:rPr/>
        <w:t>El Estado de México no es ajeno a este problema, al ser la segunda entidad más importante por su contribución al PIB nacional (después del Distrito Federal) y la primera más poblada</w:t>
      </w:r>
      <w:r>
        <w:rPr>
          <w:position w:val="11"/>
          <w:sz w:val="16"/>
        </w:rPr>
        <w:t>2</w:t>
      </w:r>
      <w:r>
        <w:rPr/>
        <w:t>, este difícil escenario debilita el desarrollo económico porque no ha sido capaz de responder a las necesidades que la población demanda</w:t>
      </w:r>
      <w:r>
        <w:rPr>
          <w:position w:val="11"/>
          <w:sz w:val="16"/>
        </w:rPr>
        <w:t>3</w:t>
      </w:r>
      <w:r>
        <w:rPr/>
        <w:t>. Aunque el comportamiento del PIB estatal durante el periodo 1970-1995 fue similar al nacional, sus caídas y recuperaciones fueron más profundas, debido a que su economía depende en gran parte del sector industrial, la cual se ve más afectada en periodos de contracción económica.</w:t>
      </w:r>
    </w:p>
    <w:p>
      <w:pPr>
        <w:pStyle w:val="BodyText"/>
        <w:spacing w:line="360" w:lineRule="auto" w:before="17"/>
        <w:ind w:left="122" w:right="118"/>
        <w:jc w:val="both"/>
      </w:pPr>
      <w:r>
        <w:rPr/>
        <w:t>Por ejemplo, el PIB del Estado de México entre el año de 1940 a 1981 creció a una tasa media anual de 10.1%, y el PIB nacional a una tasa de 6.5%. Las tasas de crecimiento del PIB estatal durante los siguientes periodos se comportaron  de la manera siguiente: De  1988</w:t>
      </w:r>
      <w:r>
        <w:rPr>
          <w:spacing w:val="33"/>
        </w:rPr>
        <w:t> </w:t>
      </w:r>
      <w:r>
        <w:rPr/>
        <w:t>a</w:t>
      </w:r>
      <w:r>
        <w:rPr>
          <w:spacing w:val="32"/>
        </w:rPr>
        <w:t> </w:t>
      </w:r>
      <w:r>
        <w:rPr/>
        <w:t>2004</w:t>
      </w:r>
      <w:r>
        <w:rPr>
          <w:spacing w:val="33"/>
        </w:rPr>
        <w:t> </w:t>
      </w:r>
      <w:r>
        <w:rPr/>
        <w:t>(2.7%),</w:t>
      </w:r>
      <w:r>
        <w:rPr>
          <w:spacing w:val="32"/>
        </w:rPr>
        <w:t> </w:t>
      </w:r>
      <w:r>
        <w:rPr/>
        <w:t>en</w:t>
      </w:r>
      <w:r>
        <w:rPr>
          <w:spacing w:val="35"/>
        </w:rPr>
        <w:t> </w:t>
      </w:r>
      <w:r>
        <w:rPr/>
        <w:t>1995</w:t>
      </w:r>
      <w:r>
        <w:rPr>
          <w:spacing w:val="33"/>
        </w:rPr>
        <w:t> </w:t>
      </w:r>
      <w:r>
        <w:rPr/>
        <w:t>(-8.9),</w:t>
      </w:r>
      <w:r>
        <w:rPr>
          <w:spacing w:val="32"/>
        </w:rPr>
        <w:t> </w:t>
      </w:r>
      <w:r>
        <w:rPr/>
        <w:t>entre</w:t>
      </w:r>
      <w:r>
        <w:rPr>
          <w:spacing w:val="32"/>
        </w:rPr>
        <w:t> </w:t>
      </w:r>
      <w:r>
        <w:rPr/>
        <w:t>1996</w:t>
      </w:r>
      <w:r>
        <w:rPr>
          <w:spacing w:val="37"/>
        </w:rPr>
        <w:t> </w:t>
      </w:r>
      <w:r>
        <w:rPr/>
        <w:t>y</w:t>
      </w:r>
      <w:r>
        <w:rPr>
          <w:spacing w:val="28"/>
        </w:rPr>
        <w:t> </w:t>
      </w:r>
      <w:r>
        <w:rPr/>
        <w:t>2000</w:t>
      </w:r>
      <w:r>
        <w:rPr>
          <w:spacing w:val="33"/>
        </w:rPr>
        <w:t> </w:t>
      </w:r>
      <w:r>
        <w:rPr/>
        <w:t>(6.0%)</w:t>
      </w:r>
      <w:r>
        <w:rPr>
          <w:spacing w:val="35"/>
        </w:rPr>
        <w:t> </w:t>
      </w:r>
      <w:r>
        <w:rPr/>
        <w:t>y</w:t>
      </w:r>
      <w:r>
        <w:rPr>
          <w:spacing w:val="28"/>
        </w:rPr>
        <w:t> </w:t>
      </w:r>
      <w:r>
        <w:rPr/>
        <w:t>de</w:t>
      </w:r>
      <w:r>
        <w:rPr>
          <w:spacing w:val="32"/>
        </w:rPr>
        <w:t> </w:t>
      </w:r>
      <w:r>
        <w:rPr/>
        <w:t>2001</w:t>
      </w:r>
      <w:r>
        <w:rPr>
          <w:spacing w:val="33"/>
        </w:rPr>
        <w:t> </w:t>
      </w:r>
      <w:r>
        <w:rPr/>
        <w:t>a</w:t>
      </w:r>
      <w:r>
        <w:rPr>
          <w:spacing w:val="32"/>
        </w:rPr>
        <w:t> </w:t>
      </w:r>
      <w:r>
        <w:rPr/>
        <w:t>2006</w:t>
      </w:r>
      <w:r>
        <w:rPr>
          <w:spacing w:val="33"/>
        </w:rPr>
        <w:t> </w:t>
      </w:r>
      <w:r>
        <w:rPr/>
        <w:t>(2.8);</w:t>
      </w:r>
    </w:p>
    <w:p>
      <w:pPr>
        <w:pStyle w:val="BodyText"/>
        <w:rPr>
          <w:sz w:val="22"/>
        </w:rPr>
      </w:pPr>
      <w:r>
        <w:rPr/>
        <w:pict>
          <v:line style="position:absolute;mso-position-horizontal-relative:page;mso-position-vertical-relative:paragraph;z-index:1120;mso-wrap-distance-left:0;mso-wrap-distance-right:0" from="85.103996pt,14.999746pt" to="229.123996pt,14.999746pt" stroked="true" strokeweight=".72003pt" strokecolor="#000000">
            <w10:wrap type="topAndBottom"/>
          </v:line>
        </w:pict>
      </w:r>
    </w:p>
    <w:p>
      <w:pPr>
        <w:spacing w:line="249" w:lineRule="exact" w:before="42"/>
        <w:ind w:left="122" w:right="243" w:firstLine="0"/>
        <w:jc w:val="left"/>
        <w:rPr>
          <w:sz w:val="20"/>
        </w:rPr>
      </w:pPr>
      <w:r>
        <w:rPr>
          <w:position w:val="9"/>
          <w:sz w:val="13"/>
        </w:rPr>
        <w:t>1 </w:t>
      </w:r>
      <w:r>
        <w:rPr>
          <w:sz w:val="20"/>
        </w:rPr>
        <w:t>Véanse: Ros, 2008; Ibarra, 2008 y Santaella, 1998.</w:t>
      </w:r>
    </w:p>
    <w:p>
      <w:pPr>
        <w:spacing w:line="249" w:lineRule="auto" w:before="0"/>
        <w:ind w:left="122" w:right="243" w:firstLine="0"/>
        <w:jc w:val="left"/>
        <w:rPr>
          <w:sz w:val="20"/>
        </w:rPr>
      </w:pPr>
      <w:r>
        <w:rPr>
          <w:position w:val="9"/>
          <w:sz w:val="13"/>
        </w:rPr>
        <w:t>2 </w:t>
      </w:r>
      <w:r>
        <w:rPr>
          <w:sz w:val="20"/>
        </w:rPr>
        <w:t>Con 15, 175,862 habitantes, el 13.5% del total del país en 2010, según los resultados </w:t>
      </w:r>
      <w:r>
        <w:rPr>
          <w:i/>
          <w:sz w:val="20"/>
        </w:rPr>
        <w:t>del Censo de  </w:t>
      </w:r>
      <w:r>
        <w:rPr>
          <w:i/>
          <w:sz w:val="20"/>
        </w:rPr>
        <w:t>Población y Vivienda 2010 </w:t>
      </w:r>
      <w:r>
        <w:rPr>
          <w:sz w:val="20"/>
        </w:rPr>
        <w:t>(INEGI,</w:t>
      </w:r>
      <w:r>
        <w:rPr>
          <w:spacing w:val="-10"/>
          <w:sz w:val="20"/>
        </w:rPr>
        <w:t> </w:t>
      </w:r>
      <w:r>
        <w:rPr>
          <w:sz w:val="20"/>
        </w:rPr>
        <w:t>2010).</w:t>
      </w:r>
    </w:p>
    <w:p>
      <w:pPr>
        <w:spacing w:line="231" w:lineRule="exact" w:before="0"/>
        <w:ind w:left="122" w:right="118" w:firstLine="0"/>
        <w:jc w:val="left"/>
        <w:rPr>
          <w:sz w:val="20"/>
        </w:rPr>
      </w:pPr>
      <w:r>
        <w:rPr>
          <w:position w:val="9"/>
          <w:sz w:val="13"/>
        </w:rPr>
        <w:t>3  </w:t>
      </w:r>
      <w:r>
        <w:rPr>
          <w:sz w:val="20"/>
        </w:rPr>
        <w:t>En 1993 el PIB </w:t>
      </w:r>
      <w:r>
        <w:rPr>
          <w:i/>
          <w:sz w:val="20"/>
        </w:rPr>
        <w:t>per cápita </w:t>
      </w:r>
      <w:r>
        <w:rPr>
          <w:sz w:val="20"/>
        </w:rPr>
        <w:t>para los mexiquenses fue de 12.05 miles de pesos,  para 2008 éste indicador  sólo</w:t>
      </w:r>
    </w:p>
    <w:p>
      <w:pPr>
        <w:spacing w:line="249" w:lineRule="auto" w:before="10"/>
        <w:ind w:left="122" w:right="243" w:firstLine="0"/>
        <w:jc w:val="left"/>
        <w:rPr>
          <w:sz w:val="20"/>
        </w:rPr>
      </w:pPr>
      <w:r>
        <w:rPr>
          <w:sz w:val="20"/>
        </w:rPr>
        <w:t>tuvo un ligero incremento, llegando a 12.84 miles de pesos de 1993, ubicándose así en el lugar 22 de los 33 estados que conforman la República Mexicana.</w:t>
      </w:r>
    </w:p>
    <w:p>
      <w:pPr>
        <w:spacing w:after="0" w:line="249" w:lineRule="auto"/>
        <w:jc w:val="left"/>
        <w:rPr>
          <w:sz w:val="20"/>
        </w:rPr>
        <w:sectPr>
          <w:pgSz w:w="12240" w:h="15840"/>
          <w:pgMar w:header="0" w:footer="1003" w:top="1360" w:bottom="1200" w:left="1580" w:right="1580"/>
        </w:sectPr>
      </w:pPr>
    </w:p>
    <w:p>
      <w:pPr>
        <w:pStyle w:val="BodyText"/>
        <w:spacing w:before="50"/>
        <w:ind w:left="122" w:right="243"/>
      </w:pPr>
      <w:r>
        <w:rPr/>
        <w:t>mientras que a nivel nacional, entre 1988 al 2004 (2.9), en 1995 (-6.2), de 1996 al 2000</w:t>
      </w:r>
    </w:p>
    <w:p>
      <w:pPr>
        <w:pStyle w:val="BodyText"/>
        <w:spacing w:before="139"/>
        <w:ind w:left="122" w:right="243"/>
      </w:pPr>
      <w:r>
        <w:rPr/>
        <w:t>(5.5%) y  de 2001 al 2006 (2.8%).</w:t>
      </w:r>
    </w:p>
    <w:p>
      <w:pPr>
        <w:pStyle w:val="BodyText"/>
        <w:spacing w:line="345" w:lineRule="auto" w:before="137"/>
        <w:ind w:left="122" w:right="117" w:firstLine="707"/>
        <w:jc w:val="both"/>
      </w:pPr>
      <w:r>
        <w:rPr/>
        <w:t>Como resultado de este desempeño, la participación del PIB estatal con respecto al nacional disminuyó de 11.1% en 1985 a 9.5% en 2008. A su vez el sector manufacturero en los últimos años ha perdido dinamismo frente a otras divisiones</w:t>
      </w:r>
      <w:r>
        <w:rPr>
          <w:position w:val="11"/>
          <w:sz w:val="16"/>
        </w:rPr>
        <w:t>4</w:t>
      </w:r>
      <w:r>
        <w:rPr/>
        <w:t>, contribuyendo a una mayor terciarización de la economía.</w:t>
      </w:r>
      <w:r>
        <w:rPr>
          <w:position w:val="11"/>
          <w:sz w:val="16"/>
        </w:rPr>
        <w:t>5 </w:t>
      </w:r>
      <w:r>
        <w:rPr/>
        <w:t>En 1970, este sector representaba el 48.1% del PIB total del Estado;   en 1985, 40.2%; en 1993 el 31.8%; en 2000 un 32.7% y en 2008 el</w:t>
      </w:r>
    </w:p>
    <w:p>
      <w:pPr>
        <w:pStyle w:val="BodyText"/>
        <w:spacing w:before="22"/>
        <w:ind w:left="122" w:right="243"/>
      </w:pPr>
      <w:r>
        <w:rPr/>
        <w:t>32.1%.</w:t>
      </w:r>
    </w:p>
    <w:p>
      <w:pPr>
        <w:pStyle w:val="BodyText"/>
        <w:spacing w:line="350" w:lineRule="auto" w:before="137"/>
        <w:ind w:left="122" w:right="117" w:firstLine="707"/>
        <w:jc w:val="both"/>
      </w:pPr>
      <w:r>
        <w:rPr/>
        <w:t>Aunado a ello el proceso de industrialización en el Estado de México se ha caracterizado por la concentración de la producción en pocas ramas y municipios. En este sentido, el comportamiento de la producción no ha sido el mismo en las dos grandes regiones industrializadas del Estado de México, las cuales en conjunto concentran el 70% del valor agregado censal bruto. Específicamente, los municipios de la región Valle de México</w:t>
      </w:r>
      <w:r>
        <w:rPr>
          <w:position w:val="11"/>
          <w:sz w:val="16"/>
        </w:rPr>
        <w:t>6 </w:t>
      </w:r>
      <w:r>
        <w:rPr/>
        <w:t>crecieron a una tasa media anual de 6.5% entre 1970 y 1980, al igual que la región Toluca-Lerma</w:t>
      </w:r>
      <w:r>
        <w:rPr>
          <w:position w:val="11"/>
          <w:sz w:val="16"/>
        </w:rPr>
        <w:t>7</w:t>
      </w:r>
      <w:r>
        <w:rPr/>
        <w:t>. No obstante, a partir de entonces  han crecido a tasas diferentes, porque los</w:t>
      </w:r>
    </w:p>
    <w:p>
      <w:pPr>
        <w:pStyle w:val="BodyText"/>
        <w:spacing w:line="360" w:lineRule="auto"/>
        <w:ind w:left="122" w:right="117"/>
        <w:jc w:val="both"/>
      </w:pPr>
      <w:r>
        <w:rPr/>
        <w:t>municipios de la región Valle de México, durante el periodo 1980-2008, se desarrollaron en conjunto a una tasa media anual de -0.6%, en tanto que los de la Toluca-Lerma lo hiciera a una tasa de 4.8%.</w:t>
      </w:r>
    </w:p>
    <w:p>
      <w:pPr>
        <w:pStyle w:val="BodyText"/>
        <w:spacing w:line="360" w:lineRule="auto" w:before="4"/>
        <w:ind w:left="122" w:right="115" w:firstLine="707"/>
        <w:jc w:val="both"/>
      </w:pPr>
      <w:r>
        <w:rPr/>
        <w:t>Esta evidencia no resulta sorprendente en modo alguno, porque a lo largo de la historia en nuestro país, han existido regiones económicamente exitosas, con un alto crecimiento productivo, en tanto que otras han tenido problemas para crecer de manera sostenida.</w:t>
      </w:r>
    </w:p>
    <w:p>
      <w:pPr>
        <w:pStyle w:val="BodyText"/>
        <w:spacing w:line="360" w:lineRule="auto" w:before="4"/>
        <w:ind w:left="122" w:right="115" w:firstLine="707"/>
        <w:jc w:val="both"/>
      </w:pPr>
      <w:r>
        <w:rPr/>
        <w:t>De este modo surgen dos preguntas relevantes para esta investigación; ¿cuál ha sido el  comportamiento  del  producto  manufacturero  en las regiones Toluca-Lerma  y</w:t>
      </w:r>
      <w:r>
        <w:rPr>
          <w:spacing w:val="-31"/>
        </w:rPr>
        <w:t> </w:t>
      </w:r>
      <w:r>
        <w:rPr/>
        <w:t>Valle de</w:t>
      </w:r>
    </w:p>
    <w:p>
      <w:pPr>
        <w:pStyle w:val="BodyText"/>
        <w:spacing w:before="11"/>
        <w:rPr>
          <w:sz w:val="29"/>
        </w:rPr>
      </w:pPr>
      <w:r>
        <w:rPr/>
        <w:pict>
          <v:line style="position:absolute;mso-position-horizontal-relative:page;mso-position-vertical-relative:paragraph;z-index:1144;mso-wrap-distance-left:0;mso-wrap-distance-right:0" from="85.103996pt,19.559784pt" to="229.123996pt,19.559784pt" stroked="true" strokeweight=".71997pt" strokecolor="#000000">
            <w10:wrap type="topAndBottom"/>
          </v:line>
        </w:pict>
      </w:r>
    </w:p>
    <w:p>
      <w:pPr>
        <w:spacing w:before="43"/>
        <w:ind w:left="122" w:right="129" w:firstLine="0"/>
        <w:jc w:val="both"/>
        <w:rPr>
          <w:sz w:val="20"/>
        </w:rPr>
      </w:pPr>
      <w:r>
        <w:rPr>
          <w:position w:val="9"/>
          <w:sz w:val="13"/>
        </w:rPr>
        <w:t>4 </w:t>
      </w:r>
      <w:r>
        <w:rPr>
          <w:sz w:val="20"/>
        </w:rPr>
        <w:t>El comercio, restaurantes y hoteles en 1970 participaban con 16.2% y en 2006 creció a 21.5%, los servicios financieros, seguros y actividades mobiliarias y de alquiler que pasaron de 8.9% en 1970 a 14.4% en 2006.</w:t>
      </w:r>
    </w:p>
    <w:p>
      <w:pPr>
        <w:spacing w:line="240" w:lineRule="exact" w:before="7"/>
        <w:ind w:left="122" w:right="122" w:firstLine="0"/>
        <w:jc w:val="both"/>
        <w:rPr>
          <w:sz w:val="20"/>
        </w:rPr>
      </w:pPr>
      <w:r>
        <w:rPr>
          <w:position w:val="9"/>
          <w:sz w:val="13"/>
        </w:rPr>
        <w:t>5 </w:t>
      </w:r>
      <w:r>
        <w:rPr>
          <w:sz w:val="20"/>
        </w:rPr>
        <w:t>Aunque González (2005: 62), establece que en México se presenta pérdida de peso de la industria manufacturera y mayor crecimiento en servicios y comercio; no es una simple “desindustrialización” o “terciarización” de la economía, sino la recomposición de ramas manufactureras que tienden de manera divergente hacia la exportación o mercado local, lo cual se da sobre un retroceso en los niveles de ingreso per cápita y productividad sectorial.</w:t>
      </w:r>
    </w:p>
    <w:p>
      <w:pPr>
        <w:spacing w:line="223" w:lineRule="exact" w:before="0"/>
        <w:ind w:left="122" w:right="0" w:firstLine="0"/>
        <w:jc w:val="both"/>
        <w:rPr>
          <w:sz w:val="20"/>
        </w:rPr>
      </w:pPr>
      <w:r>
        <w:rPr>
          <w:position w:val="9"/>
          <w:sz w:val="13"/>
        </w:rPr>
        <w:t>6 </w:t>
      </w:r>
      <w:r>
        <w:rPr>
          <w:sz w:val="20"/>
        </w:rPr>
        <w:t>Comprende los municipios de: Tlalnepantla de Baz, Naucalpan de Juárez, Cuauhtitlán Izcalli, Ecatepec de</w:t>
      </w:r>
    </w:p>
    <w:p>
      <w:pPr>
        <w:spacing w:line="218" w:lineRule="exact" w:before="0"/>
        <w:ind w:left="122" w:right="0" w:firstLine="0"/>
        <w:jc w:val="both"/>
        <w:rPr>
          <w:sz w:val="20"/>
        </w:rPr>
      </w:pPr>
      <w:r>
        <w:rPr>
          <w:sz w:val="20"/>
        </w:rPr>
        <w:t>Morelos, Tultitlán, La Paz, Cuautitlán, Tepotzotlán, Nezahualcoyótl y Atizapán de Zaragoza.</w:t>
      </w:r>
    </w:p>
    <w:p>
      <w:pPr>
        <w:spacing w:line="230" w:lineRule="exact" w:before="15"/>
        <w:ind w:left="122" w:right="127" w:firstLine="0"/>
        <w:jc w:val="both"/>
        <w:rPr>
          <w:sz w:val="20"/>
        </w:rPr>
      </w:pPr>
      <w:r>
        <w:rPr>
          <w:position w:val="9"/>
          <w:sz w:val="13"/>
        </w:rPr>
        <w:t>7 </w:t>
      </w:r>
      <w:r>
        <w:rPr>
          <w:sz w:val="20"/>
        </w:rPr>
        <w:t>Comprende los municipios de: Toluca de Lerdo, Lerma de Villada, Santiago Tianguistenco, Ocoyoacac y San Mateo Atenco.</w:t>
      </w:r>
    </w:p>
    <w:p>
      <w:pPr>
        <w:spacing w:after="0" w:line="230" w:lineRule="exact"/>
        <w:jc w:val="both"/>
        <w:rPr>
          <w:sz w:val="20"/>
        </w:rPr>
        <w:sectPr>
          <w:pgSz w:w="12240" w:h="15840"/>
          <w:pgMar w:header="0" w:footer="1003" w:top="1360" w:bottom="1200" w:left="1580" w:right="1580"/>
        </w:sectPr>
      </w:pPr>
    </w:p>
    <w:p>
      <w:pPr>
        <w:pStyle w:val="BodyText"/>
        <w:spacing w:line="360" w:lineRule="auto" w:before="50"/>
        <w:ind w:left="102" w:right="118"/>
        <w:jc w:val="both"/>
      </w:pPr>
      <w:r>
        <w:rPr/>
        <w:t>México de 1970 a 2008? Y la segunda: ¿cómo explicar las diferentes tasas de crecimiento de la producción manufacturera de las regiones Toluca-Lerma y Valle de México?, para las respuestas indagamos en la complejidad de los múltiples factores a los que obedece el crecimiento regional o estancamiento del periodo y entidades de estudio.</w:t>
      </w:r>
    </w:p>
    <w:p>
      <w:pPr>
        <w:pStyle w:val="BodyText"/>
        <w:spacing w:line="360" w:lineRule="auto" w:before="4"/>
        <w:ind w:left="102" w:right="115" w:firstLine="707"/>
        <w:jc w:val="both"/>
      </w:pPr>
      <w:r>
        <w:rPr/>
        <w:t>Entre los factores que explican estas diferencias se identificó la inversión en capital físico y humano (Romer, 1990; Lucas, 1988; Barro y Sala-i-Martin, 2004); investigación y desarrollo (Grossman y Helpman, 1990), estabilidad política, educación, crecimiento de la población (Barro y Lee, 1994); el papel de las instituciones (Díaz-Bautista, 2003), inversión en infraestructura pública (Fuentes, 2007) y la especialización productiva (Kaldor, 1975; Romer, 1986; Matsuyama, 1992; Weinhold y Rauch, 1997; Dalum </w:t>
      </w:r>
      <w:r>
        <w:rPr>
          <w:i/>
        </w:rPr>
        <w:t>et al.</w:t>
      </w:r>
      <w:r>
        <w:rPr/>
        <w:t>, 1999; Thirlwall, 2000; De Benedictis, 2005; Hausmann </w:t>
      </w:r>
      <w:r>
        <w:rPr>
          <w:i/>
        </w:rPr>
        <w:t>et al</w:t>
      </w:r>
      <w:r>
        <w:rPr/>
        <w:t>., 2006, entre los más importantes.</w:t>
      </w:r>
    </w:p>
    <w:p>
      <w:pPr>
        <w:pStyle w:val="BodyText"/>
        <w:spacing w:line="360" w:lineRule="auto" w:before="6"/>
        <w:ind w:left="102" w:right="117" w:firstLine="707"/>
        <w:jc w:val="both"/>
      </w:pPr>
      <w:r>
        <w:rPr/>
        <w:t>En particular, se encontró que el patrón de especialización puede ser un factor determinante del crecimiento en la medida en que actividades con procesos productivos, que utilizan tecnologías más avanzadas, tienen niveles de productividad más elevados y procesos como el aprender-haciendo, lo cual manifiesta un constante aprendizaje y actualización del capital humano (Matsuyama, 1992). A su vez, Ros (2001) sostiene que una política industrial que reasigne los recursos hacia sectores con potencial para explotar las economías de escala y de especialización puede elevar la tasa de crecimiento de una economía. Uribe-Etxeberria (2009) por su parte, encuentra que en el mediano plazo, la única forma de favorecer el crecimiento económico es ir trasladando los factores productivos a actividades de mayor</w:t>
      </w:r>
      <w:r>
        <w:rPr>
          <w:spacing w:val="-10"/>
        </w:rPr>
        <w:t> </w:t>
      </w:r>
      <w:r>
        <w:rPr/>
        <w:t>sofisticación.</w:t>
      </w:r>
    </w:p>
    <w:p>
      <w:pPr>
        <w:pStyle w:val="BodyText"/>
        <w:spacing w:line="360" w:lineRule="auto" w:before="6"/>
        <w:ind w:left="102" w:right="116" w:firstLine="707"/>
        <w:jc w:val="both"/>
      </w:pPr>
      <w:r>
        <w:rPr/>
        <w:t>Para el caso de la economía mexicana tenemos los estudios realizados por Mendoza (2001) y Fuentes (2003) quienes analizan la relación entre la especialización industrial y las economías de escala internas y externas; sus resultados sugieren que la especialización geográfica estimula el crecimiento. Por su lado, Ocegueda (2003) establece que los estados más industrializados han mostrado un mayor desarrollo regional, en tanto que Ocegueda </w:t>
      </w:r>
      <w:r>
        <w:rPr>
          <w:i/>
        </w:rPr>
        <w:t>et </w:t>
      </w:r>
      <w:r>
        <w:rPr>
          <w:i/>
        </w:rPr>
        <w:t>al</w:t>
      </w:r>
      <w:r>
        <w:rPr/>
        <w:t>., (2009) muestran una relación robusta entre el crecimiento y la especialización, cuando ésta se orienta a sectores clave. Finalmente, Calderón y Martínez (2005) analizan el  impacto de la liberalización económica sobre la industria manufacturera regional a la luz de la ley de Verdoorn. Sus resultados indican la presencia de rendimientos crecientes a escala en la industria manufacturera regional en</w:t>
      </w:r>
      <w:r>
        <w:rPr>
          <w:spacing w:val="-6"/>
        </w:rPr>
        <w:t> </w:t>
      </w:r>
      <w:r>
        <w:rPr/>
        <w:t>México.</w:t>
      </w:r>
    </w:p>
    <w:p>
      <w:pPr>
        <w:spacing w:after="0" w:line="360" w:lineRule="auto"/>
        <w:jc w:val="both"/>
        <w:sectPr>
          <w:pgSz w:w="12240" w:h="15840"/>
          <w:pgMar w:header="0" w:footer="1003" w:top="1360" w:bottom="1200" w:left="1600" w:right="1580"/>
        </w:sectPr>
      </w:pPr>
    </w:p>
    <w:p>
      <w:pPr>
        <w:pStyle w:val="BodyText"/>
        <w:spacing w:line="360" w:lineRule="auto" w:before="50"/>
        <w:ind w:left="102" w:right="114" w:firstLine="707"/>
        <w:jc w:val="both"/>
      </w:pPr>
      <w:r>
        <w:rPr/>
        <w:t>Con respecto a la literatura del Estado de México, Rózga (1992 y 1996), analiza la influencia de las industrias modernas sobre el desarrollo territorial y económico del Estado de México, mostrando que se da una relación directa del tipo territorio-industria-tecnología. Se concluye que existe una estrecha relación entre productividad y la formación bruta del capital, puesto que mayores valores del último, se asocian con una mayor modernidad y mejor tecnología, lo cual trae consigo un incremento en la productividad.</w:t>
      </w:r>
    </w:p>
    <w:p>
      <w:pPr>
        <w:pStyle w:val="BodyText"/>
        <w:spacing w:line="360" w:lineRule="auto" w:before="4"/>
        <w:ind w:left="102" w:right="115" w:firstLine="707"/>
        <w:jc w:val="both"/>
      </w:pPr>
      <w:r>
        <w:rPr/>
        <w:t>Por su parte, Rózga y Madrigal (1998) analizan el crecimiento industrial del Estado de México, caracterizando el periodo de 1960-1975 como el de mayor dinamismo en el establecimiento de infraestructura industrial en el territorio mexiquense, lo que permitió  que la participación de la industria mexiquense dentro de la nacional creciera en todos los rubros. Su análisis concluye que la industria del Estado de México es territorialmente muy polarizada y que la industria en el Estado de México es dinámica, especialmente en algunos subsectores como el químico y el</w:t>
      </w:r>
      <w:r>
        <w:rPr>
          <w:spacing w:val="-13"/>
        </w:rPr>
        <w:t> </w:t>
      </w:r>
      <w:r>
        <w:rPr/>
        <w:t>metalmecánica.</w:t>
      </w:r>
    </w:p>
    <w:p>
      <w:pPr>
        <w:pStyle w:val="BodyText"/>
        <w:spacing w:line="360" w:lineRule="auto" w:before="6"/>
        <w:ind w:left="102" w:right="119" w:firstLine="707"/>
        <w:jc w:val="both"/>
      </w:pPr>
      <w:r>
        <w:rPr/>
        <w:t>Millán (1999) establece que las ramas que supieron adaptarse al nuevo modelo de desarrollo, inclinando sus aparatos productivos hacia el exterior, han mostrado un avance importante; sin embargo, como la mayoría de la producción sigue volcada al mercado interno, el deterioro competitivo ha arrastrado la capacidad de crecimiento a ritmos que continuarán siendo menores, hasta que frenen las importaciones.</w:t>
      </w:r>
    </w:p>
    <w:p>
      <w:pPr>
        <w:pStyle w:val="BodyText"/>
        <w:spacing w:line="360" w:lineRule="auto" w:before="4"/>
        <w:ind w:left="102" w:right="121" w:firstLine="707"/>
        <w:jc w:val="both"/>
      </w:pPr>
      <w:r>
        <w:rPr/>
        <w:t>Los trabajos de Rózga e Iglesias (2004), y Rózga y Madrigal (2011) aseveran que la actividad industrial del Estado de México es relativamente mayor que la desarrollada por otros estados de la República y concluyen que dentro de la Región Centro la industria del Estado de México, está perdiendo importancia.</w:t>
      </w:r>
    </w:p>
    <w:p>
      <w:pPr>
        <w:pStyle w:val="BodyText"/>
        <w:spacing w:line="360" w:lineRule="auto" w:before="4"/>
        <w:ind w:left="102" w:right="121" w:firstLine="707"/>
        <w:jc w:val="both"/>
      </w:pPr>
      <w:r>
        <w:rPr/>
        <w:t>Finalmente, Ros (2008) y Mejía y Rendón (2011) argumentan que la reducción en la tasa de crecimiento de la inversión pública, principalmente en infraestructura, inhibió la expansión de la inversión al ritmo requerido para sostener el crecimiento de la producción, en tanto que, por otro lado, los bajos niveles de las exportaciones y de la inversión extranjera directa (IED) han impedido que se conviertan en motores del crecimiento. La combinación de estos factores, como consecuencia, ha derivado una tasa de crecimiento promedio más baja en el Estado de México a partir de la explosión de la crisis de 1982.</w:t>
      </w:r>
    </w:p>
    <w:p>
      <w:pPr>
        <w:pStyle w:val="BodyText"/>
        <w:spacing w:line="360" w:lineRule="auto" w:before="4"/>
        <w:ind w:left="102" w:right="120" w:firstLine="707"/>
        <w:jc w:val="both"/>
      </w:pPr>
      <w:r>
        <w:rPr/>
        <w:t>Por lo anterior, este trabajo tiene el objetivo de analizar el papel de la especialización de los subsectores manufactureros dinámicos en el crecimiento  </w:t>
      </w:r>
      <w:r>
        <w:rPr>
          <w:spacing w:val="13"/>
        </w:rPr>
        <w:t> </w:t>
      </w:r>
      <w:r>
        <w:rPr/>
        <w:t>económico</w:t>
      </w:r>
    </w:p>
    <w:p>
      <w:pPr>
        <w:spacing w:after="0" w:line="360" w:lineRule="auto"/>
        <w:jc w:val="both"/>
        <w:sectPr>
          <w:pgSz w:w="12240" w:h="15840"/>
          <w:pgMar w:header="0" w:footer="1003" w:top="1360" w:bottom="1200" w:left="1600" w:right="1580"/>
        </w:sectPr>
      </w:pPr>
    </w:p>
    <w:p>
      <w:pPr>
        <w:pStyle w:val="BodyText"/>
        <w:spacing w:line="362" w:lineRule="auto" w:before="50"/>
        <w:ind w:left="102" w:right="121"/>
      </w:pPr>
      <w:r>
        <w:rPr/>
        <w:t>diferenciado de las regiones Toluca-Lerma y Valle de México con la posibilidad de explicar, comparar y discutir los hallazgos encontrados como aportes para nuevos estudios.</w:t>
      </w:r>
    </w:p>
    <w:p>
      <w:pPr>
        <w:pStyle w:val="BodyText"/>
        <w:spacing w:line="360" w:lineRule="auto" w:before="1"/>
        <w:ind w:left="102" w:right="120" w:firstLine="707"/>
        <w:jc w:val="both"/>
      </w:pPr>
      <w:r>
        <w:rPr/>
        <w:t>Para lograr el objetivo propuesto es necesario profundizar en el estudio de estas regiones a partir de 1970 cuando la economía estaba sumergida en el modelo de desarrollo proteccionista. La investigación concluye en 2008, cuando la economía nacional se fincó en el modelo de economía abierta. Así, este periodo de estudio considera el cambio de modelo de desarrollo manifestado en distintos ritmos de crecimiento con respecto a la producción de nuestro</w:t>
      </w:r>
      <w:r>
        <w:rPr>
          <w:spacing w:val="-4"/>
        </w:rPr>
        <w:t> </w:t>
      </w:r>
      <w:r>
        <w:rPr/>
        <w:t>país.</w:t>
      </w:r>
    </w:p>
    <w:p>
      <w:pPr>
        <w:pStyle w:val="BodyText"/>
        <w:spacing w:line="360" w:lineRule="auto" w:before="4"/>
        <w:ind w:left="102" w:right="114" w:firstLine="707"/>
        <w:jc w:val="both"/>
      </w:pPr>
      <w:r>
        <w:rPr/>
        <w:t>Para el estudio se parte de la siguiente hipótesis: Ante la ausencia de políticas industriales activas a nivel estatal, la especialización productiva en subsectores dinámicos puede explicar las diferencias en el crecimiento de las regiones Toluca-Lerma y Valle de México, durante el periodo 1970 a 2008. Los subsectores dinámicos se caracterizan por altos componentes tecnológicos e innovación y la existencia de economías de escala, por ello, de acuerdo con los planteamientos de Kaldor sus efectos pueden contribuir a explicar el crecimiento del resto del sector</w:t>
      </w:r>
      <w:r>
        <w:rPr>
          <w:spacing w:val="-12"/>
        </w:rPr>
        <w:t> </w:t>
      </w:r>
      <w:r>
        <w:rPr/>
        <w:t>manufacturero.</w:t>
      </w:r>
    </w:p>
    <w:p>
      <w:pPr>
        <w:pStyle w:val="BodyText"/>
        <w:spacing w:line="360" w:lineRule="auto" w:before="6"/>
        <w:ind w:left="102" w:right="120" w:firstLine="707"/>
        <w:jc w:val="both"/>
      </w:pPr>
      <w:r>
        <w:rPr/>
        <w:t>Consideramos que la información derivada de este análisis, permitirá conocer los factores que influyeron en el comportamiento del producto manufacturero de ambas regiones de estudio entre 1970 a 2008, para buscar alternativas de largo plazo que permitan enfrentar los efectos negativos externos, principalmente en la región Valle de México que ha sido la más afectada. Es necesario entonces, que las regiones se fortalezcan para no ser tan vulnerables ante las decisiones externas.</w:t>
      </w:r>
    </w:p>
    <w:p>
      <w:pPr>
        <w:pStyle w:val="BodyText"/>
        <w:spacing w:line="360" w:lineRule="auto" w:before="6"/>
        <w:ind w:left="102" w:right="118" w:firstLine="707"/>
        <w:jc w:val="both"/>
      </w:pPr>
      <w:r>
        <w:rPr/>
        <w:t>Así para poder analizar la dinámica de las regiones Toluca-Lerma y Valle de México, en la presente investigación se llevará a cabo un análisis sectorial y econométrico de la industria manufacturera, a través de las teorías del crecimiento económico regional  por el lado de la oferta y la</w:t>
      </w:r>
      <w:r>
        <w:rPr>
          <w:spacing w:val="-9"/>
        </w:rPr>
        <w:t> </w:t>
      </w:r>
      <w:r>
        <w:rPr/>
        <w:t>demanda.</w:t>
      </w:r>
    </w:p>
    <w:p>
      <w:pPr>
        <w:pStyle w:val="BodyText"/>
        <w:spacing w:line="360" w:lineRule="auto" w:before="7"/>
        <w:ind w:left="102" w:right="124" w:firstLine="707"/>
        <w:jc w:val="both"/>
      </w:pPr>
      <w:r>
        <w:rPr/>
        <w:t>El trabajo de investigación se compone de cuatro capítulos y conclusiones, además de la bibliografía correspondiente y los anexos que soportan la evidencia empírica. Así, en el primer capítulo se presenta una revisión de las teorías que explican las causas del crecimiento económico regional mediante dos enfoques: la oferta y la demanda como factores  explicativos.  Para  la  oferta  se  plantea  el  enfoque  de  las  teorías   neoclásicas:</w:t>
      </w:r>
    </w:p>
    <w:p>
      <w:pPr>
        <w:spacing w:after="0" w:line="360" w:lineRule="auto"/>
        <w:jc w:val="both"/>
        <w:sectPr>
          <w:pgSz w:w="12240" w:h="15840"/>
          <w:pgMar w:header="0" w:footer="1003" w:top="1360" w:bottom="1200" w:left="1600" w:right="1580"/>
        </w:sectPr>
      </w:pPr>
    </w:p>
    <w:p>
      <w:pPr>
        <w:pStyle w:val="BodyText"/>
        <w:spacing w:line="362" w:lineRule="auto" w:before="50"/>
        <w:ind w:left="102" w:right="121"/>
      </w:pPr>
      <w:r>
        <w:rPr/>
        <w:t>mientras que para la demanda se retoma la discusión en torno a la visión de Keynes y de Kaldor.</w:t>
      </w:r>
    </w:p>
    <w:p>
      <w:pPr>
        <w:pStyle w:val="BodyText"/>
        <w:spacing w:line="360" w:lineRule="auto" w:before="1"/>
        <w:ind w:left="102" w:right="118" w:firstLine="707"/>
        <w:jc w:val="both"/>
      </w:pPr>
      <w:r>
        <w:rPr/>
        <w:t>En el segundo capítulo se analiza el papel del gobierno y el crecimiento. Se examinará el proceso de industrialización del Estado de México y específicamente de las regiones Toluca-Lerma y Valle de México, identificando las principales medidas de política industrial que favorecieron la conformación de las dos regiones industrializadas de la entidad mexiquense.</w:t>
      </w:r>
    </w:p>
    <w:p>
      <w:pPr>
        <w:pStyle w:val="BodyText"/>
        <w:spacing w:line="360" w:lineRule="auto" w:before="6"/>
        <w:ind w:left="102" w:right="116" w:firstLine="767"/>
        <w:jc w:val="both"/>
      </w:pPr>
      <w:r>
        <w:rPr/>
        <w:t>En el tercer capítulo se analiza la relación entre la especialización y el crecimiento, para ello se calcula y analiza el cociente de localización, el coeficiente de especialización y el coeficiente de localización. Los resultados de estos índices se contrastan con la taxonomía de Pavitt (1984). También se hace uso de la técnica </w:t>
      </w:r>
      <w:r>
        <w:rPr>
          <w:i/>
        </w:rPr>
        <w:t>Shift-share </w:t>
      </w:r>
      <w:r>
        <w:rPr/>
        <w:t>la cual permitirá profundizar en la especialización de cada región, y el efecto de ésta en el crecimiento de la misma, identificando las industrias motrices de las dos regiones de estudio durante el periodo de 1970 a</w:t>
      </w:r>
      <w:r>
        <w:rPr>
          <w:spacing w:val="-4"/>
        </w:rPr>
        <w:t> </w:t>
      </w:r>
      <w:r>
        <w:rPr/>
        <w:t>2008.</w:t>
      </w:r>
    </w:p>
    <w:p>
      <w:pPr>
        <w:pStyle w:val="BodyText"/>
        <w:spacing w:line="360" w:lineRule="auto" w:before="4"/>
        <w:ind w:left="102" w:right="124" w:firstLine="707"/>
        <w:jc w:val="both"/>
      </w:pPr>
      <w:r>
        <w:rPr/>
        <w:t>En el cuarto capítulo se analiza la relación entre economías de escala y crecimiento a partir de un ejercicio alternativo que prueba la Primera y Segunda Ley de Kaldor, con un modelo econométrico de datos de panel. Finalmente se exponen las</w:t>
      </w:r>
      <w:r>
        <w:rPr>
          <w:spacing w:val="-10"/>
        </w:rPr>
        <w:t> </w:t>
      </w:r>
      <w:r>
        <w:rPr/>
        <w:t>conclusiones.</w:t>
      </w:r>
    </w:p>
    <w:p>
      <w:pPr>
        <w:pStyle w:val="BodyText"/>
        <w:spacing w:line="360" w:lineRule="auto" w:before="6"/>
        <w:ind w:left="102" w:right="121" w:firstLine="707"/>
        <w:jc w:val="both"/>
      </w:pPr>
      <w:r>
        <w:rPr/>
        <w:t>Dentro de las limitaciones de esta investigación, podemos señalar que aunque en el acceso de la información (datos secundarios) existieron fuertes restricciones al no contar con una serie del PIB a nivel municipal desde 1970, por lo que se optó por el valor agregado censal bruto a nivel de subsector a precios corrientes. Los datos se deflactaron  con el índice de precios implícitos del PIB con base del año de</w:t>
      </w:r>
      <w:r>
        <w:rPr>
          <w:spacing w:val="-14"/>
        </w:rPr>
        <w:t> </w:t>
      </w:r>
      <w:r>
        <w:rPr/>
        <w:t>1993.</w:t>
      </w:r>
    </w:p>
    <w:p>
      <w:pPr>
        <w:pStyle w:val="BodyText"/>
        <w:spacing w:line="360" w:lineRule="auto" w:before="4"/>
        <w:ind w:left="102" w:right="121" w:firstLine="707"/>
        <w:jc w:val="both"/>
      </w:pPr>
      <w:r>
        <w:rPr/>
        <w:t>Existió también una falta de homogeneización de la serie de la producción manufacturera por rama y subrama de los 15 municipios de estudio, del año 1970 al 2008, debido a la diferencia existente entre un censo económico y otro. Por la aparición y desaparición de las actividades productivas del estado mexiquense se hizo necesario definir nueve subsectores, de acuerdo con la Clasificación Mexicana de Actividades y Productos (CMAP) del INEGI. La información se obtuvo de los censos industriales y económicos con datos correspondientes de: 1970, 1975, 1980, 1985, 1988, 1993, 1998, 2003 y 2008,</w:t>
      </w:r>
    </w:p>
    <w:p>
      <w:pPr>
        <w:pStyle w:val="BodyText"/>
        <w:spacing w:line="360" w:lineRule="auto" w:before="4"/>
        <w:ind w:left="102" w:right="120" w:firstLine="707"/>
        <w:jc w:val="both"/>
      </w:pPr>
      <w:r>
        <w:rPr/>
        <w:t>Los subsectores quedaron definidos de la siguiente manera: Subsector 31, Productos alimenticios, bebidas y tabaco; Subsector 32, Textiles, prendas de vestir e industrias del</w:t>
      </w:r>
    </w:p>
    <w:p>
      <w:pPr>
        <w:spacing w:after="0" w:line="360" w:lineRule="auto"/>
        <w:jc w:val="both"/>
        <w:sectPr>
          <w:pgSz w:w="12240" w:h="15840"/>
          <w:pgMar w:header="0" w:footer="1003" w:top="1360" w:bottom="1200" w:left="1600" w:right="1580"/>
        </w:sectPr>
      </w:pPr>
    </w:p>
    <w:p>
      <w:pPr>
        <w:pStyle w:val="BodyText"/>
        <w:spacing w:line="360" w:lineRule="auto" w:before="50"/>
        <w:ind w:left="102" w:right="120"/>
        <w:jc w:val="both"/>
      </w:pPr>
      <w:r>
        <w:rPr/>
        <w:t>cuero; Subsector 33, Industria de la madera y productos de madera (incluye muebles); Subsector 34, Papel y productos de papel, imprentas y editoriales; Subsector 35, Sustancias químicas, productos derivados del petróleo y del carbón, hule y de plástico; Subsector 36, Productos minerales no metálicos (excluye los derivados del petróleo y del carbón); Subsector 37, Industrias metálicas básicas; Subsector 38, Productos metálicos, maquinaria  y equipo (incluyendo instrumentos quirúrgicos y de precisión); Subsector 39, Otras industrias manufactureras. Aun así, cabe mencionar que los datos reales presentaron un comportamiento irregular y atípico, lo que dificultó el análisis del fenómeno de</w:t>
      </w:r>
      <w:r>
        <w:rPr>
          <w:spacing w:val="-17"/>
        </w:rPr>
        <w:t> </w:t>
      </w:r>
      <w:r>
        <w:rPr/>
        <w:t>estudio.</w:t>
      </w:r>
    </w:p>
    <w:p>
      <w:pPr>
        <w:pStyle w:val="BodyText"/>
        <w:spacing w:line="360" w:lineRule="auto" w:before="4"/>
        <w:ind w:left="102" w:right="121" w:firstLine="707"/>
        <w:jc w:val="both"/>
      </w:pPr>
      <w:r>
        <w:rPr/>
        <w:t>En cuanto a los alcances de este trabajo, podemos señalar que a pesar de la disminución del crecimiento estatal y principalmente sobre el tema que nos ocupa, se aprecia que existen pocos trabajos empíricos que analicen el tema del crecimiento económico estatal y regional en particular; la mayoría de los estudios son históricos o descriptivos. En este sentido esta investigación aborda un espacio poco estudiado y aporta datos para nuevos estudios, sobre todo, porque utiliza un marco teórico ecléctico que permite desde dos enfoques del crecimiento, hacer un análisis comparativo de la  producción de las dos regiones de</w:t>
      </w:r>
      <w:r>
        <w:rPr>
          <w:spacing w:val="-6"/>
        </w:rPr>
        <w:t> </w:t>
      </w:r>
      <w:r>
        <w:rPr/>
        <w:t>estudio.</w:t>
      </w:r>
    </w:p>
    <w:p>
      <w:pPr>
        <w:pStyle w:val="BodyText"/>
        <w:spacing w:line="360" w:lineRule="auto" w:before="4"/>
        <w:ind w:left="102" w:right="119" w:firstLine="707"/>
        <w:jc w:val="both"/>
      </w:pPr>
      <w:r>
        <w:rPr/>
        <w:t>Dadas las aproximaciones empíricas, la contribución de esta investigación es abonar evidencias sobre el proceso de crecimiento regional. En particular, se analiza el papel de la especialización en dos regiones geográficas del Estado de México, no analizadas bajo este enfoque anteriormente. Asimismo, tiene la originalidad de analizar la diferenciación interregional, por lo que tiene el mérito de aportar a la discusión la importancia del sector manufacturero como promotor del crecimiento con argumentos concluyentes que pueden ser útiles en materia de política</w:t>
      </w:r>
      <w:r>
        <w:rPr>
          <w:spacing w:val="-9"/>
        </w:rPr>
        <w:t> </w:t>
      </w:r>
      <w:r>
        <w:rPr/>
        <w:t>económica.</w:t>
      </w:r>
    </w:p>
    <w:p>
      <w:pPr>
        <w:spacing w:after="0" w:line="360" w:lineRule="auto"/>
        <w:jc w:val="both"/>
        <w:sectPr>
          <w:footerReference w:type="default" r:id="rId9"/>
          <w:pgSz w:w="12240" w:h="15840"/>
          <w:pgMar w:footer="1003" w:header="0" w:top="1360" w:bottom="1200" w:left="1600" w:right="1580"/>
        </w:sectPr>
      </w:pPr>
    </w:p>
    <w:p>
      <w:pPr>
        <w:pStyle w:val="Heading2"/>
        <w:spacing w:before="55"/>
        <w:ind w:left="692" w:right="0"/>
        <w:jc w:val="center"/>
      </w:pPr>
      <w:r>
        <w:rPr/>
        <w:t>Capítulo 1</w:t>
      </w:r>
    </w:p>
    <w:p>
      <w:pPr>
        <w:spacing w:before="139"/>
        <w:ind w:left="747" w:right="0" w:firstLine="0"/>
        <w:jc w:val="center"/>
        <w:rPr>
          <w:b/>
          <w:sz w:val="24"/>
        </w:rPr>
      </w:pPr>
      <w:r>
        <w:rPr>
          <w:b/>
          <w:sz w:val="24"/>
        </w:rPr>
        <w:t>Teorías del crecimiento económico regional</w:t>
      </w:r>
    </w:p>
    <w:p>
      <w:pPr>
        <w:pStyle w:val="BodyText"/>
        <w:rPr>
          <w:b/>
          <w:sz w:val="20"/>
        </w:rPr>
      </w:pPr>
    </w:p>
    <w:p>
      <w:pPr>
        <w:pStyle w:val="BodyText"/>
        <w:rPr>
          <w:b/>
          <w:sz w:val="22"/>
        </w:rPr>
      </w:pPr>
    </w:p>
    <w:p>
      <w:pPr>
        <w:pStyle w:val="Heading2"/>
        <w:spacing w:before="69"/>
        <w:ind w:right="0"/>
        <w:jc w:val="both"/>
      </w:pPr>
      <w:bookmarkStart w:name="_TOC_250015" w:id="2"/>
      <w:bookmarkEnd w:id="2"/>
      <w:r>
        <w:rPr/>
        <w:t>Introducción</w:t>
      </w:r>
    </w:p>
    <w:p>
      <w:pPr>
        <w:pStyle w:val="BodyText"/>
        <w:rPr>
          <w:b/>
        </w:rPr>
      </w:pPr>
    </w:p>
    <w:p>
      <w:pPr>
        <w:pStyle w:val="BodyText"/>
        <w:spacing w:before="6"/>
        <w:rPr>
          <w:b/>
          <w:sz w:val="23"/>
        </w:rPr>
      </w:pPr>
    </w:p>
    <w:p>
      <w:pPr>
        <w:pStyle w:val="BodyText"/>
        <w:spacing w:line="360" w:lineRule="auto"/>
        <w:ind w:left="102" w:right="114"/>
        <w:jc w:val="both"/>
      </w:pPr>
      <w:r>
        <w:rPr/>
        <w:t>Las desigualdades regionales se han agudizado en México, por ello la búsqueda de estrategias para aminorar este problema están enfocadas a acelerar el crecimiento económico y reducir los desequilibrios. Estos son los retos principales a enfrentar por parte de todos los actores que intervienen en la economía. Es necesario entonces, la elaboración de políticas públicas orientadas a impulsar el desarrollo de las zonas más rezagadas y lograr las condiciones de un Estado más homogéneo. En este sentido, en este capítulo se hace una revisión a las teorías del crecimiento económico regional, las cuales permitirán posteriormente la participación del gobierno en la industria, la especialización productiva y las economías de escala.</w:t>
      </w:r>
    </w:p>
    <w:p>
      <w:pPr>
        <w:spacing w:before="3"/>
        <w:ind w:left="668" w:right="685" w:firstLine="0"/>
        <w:jc w:val="both"/>
        <w:rPr>
          <w:sz w:val="22"/>
        </w:rPr>
      </w:pPr>
      <w:r>
        <w:rPr>
          <w:sz w:val="22"/>
        </w:rPr>
        <w:t>“Se entiende por economía regional a la rama de la economía que incorpora la dimensión del espacio en el análisis de los mercados, incluyéndolo en un esquema lógico de leyes y modelos los cuales regulan e interpretan la formación de precios, demanda, capacidad productiva, niveles de producción, desarrollo, tasas de crecimiento y la distribución del ingreso en condiciones de recursos regionales desiguales” (Capello, 2007: 2).</w:t>
      </w:r>
    </w:p>
    <w:p>
      <w:pPr>
        <w:pStyle w:val="BodyText"/>
        <w:spacing w:line="360" w:lineRule="auto" w:before="2"/>
        <w:ind w:left="102" w:right="123" w:firstLine="566"/>
        <w:jc w:val="both"/>
      </w:pPr>
      <w:r>
        <w:rPr/>
        <w:t>Así, de acuerdo con Capello (2007) son dos grupos de teorías que forman la  economía regional: a) las teorías de localización que explican los mecanismos económicos que distribuyen las actividades en el espacio, y b) las teorías de crecimiento y</w:t>
      </w:r>
      <w:r>
        <w:rPr>
          <w:spacing w:val="-14"/>
        </w:rPr>
        <w:t> </w:t>
      </w:r>
      <w:r>
        <w:rPr/>
        <w:t>desarrollo.</w:t>
      </w:r>
    </w:p>
    <w:p>
      <w:pPr>
        <w:pStyle w:val="BodyText"/>
        <w:spacing w:line="360" w:lineRule="auto" w:before="4"/>
        <w:ind w:left="102" w:right="121" w:firstLine="707"/>
        <w:jc w:val="both"/>
      </w:pPr>
      <w:r>
        <w:rPr/>
        <w:t>Las teorías de la localización buscan explicar la distribución de las actividades en el espacio, identificando los factores que influyen en las elecciones de localización de las industrias, como los costos de transporte los cuales distribuyen las actividades en el espacio y las economías de aglomeración que empujan a la concentración de las actividades.</w:t>
      </w:r>
    </w:p>
    <w:p>
      <w:pPr>
        <w:pStyle w:val="BodyText"/>
        <w:spacing w:line="360" w:lineRule="auto" w:before="4"/>
        <w:ind w:left="102" w:right="122" w:firstLine="707"/>
        <w:jc w:val="both"/>
      </w:pPr>
      <w:r>
        <w:rPr/>
        <w:t>Se considera que los “modelos de uso del suelo” de Von Thünen, la “teoría de la localización industrial” de Alfred Weber y la “teoría del lugar central” de Chistaller  integran el conjunto de principios que explican la localización y distribución espacial de las actividades regidas por los principios económicos del sistema nacional de precios. En este sentido, los exponentes de esta rama de la economía regional son: Alfred Weber, Melvin Greenhut, Harold Hotelling, Johann Von Thünen, William Alonso y principalmente August Lösch y Walter</w:t>
      </w:r>
      <w:r>
        <w:rPr>
          <w:spacing w:val="-5"/>
        </w:rPr>
        <w:t> </w:t>
      </w:r>
      <w:r>
        <w:rPr/>
        <w:t>Chistaller.</w:t>
      </w:r>
    </w:p>
    <w:p>
      <w:pPr>
        <w:spacing w:after="0" w:line="360" w:lineRule="auto"/>
        <w:jc w:val="both"/>
        <w:sectPr>
          <w:footerReference w:type="default" r:id="rId10"/>
          <w:pgSz w:w="12240" w:h="15840"/>
          <w:pgMar w:footer="1003" w:header="0" w:top="1360" w:bottom="1200" w:left="1600" w:right="1580"/>
          <w:pgNumType w:start="11"/>
        </w:sectPr>
      </w:pPr>
    </w:p>
    <w:p>
      <w:pPr>
        <w:pStyle w:val="BodyText"/>
        <w:spacing w:line="360" w:lineRule="auto" w:before="50"/>
        <w:ind w:left="102" w:right="119" w:firstLine="566"/>
        <w:jc w:val="both"/>
      </w:pPr>
      <w:r>
        <w:rPr/>
        <w:t>Están por otro lado las teorías del crecimiento, que se enfocan al estudio de las razones y de las fuentes del crecimiento regional sostenido y estable, dentro de este ámbito coexisten dos enfoques diferentes: las teorías de crecimiento regional y las teorías de desarrollo regional. Las primeras se enfocan a la distribución del ingreso en el territorio y al estudio de las razones y de las fuentes del crecimiento regional sostenido y estable. Las segundas, adoptan un enfoque micro-territorial y micro-comportamental se llaman teorías de desarrollo porque su finalidad es identificar todos los elementos tangibles e intangibles del proceso de desarrollo (Capello,</w:t>
      </w:r>
      <w:r>
        <w:rPr>
          <w:spacing w:val="-8"/>
        </w:rPr>
        <w:t> </w:t>
      </w:r>
      <w:r>
        <w:rPr/>
        <w:t>2007).</w:t>
      </w:r>
    </w:p>
    <w:p>
      <w:pPr>
        <w:pStyle w:val="BodyText"/>
        <w:spacing w:line="360" w:lineRule="auto" w:before="4"/>
        <w:ind w:left="102" w:right="119" w:firstLine="707"/>
        <w:jc w:val="both"/>
      </w:pPr>
      <w:r>
        <w:rPr/>
        <w:t>Con la apertura comercial, el papel de las manufacturas se vincula de manera directa con el mercado de bienes, producto de la industria competitiva que utiliza a la localización como factor determinante y de fortaleza frente a otras industrias. La producción de dichos bienes es el elemento integrador de las teorías de crecimiento regional y las teorías de desarrollo regional, uniendo a los factores que propician la oferta por un lado y la economía del crecimiento impulsada por la demanda.</w:t>
      </w:r>
    </w:p>
    <w:p>
      <w:pPr>
        <w:pStyle w:val="BodyText"/>
        <w:spacing w:line="360" w:lineRule="auto" w:before="4"/>
        <w:ind w:left="102" w:right="116" w:firstLine="707"/>
        <w:jc w:val="both"/>
      </w:pPr>
      <w:r>
        <w:rPr/>
        <w:t>La integración de las teorías de localización y de crecimiento regional es compleja, porque además del problema que plantea la agregación, nos enfrentamos a dilemas teóricos. La teoría de la localización es por definición una teoría espacial; mientras que la del crecimiento regional se basa en la hipótesis de que el sistema es una serie de regiones no espaciales. Además, los modelos de localización son estáticos mientras los de crecimiento regional son dinámicos (Capello, 2006).</w:t>
      </w:r>
    </w:p>
    <w:p>
      <w:pPr>
        <w:pStyle w:val="BodyText"/>
        <w:spacing w:line="360" w:lineRule="auto" w:before="4"/>
        <w:ind w:left="102" w:right="116" w:firstLine="707"/>
        <w:jc w:val="both"/>
      </w:pPr>
      <w:r>
        <w:rPr/>
        <w:t>Así, para efectos de esta investigación se analizan las teorías de crecimiento económico regional, primero a través del enfoque de oferta, con base neoclásica y después por el análisis de la demanda, con un enfoque keynesiano. Estas teorías sirven de soporte del capítulo tercero y cuarto que se exponen más</w:t>
      </w:r>
      <w:r>
        <w:rPr>
          <w:spacing w:val="-8"/>
        </w:rPr>
        <w:t> </w:t>
      </w:r>
      <w:r>
        <w:rPr/>
        <w:t>adelante.</w:t>
      </w:r>
    </w:p>
    <w:p>
      <w:pPr>
        <w:pStyle w:val="BodyText"/>
        <w:spacing w:line="360" w:lineRule="auto" w:before="4"/>
        <w:ind w:left="102" w:right="118" w:firstLine="707"/>
        <w:jc w:val="both"/>
      </w:pPr>
      <w:r>
        <w:rPr/>
        <w:t>Es preciso enfatizar que las teorías vinculadas con el objeto de estudio </w:t>
      </w:r>
      <w:r>
        <w:rPr>
          <w:spacing w:val="2"/>
        </w:rPr>
        <w:t>de </w:t>
      </w:r>
      <w:r>
        <w:rPr/>
        <w:t>esta investigación se relacionan con el análisis del crecimiento económico. Dentro de los estudios de la economía, el crecimiento económico es uno de los elementos que promueve la discusión teórica sobre qué es lo que genera dicho proceso y por qué algunos países logran mayor crecimiento económico que otros. Los teóricos de la economía clásica: David Ricardo, Adam Smith, Thomas Malthus y otros, abordaron la discusión sobre el  crecimiento económico y trataron de dar una explicación al</w:t>
      </w:r>
      <w:r>
        <w:rPr>
          <w:spacing w:val="-15"/>
        </w:rPr>
        <w:t> </w:t>
      </w:r>
      <w:r>
        <w:rPr/>
        <w:t>fenómeno.</w:t>
      </w:r>
    </w:p>
    <w:p>
      <w:pPr>
        <w:spacing w:after="0" w:line="360" w:lineRule="auto"/>
        <w:jc w:val="both"/>
        <w:sectPr>
          <w:pgSz w:w="12240" w:h="15840"/>
          <w:pgMar w:header="0" w:footer="1003" w:top="1360" w:bottom="1200" w:left="1600" w:right="1580"/>
        </w:sectPr>
      </w:pPr>
    </w:p>
    <w:p>
      <w:pPr>
        <w:pStyle w:val="BodyText"/>
        <w:spacing w:line="360" w:lineRule="auto" w:before="50"/>
        <w:ind w:left="102" w:right="117" w:firstLine="707"/>
        <w:jc w:val="both"/>
      </w:pPr>
      <w:r>
        <w:rPr/>
        <w:t>Es en la teoría neoclásica del crecimiento de modelos agregados en los que el ahorro y el cambio tecnológico eran considerados como factores exógenos e independientes de la dinámica propia de la economía que impulsaban su crecimiento. Sin embargo, a través de los años y de la experiencia producida se encontró que la acumulación del capital, el proceso tecnológico y los rendimientos decrecientes del capital no eran aplicables y se continuó buscando nuevos paradigmas que explicaran este proceso económico.</w:t>
      </w:r>
    </w:p>
    <w:p>
      <w:pPr>
        <w:pStyle w:val="BodyText"/>
        <w:spacing w:line="360" w:lineRule="auto" w:before="4"/>
        <w:ind w:left="102" w:right="116" w:firstLine="707"/>
        <w:jc w:val="both"/>
      </w:pPr>
      <w:r>
        <w:rPr/>
        <w:t>A su vez, en las teorías de crecimiento regional también se vio la pertinencia de insertar la competitividad regional en términos de factores endógenos. La cuestión de sí una región es intrínsecamente capaz de crecer como resultado de fuerzas endógenas ha dado lugar a debates durante décadas; la especialización industrial, la dotación de infraestructura, la localización central, la dotación de factores de producción o las economías de aglomeración han sido destacadas como las fuerzas motoras del éxito económico local (Capello, 2006: 174).</w:t>
      </w:r>
    </w:p>
    <w:p>
      <w:pPr>
        <w:pStyle w:val="BodyText"/>
        <w:spacing w:line="360" w:lineRule="auto" w:before="6"/>
        <w:ind w:left="102" w:right="113" w:firstLine="707"/>
        <w:jc w:val="both"/>
      </w:pPr>
      <w:r>
        <w:rPr/>
        <w:t>Es así que con el surgimiento de más investigaciones, autores como Grossman y Helpman (1990), Romer (1986), así como Lucas (1988); dieron a conocer planteamientos que corregían las ideas aportadas por los neoclásicos generando una nueva explicación y una nueva teoría, la cual internaliza los factores que promueven el crecimiento, como explica Barro:</w:t>
      </w:r>
    </w:p>
    <w:p>
      <w:pPr>
        <w:spacing w:before="3"/>
        <w:ind w:left="668" w:right="686" w:firstLine="0"/>
        <w:jc w:val="both"/>
        <w:rPr>
          <w:sz w:val="22"/>
        </w:rPr>
      </w:pPr>
      <w:r>
        <w:rPr>
          <w:sz w:val="22"/>
        </w:rPr>
        <w:t>“(…) han sido desarrollados algunos modelos que apuntan hacia la participación del gobierno, la inversión en capital humano, investigación y desarrollo y la experiencia laboral como factores detonantes capaces de acelerar el crecimiento económico” (Barro, 1997: 34).</w:t>
      </w:r>
    </w:p>
    <w:p>
      <w:pPr>
        <w:pStyle w:val="BodyText"/>
        <w:spacing w:line="360" w:lineRule="auto" w:before="2"/>
        <w:ind w:left="102" w:right="122" w:firstLine="626"/>
        <w:jc w:val="both"/>
      </w:pPr>
      <w:r>
        <w:rPr/>
        <w:t>Arrow (1962) sostiene que las inversiones en capital físico tendrán un efecto de derrame sobre el nivel de tecnología del sistema, por la acumulación del conocimiento en los empleados que aprenden y tienen un capital de conocimientos que posteriormente aplican.</w:t>
      </w:r>
    </w:p>
    <w:p>
      <w:pPr>
        <w:pStyle w:val="BodyText"/>
        <w:spacing w:line="360" w:lineRule="auto" w:before="6"/>
        <w:ind w:left="102" w:right="119" w:firstLine="566"/>
        <w:jc w:val="both"/>
      </w:pPr>
      <w:r>
        <w:rPr/>
        <w:t>Finalmente, los modelos de Grossman y Helpman (1990) hacen énfasis en la  inversión en investigación y desarrollo como factores detonantes del crecimiento económico.</w:t>
      </w:r>
    </w:p>
    <w:p>
      <w:pPr>
        <w:pStyle w:val="BodyText"/>
        <w:spacing w:line="360" w:lineRule="auto" w:before="4"/>
        <w:ind w:left="102" w:right="117" w:firstLine="566"/>
        <w:jc w:val="both"/>
      </w:pPr>
      <w:r>
        <w:rPr/>
        <w:t>Con respecto de la especialización productiva, en esta investigación se analiza el papel de la especialización en el crecimiento, </w:t>
      </w:r>
      <w:r>
        <w:rPr>
          <w:spacing w:val="-3"/>
        </w:rPr>
        <w:t>ya </w:t>
      </w:r>
      <w:r>
        <w:rPr/>
        <w:t>que el patrón de especialización puede ser un factor determinante del crecimiento en la medida que actividades con procesos productivos que utilizan altos componentes tecnológicos más avanzados tienen niveles   </w:t>
      </w:r>
      <w:r>
        <w:rPr>
          <w:spacing w:val="32"/>
        </w:rPr>
        <w:t> </w:t>
      </w:r>
      <w:r>
        <w:rPr/>
        <w:t>de</w:t>
      </w:r>
    </w:p>
    <w:p>
      <w:pPr>
        <w:spacing w:after="0" w:line="360" w:lineRule="auto"/>
        <w:jc w:val="both"/>
        <w:sectPr>
          <w:pgSz w:w="12240" w:h="15840"/>
          <w:pgMar w:header="0" w:footer="1003" w:top="1360" w:bottom="1200" w:left="1600" w:right="1580"/>
        </w:sectPr>
      </w:pPr>
    </w:p>
    <w:p>
      <w:pPr>
        <w:pStyle w:val="BodyText"/>
        <w:spacing w:line="360" w:lineRule="auto" w:before="50"/>
        <w:ind w:left="122" w:right="117"/>
        <w:jc w:val="both"/>
      </w:pPr>
      <w:r>
        <w:rPr/>
        <w:t>productividad más elevados y con ello más producción. Todos estos estudios indican que hay un número de variables sociales, políticas e institucionales que son importantes en la determinación del crecimiento económico. Muchas de estas tienden a evolucionar ellas mismas durante el proceso de desarrollo económico, y generan cambios como el aumento de los indicadores de salud, la reducción de la tasa de fertilidad y la expansión de la democracia, que han impulsado el crecimiento económico. Esta dimensión de calidad contrasta con la cantidad de crecimiento económico, medida a través del aumento del PIB </w:t>
      </w:r>
      <w:r>
        <w:rPr>
          <w:i/>
        </w:rPr>
        <w:t>per cápita </w:t>
      </w:r>
      <w:r>
        <w:rPr/>
        <w:t>(Barro, 2002). Por consecuencia, es necesario conocer los principales planteamientos que pretenden describir la naturaleza del crecimiento en determinadas circunstancias de tiempo y espacio, en este sentido, se utiliza un enfoque ecléctico para poder explicar mejor el comportamiento del producto manufacturero de las regiones Toluca-Lerma y Valle de</w:t>
      </w:r>
      <w:r>
        <w:rPr>
          <w:spacing w:val="-5"/>
        </w:rPr>
        <w:t> </w:t>
      </w:r>
      <w:r>
        <w:rPr/>
        <w:t>México.</w:t>
      </w:r>
    </w:p>
    <w:p>
      <w:pPr>
        <w:pStyle w:val="BodyText"/>
      </w:pPr>
    </w:p>
    <w:p>
      <w:pPr>
        <w:pStyle w:val="Heading2"/>
        <w:numPr>
          <w:ilvl w:val="1"/>
          <w:numId w:val="5"/>
        </w:numPr>
        <w:tabs>
          <w:tab w:pos="482" w:val="left" w:leader="none"/>
        </w:tabs>
        <w:spacing w:line="240" w:lineRule="auto" w:before="148" w:after="0"/>
        <w:ind w:left="482" w:right="0" w:hanging="360"/>
        <w:jc w:val="both"/>
      </w:pPr>
      <w:bookmarkStart w:name="_TOC_250014" w:id="3"/>
      <w:bookmarkEnd w:id="3"/>
      <w:r>
        <w:rPr/>
        <w:t>Antecedentes</w:t>
      </w:r>
    </w:p>
    <w:p>
      <w:pPr>
        <w:pStyle w:val="BodyText"/>
        <w:spacing w:line="360" w:lineRule="auto" w:before="132"/>
        <w:ind w:left="122" w:right="119"/>
        <w:jc w:val="both"/>
      </w:pPr>
      <w:r>
        <w:rPr/>
        <w:t>A lo largo de la historia económica de los países, existen regiones o zonas económicamente productivas con un alto crecimiento económico; mientras que otras regiones se encuentran rezagadas. Las causas que propician estas desigualdades son multifactoriales, entre las que se cuentan: el capital físico, capital humano, cambio tecnológico, inversión, estabilidad política,  libre comercio,  crecimiento  de la población,  servicios  públicos,  infraestructura,</w:t>
      </w:r>
    </w:p>
    <w:p>
      <w:pPr>
        <w:pStyle w:val="BodyText"/>
        <w:spacing w:line="328" w:lineRule="auto" w:before="6"/>
        <w:ind w:left="122" w:right="122"/>
        <w:jc w:val="both"/>
      </w:pPr>
      <w:r>
        <w:rPr/>
        <w:t>modernización, la especialización productiva y recientemente la gobernanza o marco institucional</w:t>
      </w:r>
      <w:r>
        <w:rPr>
          <w:position w:val="11"/>
          <w:sz w:val="16"/>
        </w:rPr>
        <w:t>8</w:t>
      </w:r>
      <w:r>
        <w:rPr/>
        <w:t>.</w:t>
      </w:r>
    </w:p>
    <w:p>
      <w:pPr>
        <w:pStyle w:val="BodyText"/>
        <w:spacing w:line="360" w:lineRule="auto" w:before="26"/>
        <w:ind w:left="122" w:right="116" w:firstLine="707"/>
        <w:jc w:val="both"/>
      </w:pPr>
      <w:r>
        <w:rPr/>
        <w:t>La teoría del crecimiento regional permite explicar, mediante un conjunto reducido de factores, los procesos de diferenciación y crecimiento económico regional (Mendoza y Díaz-Bautista, 2006: 11). Los impactos de la globalización en los territorios, en lo referente a los cambios tecnológicos y a la localización de las actividades económicas, han revalorizado la pertinencia del análisis regional. Esto justifica la importancia de esta investigación.</w:t>
      </w:r>
    </w:p>
    <w:p>
      <w:pPr>
        <w:spacing w:line="360" w:lineRule="auto" w:before="6"/>
        <w:ind w:left="122" w:right="116" w:firstLine="707"/>
        <w:jc w:val="both"/>
        <w:rPr>
          <w:i/>
          <w:sz w:val="24"/>
        </w:rPr>
      </w:pPr>
      <w:r>
        <w:rPr>
          <w:sz w:val="24"/>
        </w:rPr>
        <w:t>La teoría del crecimiento y desarrollo es tan antigua como el libro de Adam Smith publicado en 1776 con el título: </w:t>
      </w:r>
      <w:r>
        <w:rPr>
          <w:i/>
          <w:sz w:val="24"/>
        </w:rPr>
        <w:t>Investigación sobre la naturaleza y causas de la riqueza de</w:t>
      </w:r>
    </w:p>
    <w:p>
      <w:pPr>
        <w:pStyle w:val="BodyText"/>
        <w:rPr>
          <w:i/>
          <w:sz w:val="20"/>
        </w:rPr>
      </w:pPr>
    </w:p>
    <w:p>
      <w:pPr>
        <w:pStyle w:val="BodyText"/>
        <w:spacing w:before="4"/>
        <w:rPr>
          <w:i/>
          <w:sz w:val="14"/>
        </w:rPr>
      </w:pPr>
      <w:r>
        <w:rPr/>
        <w:pict>
          <v:line style="position:absolute;mso-position-horizontal-relative:page;mso-position-vertical-relative:paragraph;z-index:1168;mso-wrap-distance-left:0;mso-wrap-distance-right:0" from="85.103996pt,10.576729pt" to="229.123996pt,10.576729pt" stroked="true" strokeweight=".72003pt" strokecolor="#000000">
            <w10:wrap type="topAndBottom"/>
          </v:line>
        </w:pict>
      </w:r>
    </w:p>
    <w:p>
      <w:pPr>
        <w:spacing w:before="42"/>
        <w:ind w:left="122" w:right="118" w:firstLine="0"/>
        <w:jc w:val="left"/>
        <w:rPr>
          <w:sz w:val="20"/>
        </w:rPr>
      </w:pPr>
      <w:r>
        <w:rPr>
          <w:position w:val="9"/>
          <w:sz w:val="13"/>
        </w:rPr>
        <w:t>8</w:t>
      </w:r>
      <w:r>
        <w:rPr>
          <w:sz w:val="20"/>
        </w:rPr>
        <w:t>Véanse: Barro y Lee (1994); Sala-i-Martin (2000); Jones (2000); Barro y Sala-i-Martin (2004); Mendoza y Díaz-Bautista (2006); Loayza </w:t>
      </w:r>
      <w:r>
        <w:rPr>
          <w:i/>
          <w:sz w:val="20"/>
        </w:rPr>
        <w:t>et al., </w:t>
      </w:r>
      <w:r>
        <w:rPr>
          <w:sz w:val="20"/>
        </w:rPr>
        <w:t>(2004); Kaldor, (1970) y Thirlwall, (2000).</w:t>
      </w:r>
    </w:p>
    <w:p>
      <w:pPr>
        <w:spacing w:after="0"/>
        <w:jc w:val="left"/>
        <w:rPr>
          <w:sz w:val="20"/>
        </w:rPr>
        <w:sectPr>
          <w:pgSz w:w="12240" w:h="15840"/>
          <w:pgMar w:header="0" w:footer="1003" w:top="1360" w:bottom="1200" w:left="1580" w:right="1580"/>
        </w:sectPr>
      </w:pPr>
    </w:p>
    <w:p>
      <w:pPr>
        <w:pStyle w:val="BodyText"/>
        <w:spacing w:line="360" w:lineRule="auto" w:before="50"/>
        <w:ind w:left="122" w:right="119"/>
        <w:jc w:val="both"/>
      </w:pPr>
      <w:r>
        <w:rPr>
          <w:i/>
        </w:rPr>
        <w:t>las naciones. </w:t>
      </w:r>
      <w:r>
        <w:rPr/>
        <w:t>Smith sostuvo que la riqueza procedía del trabajo debido a que aumenta la destreza de la fuerza laboral, ahorra tiempo, y permite el empleo de ingenios mecánicos. Una de las contribuciones más importante de Smith fue introducir en la economía la noción de rendimientos decrecientes, un concepto que la “nueva” teoría del crecimiento (o teoría del crecimiento endógeno) redescubrió recientemente (Thirlwall, 2003).</w:t>
      </w:r>
    </w:p>
    <w:p>
      <w:pPr>
        <w:pStyle w:val="BodyText"/>
        <w:spacing w:line="360" w:lineRule="auto" w:before="6"/>
        <w:ind w:left="122" w:right="117" w:firstLine="707"/>
        <w:jc w:val="both"/>
      </w:pPr>
      <w:r>
        <w:rPr/>
        <w:t>Otro economista clásico, David Ricardo, publicó en 1817 su obra </w:t>
      </w:r>
      <w:r>
        <w:rPr>
          <w:i/>
        </w:rPr>
        <w:t>Principios de </w:t>
      </w:r>
      <w:r>
        <w:rPr>
          <w:i/>
        </w:rPr>
        <w:t>economía política y tributació, </w:t>
      </w:r>
      <w:r>
        <w:rPr/>
        <w:t>en la cual pronosticaba que las economías capitalistas terminarían en un estado estacionario, sin acumulación de capital y por lo tanto, sin crecimiento, debido a los rendimientos decrecientes en la agricultura.</w:t>
      </w:r>
    </w:p>
    <w:p>
      <w:pPr>
        <w:pStyle w:val="BodyText"/>
        <w:spacing w:line="350" w:lineRule="auto" w:before="7"/>
        <w:ind w:left="122" w:right="116" w:firstLine="707"/>
        <w:jc w:val="both"/>
        <w:rPr>
          <w:i/>
        </w:rPr>
      </w:pPr>
      <w:r>
        <w:rPr/>
        <w:t>Adam Smith y David Ricardo reconocieron el papel de la tecnología y las instituciones en el crecimiento económico</w:t>
      </w:r>
      <w:r>
        <w:rPr>
          <w:position w:val="11"/>
          <w:sz w:val="16"/>
        </w:rPr>
        <w:t>9 </w:t>
      </w:r>
      <w:r>
        <w:rPr/>
        <w:t>pero pensaban que la agricultura, el crecimiento de la fuerza laboral y la formación de capital eran los factores más importantes de la producción.  Posteriormente,  el  trabajo  de  Schumpeter  de  1939,  llamado  </w:t>
      </w:r>
      <w:r>
        <w:rPr>
          <w:i/>
        </w:rPr>
        <w:t>La  teoría del</w:t>
      </w:r>
    </w:p>
    <w:p>
      <w:pPr>
        <w:pStyle w:val="BodyText"/>
        <w:spacing w:line="360" w:lineRule="auto" w:before="17"/>
        <w:ind w:left="122" w:right="117"/>
        <w:jc w:val="both"/>
      </w:pPr>
      <w:r>
        <w:rPr>
          <w:i/>
        </w:rPr>
        <w:t>desenvolvimiento económico</w:t>
      </w:r>
      <w:r>
        <w:rPr/>
        <w:t>, postula a la innovación tecnológica como la fuente de la extensión económica. Por su parte, Carlos Marx también introdujo el elemento de la innovación tecnológica como uno de los motores del desarrollo capitalista.</w:t>
      </w:r>
    </w:p>
    <w:p>
      <w:pPr>
        <w:pStyle w:val="BodyText"/>
        <w:spacing w:line="360" w:lineRule="auto" w:before="4"/>
        <w:ind w:left="122" w:right="117" w:firstLine="707"/>
        <w:jc w:val="both"/>
      </w:pPr>
      <w:r>
        <w:rPr/>
        <w:t>Durante casi 60 años después de la muerte de Marx, en 1883, la teoría del crecimiento y del desarrollo permaneció virtualmente en el letargo hasta que fue reavivada por el economista británico Roy Harrod en 1939 con su artículo clásico “Un ensayo sobre teoría dinámica”. Harrod condujo a lo que se llamaría posteriormente el modelo de crecimiento de Harrod-Domar.</w:t>
      </w:r>
    </w:p>
    <w:p>
      <w:pPr>
        <w:pStyle w:val="BodyText"/>
        <w:spacing w:line="360" w:lineRule="auto" w:before="6"/>
        <w:ind w:left="122" w:right="120" w:firstLine="707"/>
        <w:jc w:val="both"/>
      </w:pPr>
      <w:r>
        <w:rPr/>
        <w:t>El modelo Harrod-Domar, establece que todos los países deben ahorrar cierta proporción de su renta nacional para reemplazar todos los bienes de capital que se desgastan y deterioran con el paso del tiempo. Pero para crecer, son necesarias nuevas inversiones que aumenten el capital existente, es decir el crecimiento económico es el resultado de la abstención de consumir en un periodo de</w:t>
      </w:r>
      <w:r>
        <w:rPr>
          <w:spacing w:val="-7"/>
        </w:rPr>
        <w:t> </w:t>
      </w:r>
      <w:r>
        <w:rPr/>
        <w:t>tiempo.</w:t>
      </w:r>
    </w:p>
    <w:p>
      <w:pPr>
        <w:pStyle w:val="BodyText"/>
        <w:spacing w:line="360" w:lineRule="auto" w:before="4"/>
        <w:ind w:left="122" w:right="122" w:firstLine="707"/>
        <w:jc w:val="both"/>
      </w:pPr>
      <w:r>
        <w:rPr/>
        <w:t>Si no se ahorrara, no sería posible invertir y no habría expansión alguna. Por tanto, el</w:t>
      </w:r>
      <w:r>
        <w:rPr>
          <w:spacing w:val="22"/>
        </w:rPr>
        <w:t> </w:t>
      </w:r>
      <w:r>
        <w:rPr/>
        <w:t>ahorro</w:t>
      </w:r>
      <w:r>
        <w:rPr>
          <w:spacing w:val="21"/>
        </w:rPr>
        <w:t> </w:t>
      </w:r>
      <w:r>
        <w:rPr/>
        <w:t>permite</w:t>
      </w:r>
      <w:r>
        <w:rPr>
          <w:spacing w:val="21"/>
        </w:rPr>
        <w:t> </w:t>
      </w:r>
      <w:r>
        <w:rPr/>
        <w:t>emprender</w:t>
      </w:r>
      <w:r>
        <w:rPr>
          <w:spacing w:val="21"/>
        </w:rPr>
        <w:t> </w:t>
      </w:r>
      <w:r>
        <w:rPr/>
        <w:t>nuevas</w:t>
      </w:r>
      <w:r>
        <w:rPr>
          <w:spacing w:val="24"/>
        </w:rPr>
        <w:t> </w:t>
      </w:r>
      <w:r>
        <w:rPr/>
        <w:t>actividades,</w:t>
      </w:r>
      <w:r>
        <w:rPr>
          <w:spacing w:val="24"/>
        </w:rPr>
        <w:t> </w:t>
      </w:r>
      <w:r>
        <w:rPr/>
        <w:t>expandir</w:t>
      </w:r>
      <w:r>
        <w:rPr>
          <w:spacing w:val="21"/>
        </w:rPr>
        <w:t> </w:t>
      </w:r>
      <w:r>
        <w:rPr/>
        <w:t>las</w:t>
      </w:r>
      <w:r>
        <w:rPr>
          <w:spacing w:val="21"/>
        </w:rPr>
        <w:t> </w:t>
      </w:r>
      <w:r>
        <w:rPr/>
        <w:t>que</w:t>
      </w:r>
      <w:r>
        <w:rPr>
          <w:spacing w:val="23"/>
        </w:rPr>
        <w:t> </w:t>
      </w:r>
      <w:r>
        <w:rPr>
          <w:spacing w:val="-3"/>
        </w:rPr>
        <w:t>ya</w:t>
      </w:r>
      <w:r>
        <w:rPr>
          <w:spacing w:val="23"/>
        </w:rPr>
        <w:t> </w:t>
      </w:r>
      <w:r>
        <w:rPr/>
        <w:t>existen</w:t>
      </w:r>
      <w:r>
        <w:rPr>
          <w:spacing w:val="21"/>
        </w:rPr>
        <w:t> </w:t>
      </w:r>
      <w:r>
        <w:rPr/>
        <w:t>o</w:t>
      </w:r>
      <w:r>
        <w:rPr>
          <w:spacing w:val="21"/>
        </w:rPr>
        <w:t> </w:t>
      </w:r>
      <w:r>
        <w:rPr/>
        <w:t>reponer</w:t>
      </w:r>
      <w:r>
        <w:rPr>
          <w:spacing w:val="23"/>
        </w:rPr>
        <w:t> </w:t>
      </w:r>
      <w:r>
        <w:rPr/>
        <w:t>el</w:t>
      </w:r>
    </w:p>
    <w:p>
      <w:pPr>
        <w:pStyle w:val="BodyText"/>
        <w:rPr>
          <w:sz w:val="20"/>
        </w:rPr>
      </w:pPr>
    </w:p>
    <w:p>
      <w:pPr>
        <w:pStyle w:val="BodyText"/>
        <w:spacing w:before="2"/>
        <w:rPr>
          <w:sz w:val="10"/>
        </w:rPr>
      </w:pPr>
      <w:r>
        <w:rPr/>
        <w:pict>
          <v:line style="position:absolute;mso-position-horizontal-relative:page;mso-position-vertical-relative:paragraph;z-index:1192;mso-wrap-distance-left:0;mso-wrap-distance-right:0" from="85.103996pt,8.180728pt" to="229.123996pt,8.180728pt" stroked="true" strokeweight=".72003pt" strokecolor="#000000">
            <w10:wrap type="topAndBottom"/>
          </v:line>
        </w:pict>
      </w:r>
    </w:p>
    <w:p>
      <w:pPr>
        <w:spacing w:before="42"/>
        <w:ind w:left="122" w:right="116" w:firstLine="0"/>
        <w:jc w:val="both"/>
        <w:rPr>
          <w:sz w:val="20"/>
        </w:rPr>
      </w:pPr>
      <w:r>
        <w:rPr>
          <w:position w:val="9"/>
          <w:sz w:val="13"/>
        </w:rPr>
        <w:t>9 </w:t>
      </w:r>
      <w:r>
        <w:rPr>
          <w:sz w:val="20"/>
        </w:rPr>
        <w:t>El crecimiento económico puede entenderse como el incremento del PIB </w:t>
      </w:r>
      <w:r>
        <w:rPr>
          <w:i/>
          <w:sz w:val="20"/>
        </w:rPr>
        <w:t>per cápita </w:t>
      </w:r>
      <w:r>
        <w:rPr>
          <w:sz w:val="20"/>
        </w:rPr>
        <w:t>en términos de la producción de bienes y servicios finales de un país, mismos que se producen en una economía en un periodo de tiempo generalmente de un año, se contabiliza en términos monetarios, lo que se conoce como Producto Interno Bruto (PIB) (Dornbusch </w:t>
      </w:r>
      <w:r>
        <w:rPr>
          <w:i/>
          <w:sz w:val="20"/>
        </w:rPr>
        <w:t>et al., </w:t>
      </w:r>
      <w:r>
        <w:rPr>
          <w:sz w:val="20"/>
        </w:rPr>
        <w:t>2002).</w:t>
      </w:r>
    </w:p>
    <w:p>
      <w:pPr>
        <w:spacing w:after="0"/>
        <w:jc w:val="both"/>
        <w:rPr>
          <w:sz w:val="20"/>
        </w:rPr>
        <w:sectPr>
          <w:pgSz w:w="12240" w:h="15840"/>
          <w:pgMar w:header="0" w:footer="1003" w:top="1360" w:bottom="1200" w:left="1580" w:right="1580"/>
        </w:sectPr>
      </w:pPr>
    </w:p>
    <w:p>
      <w:pPr>
        <w:pStyle w:val="BodyText"/>
        <w:spacing w:line="360" w:lineRule="auto" w:before="50"/>
        <w:ind w:left="122" w:right="118"/>
        <w:jc w:val="both"/>
      </w:pPr>
      <w:r>
        <w:rPr/>
        <w:t>capital anticuado, la inversión genera una demanda de mercado de bienes de capital. Estos bienes pasan a engrosar el stock de capital de la economía y la dotan de una capacidad aún mayor de producción en el futuro y; de esta forma, la economía crece. Éste es el sencillo punto de partida de toda la teoría del crecimiento económico (Ray, 1998).</w:t>
      </w:r>
    </w:p>
    <w:p>
      <w:pPr>
        <w:pStyle w:val="BodyText"/>
        <w:spacing w:line="360" w:lineRule="auto" w:before="4"/>
        <w:ind w:left="122" w:right="120" w:firstLine="707"/>
        <w:jc w:val="both"/>
      </w:pPr>
      <w:r>
        <w:rPr/>
        <w:t>Ahora bien, cabe mencionar que la teoría neoclásica del crecimiento nació como  una reacción al modelo Harrod-Domar (Thirlwall, 2003). La cual se desarrolla en el siguiente</w:t>
      </w:r>
      <w:r>
        <w:rPr>
          <w:spacing w:val="-6"/>
        </w:rPr>
        <w:t> </w:t>
      </w:r>
      <w:r>
        <w:rPr/>
        <w:t>apartado.</w:t>
      </w:r>
    </w:p>
    <w:p>
      <w:pPr>
        <w:pStyle w:val="BodyText"/>
      </w:pPr>
    </w:p>
    <w:p>
      <w:pPr>
        <w:pStyle w:val="Heading2"/>
        <w:numPr>
          <w:ilvl w:val="1"/>
          <w:numId w:val="5"/>
        </w:numPr>
        <w:tabs>
          <w:tab w:pos="483" w:val="left" w:leader="none"/>
        </w:tabs>
        <w:spacing w:line="240" w:lineRule="auto" w:before="148" w:after="0"/>
        <w:ind w:left="482" w:right="0" w:hanging="360"/>
        <w:jc w:val="both"/>
      </w:pPr>
      <w:bookmarkStart w:name="_TOC_250013" w:id="4"/>
      <w:r>
        <w:rPr/>
        <w:t>Modelos de crecimiento. Enfoque de la</w:t>
      </w:r>
      <w:r>
        <w:rPr>
          <w:spacing w:val="-14"/>
        </w:rPr>
        <w:t> </w:t>
      </w:r>
      <w:bookmarkEnd w:id="4"/>
      <w:r>
        <w:rPr/>
        <w:t>oferta</w:t>
      </w:r>
    </w:p>
    <w:p>
      <w:pPr>
        <w:pStyle w:val="BodyText"/>
        <w:spacing w:line="360" w:lineRule="auto" w:before="135"/>
        <w:ind w:left="122" w:right="120" w:firstLine="707"/>
        <w:jc w:val="both"/>
      </w:pPr>
      <w:r>
        <w:rPr/>
        <w:t>La corriente principal de la teoría del crecimiento económico, desde el lado de la oferta, nació con el modelo de Solow (1956), que tiene como componente principal una función de producción agregada, lo cual muestra la relación entre capital y trabajo, teniendo a la oferta como el factor crucial que muestra el crecimiento del producto con rendimientos crecientes de los factores productivos y rendimientos constantes a escala (De la Rosa, 2006).</w:t>
      </w:r>
    </w:p>
    <w:p>
      <w:pPr>
        <w:pStyle w:val="BodyText"/>
        <w:spacing w:line="360" w:lineRule="auto" w:before="6"/>
        <w:ind w:left="122" w:right="243" w:firstLine="707"/>
      </w:pPr>
      <w:r>
        <w:rPr/>
        <w:t>Este modelo abrió paso a una tendencia con enfoque neoclásico, centrada en el análisis de la oferta, el cual se explica a continuación.</w:t>
      </w:r>
    </w:p>
    <w:p>
      <w:pPr>
        <w:pStyle w:val="BodyText"/>
      </w:pPr>
    </w:p>
    <w:p>
      <w:pPr>
        <w:pStyle w:val="Heading2"/>
        <w:numPr>
          <w:ilvl w:val="2"/>
          <w:numId w:val="5"/>
        </w:numPr>
        <w:tabs>
          <w:tab w:pos="662" w:val="left" w:leader="none"/>
        </w:tabs>
        <w:spacing w:line="240" w:lineRule="auto" w:before="148" w:after="0"/>
        <w:ind w:left="662" w:right="0" w:hanging="540"/>
        <w:jc w:val="both"/>
      </w:pPr>
      <w:r>
        <w:rPr/>
        <w:t>Teoría neoclásica del</w:t>
      </w:r>
      <w:r>
        <w:rPr>
          <w:spacing w:val="-8"/>
        </w:rPr>
        <w:t> </w:t>
      </w:r>
      <w:r>
        <w:rPr/>
        <w:t>crecimiento</w:t>
      </w:r>
    </w:p>
    <w:p>
      <w:pPr>
        <w:pStyle w:val="BodyText"/>
        <w:spacing w:line="350" w:lineRule="auto" w:before="134"/>
        <w:ind w:left="122" w:right="111"/>
        <w:jc w:val="both"/>
      </w:pPr>
      <w:r>
        <w:rPr/>
        <w:t>La teoría neoclásica del crecimiento forma la base de la teoría del crecimiento endógeno, dentro de éstas teorías los principales representantes son: Solow, Ramsey y Swan. Quienes plantean en sus modelos que el crecimiento en el largo plazo depende del progreso e innovación tecnológica, rendimientos crecientes del capital, productividad total factorial</w:t>
      </w:r>
      <w:r>
        <w:rPr>
          <w:position w:val="11"/>
          <w:sz w:val="16"/>
        </w:rPr>
        <w:t>10 </w:t>
      </w:r>
      <w:r>
        <w:rPr/>
        <w:t>y</w:t>
      </w:r>
    </w:p>
    <w:p>
      <w:pPr>
        <w:pStyle w:val="BodyText"/>
        <w:spacing w:line="275" w:lineRule="exact"/>
        <w:ind w:left="122"/>
        <w:jc w:val="both"/>
      </w:pPr>
      <w:r>
        <w:rPr/>
        <w:t>también de la tasa de incremento poblacional y depreciación del capital.</w:t>
      </w:r>
    </w:p>
    <w:p>
      <w:pPr>
        <w:pStyle w:val="BodyText"/>
        <w:rPr>
          <w:sz w:val="20"/>
        </w:rPr>
      </w:pPr>
    </w:p>
    <w:p>
      <w:pPr>
        <w:pStyle w:val="BodyText"/>
        <w:rPr>
          <w:sz w:val="20"/>
        </w:rPr>
      </w:pPr>
    </w:p>
    <w:p>
      <w:pPr>
        <w:pStyle w:val="BodyText"/>
        <w:rPr>
          <w:sz w:val="20"/>
        </w:rPr>
      </w:pPr>
    </w:p>
    <w:p>
      <w:pPr>
        <w:pStyle w:val="BodyText"/>
        <w:spacing w:before="9"/>
        <w:rPr>
          <w:sz w:val="25"/>
        </w:rPr>
      </w:pPr>
      <w:r>
        <w:rPr/>
        <w:pict>
          <v:line style="position:absolute;mso-position-horizontal-relative:page;mso-position-vertical-relative:paragraph;z-index:1216;mso-wrap-distance-left:0;mso-wrap-distance-right:0" from="85.103996pt,17.177244pt" to="229.123996pt,17.177244pt" stroked="true" strokeweight=".71997pt" strokecolor="#000000">
            <w10:wrap type="topAndBottom"/>
          </v:line>
        </w:pict>
      </w:r>
    </w:p>
    <w:p>
      <w:pPr>
        <w:spacing w:before="42"/>
        <w:ind w:left="122" w:right="118" w:firstLine="0"/>
        <w:jc w:val="both"/>
        <w:rPr>
          <w:sz w:val="20"/>
        </w:rPr>
      </w:pPr>
      <w:r>
        <w:rPr>
          <w:position w:val="9"/>
          <w:sz w:val="13"/>
        </w:rPr>
        <w:t>10 </w:t>
      </w:r>
      <w:r>
        <w:rPr>
          <w:sz w:val="20"/>
        </w:rPr>
        <w:t>Cuando un factor de la producción se hace más productivo, la producción aumenta por unidad de factor; en otras palabras, es necesaria una cantidad menor del factor para obtener un producto dado. Si las otras cosas siguen constantes, incluyendo los precios de los factores, el costo por unidad de producto descenderá. La productividad de los recursos de un país gobierna, por tanto, los costos reales y determina la cantidad de recursos que deben emplearse para obtener un resultado dado. De aquí que, sí el trabajo de un país o empresa tiene una mayor productividad que en otro país o empresa, puede permitirse ganar más en términos monetarios sin que ello provoque unos costos superiores (Seldon y Pennance, 1986: 404). En este sentido, el término productividad está íntimamente ligado con el crecimiento económico, de tal suerte que el progreso de un país se determina, en buena parte por el mayor o menor grado de su</w:t>
      </w:r>
      <w:r>
        <w:rPr>
          <w:spacing w:val="-30"/>
          <w:sz w:val="20"/>
        </w:rPr>
        <w:t> </w:t>
      </w:r>
      <w:r>
        <w:rPr>
          <w:sz w:val="20"/>
        </w:rPr>
        <w:t>productividad.</w:t>
      </w:r>
    </w:p>
    <w:p>
      <w:pPr>
        <w:spacing w:after="0"/>
        <w:jc w:val="both"/>
        <w:rPr>
          <w:sz w:val="20"/>
        </w:rPr>
        <w:sectPr>
          <w:pgSz w:w="12240" w:h="15840"/>
          <w:pgMar w:header="0" w:footer="1003" w:top="1360" w:bottom="1200" w:left="1580" w:right="1580"/>
        </w:sectPr>
      </w:pPr>
    </w:p>
    <w:p>
      <w:pPr>
        <w:pStyle w:val="BodyText"/>
        <w:spacing w:line="360" w:lineRule="auto" w:before="50"/>
        <w:ind w:left="102" w:right="114" w:firstLine="707"/>
        <w:jc w:val="both"/>
      </w:pPr>
      <w:r>
        <w:rPr/>
        <w:t>El modelo más importante es el modelo de Robert Solow (1956). Este modelo describe una función de producción con la sustitución entre dos bienes: capital y trabajo. El modelo se complementa asumiendo que una fracción constante de producción es invertida.</w:t>
      </w:r>
    </w:p>
    <w:p>
      <w:pPr>
        <w:pStyle w:val="BodyText"/>
        <w:spacing w:line="360" w:lineRule="auto" w:before="6"/>
        <w:ind w:left="102" w:right="119" w:firstLine="707"/>
        <w:jc w:val="both"/>
      </w:pPr>
      <w:r>
        <w:rPr/>
        <w:t>Solow plantea que los países que tienen altas tasas de ahorro/inversión tenderán a ser más ricos, éstos acumularán más capital por trabajador y los países con más capital por trabajador tendrán más producción por trabajador, en contraste; las naciones que tienen altas tasas de crecimiento de la población, tenderán a ser más pobres (Jones,</w:t>
      </w:r>
      <w:r>
        <w:rPr>
          <w:spacing w:val="-11"/>
        </w:rPr>
        <w:t> </w:t>
      </w:r>
      <w:r>
        <w:rPr/>
        <w:t>2000).</w:t>
      </w:r>
    </w:p>
    <w:p>
      <w:pPr>
        <w:pStyle w:val="BodyText"/>
        <w:spacing w:line="360" w:lineRule="auto" w:before="6"/>
        <w:ind w:left="102" w:right="116" w:firstLine="707"/>
        <w:jc w:val="both"/>
      </w:pPr>
      <w:r>
        <w:rPr/>
        <w:t>El giro que imprimió Solow al modelo Harrow-Domar se basa en la ley de los rendimientos decrecientes de los factores de la producción. El capital y el trabajo generan conjuntamente el producto, si hay mucho capital en relación con el trabajo, se utilizarán métodos intensivos en capital aumentando la relación marginal capital-producto.</w:t>
      </w:r>
    </w:p>
    <w:p>
      <w:pPr>
        <w:pStyle w:val="BodyText"/>
        <w:spacing w:line="360" w:lineRule="auto" w:before="6"/>
        <w:ind w:left="102" w:right="117" w:firstLine="707"/>
        <w:jc w:val="both"/>
      </w:pPr>
      <w:r>
        <w:rPr/>
        <w:t>La inversión por tanto es fundamental para el desarrollo económico, las empresas deben considerar el incremento del capital, para seguir produciendo y a su vez otorgando empleo e incrementando su producción. En este proceso es preciso entender que las instituciones deben coadyuvar en el desarrollo de incentivos y de las mejores condiciones para la industria, a fin de motivar su crecimiento. Otro factor que debe considerar la industria es el desarrollo de innovación constante, el progreso técnico, como en seguida se explica.</w:t>
      </w:r>
    </w:p>
    <w:p>
      <w:pPr>
        <w:pStyle w:val="BodyText"/>
      </w:pPr>
    </w:p>
    <w:p>
      <w:pPr>
        <w:pStyle w:val="Heading2"/>
        <w:numPr>
          <w:ilvl w:val="2"/>
          <w:numId w:val="5"/>
        </w:numPr>
        <w:tabs>
          <w:tab w:pos="642" w:val="left" w:leader="none"/>
        </w:tabs>
        <w:spacing w:line="240" w:lineRule="auto" w:before="148" w:after="0"/>
        <w:ind w:left="642" w:right="0" w:hanging="540"/>
        <w:jc w:val="both"/>
      </w:pPr>
      <w:bookmarkStart w:name="_TOC_250012" w:id="5"/>
      <w:r>
        <w:rPr/>
        <w:t>Nuevas teorías del crecimiento</w:t>
      </w:r>
      <w:r>
        <w:rPr>
          <w:spacing w:val="-11"/>
        </w:rPr>
        <w:t> </w:t>
      </w:r>
      <w:bookmarkEnd w:id="5"/>
      <w:r>
        <w:rPr/>
        <w:t>endógeno</w:t>
      </w:r>
    </w:p>
    <w:p>
      <w:pPr>
        <w:pStyle w:val="BodyText"/>
        <w:spacing w:line="360" w:lineRule="auto" w:before="132"/>
        <w:ind w:left="102" w:right="120"/>
        <w:jc w:val="both"/>
      </w:pPr>
      <w:r>
        <w:rPr/>
        <w:t>La teoría neoclásica del crecimiento forma la base de la “nueva” teoría del crecimiento endógeno. Ésta teoría postula que existen rendimientos constantes del capital, una mayor razón capital- trabajo será exactamente compensada por un mayor producto </w:t>
      </w:r>
      <w:r>
        <w:rPr>
          <w:i/>
        </w:rPr>
        <w:t>per cápita</w:t>
      </w:r>
      <w:r>
        <w:rPr/>
        <w:t>, y la razón capital-producto no será mayor en los países ricos en capital que en los países pobres en capital, y la razón ahorro-inversión, por lo tanto será importante para el crecimiento de largo plazo (Thirlwall, 2003).</w:t>
      </w:r>
    </w:p>
    <w:p>
      <w:pPr>
        <w:pStyle w:val="BodyText"/>
        <w:spacing w:line="360" w:lineRule="auto" w:before="4"/>
        <w:ind w:left="102" w:right="119" w:firstLine="707"/>
        <w:jc w:val="both"/>
      </w:pPr>
      <w:r>
        <w:rPr/>
        <w:t>Así el crecimiento es determinado en forma endógena y no determinado por la tasa de crecimiento exógena de la fuerza de trabajo y del progreso técnico. Éste es el punto de partida de la nueva teoría del crecimiento endógeno, la cual busca una explicación de porqué ha existido una divergencia entre los países ricos y pobres a nivel mundial.</w:t>
      </w:r>
    </w:p>
    <w:p>
      <w:pPr>
        <w:spacing w:after="0" w:line="360" w:lineRule="auto"/>
        <w:jc w:val="both"/>
        <w:sectPr>
          <w:pgSz w:w="12240" w:h="15840"/>
          <w:pgMar w:header="0" w:footer="1003" w:top="1360" w:bottom="1200" w:left="1600" w:right="1580"/>
        </w:sectPr>
      </w:pPr>
    </w:p>
    <w:p>
      <w:pPr>
        <w:pStyle w:val="BodyText"/>
        <w:spacing w:line="355" w:lineRule="auto" w:before="50"/>
        <w:ind w:left="122" w:right="114" w:firstLine="707"/>
        <w:jc w:val="both"/>
        <w:rPr>
          <w:sz w:val="16"/>
        </w:rPr>
      </w:pPr>
      <w:r>
        <w:rPr/>
        <w:t>El interés de las teorías del crecimiento endógenas se centra en la naturaleza y el papel del conocimiento en el proceso del crecimiento, Grossman y Helpman (1990 y 1994). Los agentes invierten recursos en la investigación y en el desarrollo, donde de una máquina no sale solamente la producción, sino nuevos conocimientos tecnológicos. Al respecto, Arrow (1962) sostiene que el conocimiento tiene ciertas características peculiares, como el derrame (</w:t>
      </w:r>
      <w:r>
        <w:rPr>
          <w:i/>
        </w:rPr>
        <w:t>spillovers</w:t>
      </w:r>
      <w:r>
        <w:rPr/>
        <w:t>) en las manos de otras personas con un costo marginal cercano a cero.</w:t>
      </w:r>
      <w:r>
        <w:rPr>
          <w:position w:val="11"/>
          <w:sz w:val="16"/>
        </w:rPr>
        <w:t>11</w:t>
      </w:r>
    </w:p>
    <w:p>
      <w:pPr>
        <w:pStyle w:val="BodyText"/>
        <w:spacing w:line="360" w:lineRule="auto"/>
        <w:ind w:left="122" w:right="243"/>
      </w:pPr>
      <w:r>
        <w:rPr/>
        <w:t>Este proceso de </w:t>
      </w:r>
      <w:r>
        <w:rPr>
          <w:i/>
        </w:rPr>
        <w:t>spillovers </w:t>
      </w:r>
      <w:r>
        <w:rPr/>
        <w:t>en la economía es la fuente que genera el desarrollo económico regional.</w:t>
      </w:r>
    </w:p>
    <w:p>
      <w:pPr>
        <w:pStyle w:val="BodyText"/>
        <w:spacing w:line="360" w:lineRule="auto" w:before="4"/>
        <w:ind w:left="122" w:right="120" w:firstLine="707"/>
        <w:jc w:val="both"/>
      </w:pPr>
      <w:r>
        <w:rPr/>
        <w:t>Como se analizó anteriormente, todos los modelos de crecimiento exógeno tienen la implicación de que los cambios en las políticas gubernamentales, como subsidios a la investigación o impuestos sobre las inversiones, generan efectos de nivel pero no de crecimiento de largo plazo. Es decir, estas políticas elevan temporalmente la tasa de crecimiento: la economía crece a un nivel más alto de la ruta de crecimiento equilibrado. Pero a largo plazo la tasa de crecimiento regresa a su nivel inicial. Originalmente se usó el término “crecimiento endógeno” para referirse a modelos donde los cambios de esas políticas pudieran influir sobre la tasa de crecimiento en forma permanente (Jones, 2000).</w:t>
      </w:r>
    </w:p>
    <w:p>
      <w:pPr>
        <w:pStyle w:val="BodyText"/>
        <w:spacing w:line="360" w:lineRule="auto" w:before="4"/>
        <w:ind w:left="122" w:right="120" w:firstLine="707"/>
        <w:jc w:val="both"/>
      </w:pPr>
      <w:r>
        <w:rPr/>
        <w:t>Otra teoría vinculada con esta acumulación de capital se expresa en el capital humano como fuente de inversión y capital que pueden aprovechar los países para su crecimiento económico, como se establece en la siguiente teoría.</w:t>
      </w:r>
    </w:p>
    <w:p>
      <w:pPr>
        <w:pStyle w:val="BodyText"/>
        <w:spacing w:line="360" w:lineRule="auto" w:before="6"/>
        <w:ind w:left="122" w:right="115" w:firstLine="707"/>
        <w:jc w:val="both"/>
      </w:pPr>
      <w:r>
        <w:rPr/>
        <w:t>Los resultados de Mankiw </w:t>
      </w:r>
      <w:r>
        <w:rPr>
          <w:i/>
        </w:rPr>
        <w:t>et al., </w:t>
      </w:r>
      <w:r>
        <w:rPr/>
        <w:t>(1992) indican que el modelo de Solow es consistente con la evidencia internacional de acumular tanto capital físico como capital humano. Este modelo aumentado sostiene que la diferencia en ahorro, educación, y crecimiento de la población debe explicar las diferencias de ingreso </w:t>
      </w:r>
      <w:r>
        <w:rPr>
          <w:i/>
        </w:rPr>
        <w:t>per cápita </w:t>
      </w:r>
      <w:r>
        <w:rPr/>
        <w:t>de los  países.</w:t>
      </w:r>
    </w:p>
    <w:p>
      <w:pPr>
        <w:pStyle w:val="BodyText"/>
        <w:spacing w:line="360" w:lineRule="auto" w:before="4"/>
        <w:ind w:left="122" w:right="120" w:firstLine="707"/>
        <w:jc w:val="both"/>
      </w:pPr>
      <w:r>
        <w:rPr/>
        <w:t>Según las teorías tradicionales del crecimiento, el comercio internacional es  el motor de éste, mientras que la teoría endógena se centra en el capital humano en la forma  de entrenamiento para el trabajo y de nuevas tecnologías para el mercado mundial. El capital humano se identifica casi siempre como un ingrediente crucial para que las economías regionales crezcan y alcancen un ingreso </w:t>
      </w:r>
      <w:r>
        <w:rPr>
          <w:i/>
        </w:rPr>
        <w:t>per cápita </w:t>
      </w:r>
      <w:r>
        <w:rPr/>
        <w:t>mayor en el estado </w:t>
      </w:r>
      <w:r>
        <w:rPr>
          <w:spacing w:val="57"/>
        </w:rPr>
        <w:t> </w:t>
      </w:r>
      <w:r>
        <w:rPr/>
        <w:t>estable.</w:t>
      </w:r>
    </w:p>
    <w:p>
      <w:pPr>
        <w:pStyle w:val="BodyText"/>
        <w:spacing w:before="3"/>
        <w:rPr>
          <w:sz w:val="14"/>
        </w:rPr>
      </w:pPr>
      <w:r>
        <w:rPr/>
        <w:pict>
          <v:line style="position:absolute;mso-position-horizontal-relative:page;mso-position-vertical-relative:paragraph;z-index:1240;mso-wrap-distance-left:0;mso-wrap-distance-right:0" from="85.103996pt,10.559782pt" to="229.123996pt,10.559782pt" stroked="true" strokeweight=".71997pt" strokecolor="#000000">
            <w10:wrap type="topAndBottom"/>
          </v:line>
        </w:pict>
      </w:r>
    </w:p>
    <w:p>
      <w:pPr>
        <w:spacing w:before="42"/>
        <w:ind w:left="122" w:right="122" w:firstLine="0"/>
        <w:jc w:val="both"/>
        <w:rPr>
          <w:sz w:val="20"/>
        </w:rPr>
      </w:pPr>
      <w:r>
        <w:rPr>
          <w:position w:val="9"/>
          <w:sz w:val="13"/>
        </w:rPr>
        <w:t>11 </w:t>
      </w:r>
      <w:r>
        <w:rPr>
          <w:sz w:val="20"/>
        </w:rPr>
        <w:t>Los </w:t>
      </w:r>
      <w:r>
        <w:rPr>
          <w:i/>
          <w:sz w:val="20"/>
        </w:rPr>
        <w:t>spillovers </w:t>
      </w:r>
      <w:r>
        <w:rPr>
          <w:sz w:val="20"/>
        </w:rPr>
        <w:t>o externalidades se definen como una situación en la cual los costos de beneficio de producción y/o consumo de algún bien servicio no son reflejados en el precio de mercado de los mismos. Véase Calderón </w:t>
      </w:r>
      <w:r>
        <w:rPr>
          <w:i/>
          <w:sz w:val="20"/>
        </w:rPr>
        <w:t>et al., </w:t>
      </w:r>
      <w:r>
        <w:rPr>
          <w:sz w:val="20"/>
        </w:rPr>
        <w:t>(2009).</w:t>
      </w:r>
    </w:p>
    <w:p>
      <w:pPr>
        <w:spacing w:after="0"/>
        <w:jc w:val="both"/>
        <w:rPr>
          <w:sz w:val="20"/>
        </w:rPr>
        <w:sectPr>
          <w:pgSz w:w="12240" w:h="15840"/>
          <w:pgMar w:header="0" w:footer="1003" w:top="1360" w:bottom="1200" w:left="1580" w:right="1580"/>
        </w:sectPr>
      </w:pPr>
    </w:p>
    <w:p>
      <w:pPr>
        <w:pStyle w:val="BodyText"/>
        <w:spacing w:line="352" w:lineRule="auto" w:before="50"/>
        <w:ind w:left="122" w:right="115"/>
        <w:jc w:val="both"/>
      </w:pPr>
      <w:r>
        <w:rPr/>
        <w:t>Sin embargo, las investigaciones empíricas sobre el crecimiento regional en México han aportado poco para clarificar las dimensiones y los efectos de capital humano</w:t>
      </w:r>
      <w:r>
        <w:rPr>
          <w:position w:val="11"/>
          <w:sz w:val="16"/>
        </w:rPr>
        <w:t>12 </w:t>
      </w:r>
      <w:r>
        <w:rPr/>
        <w:t>en el crecimiento del ingreso </w:t>
      </w:r>
      <w:r>
        <w:rPr>
          <w:i/>
        </w:rPr>
        <w:t>per cápita </w:t>
      </w:r>
      <w:r>
        <w:rPr/>
        <w:t>o de cualquier implicación para una política educativa (Díaz-Bautista y Díaz, 2003). Derivado del capital humano, que crece a través del conocimiento se encuentra el desarrollo de las ideas, que a continuación se explica.</w:t>
      </w:r>
    </w:p>
    <w:p>
      <w:pPr>
        <w:pStyle w:val="BodyText"/>
      </w:pPr>
    </w:p>
    <w:p>
      <w:pPr>
        <w:pStyle w:val="Heading2"/>
        <w:numPr>
          <w:ilvl w:val="2"/>
          <w:numId w:val="5"/>
        </w:numPr>
        <w:tabs>
          <w:tab w:pos="662" w:val="left" w:leader="none"/>
        </w:tabs>
        <w:spacing w:line="240" w:lineRule="auto" w:before="156" w:after="0"/>
        <w:ind w:left="662" w:right="0" w:hanging="540"/>
        <w:jc w:val="both"/>
      </w:pPr>
      <w:bookmarkStart w:name="_TOC_250011" w:id="6"/>
      <w:r>
        <w:rPr/>
        <w:t>El progreso</w:t>
      </w:r>
      <w:r>
        <w:rPr>
          <w:spacing w:val="-3"/>
        </w:rPr>
        <w:t> </w:t>
      </w:r>
      <w:bookmarkEnd w:id="6"/>
      <w:r>
        <w:rPr/>
        <w:t>técnico</w:t>
      </w:r>
    </w:p>
    <w:p>
      <w:pPr>
        <w:pStyle w:val="BodyText"/>
        <w:spacing w:line="360" w:lineRule="auto" w:before="134"/>
        <w:ind w:left="122" w:right="114"/>
        <w:jc w:val="both"/>
      </w:pPr>
      <w:r>
        <w:rPr/>
        <w:t>En su artículo: “The Origins of endogenous Growth”, Romer (1994), presentó un modelo  de crecimiento de largo plazo en el cual el conocimiento es asumido como el impulso de la producción que contribuye a la productividad marginal. Es esencialmente un modelo de equilibrio competitivo con cambio tecnológico endógeno. El modelo de Romer, endogeniza el progreso tecnológico al introducir la búsqueda de nuevas ideas por parte de los investigadores interesados en obtener ganancias de sus invenciones y el crecimiento  de ideas se relaciona claramente con el crecimiento de la población. Un mayor número de investigadores puede crear un mayor número de ideas y éste es el principio general que produce el crecimiento </w:t>
      </w:r>
      <w:r>
        <w:rPr>
          <w:i/>
        </w:rPr>
        <w:t>per</w:t>
      </w:r>
      <w:r>
        <w:rPr>
          <w:i/>
          <w:spacing w:val="-5"/>
        </w:rPr>
        <w:t> </w:t>
      </w:r>
      <w:r>
        <w:rPr>
          <w:i/>
        </w:rPr>
        <w:t>cápita</w:t>
      </w:r>
      <w:r>
        <w:rPr/>
        <w:t>.</w:t>
      </w:r>
    </w:p>
    <w:p>
      <w:pPr>
        <w:pStyle w:val="BodyText"/>
        <w:spacing w:before="4"/>
        <w:ind w:left="122"/>
        <w:jc w:val="both"/>
      </w:pPr>
      <w:r>
        <w:rPr/>
        <w:t>De acuerdo con Romer (1996: 203).</w:t>
      </w:r>
    </w:p>
    <w:p>
      <w:pPr>
        <w:spacing w:before="139"/>
        <w:ind w:left="688" w:right="687" w:firstLine="0"/>
        <w:jc w:val="both"/>
        <w:rPr>
          <w:sz w:val="22"/>
        </w:rPr>
      </w:pPr>
      <w:r>
        <w:rPr>
          <w:sz w:val="22"/>
        </w:rPr>
        <w:t>“La nueva teoría del crecimiento empieza con tecnología como bien público y se preocupa de dónde viene la tecnología. Esta teoría empieza dividiendo el mundo en  dos tipos fundamentales de bienes productivos que llaman “ideas” y “cosas”, con estas podemos explicar como trabaja el crecimiento económico. Las ideas no rivales son bienes que son producidos y distribuidos como otros bienes lo hacen, estas pueden ser copiadas y comunicadas a todo el</w:t>
      </w:r>
      <w:r>
        <w:rPr>
          <w:spacing w:val="-4"/>
          <w:sz w:val="22"/>
        </w:rPr>
        <w:t> </w:t>
      </w:r>
      <w:r>
        <w:rPr>
          <w:sz w:val="22"/>
        </w:rPr>
        <w:t>mundo”.</w:t>
      </w:r>
    </w:p>
    <w:p>
      <w:pPr>
        <w:pStyle w:val="BodyText"/>
        <w:rPr>
          <w:sz w:val="22"/>
        </w:rPr>
      </w:pPr>
    </w:p>
    <w:p>
      <w:pPr>
        <w:pStyle w:val="BodyText"/>
        <w:spacing w:line="360" w:lineRule="auto" w:before="161"/>
        <w:ind w:left="122" w:right="114"/>
        <w:jc w:val="both"/>
      </w:pPr>
      <w:r>
        <w:rPr/>
        <w:t>Los avances tecnológicos de un sector de la economía pueden provocar avances y preparar el terreno a nuevos hallazgos en otros sectores, estos son conocidos como nuevas innovaciones o “nuevas combinaciones”, tan importantes para el crecimiento de las regiones.</w:t>
      </w:r>
    </w:p>
    <w:p>
      <w:pPr>
        <w:pStyle w:val="BodyText"/>
        <w:spacing w:line="360" w:lineRule="auto" w:before="6"/>
        <w:ind w:left="122" w:right="243" w:firstLine="707"/>
      </w:pPr>
      <w:r>
        <w:rPr/>
        <w:t>En este sentido el progreso técnico puede clasificarse en términos generales en dos categorías:</w:t>
      </w:r>
    </w:p>
    <w:p>
      <w:pPr>
        <w:pStyle w:val="BodyText"/>
        <w:rPr>
          <w:sz w:val="20"/>
        </w:rPr>
      </w:pPr>
    </w:p>
    <w:p>
      <w:pPr>
        <w:pStyle w:val="BodyText"/>
        <w:spacing w:before="3"/>
        <w:rPr>
          <w:sz w:val="22"/>
        </w:rPr>
      </w:pPr>
      <w:r>
        <w:rPr/>
        <w:pict>
          <v:line style="position:absolute;mso-position-horizontal-relative:page;mso-position-vertical-relative:paragraph;z-index:1264;mso-wrap-distance-left:0;mso-wrap-distance-right:0" from="85.103996pt,15.140719pt" to="229.123996pt,15.140719pt" stroked="true" strokeweight=".72003pt" strokecolor="#000000">
            <w10:wrap type="topAndBottom"/>
          </v:line>
        </w:pict>
      </w:r>
    </w:p>
    <w:p>
      <w:pPr>
        <w:spacing w:before="42"/>
        <w:ind w:left="122" w:right="122" w:firstLine="0"/>
        <w:jc w:val="both"/>
        <w:rPr>
          <w:sz w:val="20"/>
        </w:rPr>
      </w:pPr>
      <w:r>
        <w:rPr>
          <w:position w:val="9"/>
          <w:sz w:val="13"/>
        </w:rPr>
        <w:t>12 </w:t>
      </w:r>
      <w:r>
        <w:rPr>
          <w:sz w:val="20"/>
        </w:rPr>
        <w:t>Según un estudio del Banco Mundial, alrededor de dos tercios de crecimiento observado en las economías del Este Asiático pueden atribuirse a la acumulación de capital físico y humano, y de estos factores el que más contribuye es la educación primaria. El crecimiento restante se debe al crecimiento de la productividad total de factores, especialmente en el caso de Corea, Hong Kong, Tailandia y Taiwan (Ray,</w:t>
      </w:r>
      <w:r>
        <w:rPr>
          <w:spacing w:val="-31"/>
          <w:sz w:val="20"/>
        </w:rPr>
        <w:t> </w:t>
      </w:r>
      <w:r>
        <w:rPr>
          <w:sz w:val="20"/>
        </w:rPr>
        <w:t>1998).</w:t>
      </w:r>
    </w:p>
    <w:p>
      <w:pPr>
        <w:spacing w:after="0"/>
        <w:jc w:val="both"/>
        <w:rPr>
          <w:sz w:val="20"/>
        </w:rPr>
        <w:sectPr>
          <w:pgSz w:w="12240" w:h="15840"/>
          <w:pgMar w:header="0" w:footer="1003" w:top="1360" w:bottom="1200" w:left="1580" w:right="1580"/>
        </w:sectPr>
      </w:pPr>
    </w:p>
    <w:p>
      <w:pPr>
        <w:pStyle w:val="ListParagraph"/>
        <w:numPr>
          <w:ilvl w:val="3"/>
          <w:numId w:val="5"/>
        </w:numPr>
        <w:tabs>
          <w:tab w:pos="2227" w:val="left" w:leader="none"/>
        </w:tabs>
        <w:spacing w:line="360" w:lineRule="auto" w:before="50" w:after="0"/>
        <w:ind w:left="822" w:right="117" w:firstLine="708"/>
        <w:jc w:val="both"/>
        <w:rPr>
          <w:sz w:val="24"/>
        </w:rPr>
      </w:pPr>
      <w:r>
        <w:rPr>
          <w:sz w:val="24"/>
        </w:rPr>
        <w:t>En primer lugar, cierto tipo de conocimiento se adquiere gracias a  que se detraen recursos deliberadamente de la actividad productiva corriente, con la esperanza de que estos recursos aumenten la rentabilidad futura. Estas innovaciones pueden consistir en la introducción de nuevos productos destinados a la producción o al consumo (innovación de productos) o en la introducción de nuevos métodos para producir o distribuir un producto existente (innovación de</w:t>
      </w:r>
      <w:r>
        <w:rPr>
          <w:spacing w:val="-11"/>
          <w:sz w:val="24"/>
        </w:rPr>
        <w:t> </w:t>
      </w:r>
      <w:r>
        <w:rPr>
          <w:sz w:val="24"/>
        </w:rPr>
        <w:t>procesos).</w:t>
      </w:r>
    </w:p>
    <w:p>
      <w:pPr>
        <w:pStyle w:val="ListParagraph"/>
        <w:numPr>
          <w:ilvl w:val="3"/>
          <w:numId w:val="5"/>
        </w:numPr>
        <w:tabs>
          <w:tab w:pos="2227" w:val="left" w:leader="none"/>
        </w:tabs>
        <w:spacing w:line="360" w:lineRule="auto" w:before="4" w:after="0"/>
        <w:ind w:left="822" w:right="120" w:firstLine="708"/>
        <w:jc w:val="both"/>
        <w:rPr>
          <w:sz w:val="24"/>
        </w:rPr>
      </w:pPr>
      <w:r>
        <w:rPr>
          <w:sz w:val="24"/>
        </w:rPr>
        <w:t>En segundo lugar, se transfiere tecnología de la empresa innovadora  o de un núcleo de empresas innovadoras al resto del mundo. Esta difusión puede  ser, a su vez, de dos tipos. </w:t>
      </w:r>
      <w:r>
        <w:rPr>
          <w:spacing w:val="-3"/>
          <w:sz w:val="24"/>
        </w:rPr>
        <w:t>La </w:t>
      </w:r>
      <w:r>
        <w:rPr>
          <w:sz w:val="24"/>
        </w:rPr>
        <w:t>nueva tecnología puede darse a conocer a “terceros”, que pueden beneficiarse de ella directamente, o puede preparar el terreno para otras actividades innovadoras, que no tienen por qué ser realizadas necesariamente por el individuo o por la organización que realizó la inicial (Ray,</w:t>
      </w:r>
      <w:r>
        <w:rPr>
          <w:spacing w:val="-9"/>
          <w:sz w:val="24"/>
        </w:rPr>
        <w:t> </w:t>
      </w:r>
      <w:r>
        <w:rPr>
          <w:sz w:val="24"/>
        </w:rPr>
        <w:t>1998).</w:t>
      </w:r>
    </w:p>
    <w:p>
      <w:pPr>
        <w:pStyle w:val="BodyText"/>
        <w:spacing w:line="360" w:lineRule="auto" w:before="4"/>
        <w:ind w:left="102" w:right="121"/>
      </w:pPr>
      <w:r>
        <w:rPr/>
        <w:t>Las instituciones también forman parte de estos procesos de crecimiento como a continuación se describe. Su papel es fundamental.</w:t>
      </w:r>
    </w:p>
    <w:p>
      <w:pPr>
        <w:pStyle w:val="BodyText"/>
      </w:pPr>
    </w:p>
    <w:p>
      <w:pPr>
        <w:pStyle w:val="Heading2"/>
        <w:numPr>
          <w:ilvl w:val="2"/>
          <w:numId w:val="5"/>
        </w:numPr>
        <w:tabs>
          <w:tab w:pos="702" w:val="left" w:leader="none"/>
        </w:tabs>
        <w:spacing w:line="240" w:lineRule="auto" w:before="148" w:after="0"/>
        <w:ind w:left="702" w:right="0" w:hanging="600"/>
        <w:jc w:val="both"/>
      </w:pPr>
      <w:bookmarkStart w:name="_TOC_250010" w:id="7"/>
      <w:r>
        <w:rPr/>
        <w:t>Las instituciones y el</w:t>
      </w:r>
      <w:r>
        <w:rPr>
          <w:spacing w:val="-11"/>
        </w:rPr>
        <w:t> </w:t>
      </w:r>
      <w:bookmarkEnd w:id="7"/>
      <w:r>
        <w:rPr/>
        <w:t>crecimiento</w:t>
      </w:r>
    </w:p>
    <w:p>
      <w:pPr>
        <w:pStyle w:val="BodyText"/>
        <w:spacing w:line="360" w:lineRule="auto" w:before="132"/>
        <w:ind w:left="102" w:right="234"/>
        <w:jc w:val="both"/>
      </w:pPr>
      <w:r>
        <w:rPr/>
        <w:t>La literatura sobre la relación entre instituciones, política económica y crecimiento a largo plazo ha despertado un notable interés en los últimos años. Sin embargo, se destaca en</w:t>
      </w:r>
      <w:r>
        <w:rPr>
          <w:spacing w:val="-15"/>
        </w:rPr>
        <w:t> </w:t>
      </w:r>
      <w:r>
        <w:rPr/>
        <w:t>este tipo de estudios la gran dispersión de</w:t>
      </w:r>
      <w:r>
        <w:rPr>
          <w:spacing w:val="-7"/>
        </w:rPr>
        <w:t> </w:t>
      </w:r>
      <w:r>
        <w:rPr/>
        <w:t>enfoques.</w:t>
      </w:r>
    </w:p>
    <w:p>
      <w:pPr>
        <w:pStyle w:val="BodyText"/>
        <w:spacing w:line="360" w:lineRule="auto" w:before="6"/>
        <w:ind w:left="102" w:right="115" w:firstLine="707"/>
        <w:jc w:val="both"/>
      </w:pPr>
      <w:r>
        <w:rPr/>
        <w:t>North (1993) define a las instituciones como cualquier restricción socialmente impuesta sobre el comportamiento humano. Olson (1996) denomina a las instituciones estables a las que garantizan los derechos individuales a la propiedad y el cumplimiento de los contratos a través de las generaciones.</w:t>
      </w:r>
    </w:p>
    <w:p>
      <w:pPr>
        <w:pStyle w:val="BodyText"/>
        <w:spacing w:line="360" w:lineRule="auto" w:before="6"/>
        <w:ind w:left="102" w:right="118" w:firstLine="707"/>
        <w:jc w:val="both"/>
      </w:pPr>
      <w:r>
        <w:rPr/>
        <w:t>Los estudios de Barro (1990), y Sala-i- Martin (2000), identifican al sector público como una fuente potencial de rendimientos crecientes de escala en un modelo de crecimiento endógeno.</w:t>
      </w:r>
    </w:p>
    <w:p>
      <w:pPr>
        <w:pStyle w:val="BodyText"/>
        <w:spacing w:line="360" w:lineRule="auto" w:before="4"/>
        <w:ind w:left="102" w:right="118" w:firstLine="707"/>
        <w:jc w:val="both"/>
      </w:pPr>
      <w:r>
        <w:rPr/>
        <w:t>Las “instituciones” son importantes empíricamente y pueden modelarse. Por instituciones se entienden los diversos aspectos de la aplicación de la ley (derechos de propiedad, estado de derecho, sistemas legales y en el funcionamiento de los mercados (estructuras de mercados, políticas de competencia, apertura de mercados externos, capital  y tecnología) conflictos sociales, desigualdad, instituciones políticas (democracia,  </w:t>
      </w:r>
      <w:r>
        <w:rPr>
          <w:spacing w:val="44"/>
        </w:rPr>
        <w:t> </w:t>
      </w:r>
      <w:r>
        <w:rPr/>
        <w:t>libertad</w:t>
      </w:r>
    </w:p>
    <w:p>
      <w:pPr>
        <w:spacing w:after="0" w:line="360" w:lineRule="auto"/>
        <w:jc w:val="both"/>
        <w:sectPr>
          <w:footerReference w:type="default" r:id="rId11"/>
          <w:pgSz w:w="12240" w:h="15840"/>
          <w:pgMar w:footer="1003" w:header="0" w:top="1360" w:bottom="1200" w:left="1600" w:right="1580"/>
          <w:pgNumType w:start="20"/>
        </w:sectPr>
      </w:pPr>
    </w:p>
    <w:p>
      <w:pPr>
        <w:pStyle w:val="BodyText"/>
        <w:spacing w:line="360" w:lineRule="auto" w:before="50"/>
        <w:ind w:left="122" w:right="119"/>
        <w:jc w:val="both"/>
      </w:pPr>
      <w:r>
        <w:rPr/>
        <w:t>política, trastornos políticos, estabilidad política), sistema de salud (esperanza de vida), instituciones financieras (sistema bancario) así como instituciones estatales (tamaño de la burocracia, corrupción) (Sala-i-Martin, 2000).</w:t>
      </w:r>
    </w:p>
    <w:p>
      <w:pPr>
        <w:pStyle w:val="BodyText"/>
        <w:spacing w:line="360" w:lineRule="auto" w:before="6"/>
        <w:ind w:left="122" w:right="115" w:firstLine="566"/>
        <w:jc w:val="both"/>
      </w:pPr>
      <w:r>
        <w:rPr/>
        <w:t>Para North (2006), las instituciones son reglas del juego, que permiten controlar el oportunismo y actuar ante cualquier desequilibrio. O más formalmente, son constreñimientos y obligaciones creados por las personas para dar forma a la interacción humana, al gobierno y a las empresas.</w:t>
      </w:r>
    </w:p>
    <w:p>
      <w:pPr>
        <w:spacing w:before="6"/>
        <w:ind w:left="688" w:right="682" w:firstLine="0"/>
        <w:jc w:val="both"/>
        <w:rPr>
          <w:sz w:val="22"/>
        </w:rPr>
      </w:pPr>
      <w:r>
        <w:rPr>
          <w:sz w:val="22"/>
        </w:rPr>
        <w:t>“En consecuencia (las instituciones), configuran y estructuran los alicientes en el intercambio social ya sea político, social o económico. El cambio institucional delinea la forma en la que la sociedad evoluciona en el tiempo y es, a la vez, la clave para entender el cambio histórico”, (North, 2006: 8).</w:t>
      </w:r>
    </w:p>
    <w:p>
      <w:pPr>
        <w:pStyle w:val="BodyText"/>
        <w:rPr>
          <w:sz w:val="22"/>
        </w:rPr>
      </w:pPr>
    </w:p>
    <w:p>
      <w:pPr>
        <w:pStyle w:val="BodyText"/>
        <w:spacing w:line="360" w:lineRule="auto" w:before="1"/>
        <w:ind w:left="122" w:right="116" w:firstLine="566"/>
        <w:jc w:val="both"/>
      </w:pPr>
      <w:r>
        <w:rPr/>
        <w:t>La evidencia empírica reciente para México, sugiere que un factor dominante que distingue el elevado crecimiento de algunas regiones y el bajo crecimiento de otras, es la calidad del gobierno, es decir, la calidad de sus instituciones económicas, sociales y políticas. Por ejemplo, el estudio de Celaya y Díaz-Bautista (2002), muestra que la calidad del gobierno y la corrupción en México están muy ligadas, y esto diferencia a las   regiones</w:t>
      </w:r>
    </w:p>
    <w:p>
      <w:pPr>
        <w:pStyle w:val="BodyText"/>
        <w:spacing w:line="280" w:lineRule="exact"/>
        <w:ind w:left="122"/>
        <w:jc w:val="both"/>
        <w:rPr>
          <w:sz w:val="16"/>
        </w:rPr>
      </w:pPr>
      <w:r>
        <w:rPr/>
        <w:t>del país en términos de crecimiento. </w:t>
      </w:r>
      <w:r>
        <w:rPr>
          <w:position w:val="11"/>
          <w:sz w:val="16"/>
        </w:rPr>
        <w:t>13</w:t>
      </w:r>
    </w:p>
    <w:p>
      <w:pPr>
        <w:pStyle w:val="BodyText"/>
        <w:spacing w:line="360" w:lineRule="auto" w:before="139"/>
        <w:ind w:left="122" w:right="116" w:firstLine="566"/>
        <w:jc w:val="both"/>
      </w:pPr>
      <w:r>
        <w:rPr/>
        <w:t>Díaz-Bautista (2003), atribuye a las acciones del gobierno un papel fundamental en el crecimiento económico mediante la política fiscal, la provisión de infraestructura, la protección de la propiedad intelectual, la regulación económica, el seguimiento del orden y de la ley. En contraparte, ocurre lo contrario, con las políticas de regulación e impuestos excesivos, o aquellos considerados injustos, barreras para el comercio y cargas administrativas que se convierten en un freno para el crecimiento económico.</w:t>
      </w:r>
    </w:p>
    <w:p>
      <w:pPr>
        <w:pStyle w:val="BodyText"/>
        <w:spacing w:line="360" w:lineRule="auto" w:before="6"/>
        <w:ind w:left="122" w:right="116" w:firstLine="566"/>
        <w:jc w:val="both"/>
      </w:pPr>
      <w:r>
        <w:rPr/>
        <w:t>Se asume también que la solidez institucional de un gobierno, respecto a sus instituciones permite contar con inversión extranjera directa. Díaz-Bautista (2003), incorpora también la estabilidad y paz social dentro de las políticas que institucionales que México debe privilegiar para garantizar el crecimiento económico de las regiones. Otro elemento de madurez institucional se basa en la participación ciudadana, como mecanismo de agregación de intereses y desarrollo de conocimientos locales.</w:t>
      </w:r>
    </w:p>
    <w:p>
      <w:pPr>
        <w:pStyle w:val="BodyText"/>
        <w:rPr>
          <w:sz w:val="20"/>
        </w:rPr>
      </w:pPr>
    </w:p>
    <w:p>
      <w:pPr>
        <w:pStyle w:val="BodyText"/>
        <w:spacing w:before="3"/>
        <w:rPr>
          <w:sz w:val="28"/>
        </w:rPr>
      </w:pPr>
      <w:r>
        <w:rPr/>
        <w:pict>
          <v:line style="position:absolute;mso-position-horizontal-relative:page;mso-position-vertical-relative:paragraph;z-index:1288;mso-wrap-distance-left:0;mso-wrap-distance-right:0" from="85.103996pt,18.620756pt" to="229.123996pt,18.620756pt" stroked="true" strokeweight=".71997pt" strokecolor="#000000">
            <w10:wrap type="topAndBottom"/>
          </v:line>
        </w:pict>
      </w:r>
    </w:p>
    <w:p>
      <w:pPr>
        <w:spacing w:before="42"/>
        <w:ind w:left="122" w:right="119" w:firstLine="0"/>
        <w:jc w:val="both"/>
        <w:rPr>
          <w:sz w:val="20"/>
        </w:rPr>
      </w:pPr>
      <w:r>
        <w:rPr>
          <w:position w:val="9"/>
          <w:sz w:val="13"/>
        </w:rPr>
        <w:t>13 </w:t>
      </w:r>
      <w:r>
        <w:rPr>
          <w:sz w:val="20"/>
        </w:rPr>
        <w:t>Véase el estudio de Mauro (1995), “Corruption and Growth”, donde establece que en la medida en que disminuye el grado de eficiencia en la asignación de recursos y la plena vigencia de los estados de derecho, reduce la tasa de crecimiento económico.</w:t>
      </w:r>
    </w:p>
    <w:p>
      <w:pPr>
        <w:spacing w:after="0"/>
        <w:jc w:val="both"/>
        <w:rPr>
          <w:sz w:val="20"/>
        </w:rPr>
        <w:sectPr>
          <w:pgSz w:w="12240" w:h="15840"/>
          <w:pgMar w:header="0" w:footer="1003" w:top="1360" w:bottom="1200" w:left="1580" w:right="1580"/>
        </w:sectPr>
      </w:pPr>
    </w:p>
    <w:p>
      <w:pPr>
        <w:pStyle w:val="BodyText"/>
        <w:spacing w:line="360" w:lineRule="auto" w:before="50"/>
        <w:ind w:left="102" w:right="115" w:firstLine="628"/>
        <w:jc w:val="both"/>
      </w:pPr>
      <w:r>
        <w:rPr/>
        <w:t>Las instituciones afectan la eficiencia de la economía de modo parecido a como lo hace la tecnología: una economía con malas instituciones es más ineficiente en cuanto se utilizan más insumos para producir la misma cantidad. Además las malas instituciones desincentivan la inversión, el trabajo y la producción.</w:t>
      </w:r>
    </w:p>
    <w:p>
      <w:pPr>
        <w:pStyle w:val="BodyText"/>
        <w:spacing w:line="360" w:lineRule="auto" w:before="4"/>
        <w:ind w:left="102" w:right="119" w:firstLine="707"/>
        <w:jc w:val="both"/>
      </w:pPr>
      <w:r>
        <w:rPr/>
        <w:t>Pero a pesar de sus efectos similares sobre la economía, la promoción o  introducción de buenas instituciones difiere sustancialmente de la promoción de nuevas tecnologías. De hecho, cuesta más tener una tecnología nueva y mejor si la economía no cuenta con las instituciones apropiadas. Ante los datos encontrados podemos decir que  cada vez es más obvio que las instituciones son un determinante importante del crecimiento (Sala-i-Martin, 2000). En ese sentido, para la industria de las manufacturas, los apoyos y alicientes que reciban por parte del gobierno y las instituciones económicas formales, permitirá en todo momento mejorar sus condiciones. La industria está supeditada al mercado, pero también al juego de las</w:t>
      </w:r>
      <w:r>
        <w:rPr>
          <w:spacing w:val="-11"/>
        </w:rPr>
        <w:t> </w:t>
      </w:r>
      <w:r>
        <w:rPr/>
        <w:t>instituciones.</w:t>
      </w:r>
    </w:p>
    <w:p>
      <w:pPr>
        <w:pStyle w:val="BodyText"/>
        <w:spacing w:line="360" w:lineRule="auto" w:before="6"/>
        <w:ind w:left="102" w:right="117" w:firstLine="707"/>
        <w:jc w:val="both"/>
      </w:pPr>
      <w:r>
        <w:rPr/>
        <w:t>Como se ha señalado, el papel de las instituciones puede ser crucial para proporcionar los elementos suficientes para detonar el crecimiento económico. Richardson (1977), atribuye a los bienes públicos proporcionados por el gobierno un papel fundamental en el incremento de productividad, dado que los servicios médicos, las escuelas y otros bienes y servicios determinan las condiciones positivas para el crecimiento regional por dos vías de impacto: cuanto mayor es una ciudad, incrementa la oferta y demanda de bienes públicos, la ciudad será más atractiva para otras actividades, asimismo incentivar el transporte, funciona como un elemento que incrementa la productividad, por lo cual el gobierno como promotor de infraestructura urbana promueve el crecimiento económico regional. Las diferencias regionales en productividad se relacionan con las diferencias regionales en infraestructura pública, donde éstas últimas crean externalidades que conducen a rendimientos constantes de escala y crecimiento regional endógeno.</w:t>
      </w:r>
    </w:p>
    <w:p>
      <w:pPr>
        <w:pStyle w:val="BodyText"/>
        <w:spacing w:line="360" w:lineRule="auto" w:before="7"/>
        <w:ind w:left="102" w:right="118" w:firstLine="707"/>
        <w:jc w:val="both"/>
      </w:pPr>
      <w:r>
        <w:rPr/>
        <w:t>En esa misma línea, Fuentes (2007), introduce el papel del gobierno como promotor de infraestructura, como la introducción de la electricidad, comunicaciones y transportes, como estimulantes para la productividad regional, sobre todo del sector manufacturero. El transporte incide en la productividad y la producción local a partir de facilitar la movilización de empleados y trabajadores, la distribución de insumos y bienes de uso intermedio y final; así como la posibilidad de llegar a otros mercados.</w:t>
      </w:r>
    </w:p>
    <w:p>
      <w:pPr>
        <w:spacing w:after="0" w:line="360" w:lineRule="auto"/>
        <w:jc w:val="both"/>
        <w:sectPr>
          <w:pgSz w:w="12240" w:h="15840"/>
          <w:pgMar w:header="0" w:footer="1003" w:top="1360" w:bottom="1200" w:left="1600" w:right="1580"/>
        </w:sectPr>
      </w:pPr>
    </w:p>
    <w:p>
      <w:pPr>
        <w:pStyle w:val="BodyText"/>
        <w:spacing w:line="360" w:lineRule="auto" w:before="50"/>
        <w:ind w:left="102" w:right="118" w:firstLine="707"/>
        <w:jc w:val="both"/>
      </w:pPr>
      <w:r>
        <w:rPr/>
        <w:t>De igual manera, las comunicaciones vía telefónica y actualmente Internet, permiten ampliar la red de proveedores y consumidores, mediante la transmisión automática de voz y datos. Por supuesto el tendido de cables de electricidad y la modernización en su suministro es fundamental para la maquinaria y las actividades administrativas. Contar con transporte, energía eléctrica y comunicaciones agiliza la adopción de tecnología en las industrias, por  lo cual el papel del gobierno como promotor de las innovaciones está</w:t>
      </w:r>
      <w:r>
        <w:rPr>
          <w:spacing w:val="-13"/>
        </w:rPr>
        <w:t> </w:t>
      </w:r>
      <w:r>
        <w:rPr/>
        <w:t>presente.</w:t>
      </w:r>
    </w:p>
    <w:p>
      <w:pPr>
        <w:pStyle w:val="BodyText"/>
        <w:spacing w:line="360" w:lineRule="auto" w:before="4"/>
        <w:ind w:left="102" w:right="120" w:firstLine="707"/>
        <w:jc w:val="both"/>
      </w:pPr>
      <w:r>
        <w:rPr/>
        <w:t>El papel del gobierno como promotor de infraestructura, es entonces es determinante. De igual forma, las obras públicas y las subvenciones a la infraestructura social o de índole salarial producen un efecto positivo en la prosperidad económica La intervención del gobierno a partir de política de apoyo al crecimiento regional pueden adquirir diversas formas, como la planeación de las ciudades y el apoyo en los servicios públicos (Richardson, 1977).</w:t>
      </w:r>
    </w:p>
    <w:p>
      <w:pPr>
        <w:pStyle w:val="BodyText"/>
        <w:spacing w:line="360" w:lineRule="auto" w:before="4"/>
        <w:ind w:left="102" w:right="126" w:firstLine="707"/>
        <w:jc w:val="both"/>
      </w:pPr>
      <w:r>
        <w:rPr/>
        <w:t>Otro factor que permite el avance de la industria está vinculado con lo que producen y cómo lo producen, para lo cual la especialización productiva tiene un papel fundamental que a continuación se explica.</w:t>
      </w:r>
    </w:p>
    <w:p>
      <w:pPr>
        <w:pStyle w:val="BodyText"/>
      </w:pPr>
    </w:p>
    <w:p>
      <w:pPr>
        <w:pStyle w:val="Heading2"/>
        <w:numPr>
          <w:ilvl w:val="2"/>
          <w:numId w:val="5"/>
        </w:numPr>
        <w:tabs>
          <w:tab w:pos="702" w:val="left" w:leader="none"/>
        </w:tabs>
        <w:spacing w:line="240" w:lineRule="auto" w:before="148" w:after="0"/>
        <w:ind w:left="702" w:right="0" w:hanging="600"/>
        <w:jc w:val="both"/>
      </w:pPr>
      <w:bookmarkStart w:name="_TOC_250009" w:id="8"/>
      <w:r>
        <w:rPr/>
        <w:t>Especialización y</w:t>
      </w:r>
      <w:r>
        <w:rPr>
          <w:spacing w:val="-8"/>
        </w:rPr>
        <w:t> </w:t>
      </w:r>
      <w:bookmarkEnd w:id="8"/>
      <w:r>
        <w:rPr/>
        <w:t>crecimiento</w:t>
      </w:r>
    </w:p>
    <w:p>
      <w:pPr>
        <w:pStyle w:val="BodyText"/>
        <w:spacing w:line="360" w:lineRule="auto" w:before="135"/>
        <w:ind w:left="102" w:right="117"/>
        <w:jc w:val="both"/>
      </w:pPr>
      <w:r>
        <w:rPr/>
        <w:t>En particular, el patrón de especialización puede ser un factor determinante del crecimiento ya que las actividades económicas pueden ser diferentes por el nivel tecnológico utilizado en sus procesos, lo cual determina su productividad. Por ejemplo, Matsuyama (1992) sugiere que la especialización en la manufactura tiene efectos positivos en el crecimiento, debido a procesos como el aprender-haciendo (</w:t>
      </w:r>
      <w:r>
        <w:rPr>
          <w:i/>
        </w:rPr>
        <w:t>learning by doing)</w:t>
      </w:r>
      <w:r>
        <w:rPr/>
        <w:t>, el cual genera externalidades positivas ya que ofrece más posibilidades de aprendizaje que otros sectores de la economía, dada la productividad asociada al mayor nivel de adelantos tecnológicos, e innovaciones.</w:t>
      </w:r>
    </w:p>
    <w:p>
      <w:pPr>
        <w:pStyle w:val="BodyText"/>
        <w:spacing w:line="360" w:lineRule="auto" w:before="7"/>
        <w:ind w:left="102" w:right="118" w:firstLine="707"/>
        <w:jc w:val="both"/>
      </w:pPr>
      <w:r>
        <w:rPr/>
        <w:t>Los teóricos de la economía clásica como David Ricardo, Adam Smith, Thomas Malthus y otros, abordaron la discusión sobre el crecimiento económico y trataron de dar una explicación al fenómeno, tratando de responder ¿por qué una región crece más que otra?, ¿en qué se especializan las regiones?, ¿qué relación existe entre la especialización productiva y el crecimiento económico?.</w:t>
      </w:r>
    </w:p>
    <w:p>
      <w:pPr>
        <w:spacing w:after="0" w:line="360" w:lineRule="auto"/>
        <w:jc w:val="both"/>
        <w:sectPr>
          <w:pgSz w:w="12240" w:h="15840"/>
          <w:pgMar w:header="0" w:footer="1003" w:top="1360" w:bottom="1200" w:left="1600" w:right="1580"/>
        </w:sectPr>
      </w:pPr>
    </w:p>
    <w:p>
      <w:pPr>
        <w:pStyle w:val="BodyText"/>
        <w:spacing w:line="360" w:lineRule="auto" w:before="50"/>
        <w:ind w:left="102" w:right="122" w:firstLine="707"/>
        <w:jc w:val="both"/>
      </w:pPr>
      <w:r>
        <w:rPr/>
        <w:t>Los países o regiones se diferencian en sus recursos y tecnología y se especializan en las cosas que hacen relativamente bien. Cada país se especializa en la producción de un número limitado de productos, que le permiten producir esos bienes de forma más eficiente que si intentara producirlo todo por sí mismo, lo que hace posible eso son las economías de escala (o rendimientos crecientes) porque hacen ventajosos que cada país se especialice  sólo en la producción de un rango limitado de bienes y servicios (Krugman y Obsfelt, 2009).</w:t>
      </w:r>
    </w:p>
    <w:p>
      <w:pPr>
        <w:pStyle w:val="BodyText"/>
        <w:spacing w:line="360" w:lineRule="auto" w:before="6"/>
        <w:ind w:left="102" w:right="118" w:firstLine="707"/>
        <w:jc w:val="both"/>
      </w:pPr>
      <w:r>
        <w:rPr/>
        <w:t>Existen diversos enfoques que analizan la relación entre especialización y crecimiento, así de acuerdo con Jungmittag (2004) y Dalum </w:t>
      </w:r>
      <w:r>
        <w:rPr>
          <w:i/>
        </w:rPr>
        <w:t>et al., </w:t>
      </w:r>
      <w:r>
        <w:rPr/>
        <w:t>(1999) se pueden diferenciar dos clases de especialización: la smithiana y la ricardiana.</w:t>
      </w:r>
    </w:p>
    <w:p>
      <w:pPr>
        <w:pStyle w:val="BodyText"/>
        <w:spacing w:line="360" w:lineRule="auto" w:before="4"/>
        <w:ind w:left="102" w:right="121" w:firstLine="707"/>
        <w:jc w:val="both"/>
      </w:pPr>
      <w:r>
        <w:rPr/>
        <w:t>La smithiana enfatiza la importancia de los efectos del aprender-haciendo o el </w:t>
      </w:r>
      <w:r>
        <w:rPr>
          <w:i/>
        </w:rPr>
        <w:t>learning by doing </w:t>
      </w:r>
      <w:r>
        <w:rPr/>
        <w:t>y de los rendimientos crecientes a escala, independientemente del área tecnológica en la cual los países se especialicen (Jungmittag, 2004). De acuerdo con Adam Smith la especialización es el resultado del aprendizaje asociado a la experiencia, ésta permite aumentar la productividad del trabajo y obtener rendimientos crecientes a escala, conocida como la especialización absoluta. Recientemente la nueva teoría del crecimiento retoma estos planteamientos donde el crecimiento resalta la importancia de la especialización productiva de actividades con alto progreso técnico, el aprendizaje, la experiencia y los rendimientos a escala.</w:t>
      </w:r>
    </w:p>
    <w:p>
      <w:pPr>
        <w:pStyle w:val="BodyText"/>
        <w:spacing w:line="360" w:lineRule="auto" w:before="6"/>
        <w:ind w:left="102" w:right="120" w:firstLine="707"/>
        <w:jc w:val="both"/>
      </w:pPr>
      <w:r>
        <w:rPr/>
        <w:t>En este sentido, Romer (1990) plantea que la adquisición de experiencia en el  trabajo es el factor capaz de generar por sí solo un crecimiento en la economía; la experiencia laboral aumenta la productividad y con ello, la inversión en bienes de capital,</w:t>
      </w:r>
      <w:r>
        <w:rPr>
          <w:spacing w:val="-11"/>
        </w:rPr>
        <w:t> </w:t>
      </w:r>
      <w:r>
        <w:rPr/>
        <w:t>lo cual se traduce en un aumento del producto en la economía. A su vez, Lucas (1988)  propone una función de producción que incluye la inversión en capital humano y en su modelo, el incremento de la productividad es el motor del crecimiento; el mejoramiento de la calidad del capital humano se ve reflejado en una fuerza laboral más productiva y el factor externo positivo que se genera, crea en la economía un efecto de escala que se traduce en un mayor</w:t>
      </w:r>
      <w:r>
        <w:rPr>
          <w:spacing w:val="-3"/>
        </w:rPr>
        <w:t> </w:t>
      </w:r>
      <w:r>
        <w:rPr/>
        <w:t>crecimiento.</w:t>
      </w:r>
    </w:p>
    <w:p>
      <w:pPr>
        <w:pStyle w:val="BodyText"/>
        <w:spacing w:line="360" w:lineRule="auto" w:before="4"/>
        <w:ind w:left="102" w:right="122" w:firstLine="707"/>
        <w:jc w:val="both"/>
      </w:pPr>
      <w:r>
        <w:rPr/>
        <w:t>Es decir, de acuerdo con estos autores la especialización productiva aumenta la productividad a través de aprendizaje o experiencia, asociada al mayor nivel de adelantos tecnológicos, e innovaciones. Los avances tecnológicos de un sector de la economía pueden</w:t>
      </w:r>
    </w:p>
    <w:p>
      <w:pPr>
        <w:spacing w:after="0" w:line="360" w:lineRule="auto"/>
        <w:jc w:val="both"/>
        <w:sectPr>
          <w:pgSz w:w="12240" w:h="15840"/>
          <w:pgMar w:header="0" w:footer="1003" w:top="1360" w:bottom="1200" w:left="1600" w:right="1580"/>
        </w:sectPr>
      </w:pPr>
    </w:p>
    <w:p>
      <w:pPr>
        <w:pStyle w:val="BodyText"/>
        <w:spacing w:line="345" w:lineRule="auto" w:before="50"/>
        <w:ind w:left="122" w:right="115"/>
        <w:jc w:val="both"/>
      </w:pPr>
      <w:r>
        <w:rPr/>
        <w:t>provocar avances en otros o preparar el terreno a nuevos hallazgos en otros sectores, estos son conocidos como nuevas innovaciones o “nuevas combinaciones”</w:t>
      </w:r>
      <w:r>
        <w:rPr>
          <w:position w:val="11"/>
          <w:sz w:val="16"/>
        </w:rPr>
        <w:t>14</w:t>
      </w:r>
      <w:r>
        <w:rPr/>
        <w:t>, tan importantes  para el crecimiento de los</w:t>
      </w:r>
      <w:r>
        <w:rPr>
          <w:spacing w:val="-9"/>
        </w:rPr>
        <w:t> </w:t>
      </w:r>
      <w:r>
        <w:rPr/>
        <w:t>países.</w:t>
      </w:r>
    </w:p>
    <w:p>
      <w:pPr>
        <w:pStyle w:val="BodyText"/>
        <w:spacing w:line="360" w:lineRule="auto" w:before="22"/>
        <w:ind w:left="122" w:right="117" w:firstLine="707"/>
        <w:jc w:val="both"/>
      </w:pPr>
      <w:r>
        <w:rPr/>
        <w:t>La especialización ricardiana se refiere al carácter cualitativo de la especialización tecnológica del país, </w:t>
      </w:r>
      <w:r>
        <w:rPr>
          <w:spacing w:val="-3"/>
        </w:rPr>
        <w:t>ya </w:t>
      </w:r>
      <w:r>
        <w:rPr/>
        <w:t>que los países especializados en bienes con alto nivel tecnológico en sus procesos productivos tienen mayores posibilidades de alcanzar tasas más altas de productividad </w:t>
      </w:r>
      <w:r>
        <w:rPr>
          <w:spacing w:val="-3"/>
        </w:rPr>
        <w:t>y, </w:t>
      </w:r>
      <w:r>
        <w:rPr/>
        <w:t>por tanto, pueden estar en una mejor posición para lograr un rápido crecimiento económico. Es decir, las diferentes actividades productivas se caracterizan por diferentes tasas de crecimiento de la productividad debido a diferencias tecnológicas. Entonces, algunas actividades ofrecen mayores posibilidades de crecimiento que otras, porque cuentan con más oportunidades de aprender (</w:t>
      </w:r>
      <w:r>
        <w:rPr>
          <w:i/>
        </w:rPr>
        <w:t>learning by doing</w:t>
      </w:r>
      <w:r>
        <w:rPr/>
        <w:t>) comparándose  entre sí. De esta manera, regiones especializadas en actividades que ofrecen más aprendizaje lograrán aumentar su productividad y acelerarán su crecimiento económico (Uribe-Etxeberria,</w:t>
      </w:r>
      <w:r>
        <w:rPr>
          <w:spacing w:val="-7"/>
        </w:rPr>
        <w:t> </w:t>
      </w:r>
      <w:r>
        <w:rPr/>
        <w:t>2009).</w:t>
      </w:r>
    </w:p>
    <w:p>
      <w:pPr>
        <w:pStyle w:val="BodyText"/>
        <w:spacing w:line="360" w:lineRule="auto" w:before="4"/>
        <w:ind w:left="122" w:right="118" w:firstLine="707"/>
        <w:jc w:val="both"/>
      </w:pPr>
      <w:r>
        <w:rPr/>
        <w:t>Específicamente, las manufacturas generan externalidades de aprendizaje, porque cuando se obtiene experiencia en la fabricación de un producto, las empresas pueden incorporar más innovaciones y tecnologías más avanzadas que permiten un uso más eficiente de los recursos. Así, a medida que la escala de operaciones se expande el trabajo  se torna más productivo debido a la mayor especialización; al mismo tiempo los costos disminuyen al mismo tiempo que la producción de la industria aumenta, lo que incentiva a las empresas a producir más. Con este proceso se logra un mayor crecimiento</w:t>
      </w:r>
      <w:r>
        <w:rPr>
          <w:spacing w:val="-17"/>
        </w:rPr>
        <w:t> </w:t>
      </w:r>
      <w:r>
        <w:rPr/>
        <w:t>económico.</w:t>
      </w:r>
    </w:p>
    <w:p>
      <w:pPr>
        <w:pStyle w:val="BodyText"/>
        <w:spacing w:line="352" w:lineRule="auto" w:before="6"/>
        <w:ind w:left="122" w:right="116" w:firstLine="707"/>
        <w:jc w:val="both"/>
      </w:pPr>
      <w:r>
        <w:rPr/>
        <w:t>Por su parte, las economías externas, llamadas economías de aglomeración,  permiten aumentar los beneficios de las empresas debido al incremento de la producción, por el desarrollo y habilidades para la transmisión de las nuevas ideas.</w:t>
      </w:r>
      <w:r>
        <w:rPr>
          <w:position w:val="11"/>
          <w:sz w:val="16"/>
        </w:rPr>
        <w:t>15 </w:t>
      </w:r>
      <w:r>
        <w:rPr/>
        <w:t>Marshall (1927) defendió que existían tres razones principales por los que un grupo de empresas podían ser más eficientes que una empresa individual aislada: la habilidad del grupo para apoyar proveedores especializados, el mercado en una industria concentrada geográficamente  </w:t>
      </w:r>
      <w:r>
        <w:rPr>
          <w:spacing w:val="32"/>
        </w:rPr>
        <w:t> </w:t>
      </w:r>
      <w:r>
        <w:rPr/>
        <w:t>que</w:t>
      </w:r>
    </w:p>
    <w:p>
      <w:pPr>
        <w:pStyle w:val="BodyText"/>
        <w:spacing w:before="1"/>
        <w:rPr>
          <w:sz w:val="27"/>
        </w:rPr>
      </w:pPr>
      <w:r>
        <w:rPr/>
        <w:pict>
          <v:line style="position:absolute;mso-position-horizontal-relative:page;mso-position-vertical-relative:paragraph;z-index:1312;mso-wrap-distance-left:0;mso-wrap-distance-right:0" from="85.103996pt,17.918447pt" to="229.123996pt,17.918447pt" stroked="true" strokeweight=".71997pt" strokecolor="#000000">
            <w10:wrap type="topAndBottom"/>
          </v:line>
        </w:pict>
      </w:r>
    </w:p>
    <w:p>
      <w:pPr>
        <w:spacing w:before="42"/>
        <w:ind w:left="122" w:right="121" w:firstLine="0"/>
        <w:jc w:val="both"/>
        <w:rPr>
          <w:sz w:val="20"/>
        </w:rPr>
      </w:pPr>
      <w:r>
        <w:rPr>
          <w:position w:val="9"/>
          <w:sz w:val="13"/>
        </w:rPr>
        <w:t>14 </w:t>
      </w:r>
      <w:r>
        <w:rPr>
          <w:sz w:val="20"/>
        </w:rPr>
        <w:t>De acuerdo con Schumpeter (1976: 75) las “nuevas innovaciones” son 5: fabricación de un nuevo bien, introducción de un nuevo método de producción, apertura de un nuevo mercado, conquista de una nueva fuente de materia prima, y realización de una nueva organización.</w:t>
      </w:r>
    </w:p>
    <w:p>
      <w:pPr>
        <w:spacing w:line="230" w:lineRule="exact" w:before="3"/>
        <w:ind w:left="122" w:right="122" w:firstLine="0"/>
        <w:jc w:val="both"/>
        <w:rPr>
          <w:sz w:val="20"/>
        </w:rPr>
      </w:pPr>
      <w:r>
        <w:rPr>
          <w:position w:val="9"/>
          <w:sz w:val="13"/>
        </w:rPr>
        <w:t>15 </w:t>
      </w:r>
      <w:r>
        <w:rPr>
          <w:sz w:val="20"/>
        </w:rPr>
        <w:t>Véase Muñoz (2011), quien establece que el desarrollo económico es producto de nuevas formas de interacción entre los actores enfocados a la producción, incorporación de la tecnología y los incentivos e instituciones para su adaptación.</w:t>
      </w:r>
    </w:p>
    <w:p>
      <w:pPr>
        <w:spacing w:after="0" w:line="230" w:lineRule="exact"/>
        <w:jc w:val="both"/>
        <w:rPr>
          <w:sz w:val="20"/>
        </w:rPr>
        <w:sectPr>
          <w:pgSz w:w="12240" w:h="15840"/>
          <w:pgMar w:header="0" w:footer="1003" w:top="1360" w:bottom="1200" w:left="1580" w:right="1580"/>
        </w:sectPr>
      </w:pPr>
    </w:p>
    <w:p>
      <w:pPr>
        <w:pStyle w:val="BodyText"/>
        <w:spacing w:line="360" w:lineRule="auto" w:before="50"/>
        <w:ind w:left="122" w:right="120"/>
        <w:jc w:val="both"/>
      </w:pPr>
      <w:r>
        <w:rPr/>
        <w:t>permite la creación de un mercado laboral especializado y el modelo en que una industria concentrada geográficamente favorece la difusión del efecto desbordamiento del conocimiento. En este sentido, es importante mencionar que en la nueva teoría del crecimiento esto forma un determinante endógeno en la explicación del crecimiento (McCann y Van Oort, 2009).</w:t>
      </w:r>
    </w:p>
    <w:p>
      <w:pPr>
        <w:pStyle w:val="BodyText"/>
        <w:spacing w:line="360" w:lineRule="auto" w:before="6"/>
        <w:ind w:left="122" w:right="117" w:firstLine="707"/>
        <w:jc w:val="both"/>
      </w:pPr>
      <w:r>
        <w:rPr/>
        <w:t>Las economías externas más importantes se originan por la acumulación del conocimiento cuando una empresa mejora sus productos o técnicas de producción a través de la experiencia, es probable que otras empresas la imiten y se beneficien de sus conocimientos. Esta difusión, o efecto desbordamiento del conocimiento da origen a una situación en que los costos de producción de las empresas individuales caen a medida que  el conjunto de la industria acumula experiencia. Con más conocimientos, los costos de la industria dependen de la experiencia generalmente medida por la producción acumulada de la industria hasta la fecha. Cuando los costos disminuyen debido a la producción acumulada a lo largo del tiempo más que con la producción actual, se trata de un proceso denominado de rendimientos crecientes dinámicos o de economías de escala</w:t>
      </w:r>
      <w:r>
        <w:rPr>
          <w:spacing w:val="-8"/>
        </w:rPr>
        <w:t> </w:t>
      </w:r>
      <w:r>
        <w:rPr/>
        <w:t>dinámicas.</w:t>
      </w:r>
    </w:p>
    <w:p>
      <w:pPr>
        <w:pStyle w:val="BodyText"/>
        <w:spacing w:line="360" w:lineRule="auto" w:before="6"/>
        <w:ind w:left="122" w:right="122" w:firstLine="707"/>
        <w:jc w:val="both"/>
      </w:pPr>
      <w:r>
        <w:rPr/>
        <w:t>Por el lado de la oferta existe el diferencial en las oportunidades de acceso a la tecnología entre actividades, pero por el lado de la demanda se relaciona con la diferencia de las elasticidades ingreso entre actividades (Dalum </w:t>
      </w:r>
      <w:r>
        <w:rPr>
          <w:i/>
        </w:rPr>
        <w:t>et al., </w:t>
      </w:r>
      <w:r>
        <w:rPr/>
        <w:t>1999).</w:t>
      </w:r>
    </w:p>
    <w:p>
      <w:pPr>
        <w:pStyle w:val="BodyText"/>
      </w:pPr>
    </w:p>
    <w:p>
      <w:pPr>
        <w:pStyle w:val="Heading2"/>
        <w:numPr>
          <w:ilvl w:val="1"/>
          <w:numId w:val="6"/>
        </w:numPr>
        <w:tabs>
          <w:tab w:pos="543" w:val="left" w:leader="none"/>
        </w:tabs>
        <w:spacing w:line="240" w:lineRule="auto" w:before="148" w:after="0"/>
        <w:ind w:left="542" w:right="0" w:hanging="420"/>
        <w:jc w:val="both"/>
      </w:pPr>
      <w:r>
        <w:rPr/>
        <w:t>Teorías de crecimiento. Enfoque de la</w:t>
      </w:r>
      <w:r>
        <w:rPr>
          <w:spacing w:val="-15"/>
        </w:rPr>
        <w:t> </w:t>
      </w:r>
      <w:r>
        <w:rPr/>
        <w:t>demanda</w:t>
      </w:r>
    </w:p>
    <w:p>
      <w:pPr>
        <w:pStyle w:val="BodyText"/>
        <w:spacing w:line="350" w:lineRule="auto" w:before="132"/>
        <w:ind w:left="122" w:right="115" w:firstLine="707"/>
        <w:jc w:val="both"/>
      </w:pPr>
      <w:r>
        <w:rPr/>
        <w:t>En los modelos keynesianos el comercio afecta el crecimiento por el aumento de la demanda, lo que implica que la especialización influye positivamente en el crecimiento cuando su producción se da en bienes con altas elasticidades ingreso</w:t>
      </w:r>
      <w:r>
        <w:rPr>
          <w:position w:val="11"/>
          <w:sz w:val="16"/>
        </w:rPr>
        <w:t>16</w:t>
      </w:r>
      <w:r>
        <w:rPr/>
        <w:t>, aumentando así el comercio de estos bienes y con ello la demanda externa (Thirlwall, 1979).</w:t>
      </w:r>
    </w:p>
    <w:p>
      <w:pPr>
        <w:pStyle w:val="BodyText"/>
        <w:spacing w:line="360" w:lineRule="auto" w:before="14"/>
        <w:ind w:left="122" w:right="119" w:firstLine="707"/>
        <w:jc w:val="both"/>
      </w:pPr>
      <w:r>
        <w:rPr/>
        <w:t>Es así como la demanda externa constituye la fuerza que expande la dinámica de la economía a través de las exportaciones, permitiéndole ingresar en una dinámica circular acumulativa. Como Kaldor (1970) argumenta, las diferencias en el crecimiento </w:t>
      </w:r>
      <w:r>
        <w:rPr>
          <w:spacing w:val="58"/>
        </w:rPr>
        <w:t> </w:t>
      </w:r>
      <w:r>
        <w:rPr/>
        <w:t>económico</w:t>
      </w:r>
    </w:p>
    <w:p>
      <w:pPr>
        <w:pStyle w:val="BodyText"/>
        <w:rPr>
          <w:sz w:val="20"/>
        </w:rPr>
      </w:pPr>
    </w:p>
    <w:p>
      <w:pPr>
        <w:pStyle w:val="BodyText"/>
        <w:spacing w:before="3"/>
        <w:rPr>
          <w:sz w:val="17"/>
        </w:rPr>
      </w:pPr>
    </w:p>
    <w:p>
      <w:pPr>
        <w:spacing w:before="1"/>
        <w:ind w:left="122" w:right="119" w:firstLine="0"/>
        <w:jc w:val="both"/>
        <w:rPr>
          <w:sz w:val="20"/>
        </w:rPr>
      </w:pPr>
      <w:r>
        <w:rPr>
          <w:position w:val="9"/>
          <w:sz w:val="13"/>
        </w:rPr>
        <w:t>16 </w:t>
      </w:r>
      <w:r>
        <w:rPr>
          <w:sz w:val="20"/>
        </w:rPr>
        <w:t>De acuerdo con el estudio de Ocegueda </w:t>
      </w:r>
      <w:r>
        <w:rPr>
          <w:i/>
          <w:sz w:val="20"/>
        </w:rPr>
        <w:t>et al</w:t>
      </w:r>
      <w:r>
        <w:rPr>
          <w:sz w:val="20"/>
        </w:rPr>
        <w:t>., (2009) se establece que los bienes con altas elasticidades ingreso corresponden a bienes que son difusores de conocimiento o de alta tecnología que a su vez se asocian a industrias intensivas en capital humano y con altas tasas de progreso técnico. En este sentido, en México los productos manufactureros tuvieron durante el año 2000-2006 una elasticidad ingreso de 2.4; los productos farmacéuticos de 4.7, instrumentos científicos y de precisión de 3.3, productos automotrices de 3.2, de</w:t>
      </w:r>
    </w:p>
    <w:p>
      <w:pPr>
        <w:spacing w:after="0"/>
        <w:jc w:val="both"/>
        <w:rPr>
          <w:sz w:val="20"/>
        </w:rPr>
        <w:sectPr>
          <w:footerReference w:type="default" r:id="rId12"/>
          <w:pgSz w:w="12240" w:h="15840"/>
          <w:pgMar w:footer="1396" w:header="0" w:top="1360" w:bottom="1580" w:left="1580" w:right="1580"/>
          <w:pgNumType w:start="26"/>
        </w:sectPr>
      </w:pPr>
    </w:p>
    <w:p>
      <w:pPr>
        <w:pStyle w:val="BodyText"/>
        <w:spacing w:line="360" w:lineRule="auto" w:before="55"/>
        <w:ind w:left="122" w:right="114"/>
        <w:jc w:val="both"/>
      </w:pPr>
      <w:r>
        <w:rPr/>
        <w:t>regional pueden darse por los rendimientos crecientes a escala</w:t>
      </w:r>
      <w:r>
        <w:rPr>
          <w:position w:val="11"/>
          <w:sz w:val="16"/>
        </w:rPr>
        <w:t>17</w:t>
      </w:r>
      <w:r>
        <w:rPr/>
        <w:t>, resultado del proceso de industrialización, la cual se explica en parte por la expansión de la demanda. En ese  sentido, </w:t>
      </w:r>
      <w:r>
        <w:rPr>
          <w:spacing w:val="44"/>
        </w:rPr>
        <w:t> </w:t>
      </w:r>
      <w:r>
        <w:rPr/>
        <w:t>la </w:t>
      </w:r>
      <w:r>
        <w:rPr>
          <w:spacing w:val="43"/>
        </w:rPr>
        <w:t> </w:t>
      </w:r>
      <w:r>
        <w:rPr/>
        <w:t>especialización </w:t>
      </w:r>
      <w:r>
        <w:rPr>
          <w:spacing w:val="44"/>
        </w:rPr>
        <w:t> </w:t>
      </w:r>
      <w:r>
        <w:rPr/>
        <w:t>de </w:t>
      </w:r>
      <w:r>
        <w:rPr>
          <w:spacing w:val="43"/>
        </w:rPr>
        <w:t> </w:t>
      </w:r>
      <w:r>
        <w:rPr/>
        <w:t>la </w:t>
      </w:r>
      <w:r>
        <w:rPr>
          <w:spacing w:val="46"/>
        </w:rPr>
        <w:t> </w:t>
      </w:r>
      <w:r>
        <w:rPr/>
        <w:t>producción </w:t>
      </w:r>
      <w:r>
        <w:rPr>
          <w:spacing w:val="47"/>
        </w:rPr>
        <w:t> </w:t>
      </w:r>
      <w:r>
        <w:rPr/>
        <w:t>en </w:t>
      </w:r>
      <w:r>
        <w:rPr>
          <w:spacing w:val="44"/>
        </w:rPr>
        <w:t> </w:t>
      </w:r>
      <w:r>
        <w:rPr/>
        <w:t>bienes </w:t>
      </w:r>
      <w:r>
        <w:rPr>
          <w:spacing w:val="46"/>
        </w:rPr>
        <w:t> </w:t>
      </w:r>
      <w:r>
        <w:rPr/>
        <w:t>finales </w:t>
      </w:r>
      <w:r>
        <w:rPr>
          <w:spacing w:val="46"/>
        </w:rPr>
        <w:t> </w:t>
      </w:r>
      <w:r>
        <w:rPr/>
        <w:t>con </w:t>
      </w:r>
      <w:r>
        <w:rPr>
          <w:spacing w:val="46"/>
        </w:rPr>
        <w:t> </w:t>
      </w:r>
      <w:r>
        <w:rPr/>
        <w:t>alto </w:t>
      </w:r>
      <w:r>
        <w:rPr>
          <w:spacing w:val="44"/>
        </w:rPr>
        <w:t> </w:t>
      </w:r>
      <w:r>
        <w:rPr/>
        <w:t>contenido</w:t>
      </w:r>
    </w:p>
    <w:p>
      <w:pPr>
        <w:pStyle w:val="BodyText"/>
        <w:spacing w:line="350" w:lineRule="auto" w:before="6"/>
        <w:ind w:left="122" w:right="114"/>
        <w:jc w:val="both"/>
      </w:pPr>
      <w:r>
        <w:rPr/>
        <w:t>tecnológico induce a desarrollar economías de escala, relacionadas con el aprendizaje, lo que aumenta la productividad y con ello, la producción</w:t>
      </w:r>
      <w:r>
        <w:rPr>
          <w:position w:val="11"/>
          <w:sz w:val="16"/>
        </w:rPr>
        <w:t>18</w:t>
      </w:r>
      <w:r>
        <w:rPr/>
        <w:t>. Con base en estos argumentos, la relación entre el crecimiento de la industria manufacturera y su productividad, y el impacto en el crecimiento del PIB ha sido identificada por Kaldor (1966).</w:t>
      </w:r>
    </w:p>
    <w:p>
      <w:pPr>
        <w:pStyle w:val="BodyText"/>
        <w:spacing w:line="360" w:lineRule="auto" w:before="17"/>
        <w:ind w:left="122" w:right="116" w:firstLine="707"/>
        <w:jc w:val="both"/>
      </w:pPr>
      <w:r>
        <w:rPr/>
        <w:t>En el ambiente keynesiano, se considera que la demanda es capaz de impulsar el crecimiento económico. Es Kaldor (1966), quien concede a las exportaciones manufactureras un papel importante como impulsoras del crecimiento y establece ciertas regularidades empíricas que luego han sido conocidas como las tres leyes de Kaldor (De la Rosa, 2006).</w:t>
      </w:r>
    </w:p>
    <w:p>
      <w:pPr>
        <w:pStyle w:val="BodyText"/>
        <w:spacing w:line="360" w:lineRule="auto" w:before="4"/>
        <w:ind w:left="122" w:right="119" w:firstLine="707"/>
        <w:jc w:val="both"/>
      </w:pPr>
      <w:r>
        <w:rPr/>
        <w:t>En este sentido la especialización productiva en industrias líderes, modernas y de alcance tecnológico, se puede explicar también a través del enfoque keynesiano mediante la causación acumulativa del crecimiento.</w:t>
      </w:r>
    </w:p>
    <w:p>
      <w:pPr>
        <w:pStyle w:val="BodyText"/>
      </w:pPr>
    </w:p>
    <w:p>
      <w:pPr>
        <w:pStyle w:val="Heading2"/>
        <w:numPr>
          <w:ilvl w:val="2"/>
          <w:numId w:val="6"/>
        </w:numPr>
        <w:tabs>
          <w:tab w:pos="663" w:val="left" w:leader="none"/>
        </w:tabs>
        <w:spacing w:line="240" w:lineRule="auto" w:before="148" w:after="0"/>
        <w:ind w:left="662" w:right="0" w:hanging="540"/>
        <w:jc w:val="both"/>
      </w:pPr>
      <w:bookmarkStart w:name="_TOC_250008" w:id="9"/>
      <w:r>
        <w:rPr/>
        <w:t>Modelos de causación</w:t>
      </w:r>
      <w:r>
        <w:rPr>
          <w:spacing w:val="-10"/>
        </w:rPr>
        <w:t> </w:t>
      </w:r>
      <w:bookmarkEnd w:id="9"/>
      <w:r>
        <w:rPr/>
        <w:t>acumulativa</w:t>
      </w:r>
    </w:p>
    <w:p>
      <w:pPr>
        <w:pStyle w:val="BodyText"/>
        <w:spacing w:line="360" w:lineRule="auto" w:before="135"/>
        <w:ind w:left="122" w:right="120" w:firstLine="707"/>
        <w:jc w:val="both"/>
      </w:pPr>
      <w:r>
        <w:rPr/>
        <w:t>Los principios de la causación circular y acumulativa de Myrdal (1957), afirman  que el juego de fuerzas en el mercado, tiende normalmente a aumentar las desigualdades entre las regiones; </w:t>
      </w:r>
      <w:r>
        <w:rPr>
          <w:spacing w:val="-3"/>
        </w:rPr>
        <w:t>ya </w:t>
      </w:r>
      <w:r>
        <w:rPr/>
        <w:t>que las fuerzas de mercado conducen al agrupamiento de las actividades con rendimientos crecientes en determinadas regiones económicas, sin tomar en cuenta las ventajas locacionales. Esta concentración se hace autosuficiente en virtud del incremento de las economías internas y externas de estos centros de aglomeración (Richardson,</w:t>
      </w:r>
      <w:r>
        <w:rPr>
          <w:spacing w:val="-4"/>
        </w:rPr>
        <w:t> </w:t>
      </w:r>
      <w:r>
        <w:rPr/>
        <w:t>1977).</w:t>
      </w:r>
    </w:p>
    <w:p>
      <w:pPr>
        <w:pStyle w:val="BodyText"/>
        <w:spacing w:line="362" w:lineRule="auto" w:before="4"/>
        <w:ind w:left="122" w:right="118" w:firstLine="707"/>
        <w:jc w:val="both"/>
      </w:pPr>
      <w:r>
        <w:rPr/>
        <w:pict>
          <v:line style="position:absolute;mso-position-horizontal-relative:page;mso-position-vertical-relative:paragraph;z-index:1336;mso-wrap-distance-left:0;mso-wrap-distance-right:0" from="85.103996pt,45.033142pt" to="229.123996pt,45.033142pt" stroked="true" strokeweight=".71997pt" strokecolor="#000000">
            <w10:wrap type="topAndBottom"/>
          </v:line>
        </w:pict>
      </w:r>
      <w:r>
        <w:rPr/>
        <w:t>Esto es, el crecimiento en las áreas prósperas afecta de dos maneras a las regiones pobres,  a  través  de  los  efectos:  </w:t>
      </w:r>
      <w:r>
        <w:rPr>
          <w:i/>
        </w:rPr>
        <w:t>spread  </w:t>
      </w:r>
      <w:r>
        <w:rPr/>
        <w:t>(favorables)  y  </w:t>
      </w:r>
      <w:r>
        <w:rPr>
          <w:i/>
        </w:rPr>
        <w:t>backwash  </w:t>
      </w:r>
      <w:r>
        <w:rPr/>
        <w:t>(desfavorables).   Los</w:t>
      </w:r>
    </w:p>
    <w:p>
      <w:pPr>
        <w:spacing w:before="42"/>
        <w:ind w:left="122" w:right="126" w:firstLine="0"/>
        <w:jc w:val="both"/>
        <w:rPr>
          <w:sz w:val="20"/>
        </w:rPr>
      </w:pPr>
      <w:r>
        <w:rPr>
          <w:position w:val="9"/>
          <w:sz w:val="13"/>
        </w:rPr>
        <w:t>17 </w:t>
      </w:r>
      <w:r>
        <w:rPr>
          <w:sz w:val="20"/>
        </w:rPr>
        <w:t>No sólo debidas a las economías de tamaño sino a las ventajas acumulativas que provienen del crecimiento de la industria, el desarrollo de la tecnología, habilidades y conocimientos, la diferenciación de procesos y actividades así como las facilidades para la comunicación e intercambio de ideas y experiencias (Asuad, 2001).</w:t>
      </w:r>
    </w:p>
    <w:p>
      <w:pPr>
        <w:spacing w:line="230" w:lineRule="exact" w:before="0"/>
        <w:ind w:left="122" w:right="114" w:firstLine="0"/>
        <w:jc w:val="both"/>
        <w:rPr>
          <w:sz w:val="20"/>
        </w:rPr>
      </w:pPr>
      <w:r>
        <w:rPr>
          <w:position w:val="9"/>
          <w:sz w:val="13"/>
        </w:rPr>
        <w:t>18 </w:t>
      </w:r>
      <w:r>
        <w:rPr>
          <w:sz w:val="20"/>
        </w:rPr>
        <w:t>Al respecto, Unger (2010) muestra que la evidencia para México confirma un papel muy limitado de los sectores basados en la ciencia y de proveedores especializados. Los sectores intensivos en escala retienen principalmente actividades de ensamblaje. Los sectores basados en la ciencia, centrados en electrónicos y químico-farmacéuticos han intensificado su carácter ensamblador intensivo en uso de mano de obra de bajo costo.</w:t>
      </w:r>
    </w:p>
    <w:p>
      <w:pPr>
        <w:spacing w:after="0" w:line="230" w:lineRule="exact"/>
        <w:jc w:val="both"/>
        <w:rPr>
          <w:sz w:val="20"/>
        </w:rPr>
        <w:sectPr>
          <w:footerReference w:type="default" r:id="rId13"/>
          <w:pgSz w:w="12240" w:h="15840"/>
          <w:pgMar w:footer="1003" w:header="0" w:top="1320" w:bottom="1200" w:left="1580" w:right="1580"/>
          <w:pgNumType w:start="27"/>
        </w:sectPr>
      </w:pPr>
    </w:p>
    <w:p>
      <w:pPr>
        <w:pStyle w:val="BodyText"/>
        <w:spacing w:line="360" w:lineRule="auto" w:before="50"/>
        <w:ind w:left="102" w:right="116"/>
        <w:jc w:val="both"/>
      </w:pPr>
      <w:r>
        <w:rPr/>
        <w:t>primeros influyen en los mercados para los productos de las regiones atrasadas y la difusión de innovaciones, pero éstos se ven superados por los </w:t>
      </w:r>
      <w:r>
        <w:rPr>
          <w:i/>
        </w:rPr>
        <w:t>backwash </w:t>
      </w:r>
      <w:r>
        <w:rPr/>
        <w:t>a causa de los  desequilibrios que se dan en la mano de obra, productos y servicios que van de las regiones pobres a las prósperas (Richadson,</w:t>
      </w:r>
      <w:r>
        <w:rPr>
          <w:spacing w:val="-7"/>
        </w:rPr>
        <w:t> </w:t>
      </w:r>
      <w:r>
        <w:rPr/>
        <w:t>1977).</w:t>
      </w:r>
    </w:p>
    <w:p>
      <w:pPr>
        <w:pStyle w:val="BodyText"/>
        <w:spacing w:line="360" w:lineRule="auto" w:before="4"/>
        <w:ind w:left="102" w:right="119" w:firstLine="707"/>
        <w:jc w:val="both"/>
      </w:pPr>
      <w:r>
        <w:rPr/>
        <w:t>Se tiene entonces que el libre comercio opera con desventajas en las regiones atrasadas, porque de acuerdo a Myrdal, limita la industrialización y altera su sistema de producción, por ello, el crecimiento regional es un proceso desequilibrador. Myrdal establece que las fuerzas de mercado propician desequilibrios, porque si en una región aparecen rendimientos crecientes a escala, tanto el capital como la mano de obra fluyen a esa zona, estos son los efectos desfavorables, pues dejan sin recursos su zona de influencia. Los efectos positivos se dan en el área de influencia por los efectos económicos de integración que irradia en ella.</w:t>
      </w:r>
    </w:p>
    <w:p>
      <w:pPr>
        <w:pStyle w:val="BodyText"/>
        <w:spacing w:line="360" w:lineRule="auto" w:before="4"/>
        <w:ind w:left="102" w:right="117" w:firstLine="707"/>
        <w:jc w:val="both"/>
      </w:pPr>
      <w:r>
        <w:rPr/>
        <w:t>La formalización de la teoría de causación acumulativa descrita por Myrdal fue elaborada por Kaldor en 1970. El planteamiento se basa en una función de producción con rendimientos a escala crecientes, debido a la existencia de economías de escala en la producción industrial y a la obtención de economías externas y de aglomeración. Este autor sostiene que el principio de causación acumulativa es la presencia de rendimientos crecientes a escala en la industria manufacturera, éstos favorecen a las regiones ricas y restringen el desarrollo de las atrasadas; porque debido a los efectos de escala, las regiones prósperas alcanzan un monopolio de la producción industrial. Mostró que las diferencias entre regiones o países tienden a crecer debido a las desigualdades iniciales en el grado de desarrollo industrial. Lo anterior tiene que ver directamente con el comercio internacional, porque de acuerdo con Kaldor un país rico es el que exporta bienes con altas elasticidades ingreso de la demanda e importa bienes con bajas elasticidades, así las exportaciones son el componente autónomo más importante del gasto en las economías desarrolladas porque permiten la utilización de la capacidad productiva manufacturera (Calderón y Martínez, 2005).</w:t>
      </w:r>
    </w:p>
    <w:p>
      <w:pPr>
        <w:pStyle w:val="BodyText"/>
        <w:spacing w:line="360" w:lineRule="auto" w:before="6"/>
        <w:ind w:left="102" w:right="117" w:firstLine="707"/>
        <w:jc w:val="both"/>
      </w:pPr>
      <w:r>
        <w:rPr/>
        <w:t>Kaldor (1978) argumenta que el crecimiento del componente exógeno de demanda determina la tasa de crecimiento de producción. En las primeras etapas del desarrollo económico este crecimiento de la demanda proviene del sector agrícola. Sin embargo, en los subsecuentes desarrollos de la economía, los énfasis en los cambios del crecimiento  </w:t>
      </w:r>
      <w:r>
        <w:rPr>
          <w:spacing w:val="35"/>
        </w:rPr>
        <w:t> </w:t>
      </w:r>
      <w:r>
        <w:rPr/>
        <w:t>de</w:t>
      </w:r>
    </w:p>
    <w:p>
      <w:pPr>
        <w:spacing w:after="0" w:line="360" w:lineRule="auto"/>
        <w:jc w:val="both"/>
        <w:sectPr>
          <w:pgSz w:w="12240" w:h="15840"/>
          <w:pgMar w:header="0" w:footer="1003" w:top="1360" w:bottom="1200" w:left="1600" w:right="1580"/>
        </w:sectPr>
      </w:pPr>
    </w:p>
    <w:p>
      <w:pPr>
        <w:pStyle w:val="BodyText"/>
        <w:spacing w:line="360" w:lineRule="auto" w:before="50"/>
        <w:ind w:left="122" w:right="119"/>
        <w:jc w:val="both"/>
      </w:pPr>
      <w:r>
        <w:rPr/>
        <w:t>las exportaciones del sector primario, determinan el crecimiento del sector industrial. Kaldor argumenta que la rápida tasa de crecimiento de las exportaciones y la producción tienden a reforzar el</w:t>
      </w:r>
      <w:r>
        <w:rPr>
          <w:spacing w:val="-6"/>
        </w:rPr>
        <w:t> </w:t>
      </w:r>
      <w:r>
        <w:rPr/>
        <w:t>proceso.</w:t>
      </w:r>
    </w:p>
    <w:p>
      <w:pPr>
        <w:pStyle w:val="BodyText"/>
        <w:spacing w:line="350" w:lineRule="auto" w:before="6"/>
        <w:ind w:left="122" w:right="117" w:firstLine="707"/>
        <w:jc w:val="both"/>
      </w:pPr>
      <w:r>
        <w:rPr/>
        <w:t>El círculo de causación acumulativa funciona así: un incremento inicial sustancial  en las exportaciones permite a un país asegurar el crecimiento de la demanda sin sufrir deterioro en la balanza comercial. Esto asegura el rápido crecimiento de la producción industrial y a través de la Ley de Verdoorn</w:t>
      </w:r>
      <w:r>
        <w:rPr>
          <w:position w:val="11"/>
          <w:sz w:val="16"/>
        </w:rPr>
        <w:t>19  </w:t>
      </w:r>
      <w:r>
        <w:rPr/>
        <w:t>el crecimiento de la productividad. </w:t>
      </w:r>
      <w:r>
        <w:rPr>
          <w:spacing w:val="-3"/>
        </w:rPr>
        <w:t>La   </w:t>
      </w:r>
      <w:r>
        <w:rPr>
          <w:spacing w:val="3"/>
        </w:rPr>
        <w:t> </w:t>
      </w:r>
      <w:r>
        <w:rPr/>
        <w:t>rápida</w:t>
      </w:r>
    </w:p>
    <w:p>
      <w:pPr>
        <w:pStyle w:val="BodyText"/>
        <w:spacing w:line="360" w:lineRule="auto"/>
        <w:ind w:left="122" w:right="123"/>
        <w:jc w:val="both"/>
      </w:pPr>
      <w:r>
        <w:rPr/>
        <w:t>tasa de crecimiento de la productividad reduce el costo de producción y el precio de las exportaciones. Esto guía a fuertes incrementos en exportaciones y subsecuentemente en producción y productividad.</w:t>
      </w:r>
    </w:p>
    <w:p>
      <w:pPr>
        <w:pStyle w:val="BodyText"/>
        <w:spacing w:before="4"/>
        <w:ind w:left="122"/>
        <w:jc w:val="both"/>
      </w:pPr>
      <w:r>
        <w:rPr/>
        <w:t>Así, tenemos que la demanda está alimentada principalmente por tres fuentes:</w:t>
      </w:r>
    </w:p>
    <w:p>
      <w:pPr>
        <w:pStyle w:val="ListParagraph"/>
        <w:numPr>
          <w:ilvl w:val="3"/>
          <w:numId w:val="6"/>
        </w:numPr>
        <w:tabs>
          <w:tab w:pos="842" w:val="left" w:leader="none"/>
        </w:tabs>
        <w:spacing w:line="360" w:lineRule="auto" w:before="139" w:after="0"/>
        <w:ind w:left="842" w:right="154" w:hanging="360"/>
        <w:jc w:val="both"/>
        <w:rPr>
          <w:sz w:val="24"/>
        </w:rPr>
      </w:pPr>
      <w:r>
        <w:rPr>
          <w:sz w:val="24"/>
        </w:rPr>
        <w:t>El consumo, el incremento de los ingresos reales acelera la tasa de crecimiento de</w:t>
      </w:r>
      <w:r>
        <w:rPr>
          <w:spacing w:val="-11"/>
          <w:sz w:val="24"/>
        </w:rPr>
        <w:t> </w:t>
      </w:r>
      <w:r>
        <w:rPr>
          <w:sz w:val="24"/>
        </w:rPr>
        <w:t>la demanda por productos</w:t>
      </w:r>
      <w:r>
        <w:rPr>
          <w:spacing w:val="-7"/>
          <w:sz w:val="24"/>
        </w:rPr>
        <w:t> </w:t>
      </w:r>
      <w:r>
        <w:rPr>
          <w:sz w:val="24"/>
        </w:rPr>
        <w:t>industriales.</w:t>
      </w:r>
    </w:p>
    <w:p>
      <w:pPr>
        <w:pStyle w:val="ListParagraph"/>
        <w:numPr>
          <w:ilvl w:val="3"/>
          <w:numId w:val="6"/>
        </w:numPr>
        <w:tabs>
          <w:tab w:pos="842" w:val="left" w:leader="none"/>
        </w:tabs>
        <w:spacing w:line="360" w:lineRule="auto" w:before="6" w:after="0"/>
        <w:ind w:left="842" w:right="121" w:hanging="360"/>
        <w:jc w:val="both"/>
        <w:rPr>
          <w:sz w:val="24"/>
        </w:rPr>
      </w:pPr>
      <w:r>
        <w:rPr>
          <w:sz w:val="24"/>
        </w:rPr>
        <w:t>La inversión interna, la inversión de capital es la peculiaridad de un sector industrial altamente desarrollado que provee en buena medida los bienes a que se destina el gasto de capital, y en ese sentido genera demanda por sus propios productos en el mismo proceso de</w:t>
      </w:r>
      <w:r>
        <w:rPr>
          <w:spacing w:val="-5"/>
          <w:sz w:val="24"/>
        </w:rPr>
        <w:t> </w:t>
      </w:r>
      <w:r>
        <w:rPr>
          <w:sz w:val="24"/>
        </w:rPr>
        <w:t>venderlos.</w:t>
      </w:r>
    </w:p>
    <w:p>
      <w:pPr>
        <w:pStyle w:val="ListParagraph"/>
        <w:numPr>
          <w:ilvl w:val="3"/>
          <w:numId w:val="6"/>
        </w:numPr>
        <w:tabs>
          <w:tab w:pos="842" w:val="left" w:leader="none"/>
        </w:tabs>
        <w:spacing w:line="360" w:lineRule="auto" w:before="6" w:after="0"/>
        <w:ind w:left="842" w:right="125" w:hanging="360"/>
        <w:jc w:val="both"/>
        <w:rPr>
          <w:sz w:val="24"/>
        </w:rPr>
      </w:pPr>
      <w:r>
        <w:rPr>
          <w:sz w:val="24"/>
        </w:rPr>
        <w:t>Exportaciones netas, la tercera fuente de la tasa de crecimiento de la demanda viene del cambio en la estructura de comercio exterior (Kaldor,</w:t>
      </w:r>
      <w:r>
        <w:rPr>
          <w:spacing w:val="-12"/>
          <w:sz w:val="24"/>
        </w:rPr>
        <w:t> </w:t>
      </w:r>
      <w:r>
        <w:rPr>
          <w:sz w:val="24"/>
        </w:rPr>
        <w:t>1978).</w:t>
      </w:r>
    </w:p>
    <w:p>
      <w:pPr>
        <w:pStyle w:val="BodyText"/>
        <w:spacing w:line="360" w:lineRule="auto" w:before="6"/>
        <w:ind w:left="122" w:right="121" w:firstLine="707"/>
        <w:jc w:val="both"/>
      </w:pPr>
      <w:r>
        <w:rPr/>
        <w:t>Entonces, según el modelo de Kaldor las tasas de crecimiento de la producción regional también dependen de la demanda externa de la región, que es un factor exógeno que pone en movimiento a todo el proceso y del movimiento de los salarios de eficiencia, que es un factor endógeno.</w:t>
      </w:r>
    </w:p>
    <w:p>
      <w:pPr>
        <w:pStyle w:val="BodyText"/>
        <w:spacing w:line="360" w:lineRule="auto" w:before="6"/>
        <w:ind w:left="122" w:right="118" w:firstLine="707"/>
        <w:jc w:val="both"/>
      </w:pPr>
      <w:r>
        <w:rPr/>
        <w:t>En este aspecto sostiene que la eficiencia relativa de los salarios determina si la participación de la región en el conjunto de mercados está en aumento o disminuye; cuanto más baja sea la eficiencia de los salarios más alto será el índice de crecimiento de la producción. El movimiento en la eficiencia de los salarios es el resultado de la variación relativa de los salarios monetarios respecto a la variación en la productividad, es decir,  igual  a  </w:t>
      </w:r>
      <w:r>
        <w:rPr>
          <w:i/>
        </w:rPr>
        <w:t>W/T</w:t>
      </w:r>
      <w:r>
        <w:rPr/>
        <w:t>,  donde  </w:t>
      </w:r>
      <w:r>
        <w:rPr>
          <w:i/>
        </w:rPr>
        <w:t>W  </w:t>
      </w:r>
      <w:r>
        <w:rPr/>
        <w:t>es  el  índice  de  los  salarios  monetarios  y  </w:t>
      </w:r>
      <w:r>
        <w:rPr>
          <w:i/>
        </w:rPr>
        <w:t>T  </w:t>
      </w:r>
      <w:r>
        <w:rPr/>
        <w:t>es  el  índice  de</w:t>
      </w:r>
      <w:r>
        <w:rPr>
          <w:spacing w:val="11"/>
        </w:rPr>
        <w:t> </w:t>
      </w:r>
      <w:r>
        <w:rPr/>
        <w:t>la</w:t>
      </w:r>
    </w:p>
    <w:p>
      <w:pPr>
        <w:pStyle w:val="BodyText"/>
        <w:rPr>
          <w:sz w:val="20"/>
        </w:rPr>
      </w:pPr>
    </w:p>
    <w:p>
      <w:pPr>
        <w:pStyle w:val="BodyText"/>
        <w:spacing w:before="4"/>
        <w:rPr>
          <w:sz w:val="14"/>
        </w:rPr>
      </w:pPr>
      <w:r>
        <w:rPr/>
        <w:pict>
          <v:line style="position:absolute;mso-position-horizontal-relative:page;mso-position-vertical-relative:paragraph;z-index:1360;mso-wrap-distance-left:0;mso-wrap-distance-right:0" from="85.103996pt,10.576729pt" to="229.123996pt,10.576729pt" stroked="true" strokeweight=".72003pt" strokecolor="#000000">
            <w10:wrap type="topAndBottom"/>
          </v:line>
        </w:pict>
      </w:r>
    </w:p>
    <w:p>
      <w:pPr>
        <w:spacing w:before="42"/>
        <w:ind w:left="122" w:right="243" w:firstLine="0"/>
        <w:jc w:val="left"/>
        <w:rPr>
          <w:sz w:val="20"/>
        </w:rPr>
      </w:pPr>
      <w:r>
        <w:rPr>
          <w:position w:val="9"/>
          <w:sz w:val="13"/>
        </w:rPr>
        <w:t>19 </w:t>
      </w:r>
      <w:r>
        <w:rPr>
          <w:sz w:val="20"/>
        </w:rPr>
        <w:t>La difusión de la nueva tecnología puede tener un importante componente en progreso técnico y evaluar estas implicaciones para la especialización e interpretación de la Ley de Verdoorn.</w:t>
      </w:r>
    </w:p>
    <w:p>
      <w:pPr>
        <w:spacing w:after="0"/>
        <w:jc w:val="left"/>
        <w:rPr>
          <w:sz w:val="20"/>
        </w:rPr>
        <w:sectPr>
          <w:pgSz w:w="12240" w:h="15840"/>
          <w:pgMar w:header="0" w:footer="1003" w:top="1360" w:bottom="1200" w:left="1580" w:right="1580"/>
        </w:sectPr>
      </w:pPr>
    </w:p>
    <w:p>
      <w:pPr>
        <w:pStyle w:val="BodyText"/>
        <w:spacing w:line="362" w:lineRule="auto" w:before="50"/>
        <w:ind w:left="102" w:right="126"/>
        <w:jc w:val="both"/>
      </w:pPr>
      <w:r>
        <w:rPr/>
        <w:t>productividad. Pero los salarios no serán los mismos en cada región, aunque el incremento de empleo varíe (Richardson, 1977).</w:t>
      </w:r>
    </w:p>
    <w:p>
      <w:pPr>
        <w:pStyle w:val="BodyText"/>
        <w:spacing w:line="360" w:lineRule="auto" w:before="1"/>
        <w:ind w:left="102" w:right="115" w:firstLine="707"/>
        <w:jc w:val="both"/>
      </w:pPr>
      <w:r>
        <w:rPr/>
        <w:t>Por otra parte, debido a los rendimientos crecientes, se obtendrán índices más altos de productividad en las regiones que presenten un crecimiento de la producción más rápido, estas regiones tendrán la eficiencia de los salarios más bajos, porque </w:t>
      </w:r>
      <w:r>
        <w:rPr>
          <w:i/>
        </w:rPr>
        <w:t>W/T </w:t>
      </w:r>
      <w:r>
        <w:rPr/>
        <w:t>disminuirá en aquellas regiones con una productividad superior al promedio y unos índices de producción superiores a la media; es en este sentido como las regiones de crecimiento rápido tienen ventajas acumulativas con respecto a las de lento crecimiento.</w:t>
      </w:r>
    </w:p>
    <w:p>
      <w:pPr>
        <w:pStyle w:val="BodyText"/>
        <w:spacing w:line="360" w:lineRule="auto" w:before="4"/>
        <w:ind w:left="102" w:right="120" w:firstLine="707"/>
        <w:jc w:val="both"/>
      </w:pPr>
      <w:r>
        <w:rPr/>
        <w:t>Entendemos entonces que el crecimiento de la industria, se debe a la expansión de la demanda. Esto lo expone a través de la Ley de Verdoorn, que muestra la concentración de la actividad industrial en las regiones más dinámicas. Esta ley se analizará en el siguiente apartado.</w:t>
      </w:r>
    </w:p>
    <w:p>
      <w:pPr>
        <w:pStyle w:val="BodyText"/>
      </w:pPr>
    </w:p>
    <w:p>
      <w:pPr>
        <w:pStyle w:val="Heading2"/>
        <w:numPr>
          <w:ilvl w:val="2"/>
          <w:numId w:val="6"/>
        </w:numPr>
        <w:tabs>
          <w:tab w:pos="702" w:val="left" w:leader="none"/>
        </w:tabs>
        <w:spacing w:line="240" w:lineRule="auto" w:before="148" w:after="0"/>
        <w:ind w:left="702" w:right="0" w:hanging="600"/>
        <w:jc w:val="both"/>
      </w:pPr>
      <w:bookmarkStart w:name="_TOC_250007" w:id="10"/>
      <w:r>
        <w:rPr/>
        <w:t>Las leyes de</w:t>
      </w:r>
      <w:r>
        <w:rPr>
          <w:spacing w:val="-5"/>
        </w:rPr>
        <w:t> </w:t>
      </w:r>
      <w:bookmarkEnd w:id="10"/>
      <w:r>
        <w:rPr/>
        <w:t>Kaldor</w:t>
      </w:r>
    </w:p>
    <w:p>
      <w:pPr>
        <w:pStyle w:val="BodyText"/>
        <w:spacing w:line="360" w:lineRule="auto" w:before="132"/>
        <w:ind w:left="102" w:right="116"/>
        <w:jc w:val="both"/>
      </w:pPr>
      <w:r>
        <w:rPr/>
        <w:t>Kaldor (1966) estudió las diferentes tasas de crecimiento de un total de 12 países de la Organización para la Cooperación y el Desarrollo Económico (OCDE)</w:t>
      </w:r>
      <w:r>
        <w:rPr>
          <w:b/>
        </w:rPr>
        <w:t>, </w:t>
      </w:r>
      <w:r>
        <w:rPr/>
        <w:t>analizando una serie de datos, entre ellos, el crecimiento del PIB, empleo manufacturero y no manufacturero y la tasa de productividad de las manufacturas en los años 50 y principios de los 60. De sus resultados concluyó que las manufacturas son el motor del crecimiento económico, formulando tres leyes, las cuales tienen una implicación directa: el sector industrial es el motor del crecimiento.  Estas leyes se enuncian de la siguiente</w:t>
      </w:r>
      <w:r>
        <w:rPr>
          <w:spacing w:val="-17"/>
        </w:rPr>
        <w:t> </w:t>
      </w:r>
      <w:r>
        <w:rPr/>
        <w:t>manera:</w:t>
      </w:r>
    </w:p>
    <w:p>
      <w:pPr>
        <w:pStyle w:val="Heading2"/>
        <w:spacing w:before="11"/>
        <w:ind w:left="810"/>
      </w:pPr>
      <w:r>
        <w:rPr/>
        <w:t>Primera Ley</w:t>
      </w:r>
    </w:p>
    <w:p>
      <w:pPr>
        <w:pStyle w:val="BodyText"/>
        <w:spacing w:line="360" w:lineRule="auto" w:before="132"/>
        <w:ind w:left="102" w:right="121"/>
        <w:jc w:val="both"/>
      </w:pPr>
      <w:r>
        <w:rPr/>
        <w:t>Plantea que existe una fuerte relación entre la tasa del crecimiento del producto manufacturero y la tasa del crecimiento del PIB.</w:t>
      </w:r>
    </w:p>
    <w:p>
      <w:pPr>
        <w:pStyle w:val="BodyText"/>
        <w:spacing w:before="4"/>
        <w:ind w:left="810" w:right="121"/>
      </w:pPr>
      <w:r>
        <w:rPr/>
        <w:t>Esta ley formalmente se expresa así:</w:t>
      </w:r>
    </w:p>
    <w:p>
      <w:pPr>
        <w:tabs>
          <w:tab w:pos="2739" w:val="left" w:leader="none"/>
        </w:tabs>
        <w:spacing w:before="147"/>
        <w:ind w:left="689" w:right="0" w:firstLine="0"/>
        <w:jc w:val="center"/>
        <w:rPr>
          <w:b/>
          <w:sz w:val="24"/>
        </w:rPr>
      </w:pPr>
      <w:r>
        <w:rPr>
          <w:rFonts w:ascii="Cambria Math"/>
          <w:spacing w:val="-40"/>
          <w:w w:val="273"/>
          <w:sz w:val="24"/>
        </w:rPr>
        <w:t> </w:t>
      </w:r>
      <w:r>
        <w:rPr>
          <w:rFonts w:ascii="Cambria Math"/>
          <w:w w:val="200"/>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5"/>
          <w:sz w:val="24"/>
        </w:rPr>
        <w:t> </w:t>
      </w:r>
      <w:r>
        <w:rPr>
          <w:rFonts w:ascii="Cambria Math"/>
          <w:w w:val="272"/>
          <w:sz w:val="24"/>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spacing w:val="-5"/>
          <w:w w:val="272"/>
          <w:sz w:val="24"/>
        </w:rPr>
        <w:t> </w:t>
      </w:r>
      <w:r>
        <w:rPr>
          <w:rFonts w:ascii="Cambria Math"/>
          <w:spacing w:val="9"/>
          <w:w w:val="263"/>
          <w:position w:val="-4"/>
          <w:sz w:val="17"/>
        </w:rPr>
        <w:t> </w:t>
      </w:r>
      <w:r>
        <w:rPr>
          <w:rFonts w:ascii="Cambria Math"/>
          <w:spacing w:val="-22"/>
          <w:w w:val="254"/>
          <w:sz w:val="24"/>
        </w:rPr>
        <w:t> </w:t>
      </w:r>
      <w:r>
        <w:rPr>
          <w:rFonts w:ascii="Cambria Math"/>
          <w:w w:val="425"/>
          <w:position w:val="-4"/>
          <w:sz w:val="17"/>
        </w:rPr>
        <w:t> </w:t>
      </w:r>
      <w:r>
        <w:rPr>
          <w:rFonts w:ascii="Cambria Math"/>
          <w:position w:val="-4"/>
          <w:sz w:val="17"/>
        </w:rPr>
        <w:tab/>
      </w:r>
      <w:r>
        <w:rPr>
          <w:b/>
          <w:sz w:val="24"/>
        </w:rPr>
        <w:t>(1)</w:t>
      </w:r>
    </w:p>
    <w:p>
      <w:pPr>
        <w:pStyle w:val="BodyText"/>
        <w:spacing w:line="364" w:lineRule="auto" w:before="139"/>
        <w:ind w:left="102" w:right="154" w:firstLine="707"/>
        <w:jc w:val="both"/>
      </w:pPr>
      <w:r>
        <w:rPr>
          <w:rFonts w:ascii="Cambria Math" w:hAnsi="Cambria Math"/>
          <w:w w:val="273"/>
        </w:rPr>
        <w:t> </w:t>
      </w:r>
      <w:r>
        <w:rPr>
          <w:rFonts w:ascii="Cambria Math" w:hAnsi="Cambria Math"/>
          <w:spacing w:val="-40"/>
          <w:w w:val="200"/>
          <w:position w:val="-4"/>
          <w:sz w:val="17"/>
        </w:rPr>
        <w:t> </w:t>
      </w:r>
      <w:r>
        <w:rPr>
          <w:rFonts w:ascii="Cambria Math" w:hAnsi="Cambria Math"/>
          <w:spacing w:val="-40"/>
          <w:position w:val="-4"/>
          <w:sz w:val="17"/>
        </w:rPr>
        <w:t> </w:t>
      </w:r>
      <w:r>
        <w:rPr>
          <w:rFonts w:ascii="Cambria Math" w:hAnsi="Cambria Math"/>
          <w:position w:val="-4"/>
          <w:sz w:val="17"/>
        </w:rPr>
        <w:t> </w:t>
      </w:r>
      <w:r>
        <w:rPr>
          <w:rFonts w:ascii="Cambria Math" w:hAnsi="Cambria Math"/>
          <w:spacing w:val="6"/>
          <w:w w:val="339"/>
        </w:rPr>
        <w:t> </w:t>
      </w:r>
      <w:r>
        <w:rPr>
          <w:rFonts w:ascii="Cambria Math" w:hAnsi="Cambria Math"/>
        </w:rPr>
        <w:t> </w:t>
      </w:r>
      <w:r>
        <w:rPr>
          <w:rFonts w:ascii="Cambria Math" w:hAnsi="Cambria Math"/>
          <w:spacing w:val="15"/>
          <w:w w:val="272"/>
        </w:rPr>
        <w:t> </w:t>
      </w:r>
      <w:r>
        <w:rPr>
          <w:rFonts w:ascii="Cambria Math" w:hAnsi="Cambria Math"/>
          <w:spacing w:val="15"/>
          <w:w w:val="263"/>
          <w:position w:val="-4"/>
          <w:sz w:val="17"/>
        </w:rPr>
        <w:t> </w:t>
      </w:r>
      <w:r>
        <w:rPr>
          <w:rFonts w:ascii="Cambria Math" w:hAnsi="Cambria Math"/>
          <w:spacing w:val="15"/>
          <w:position w:val="-4"/>
          <w:sz w:val="17"/>
        </w:rPr>
        <w:t> </w:t>
      </w:r>
      <w:r>
        <w:rPr>
          <w:rFonts w:ascii="Cambria Math" w:hAnsi="Cambria Math"/>
          <w:position w:val="-4"/>
          <w:sz w:val="17"/>
        </w:rPr>
        <w:t> </w:t>
      </w:r>
      <w:r>
        <w:rPr>
          <w:rFonts w:ascii="Cambria Math" w:hAnsi="Cambria Math"/>
          <w:spacing w:val="-13"/>
          <w:w w:val="339"/>
        </w:rPr>
        <w:t> </w:t>
      </w:r>
      <w:r>
        <w:rPr>
          <w:rFonts w:ascii="Cambria Math" w:hAnsi="Cambria Math"/>
          <w:spacing w:val="-13"/>
        </w:rPr>
        <w:t> </w:t>
      </w:r>
      <w:r>
        <w:rPr>
          <w:rFonts w:ascii="Cambria Math" w:hAnsi="Cambria Math"/>
        </w:rPr>
        <w:t> </w:t>
      </w:r>
      <w:r>
        <w:rPr>
          <w:rFonts w:ascii="Cambria Math" w:hAnsi="Cambria Math"/>
          <w:spacing w:val="1"/>
          <w:w w:val="272"/>
        </w:rPr>
        <w:t> </w:t>
      </w:r>
      <w:r>
        <w:rPr>
          <w:rFonts w:ascii="Cambria Math" w:hAnsi="Cambria Math"/>
          <w:spacing w:val="-5"/>
          <w:w w:val="263"/>
          <w:position w:val="-4"/>
          <w:sz w:val="17"/>
        </w:rPr>
        <w:t> </w:t>
      </w:r>
      <w:r>
        <w:rPr>
          <w:rFonts w:ascii="Cambria Math" w:hAnsi="Cambria Math"/>
          <w:spacing w:val="9"/>
          <w:w w:val="188"/>
        </w:rPr>
        <w:t> </w:t>
      </w:r>
      <w:r>
        <w:rPr>
          <w:rFonts w:ascii="Cambria Math" w:hAnsi="Cambria Math"/>
          <w:spacing w:val="1"/>
          <w:w w:val="254"/>
        </w:rPr>
        <w:t> </w:t>
      </w:r>
      <w:r>
        <w:rPr>
          <w:rFonts w:ascii="Cambria Math" w:hAnsi="Cambria Math"/>
          <w:spacing w:val="-22"/>
          <w:w w:val="425"/>
          <w:position w:val="-4"/>
          <w:sz w:val="17"/>
        </w:rPr>
        <w:t> </w:t>
      </w:r>
      <w:r>
        <w:rPr>
          <w:rFonts w:ascii="Cambria Math" w:hAnsi="Cambria Math"/>
          <w:spacing w:val="-22"/>
          <w:position w:val="-4"/>
          <w:sz w:val="17"/>
        </w:rPr>
        <w:t> </w:t>
      </w:r>
      <w:r>
        <w:rPr>
          <w:rFonts w:ascii="Cambria Math" w:hAnsi="Cambria Math"/>
          <w:position w:val="-4"/>
          <w:sz w:val="17"/>
        </w:rPr>
        <w:t> </w:t>
      </w:r>
      <w:r>
        <w:rPr>
          <w:rFonts w:ascii="Cambria Math" w:hAnsi="Cambria Math"/>
          <w:spacing w:val="-11"/>
          <w:w w:val="339"/>
        </w:rPr>
        <w:t> </w:t>
      </w:r>
      <w:r>
        <w:rPr>
          <w:rFonts w:ascii="Cambria Math" w:hAnsi="Cambria Math"/>
          <w:spacing w:val="-11"/>
        </w:rPr>
        <w:t>  </w:t>
      </w:r>
      <w:r>
        <w:rPr>
          <w:rFonts w:ascii="Cambria Math" w:hAnsi="Cambria Math"/>
          <w:w w:val="254"/>
        </w:rPr>
        <w:t> </w:t>
      </w:r>
      <w:r>
        <w:rPr>
          <w:rFonts w:ascii="Cambria Math" w:hAnsi="Cambria Math"/>
          <w:spacing w:val="-22"/>
          <w:w w:val="360"/>
          <w:position w:val="-4"/>
          <w:sz w:val="17"/>
        </w:rPr>
        <w:t> </w:t>
      </w:r>
      <w:r>
        <w:rPr>
          <w:rFonts w:ascii="Cambria Math" w:hAnsi="Cambria Math"/>
          <w:spacing w:val="-1"/>
          <w:w w:val="360"/>
          <w:position w:val="-4"/>
          <w:sz w:val="17"/>
        </w:rPr>
        <w:t> </w:t>
      </w:r>
      <w:r>
        <w:rPr>
          <w:rFonts w:ascii="Cambria Math" w:hAnsi="Cambria Math"/>
          <w:spacing w:val="13"/>
          <w:w w:val="188"/>
        </w:rPr>
        <w:t> </w:t>
      </w:r>
      <w:r>
        <w:rPr>
          <w:rFonts w:ascii="Cambria Math" w:hAnsi="Cambria Math"/>
          <w:spacing w:val="13"/>
        </w:rPr>
        <w:t> </w:t>
      </w:r>
      <w:r>
        <w:rPr>
          <w:rFonts w:ascii="Cambria Math" w:hAnsi="Cambria Math"/>
        </w:rPr>
        <w:t> </w:t>
      </w:r>
      <w:r>
        <w:rPr/>
        <w:t>Esta ecuación demuestra si la producción manufacturera tiene un efecto de arrastre al resto de las actividades económicas.</w:t>
      </w:r>
    </w:p>
    <w:p>
      <w:pPr>
        <w:pStyle w:val="BodyText"/>
        <w:spacing w:before="3"/>
        <w:ind w:left="810" w:right="121"/>
      </w:pPr>
      <w:r>
        <w:rPr/>
        <w:t>Donde:     es la tasa de crecimiento del PIB</w:t>
      </w:r>
    </w:p>
    <w:p>
      <w:pPr>
        <w:pStyle w:val="BodyText"/>
        <w:spacing w:before="146"/>
        <w:ind w:left="870" w:right="121"/>
      </w:pPr>
      <w:r>
        <w:rPr>
          <w:rFonts w:ascii="Cambria Math"/>
          <w:w w:val="254"/>
        </w:rPr>
        <w:t> </w:t>
      </w:r>
      <w:r>
        <w:rPr>
          <w:rFonts w:ascii="Cambria Math"/>
          <w:w w:val="425"/>
          <w:position w:val="-4"/>
          <w:sz w:val="17"/>
        </w:rPr>
        <w:t> </w:t>
      </w:r>
      <w:r>
        <w:rPr>
          <w:rFonts w:ascii="Cambria Math"/>
          <w:position w:val="-4"/>
          <w:sz w:val="17"/>
        </w:rPr>
        <w:t>  </w:t>
      </w:r>
      <w:r>
        <w:rPr/>
        <w:t>es la tasa de crecimiento manufacturero</w:t>
      </w:r>
    </w:p>
    <w:p>
      <w:pPr>
        <w:pStyle w:val="BodyText"/>
        <w:spacing w:before="144"/>
        <w:ind w:left="810" w:right="121"/>
      </w:pPr>
      <w:r>
        <w:rPr>
          <w:rFonts w:ascii="Cambria Math"/>
          <w:w w:val="254"/>
        </w:rPr>
        <w:t> </w:t>
      </w:r>
      <w:r>
        <w:rPr>
          <w:rFonts w:ascii="Cambria Math"/>
          <w:w w:val="360"/>
          <w:position w:val="-4"/>
          <w:sz w:val="17"/>
        </w:rPr>
        <w:t>  </w:t>
      </w:r>
      <w:r>
        <w:rPr>
          <w:rFonts w:ascii="Cambria Math"/>
          <w:position w:val="-4"/>
          <w:sz w:val="17"/>
        </w:rPr>
        <w:t>  </w:t>
      </w:r>
      <w:r>
        <w:rPr/>
        <w:t>es la tasa de crecimiento de los sectores no manufactureros.</w:t>
      </w:r>
    </w:p>
    <w:p>
      <w:pPr>
        <w:spacing w:after="0"/>
        <w:sectPr>
          <w:footerReference w:type="default" r:id="rId14"/>
          <w:pgSz w:w="12240" w:h="15840"/>
          <w:pgMar w:footer="1003" w:header="0" w:top="1360" w:bottom="1200" w:left="1600" w:right="1580"/>
        </w:sectPr>
      </w:pPr>
    </w:p>
    <w:p>
      <w:pPr>
        <w:pStyle w:val="BodyText"/>
        <w:spacing w:line="360" w:lineRule="auto" w:before="50"/>
        <w:ind w:left="122" w:right="121"/>
        <w:jc w:val="both"/>
      </w:pPr>
      <w:r>
        <w:rPr/>
        <w:t>Kaldor considera que los rendimientos crecientes son resultado de la especialización y diversificación de los sectores e industrias, que no sólo operan a nivel de la empresa, sino también en niveles jerárquicos superiores como las industrias, los sectores económicos y las regiones, es decir; en la producción agregada de la economía. Las economías de escala y  los rendimientos crecientes se derivan de la expansión industrial general, que es vista como la interrelación del todo o como la interacción entre</w:t>
      </w:r>
      <w:r>
        <w:rPr>
          <w:spacing w:val="-13"/>
        </w:rPr>
        <w:t> </w:t>
      </w:r>
      <w:r>
        <w:rPr/>
        <w:t>actividades.</w:t>
      </w:r>
    </w:p>
    <w:p>
      <w:pPr>
        <w:pStyle w:val="BodyText"/>
        <w:spacing w:line="360" w:lineRule="auto" w:before="4"/>
        <w:ind w:left="122" w:right="120" w:firstLine="707"/>
        <w:jc w:val="both"/>
      </w:pPr>
      <w:r>
        <w:rPr/>
        <w:t>En este sentido, lo que se requiere es que los rendimientos decrecientes se transformen en rendimientos crecientes, así todo el incremento de la oferta de bienes que se produce bajo estas condiciones induce a un aumento de la demanda de otros bienes, y este a su vez produce un aumento de la oferta.</w:t>
      </w:r>
    </w:p>
    <w:p>
      <w:pPr>
        <w:pStyle w:val="Heading2"/>
        <w:spacing w:before="8"/>
        <w:ind w:left="830" w:right="243"/>
      </w:pPr>
      <w:r>
        <w:rPr/>
        <w:t>Segunda Ley</w:t>
      </w:r>
    </w:p>
    <w:p>
      <w:pPr>
        <w:pStyle w:val="BodyText"/>
        <w:spacing w:line="360" w:lineRule="auto" w:before="134"/>
        <w:ind w:left="122" w:right="118"/>
        <w:jc w:val="both"/>
      </w:pPr>
      <w:r>
        <w:rPr/>
        <w:t>Señala que hay una fuerte y positiva relación entre el crecimiento del producto manufacturero y de la productividad en la industria manufacturera.</w:t>
      </w:r>
    </w:p>
    <w:p>
      <w:pPr>
        <w:pStyle w:val="BodyText"/>
        <w:spacing w:line="345" w:lineRule="auto" w:before="6"/>
        <w:ind w:left="122" w:right="122" w:firstLine="707"/>
        <w:jc w:val="both"/>
      </w:pPr>
      <w:r>
        <w:rPr/>
        <w:t>Es decir, que la tasa de crecimiento de la producción manufacturera impulsará la  tasa de crecimiento de la productividad manufacturera con economías de escala tanto estáticas como dinámicas</w:t>
      </w:r>
      <w:r>
        <w:rPr>
          <w:position w:val="11"/>
          <w:sz w:val="16"/>
        </w:rPr>
        <w:t>20</w:t>
      </w:r>
      <w:r>
        <w:rPr/>
        <w:t>.</w:t>
      </w:r>
    </w:p>
    <w:p>
      <w:pPr>
        <w:pStyle w:val="BodyText"/>
        <w:spacing w:before="3"/>
        <w:ind w:left="830" w:right="243"/>
      </w:pPr>
      <w:r>
        <w:rPr/>
        <w:t>En este sentido la productividad puede ser definida como:</w:t>
      </w:r>
    </w:p>
    <w:p>
      <w:pPr>
        <w:tabs>
          <w:tab w:pos="5966" w:val="left" w:leader="none"/>
        </w:tabs>
        <w:spacing w:before="147"/>
        <w:ind w:left="830" w:right="243" w:firstLine="0"/>
        <w:jc w:val="left"/>
        <w:rPr>
          <w:b/>
          <w:sz w:val="24"/>
        </w:rPr>
      </w:pPr>
      <w:r>
        <w:rPr>
          <w:rFonts w:ascii="Cambria Math"/>
          <w:spacing w:val="-48"/>
          <w:w w:val="281"/>
          <w:sz w:val="24"/>
        </w:rPr>
        <w:t> </w:t>
      </w:r>
      <w:r>
        <w:rPr>
          <w:rFonts w:ascii="Cambria Math"/>
          <w:w w:val="425"/>
          <w:position w:val="-4"/>
          <w:sz w:val="17"/>
        </w:rPr>
        <w:t> </w:t>
      </w:r>
      <w:r>
        <w:rPr>
          <w:rFonts w:ascii="Cambria Math"/>
          <w:position w:val="-4"/>
          <w:sz w:val="17"/>
        </w:rPr>
        <w:t> </w:t>
      </w:r>
      <w:r>
        <w:rPr>
          <w:rFonts w:ascii="Cambria Math"/>
          <w:spacing w:val="5"/>
          <w:position w:val="-4"/>
          <w:sz w:val="17"/>
        </w:rPr>
        <w:t> </w:t>
      </w:r>
      <w:r>
        <w:rPr>
          <w:rFonts w:ascii="Cambria Math"/>
          <w:w w:val="339"/>
          <w:sz w:val="24"/>
        </w:rPr>
        <w:t> </w:t>
      </w:r>
      <w:r>
        <w:rPr>
          <w:rFonts w:ascii="Cambria Math"/>
          <w:spacing w:val="15"/>
          <w:sz w:val="24"/>
        </w:rPr>
        <w:t> </w:t>
      </w:r>
      <w:r>
        <w:rPr>
          <w:rFonts w:ascii="Cambria Math"/>
          <w:w w:val="272"/>
          <w:sz w:val="24"/>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spacing w:val="1"/>
          <w:sz w:val="24"/>
        </w:rPr>
        <w:t> </w:t>
      </w:r>
      <w:r>
        <w:rPr>
          <w:rFonts w:ascii="Cambria Math"/>
          <w:spacing w:val="-5"/>
          <w:w w:val="272"/>
          <w:sz w:val="24"/>
        </w:rPr>
        <w:t> </w:t>
      </w:r>
      <w:r>
        <w:rPr>
          <w:rFonts w:ascii="Cambria Math"/>
          <w:spacing w:val="9"/>
          <w:w w:val="263"/>
          <w:position w:val="-4"/>
          <w:sz w:val="17"/>
        </w:rPr>
        <w:t> </w:t>
      </w:r>
      <w:r>
        <w:rPr>
          <w:rFonts w:ascii="Cambria Math"/>
          <w:spacing w:val="-22"/>
          <w:w w:val="254"/>
          <w:sz w:val="24"/>
        </w:rPr>
        <w:t> </w:t>
      </w:r>
      <w:r>
        <w:rPr>
          <w:rFonts w:ascii="Cambria Math"/>
          <w:w w:val="425"/>
          <w:position w:val="-4"/>
          <w:sz w:val="17"/>
        </w:rPr>
        <w:t> </w:t>
      </w:r>
      <w:r>
        <w:rPr>
          <w:rFonts w:ascii="Cambria Math"/>
          <w:position w:val="-4"/>
          <w:sz w:val="17"/>
        </w:rPr>
        <w:tab/>
      </w:r>
      <w:r>
        <w:rPr>
          <w:b/>
          <w:sz w:val="24"/>
        </w:rPr>
        <w:t>(2)</w:t>
      </w:r>
    </w:p>
    <w:p>
      <w:pPr>
        <w:pStyle w:val="BodyText"/>
        <w:spacing w:before="139"/>
        <w:ind w:left="830" w:right="243"/>
      </w:pPr>
      <w:r>
        <w:rPr/>
        <w:t>Donde:</w:t>
      </w:r>
    </w:p>
    <w:p>
      <w:pPr>
        <w:pStyle w:val="BodyText"/>
        <w:spacing w:before="139"/>
        <w:ind w:left="830" w:right="243"/>
      </w:pPr>
      <w:r>
        <w:rPr>
          <w:rFonts w:ascii="Cambria Math"/>
          <w:w w:val="281"/>
        </w:rPr>
        <w:t> </w:t>
      </w:r>
      <w:r>
        <w:rPr>
          <w:rFonts w:ascii="Cambria Math"/>
          <w:w w:val="425"/>
          <w:position w:val="-4"/>
          <w:sz w:val="17"/>
        </w:rPr>
        <w:t> </w:t>
      </w:r>
      <w:r>
        <w:rPr>
          <w:rFonts w:ascii="Cambria Math"/>
          <w:position w:val="-4"/>
          <w:sz w:val="17"/>
        </w:rPr>
        <w:t>  </w:t>
      </w:r>
      <w:r>
        <w:rPr/>
        <w:t>es el crecimiento de la productividad del trabajo manufacturero</w:t>
      </w:r>
    </w:p>
    <w:p>
      <w:pPr>
        <w:pStyle w:val="BodyText"/>
        <w:spacing w:before="146"/>
        <w:ind w:left="830" w:right="243"/>
      </w:pPr>
      <w:r>
        <w:rPr>
          <w:rFonts w:ascii="Cambria Math" w:hAnsi="Cambria Math"/>
          <w:w w:val="254"/>
        </w:rPr>
        <w:t> </w:t>
      </w:r>
      <w:r>
        <w:rPr>
          <w:rFonts w:ascii="Cambria Math" w:hAnsi="Cambria Math"/>
          <w:w w:val="425"/>
          <w:position w:val="-4"/>
          <w:sz w:val="17"/>
        </w:rPr>
        <w:t> </w:t>
      </w:r>
      <w:r>
        <w:rPr>
          <w:rFonts w:ascii="Cambria Math" w:hAnsi="Cambria Math"/>
          <w:position w:val="-4"/>
          <w:sz w:val="17"/>
        </w:rPr>
        <w:t>  </w:t>
      </w:r>
      <w:r>
        <w:rPr/>
        <w:t>la tasa de crecimiento de la producción manufacturera</w:t>
      </w:r>
    </w:p>
    <w:p>
      <w:pPr>
        <w:pStyle w:val="BodyText"/>
        <w:spacing w:line="360" w:lineRule="auto" w:before="144"/>
        <w:ind w:left="122" w:right="117" w:firstLine="707"/>
        <w:jc w:val="both"/>
      </w:pPr>
      <w:r>
        <w:rPr/>
        <w:t>La ecuación 2 representa la relación funcional que Kaldor hipotetizó ser positiva.  Sin embargo, Kaldor (1975), prefirió rescribir la ecuación 2, debido a la alta correlación entre la variable independiente y dependiente. Así, para evadir este problema estableció la ecuación</w:t>
      </w:r>
      <w:r>
        <w:rPr>
          <w:spacing w:val="-3"/>
        </w:rPr>
        <w:t> </w:t>
      </w:r>
      <w:r>
        <w:rPr/>
        <w:t>3.</w:t>
      </w:r>
    </w:p>
    <w:p>
      <w:pPr>
        <w:tabs>
          <w:tab w:pos="3487" w:val="left" w:leader="none"/>
          <w:tab w:pos="5990" w:val="left" w:leader="none"/>
        </w:tabs>
        <w:spacing w:before="9"/>
        <w:ind w:left="830" w:right="243" w:firstLine="0"/>
        <w:jc w:val="left"/>
        <w:rPr>
          <w:b/>
          <w:sz w:val="24"/>
        </w:rPr>
      </w:pPr>
      <w:r>
        <w:rPr>
          <w:rFonts w:ascii="Cambria Math"/>
          <w:spacing w:val="-7"/>
          <w:w w:val="225"/>
          <w:sz w:val="24"/>
        </w:rPr>
        <w:t> </w:t>
      </w:r>
      <w:r>
        <w:rPr>
          <w:rFonts w:ascii="Cambria Math"/>
          <w:w w:val="425"/>
          <w:position w:val="-4"/>
          <w:sz w:val="17"/>
        </w:rPr>
        <w:t> </w:t>
      </w:r>
      <w:r>
        <w:rPr>
          <w:rFonts w:ascii="Cambria Math"/>
          <w:position w:val="-4"/>
          <w:sz w:val="17"/>
        </w:rPr>
        <w:t> </w:t>
      </w:r>
      <w:r>
        <w:rPr>
          <w:rFonts w:ascii="Cambria Math"/>
          <w:spacing w:val="3"/>
          <w:position w:val="-4"/>
          <w:sz w:val="17"/>
        </w:rPr>
        <w:t> </w:t>
      </w:r>
      <w:r>
        <w:rPr>
          <w:rFonts w:ascii="Cambria Math"/>
          <w:w w:val="339"/>
          <w:sz w:val="24"/>
        </w:rPr>
        <w:t> </w:t>
      </w:r>
      <w:r>
        <w:rPr>
          <w:rFonts w:ascii="Cambria Math"/>
          <w:spacing w:val="15"/>
          <w:sz w:val="24"/>
        </w:rPr>
        <w:t> </w:t>
      </w:r>
      <w:r>
        <w:rPr>
          <w:rFonts w:ascii="Cambria Math"/>
          <w:w w:val="339"/>
          <w:sz w:val="24"/>
        </w:rPr>
        <w:t> </w:t>
      </w:r>
      <w:r>
        <w:rPr>
          <w:rFonts w:ascii="Cambria Math"/>
          <w:w w:val="272"/>
          <w:sz w:val="24"/>
        </w:rPr>
        <w:t> </w:t>
      </w:r>
      <w:r>
        <w:rPr>
          <w:rFonts w:ascii="Cambria Math"/>
          <w:spacing w:val="7"/>
          <w:sz w:val="24"/>
        </w:rPr>
        <w:t> </w:t>
      </w:r>
      <w:r>
        <w:rPr>
          <w:rFonts w:ascii="Cambria Math"/>
          <w:w w:val="339"/>
          <w:sz w:val="24"/>
        </w:rPr>
        <w:t> </w:t>
      </w:r>
      <w:r>
        <w:rPr>
          <w:rFonts w:ascii="Cambria Math"/>
          <w:sz w:val="24"/>
        </w:rPr>
        <w:t> </w:t>
      </w:r>
      <w:r>
        <w:rPr>
          <w:rFonts w:ascii="Cambria Math"/>
          <w:spacing w:val="1"/>
          <w:sz w:val="24"/>
        </w:rPr>
        <w:t> </w:t>
      </w:r>
      <w:r>
        <w:rPr>
          <w:rFonts w:ascii="Cambria Math"/>
          <w:spacing w:val="1"/>
          <w:w w:val="188"/>
          <w:sz w:val="24"/>
        </w:rPr>
        <w:t> </w:t>
      </w:r>
      <w:r>
        <w:rPr>
          <w:rFonts w:ascii="Cambria Math"/>
          <w:w w:val="251"/>
          <w:sz w:val="24"/>
        </w:rPr>
        <w:t> </w:t>
      </w:r>
      <w:r>
        <w:rPr>
          <w:rFonts w:ascii="Cambria Math"/>
          <w:spacing w:val="-1"/>
          <w:sz w:val="24"/>
        </w:rPr>
        <w:t> </w:t>
      </w:r>
      <w:r>
        <w:rPr>
          <w:rFonts w:ascii="Cambria Math"/>
          <w:w w:val="339"/>
          <w:sz w:val="24"/>
        </w:rPr>
        <w:t> </w:t>
      </w:r>
      <w:r>
        <w:rPr>
          <w:rFonts w:ascii="Cambria Math"/>
          <w:sz w:val="24"/>
        </w:rPr>
        <w:t> </w:t>
      </w:r>
      <w:r>
        <w:rPr>
          <w:rFonts w:ascii="Cambria Math"/>
          <w:spacing w:val="-5"/>
          <w:w w:val="272"/>
          <w:sz w:val="24"/>
        </w:rPr>
        <w:t> </w:t>
      </w:r>
      <w:r>
        <w:rPr>
          <w:rFonts w:ascii="Cambria Math"/>
          <w:spacing w:val="9"/>
          <w:w w:val="263"/>
          <w:position w:val="-4"/>
          <w:sz w:val="17"/>
        </w:rPr>
        <w:t> </w:t>
      </w:r>
      <w:r>
        <w:rPr>
          <w:rFonts w:ascii="Cambria Math"/>
          <w:spacing w:val="1"/>
          <w:w w:val="188"/>
          <w:sz w:val="24"/>
        </w:rPr>
        <w:t> </w:t>
      </w:r>
      <w:r>
        <w:rPr>
          <w:rFonts w:ascii="Cambria Math"/>
          <w:spacing w:val="-22"/>
          <w:w w:val="254"/>
          <w:sz w:val="24"/>
        </w:rPr>
        <w:t> </w:t>
      </w:r>
      <w:r>
        <w:rPr>
          <w:rFonts w:ascii="Cambria Math"/>
          <w:w w:val="425"/>
          <w:position w:val="-4"/>
          <w:sz w:val="17"/>
        </w:rPr>
        <w:t> </w:t>
      </w:r>
      <w:r>
        <w:rPr>
          <w:rFonts w:ascii="Cambria Math"/>
          <w:position w:val="-4"/>
          <w:sz w:val="17"/>
        </w:rPr>
        <w:tab/>
      </w:r>
      <w:r>
        <w:rPr>
          <w:sz w:val="24"/>
        </w:rPr>
        <w:t>0 &lt; (1-    </w:t>
      </w:r>
      <w:r>
        <w:rPr>
          <w:sz w:val="24"/>
        </w:rPr>
        <w:t>)</w:t>
      </w:r>
      <w:r>
        <w:rPr>
          <w:spacing w:val="5"/>
          <w:sz w:val="24"/>
        </w:rPr>
        <w:t> </w:t>
      </w:r>
      <w:r>
        <w:rPr>
          <w:sz w:val="24"/>
        </w:rPr>
        <w:t>&lt;</w:t>
      </w:r>
      <w:r>
        <w:rPr>
          <w:spacing w:val="-2"/>
          <w:sz w:val="24"/>
        </w:rPr>
        <w:t> </w:t>
      </w:r>
      <w:r>
        <w:rPr>
          <w:sz w:val="24"/>
        </w:rPr>
        <w:t>1</w:t>
        <w:tab/>
      </w:r>
      <w:r>
        <w:rPr>
          <w:b/>
          <w:sz w:val="24"/>
        </w:rPr>
        <w:t>(3)</w:t>
      </w:r>
    </w:p>
    <w:p>
      <w:pPr>
        <w:pStyle w:val="BodyText"/>
        <w:spacing w:before="144"/>
        <w:ind w:left="830" w:right="243"/>
      </w:pPr>
      <w:r>
        <w:rPr/>
        <w:t>Donde:</w:t>
      </w:r>
    </w:p>
    <w:p>
      <w:pPr>
        <w:pStyle w:val="BodyText"/>
        <w:spacing w:before="139"/>
        <w:ind w:left="830" w:right="243"/>
      </w:pPr>
      <w:r>
        <w:rPr>
          <w:rFonts w:ascii="Cambria Math"/>
          <w:w w:val="225"/>
        </w:rPr>
        <w:t> </w:t>
      </w:r>
      <w:r>
        <w:rPr>
          <w:rFonts w:ascii="Cambria Math"/>
          <w:w w:val="425"/>
          <w:position w:val="-4"/>
          <w:sz w:val="17"/>
        </w:rPr>
        <w:t> </w:t>
      </w:r>
      <w:r>
        <w:rPr>
          <w:rFonts w:ascii="Cambria Math"/>
          <w:position w:val="-4"/>
          <w:sz w:val="17"/>
        </w:rPr>
        <w:t>  </w:t>
      </w:r>
      <w:r>
        <w:rPr/>
        <w:t>la tasa de crecimiento del empleo en la industria manufacturera</w:t>
      </w:r>
    </w:p>
    <w:p>
      <w:pPr>
        <w:pStyle w:val="BodyText"/>
        <w:spacing w:before="11"/>
        <w:rPr>
          <w:sz w:val="18"/>
        </w:rPr>
      </w:pPr>
      <w:r>
        <w:rPr/>
        <w:pict>
          <v:line style="position:absolute;mso-position-horizontal-relative:page;mso-position-vertical-relative:paragraph;z-index:1384;mso-wrap-distance-left:0;mso-wrap-distance-right:0" from="85.103996pt,13.244306pt" to="229.123996pt,13.244306pt" stroked="true" strokeweight=".71997pt" strokecolor="#000000">
            <w10:wrap type="topAndBottom"/>
          </v:line>
        </w:pict>
      </w:r>
    </w:p>
    <w:p>
      <w:pPr>
        <w:spacing w:before="40"/>
        <w:ind w:left="122" w:right="118" w:firstLine="0"/>
        <w:jc w:val="both"/>
        <w:rPr>
          <w:sz w:val="20"/>
        </w:rPr>
      </w:pPr>
      <w:r>
        <w:rPr>
          <w:position w:val="9"/>
          <w:sz w:val="13"/>
        </w:rPr>
        <w:t>20 </w:t>
      </w:r>
      <w:r>
        <w:rPr>
          <w:sz w:val="20"/>
        </w:rPr>
        <w:t>Los rendimientos estáticos se relacionan con el tamaño y escala de unidades de producción y son una característica de las manufacturas donde al duplicar las dimensiones de equipo, la superficie se incrementa al cuadrado y el volumen al cubo. Los rendimientos dinámicos se refieren a los rendimientos crecientes que se dan por el progreso tecnológico, y por el aprendizaje por experiencia y economías externas de producción (Thirlwall, 1983: 349).</w:t>
      </w:r>
    </w:p>
    <w:p>
      <w:pPr>
        <w:spacing w:after="0"/>
        <w:jc w:val="both"/>
        <w:rPr>
          <w:sz w:val="20"/>
        </w:rPr>
        <w:sectPr>
          <w:footerReference w:type="default" r:id="rId15"/>
          <w:pgSz w:w="12240" w:h="15840"/>
          <w:pgMar w:footer="1003" w:header="0" w:top="1360" w:bottom="1200" w:left="1580" w:right="1580"/>
          <w:pgNumType w:start="31"/>
        </w:sectPr>
      </w:pPr>
    </w:p>
    <w:p>
      <w:pPr>
        <w:pStyle w:val="BodyText"/>
        <w:spacing w:line="362" w:lineRule="auto" w:before="50"/>
        <w:ind w:left="122" w:right="114" w:firstLine="707"/>
        <w:jc w:val="both"/>
      </w:pPr>
      <w:r>
        <w:rPr/>
        <w:t>La ecuación 3 postula que existe una relación positiva entre la tasa de crecimiento del empleo en el sector manufacturero ( y la tasa de crecimiento de la producción manufacturera . Para que existan economías de escala es necesario sea de  aproximadamente 0.5 en las ecuaciones 2 y 3, en orden de garantizar que el aumento en la producción lleve consigo un aumento en la productividad y empleo (Kaldor, 1975). Es decir, que cada porcentaje adicional del crecimiento de la producción requiere 0.5 % de incremento en el crecimiento del empleo, y es asociado con 0.5 % de incremento en la productividad (Millin y Tennassie, 2005:</w:t>
      </w:r>
      <w:r>
        <w:rPr>
          <w:spacing w:val="-9"/>
        </w:rPr>
        <w:t> </w:t>
      </w:r>
      <w:r>
        <w:rPr/>
        <w:t>53).</w:t>
      </w:r>
    </w:p>
    <w:p>
      <w:pPr>
        <w:pStyle w:val="BodyText"/>
        <w:spacing w:line="357" w:lineRule="auto" w:before="1"/>
        <w:ind w:left="122" w:right="118" w:firstLine="707"/>
        <w:jc w:val="both"/>
      </w:pPr>
      <w:r>
        <w:rPr/>
        <w:t>Kaldor (1975: 893), concluye que una condición suficiente para la presencia de rendimientos o economías de escala estáticas o dinámicas, es la existencia de una relación estadísticamente significativa entre </w:t>
      </w:r>
      <w:r>
        <w:rPr>
          <w:i/>
        </w:rPr>
        <w:t>e</w:t>
      </w:r>
      <w:r>
        <w:rPr>
          <w:position w:val="-2"/>
          <w:sz w:val="16"/>
        </w:rPr>
        <w:t>m </w:t>
      </w:r>
      <w:r>
        <w:rPr/>
        <w:t>y </w:t>
      </w:r>
      <w:r>
        <w:rPr>
          <w:i/>
        </w:rPr>
        <w:t>y</w:t>
      </w:r>
      <w:r>
        <w:rPr>
          <w:position w:val="-2"/>
          <w:sz w:val="16"/>
        </w:rPr>
        <w:t>m </w:t>
      </w:r>
      <w:r>
        <w:rPr/>
        <w:t>de las ecuaciones 2 y 3, con un coeficiente de la pendiente significativamente menor que la unidad. Un coeficiente de la pendiente de una unidad, o cercano a la unidad sería un tipo neoclásico en el que el empleo varía en una relación uno a uno con la producción y entonces presenta rendimientos constantes. Entonces, hay ciertas posibilidades: Primero hay una relación significativa, pero si el coeficiente de </w:t>
      </w:r>
      <w:r>
        <w:rPr>
          <w:i/>
        </w:rPr>
        <w:t>e</w:t>
      </w:r>
      <w:r>
        <w:rPr>
          <w:position w:val="-2"/>
          <w:sz w:val="16"/>
        </w:rPr>
        <w:t>m </w:t>
      </w:r>
      <w:r>
        <w:rPr/>
        <w:t>o </w:t>
      </w:r>
      <w:r>
        <w:rPr>
          <w:i/>
        </w:rPr>
        <w:t>y</w:t>
      </w:r>
      <w:r>
        <w:rPr>
          <w:position w:val="-2"/>
          <w:sz w:val="16"/>
        </w:rPr>
        <w:t>m </w:t>
      </w:r>
      <w:r>
        <w:rPr/>
        <w:t>no es significativamente diferente de la unidad (representa rendimientos constantes), o si es significativamente más grande que la unidad (representa rendimientos decrecientes). Segundo: no hay relación significativa entre </w:t>
      </w:r>
      <w:r>
        <w:rPr>
          <w:i/>
        </w:rPr>
        <w:t>e</w:t>
      </w:r>
      <w:r>
        <w:rPr>
          <w:position w:val="-2"/>
          <w:sz w:val="16"/>
        </w:rPr>
        <w:t>m </w:t>
      </w:r>
      <w:r>
        <w:rPr/>
        <w:t>y </w:t>
      </w:r>
      <w:r>
        <w:rPr>
          <w:i/>
        </w:rPr>
        <w:t>y</w:t>
      </w:r>
      <w:r>
        <w:rPr>
          <w:position w:val="-2"/>
          <w:sz w:val="16"/>
        </w:rPr>
        <w:t>m</w:t>
      </w:r>
      <w:r>
        <w:rPr/>
        <w:t>, es equivalente a decir que la ley no se cumple y no aplica.</w:t>
      </w:r>
    </w:p>
    <w:p>
      <w:pPr>
        <w:pStyle w:val="BodyText"/>
        <w:spacing w:line="355" w:lineRule="auto" w:before="6"/>
        <w:ind w:left="122" w:right="117" w:firstLine="707"/>
        <w:jc w:val="both"/>
      </w:pPr>
      <w:r>
        <w:rPr/>
        <w:t>Ahora bien, la Segunda Ley de Kaldor también es conocida como Ley de Verdoorn</w:t>
      </w:r>
      <w:r>
        <w:rPr>
          <w:position w:val="11"/>
          <w:sz w:val="16"/>
        </w:rPr>
        <w:t>21</w:t>
      </w:r>
      <w:r>
        <w:rPr/>
        <w:t>, es una relación dinámica, más que estática, entre las tasas de cambio en la productividad y del producto, más que entre el nivel de la productividad y la escala del producto, fundamentalmente porque el progreso técnico se incorpora (Kaldor, 1975). Esto significa que una proporción sustancial de cambio técnico es endógeno, porque es inducido por el crecimiento de la producción.</w:t>
      </w:r>
    </w:p>
    <w:p>
      <w:pPr>
        <w:pStyle w:val="BodyText"/>
        <w:spacing w:line="360" w:lineRule="auto" w:before="10"/>
        <w:ind w:left="122" w:right="121" w:firstLine="707"/>
        <w:jc w:val="both"/>
      </w:pPr>
      <w:r>
        <w:rPr/>
        <w:t>La dependencia del crecimiento de la productividad sobre la tasa de crecimiento por sí misma no es suficiente para causar diferencias en las tasas de crecimiento regional, a menos que el coeficiente varié entre regiones o que las tasas de crecimiento diverjan por otras razones. Esto es la relación Verdoorn, el cual hace un modelo circular y acumulativo, y  el  cual  da  la  posibilidad  de  que  una  vez  que  una  región  ha  obtenido  ventajas  del</w:t>
      </w:r>
    </w:p>
    <w:p>
      <w:pPr>
        <w:pStyle w:val="BodyText"/>
        <w:rPr>
          <w:sz w:val="17"/>
        </w:rPr>
      </w:pPr>
      <w:r>
        <w:rPr/>
        <w:pict>
          <v:line style="position:absolute;mso-position-horizontal-relative:page;mso-position-vertical-relative:paragraph;z-index:1408;mso-wrap-distance-left:0;mso-wrap-distance-right:0" from="85.103996pt,12.115749pt" to="229.123996pt,12.115749pt" stroked="true" strokeweight=".72003pt" strokecolor="#000000">
            <w10:wrap type="topAndBottom"/>
          </v:line>
        </w:pict>
      </w:r>
    </w:p>
    <w:p>
      <w:pPr>
        <w:spacing w:before="42"/>
        <w:ind w:left="122" w:right="243" w:firstLine="0"/>
        <w:jc w:val="left"/>
        <w:rPr>
          <w:sz w:val="20"/>
        </w:rPr>
      </w:pPr>
      <w:r>
        <w:rPr>
          <w:position w:val="9"/>
          <w:sz w:val="13"/>
        </w:rPr>
        <w:t>21 </w:t>
      </w:r>
      <w:r>
        <w:rPr>
          <w:sz w:val="20"/>
        </w:rPr>
        <w:t>Llamada así por Kaldor en reconocimiento al primer trabajo de Verdoorn  en 1949.</w:t>
      </w:r>
    </w:p>
    <w:p>
      <w:pPr>
        <w:spacing w:after="0"/>
        <w:jc w:val="left"/>
        <w:rPr>
          <w:sz w:val="20"/>
        </w:rPr>
        <w:sectPr>
          <w:pgSz w:w="12240" w:h="15840"/>
          <w:pgMar w:header="0" w:footer="1003" w:top="1360" w:bottom="1200" w:left="1580" w:right="1580"/>
        </w:sectPr>
      </w:pPr>
    </w:p>
    <w:p>
      <w:pPr>
        <w:pStyle w:val="BodyText"/>
        <w:spacing w:line="360" w:lineRule="auto" w:before="50"/>
        <w:ind w:left="102" w:right="120"/>
        <w:jc w:val="both"/>
      </w:pPr>
      <w:r>
        <w:rPr/>
        <w:t>crecimiento, las mantendrá. La relación de Verdoorn juega un papel sustancial en el proceso de crecimiento regional, y un papel sustancial en la persistencia de las diferencias en el crecimiento regional una vez que han alcanzado las diferencias iniciales en los otros parámetros del modelo (Dixon y Thirlwall,</w:t>
      </w:r>
      <w:r>
        <w:rPr>
          <w:spacing w:val="-9"/>
        </w:rPr>
        <w:t> </w:t>
      </w:r>
      <w:r>
        <w:rPr/>
        <w:t>1975).</w:t>
      </w:r>
    </w:p>
    <w:p>
      <w:pPr>
        <w:pStyle w:val="BodyText"/>
        <w:spacing w:line="360" w:lineRule="auto" w:before="4"/>
        <w:ind w:left="102" w:right="120" w:firstLine="707"/>
        <w:jc w:val="both"/>
      </w:pPr>
      <w:r>
        <w:rPr/>
        <w:t>La Ley de Verdoorn establece que las regiones que muestran más alto crecimiento de su producción son capaces de recoger los beneficios de sus rendimientos crecientes, en comparación con los de bajo crecimiento. Estos rendimientos crecientes tienen efectos positivos sobre la productividad y producen fuertes ventajas competitivas para las regiones, efectuando más fuertes incrementos de productividad en los sectores manufactureros. Esto, sin embargo, produce diferencias en la productividad regional causadas por las disparidades en el crecimiento de la</w:t>
      </w:r>
      <w:r>
        <w:rPr>
          <w:spacing w:val="-8"/>
        </w:rPr>
        <w:t> </w:t>
      </w:r>
      <w:r>
        <w:rPr/>
        <w:t>producción.</w:t>
      </w:r>
    </w:p>
    <w:p>
      <w:pPr>
        <w:pStyle w:val="BodyText"/>
        <w:spacing w:line="360" w:lineRule="auto" w:before="6"/>
        <w:ind w:left="102" w:right="117" w:firstLine="707"/>
        <w:jc w:val="both"/>
      </w:pPr>
      <w:r>
        <w:rPr/>
        <w:t>Desde esta perspectiva, la Ley de Verdoorn forma una explicación para la persistencia de disparidades en la productividad regional de las manufacturas. Una tasa más rápida de crecimiento de la productividad manufacturera en una región tenderá a aumentar el crecimiento de la productividad, a través del efecto Verdoorn, el cual en una fase subsiguiente tiende a aumentar la competitividad de la región. Esto generará un rápido crecimiento de las exportaciones de una región, las cuales aumentarán las tasas de crecimiento. El rápido crecimiento de la producción acelerará el crecimiento de la productividad guiando a fuertes mejoras en las ventajas de competitividad de la región. El efecto Verdoorn, sin embargo, provee un mecanismo en el cual la región que crece más rápido que otras regiones obtendrá productividad, o ventajas, lo cual probablemente signifique que éste continuará creciendo más rápidamente reforzando los defectos de desequilibrio (Stilianos y Tsagdis, 2006).</w:t>
      </w:r>
    </w:p>
    <w:p>
      <w:pPr>
        <w:pStyle w:val="BodyText"/>
        <w:spacing w:line="360" w:lineRule="auto" w:before="6"/>
        <w:ind w:left="102" w:right="121" w:firstLine="707"/>
        <w:jc w:val="both"/>
      </w:pPr>
      <w:r>
        <w:rPr/>
        <w:t>Kaldor prefirió seguir la opción de tratar los rendimientos crecientes como un fenómeno macroeconómico, es decir, como un resultado de la especialización y la diversificación de los sectores y las industrias. La especialización y la diversificación no sólo operan en el nivel de la empresa, sino también en niveles jerárquicos superiores, como las industrias, los sectores económicos y las regiones. Los rendimientos crecientes son en esencia un fenómeno agregado que se manifiesta en la gran producción más que en la producción a gran escala de las firmas individuales (Moreno, 2008).</w:t>
      </w:r>
    </w:p>
    <w:p>
      <w:pPr>
        <w:spacing w:after="0" w:line="360" w:lineRule="auto"/>
        <w:jc w:val="both"/>
        <w:sectPr>
          <w:pgSz w:w="12240" w:h="15840"/>
          <w:pgMar w:header="0" w:footer="1003" w:top="1360" w:bottom="1200" w:left="1600" w:right="1580"/>
        </w:sectPr>
      </w:pPr>
    </w:p>
    <w:p>
      <w:pPr>
        <w:pStyle w:val="BodyText"/>
        <w:spacing w:line="360" w:lineRule="auto" w:before="50"/>
        <w:ind w:left="122" w:right="119" w:firstLine="707"/>
        <w:jc w:val="both"/>
      </w:pPr>
      <w:r>
        <w:rPr/>
        <w:t>La productividad parece ser un nexo importante entre el crecimiento de las exportaciones manufactureras, el impulso al sector industrial y el crecimiento económico, donde la productividad se vuelve un factor endógeno al sistema que puede estimular las mayores exportaciones. Así, la productividad puede ser un factor común y un vínculo entre la economía del crecimiento por factores de oferta, y la economía del crecimiento impulsada por la demanda (De la Rosa, 2006). La división del trabajo es la causa de los aumentos de la productividad y es por lo tanto, un factor crucial del mayor o menor crecimiento</w:t>
      </w:r>
      <w:r>
        <w:rPr>
          <w:spacing w:val="-6"/>
        </w:rPr>
        <w:t> </w:t>
      </w:r>
      <w:r>
        <w:rPr/>
        <w:t>económico.</w:t>
      </w:r>
    </w:p>
    <w:p>
      <w:pPr>
        <w:pStyle w:val="BodyText"/>
        <w:spacing w:line="360" w:lineRule="auto" w:before="4"/>
        <w:ind w:left="122" w:right="115" w:firstLine="707"/>
        <w:jc w:val="both"/>
      </w:pPr>
      <w:r>
        <w:rPr/>
        <w:t>La Segunda Ley de Kaldor o Ley de Verdoorn señala entonces que un rápido crecimiento del producto industrial manufacturero, a través de los rendimientos crecientes a escala (consecuencia de la división del trabajo), conducirá a un rápido crecimiento de la productividad laboral industrial, la productividad es endógena, y no causa en primera instancia una mayor producción, más bien, una mayor demanda por producto, y una mayor producción para satisfacerla terminan incrementando a la larga la productividad (Sánchez, 2011). Una vez que la región tiene ventajas sobre el crecimiento está tenderá a sostener esas ventajas a través del proceso de rendimientos crecientes que induce el crecimiento por sí mismo, esto es lo que se conoce como el efecto Verdoorn, el cual contribuye a acentuar las diferencias regionales (Dixon y Thirlwall, 1975).</w:t>
      </w:r>
    </w:p>
    <w:p>
      <w:pPr>
        <w:pStyle w:val="Heading2"/>
        <w:spacing w:before="8"/>
        <w:ind w:left="830" w:right="243"/>
      </w:pPr>
      <w:r>
        <w:rPr/>
        <w:t>Tercera Ley</w:t>
      </w:r>
    </w:p>
    <w:p>
      <w:pPr>
        <w:pStyle w:val="BodyText"/>
        <w:spacing w:line="360" w:lineRule="auto" w:before="134"/>
        <w:ind w:left="122" w:right="122"/>
        <w:jc w:val="both"/>
      </w:pPr>
      <w:r>
        <w:rPr/>
        <w:t>Plantea que existe una relación positiva entre el crecimiento de la productividad de toda la economía y el crecimiento del sector industrial y negativa con el aumento del empleo en los sectores no manufactureros.</w:t>
      </w:r>
    </w:p>
    <w:p>
      <w:pPr>
        <w:pStyle w:val="BodyText"/>
        <w:spacing w:line="345" w:lineRule="auto" w:before="4"/>
        <w:ind w:left="122" w:right="120" w:firstLine="707"/>
        <w:jc w:val="both"/>
      </w:pPr>
      <w:r>
        <w:rPr/>
        <w:t>Kaldor interpretó esta ley confirmando que una economía no está restringida de recursos, y que en el largo plazo las tasas de crecimiento de las economías avanzadas son esencialmente vistas como restricciones a la demanda en vez que a la oferta</w:t>
      </w:r>
      <w:r>
        <w:rPr>
          <w:position w:val="11"/>
          <w:sz w:val="16"/>
        </w:rPr>
        <w:t>22</w:t>
      </w:r>
      <w:r>
        <w:rPr/>
        <w:t>.</w:t>
      </w:r>
    </w:p>
    <w:p>
      <w:pPr>
        <w:pStyle w:val="BodyText"/>
        <w:spacing w:line="360" w:lineRule="auto" w:before="6"/>
        <w:ind w:left="122" w:right="119" w:firstLine="707"/>
        <w:jc w:val="both"/>
      </w:pPr>
      <w:r>
        <w:rPr/>
        <w:t>Con estas leyes Kaldor refiere que el sector industrial es el motor del crecimiento económico, asociado al alto efecto multiplicador de la industria, debido a las altas elasticidades ingreso de la demanda de las manufacturas, a los fuertes encadenamientos hacia atrás y hacia delante de las actividades industriales y a las economías de  </w:t>
      </w:r>
      <w:r>
        <w:rPr>
          <w:spacing w:val="50"/>
        </w:rPr>
        <w:t> </w:t>
      </w:r>
      <w:r>
        <w:rPr/>
        <w:t>aprendizaje</w:t>
      </w:r>
    </w:p>
    <w:p>
      <w:pPr>
        <w:pStyle w:val="BodyText"/>
        <w:rPr>
          <w:sz w:val="20"/>
        </w:rPr>
      </w:pPr>
    </w:p>
    <w:p>
      <w:pPr>
        <w:pStyle w:val="BodyText"/>
        <w:spacing w:before="4"/>
        <w:rPr>
          <w:sz w:val="14"/>
        </w:rPr>
      </w:pPr>
      <w:r>
        <w:rPr/>
        <w:pict>
          <v:line style="position:absolute;mso-position-horizontal-relative:page;mso-position-vertical-relative:paragraph;z-index:1432;mso-wrap-distance-left:0;mso-wrap-distance-right:0" from="85.103996pt,10.576729pt" to="229.123996pt,10.576729pt" stroked="true" strokeweight=".72003pt" strokecolor="#000000">
            <w10:wrap type="topAndBottom"/>
          </v:line>
        </w:pict>
      </w:r>
    </w:p>
    <w:p>
      <w:pPr>
        <w:spacing w:before="42"/>
        <w:ind w:left="122" w:right="243" w:firstLine="0"/>
        <w:jc w:val="left"/>
        <w:rPr>
          <w:sz w:val="20"/>
        </w:rPr>
      </w:pPr>
      <w:r>
        <w:rPr>
          <w:position w:val="9"/>
          <w:sz w:val="13"/>
        </w:rPr>
        <w:t>22 </w:t>
      </w:r>
      <w:r>
        <w:rPr>
          <w:sz w:val="20"/>
        </w:rPr>
        <w:t>McCombie (1981: 279) plantea que esta ley por sí misma no puede ser tomada como evidencia para confirmar que el crecimiento es explicado por la demanda.</w:t>
      </w:r>
    </w:p>
    <w:p>
      <w:pPr>
        <w:spacing w:after="0"/>
        <w:jc w:val="left"/>
        <w:rPr>
          <w:sz w:val="20"/>
        </w:rPr>
        <w:sectPr>
          <w:pgSz w:w="12240" w:h="15840"/>
          <w:pgMar w:header="0" w:footer="1003" w:top="1360" w:bottom="1200" w:left="1580" w:right="1580"/>
        </w:sectPr>
      </w:pPr>
    </w:p>
    <w:p>
      <w:pPr>
        <w:pStyle w:val="BodyText"/>
        <w:spacing w:line="360" w:lineRule="auto" w:before="50"/>
        <w:ind w:left="102" w:right="118"/>
        <w:jc w:val="both"/>
      </w:pPr>
      <w:r>
        <w:rPr/>
        <w:t>que pueden obtenerse a medida que avanza la división del trabajo y se fortalece la especialización como resultado de la expansión de las actividades manufactureras (Ocegueda, 2003). Bajo estos postulados, se tiene que no es posible entender el crecimiento sin distinguir entre actividades productivas con rendimientos crecientes (industria) y rendimientos decrecientes (agrícolas).</w:t>
      </w:r>
    </w:p>
    <w:p>
      <w:pPr>
        <w:pStyle w:val="ListParagraph"/>
        <w:numPr>
          <w:ilvl w:val="0"/>
          <w:numId w:val="7"/>
        </w:numPr>
        <w:tabs>
          <w:tab w:pos="2227" w:val="left" w:leader="none"/>
        </w:tabs>
        <w:spacing w:line="360" w:lineRule="auto" w:before="6" w:after="0"/>
        <w:ind w:left="822" w:right="120" w:firstLine="708"/>
        <w:jc w:val="both"/>
        <w:rPr>
          <w:sz w:val="24"/>
        </w:rPr>
      </w:pPr>
      <w:r>
        <w:rPr>
          <w:sz w:val="24"/>
        </w:rPr>
        <w:t>Cuando la producción industrial y el producto se expanden, los recursos del trabajo son transferidos de otros</w:t>
      </w:r>
      <w:r>
        <w:rPr>
          <w:spacing w:val="-10"/>
          <w:sz w:val="24"/>
        </w:rPr>
        <w:t> </w:t>
      </w:r>
      <w:r>
        <w:rPr>
          <w:sz w:val="24"/>
        </w:rPr>
        <w:t>sectores.</w:t>
      </w:r>
    </w:p>
    <w:p>
      <w:pPr>
        <w:pStyle w:val="ListParagraph"/>
        <w:numPr>
          <w:ilvl w:val="0"/>
          <w:numId w:val="7"/>
        </w:numPr>
        <w:tabs>
          <w:tab w:pos="2227" w:val="left" w:leader="none"/>
        </w:tabs>
        <w:spacing w:line="360" w:lineRule="auto" w:before="6" w:after="0"/>
        <w:ind w:left="822" w:right="119" w:firstLine="708"/>
        <w:jc w:val="both"/>
        <w:rPr>
          <w:sz w:val="24"/>
        </w:rPr>
      </w:pPr>
      <w:r>
        <w:rPr>
          <w:sz w:val="24"/>
        </w:rPr>
        <w:t>Las manufacturas poseen grandes eslabonamientos hacia atrás y  hacia</w:t>
      </w:r>
      <w:r>
        <w:rPr>
          <w:spacing w:val="-4"/>
          <w:sz w:val="24"/>
        </w:rPr>
        <w:t> </w:t>
      </w:r>
      <w:r>
        <w:rPr>
          <w:sz w:val="24"/>
        </w:rPr>
        <w:t>adelante.</w:t>
      </w:r>
    </w:p>
    <w:p>
      <w:pPr>
        <w:pStyle w:val="ListParagraph"/>
        <w:numPr>
          <w:ilvl w:val="0"/>
          <w:numId w:val="7"/>
        </w:numPr>
        <w:tabs>
          <w:tab w:pos="2227" w:val="left" w:leader="none"/>
        </w:tabs>
        <w:spacing w:line="360" w:lineRule="auto" w:before="7" w:after="0"/>
        <w:ind w:left="822" w:right="119" w:firstLine="708"/>
        <w:jc w:val="both"/>
        <w:rPr>
          <w:sz w:val="24"/>
        </w:rPr>
      </w:pPr>
      <w:r>
        <w:rPr>
          <w:sz w:val="24"/>
        </w:rPr>
        <w:t>El sector industrial está sujeto a rendimientos crecentes de manera estática y dinámica (a través del </w:t>
      </w:r>
      <w:r>
        <w:rPr>
          <w:i/>
          <w:sz w:val="24"/>
        </w:rPr>
        <w:t>learning by</w:t>
      </w:r>
      <w:r>
        <w:rPr>
          <w:i/>
          <w:spacing w:val="-7"/>
          <w:sz w:val="24"/>
        </w:rPr>
        <w:t> </w:t>
      </w:r>
      <w:r>
        <w:rPr>
          <w:i/>
          <w:sz w:val="24"/>
        </w:rPr>
        <w:t>doing)</w:t>
      </w:r>
      <w:r>
        <w:rPr>
          <w:sz w:val="24"/>
        </w:rPr>
        <w:t>.</w:t>
      </w:r>
    </w:p>
    <w:p>
      <w:pPr>
        <w:pStyle w:val="ListParagraph"/>
        <w:numPr>
          <w:ilvl w:val="0"/>
          <w:numId w:val="7"/>
        </w:numPr>
        <w:tabs>
          <w:tab w:pos="2227" w:val="left" w:leader="none"/>
        </w:tabs>
        <w:spacing w:line="360" w:lineRule="auto" w:before="6" w:after="0"/>
        <w:ind w:left="822" w:right="118" w:firstLine="708"/>
        <w:jc w:val="both"/>
        <w:rPr>
          <w:sz w:val="24"/>
        </w:rPr>
      </w:pPr>
      <w:r>
        <w:rPr>
          <w:sz w:val="24"/>
        </w:rPr>
        <w:t>Las economías de aprendizaje se obtienen a medida que avanza la división del trabajo y se fortalece la especialización como resultado de la expansión de las actividades</w:t>
      </w:r>
      <w:r>
        <w:rPr>
          <w:spacing w:val="-9"/>
          <w:sz w:val="24"/>
        </w:rPr>
        <w:t> </w:t>
      </w:r>
      <w:r>
        <w:rPr>
          <w:sz w:val="24"/>
        </w:rPr>
        <w:t>manufactureras.</w:t>
      </w:r>
    </w:p>
    <w:p>
      <w:pPr>
        <w:pStyle w:val="BodyText"/>
        <w:spacing w:line="360" w:lineRule="auto" w:before="4"/>
        <w:ind w:left="102" w:right="121" w:firstLine="707"/>
        <w:jc w:val="both"/>
      </w:pPr>
      <w:r>
        <w:rPr/>
        <w:t>Una vez establecidas las leyes de Kaldor, la pregunta que permanece es: ¿qué determina el crecimiento del sector manufacturero?, Thirlwall responde a esta pregunta:</w:t>
      </w:r>
    </w:p>
    <w:p>
      <w:pPr>
        <w:spacing w:before="3"/>
        <w:ind w:left="668" w:right="686" w:firstLine="0"/>
        <w:jc w:val="both"/>
        <w:rPr>
          <w:sz w:val="22"/>
        </w:rPr>
      </w:pPr>
      <w:r>
        <w:rPr>
          <w:sz w:val="22"/>
        </w:rPr>
        <w:t>“Kaldor dice que es la demanda proveniente del sector agrícola en una etapa inicial de desarrollo y del crecimiento de las exportaciones en etapas posteriores. Éstas son las dos fuentes fundamentales de demanda autónoma para confrontar las fugas de ingreso del sector industrial de la importación de alimentos de la agricultura, por una parte y  las exportaciones del exterior, por otra parte. Un rápido aumento de exportaciones y  del producto puede establecer un círculo virtuoso de crecimiento con un rápido aumento del producto, y un rápido crecimiento del producto que lleva a un acelerado aumento de las exportaciones a través del impacto favorable del incremento del producto en la competitividad” Thirlwall (2003:</w:t>
      </w:r>
      <w:r>
        <w:rPr>
          <w:spacing w:val="-12"/>
          <w:sz w:val="22"/>
        </w:rPr>
        <w:t> </w:t>
      </w:r>
      <w:r>
        <w:rPr>
          <w:sz w:val="22"/>
        </w:rPr>
        <w:t>75).</w:t>
      </w:r>
    </w:p>
    <w:p>
      <w:pPr>
        <w:pStyle w:val="BodyText"/>
        <w:rPr>
          <w:sz w:val="22"/>
        </w:rPr>
      </w:pPr>
    </w:p>
    <w:p>
      <w:pPr>
        <w:pStyle w:val="BodyText"/>
        <w:spacing w:line="360" w:lineRule="auto" w:before="1"/>
        <w:ind w:left="102" w:right="116" w:firstLine="707"/>
        <w:jc w:val="both"/>
      </w:pPr>
      <w:r>
        <w:rPr/>
        <w:t>Retomando esta teoría, en el cuarto capítulo se analiza el comportamiento del producto manufacturero de las regiones Toluca-Lerma y Valle de México (1970-2008), a partir de un ejercicio alternativo que valida la Primera y Segunda Ley de Kaldor, con un modelo econométrico de datos de panel.</w:t>
      </w:r>
    </w:p>
    <w:p>
      <w:pPr>
        <w:pStyle w:val="BodyText"/>
      </w:pPr>
    </w:p>
    <w:p>
      <w:pPr>
        <w:pStyle w:val="Heading2"/>
        <w:numPr>
          <w:ilvl w:val="2"/>
          <w:numId w:val="6"/>
        </w:numPr>
        <w:tabs>
          <w:tab w:pos="643" w:val="left" w:leader="none"/>
        </w:tabs>
        <w:spacing w:line="240" w:lineRule="auto" w:before="148" w:after="0"/>
        <w:ind w:left="642" w:right="0" w:hanging="540"/>
        <w:jc w:val="both"/>
      </w:pPr>
      <w:r>
        <w:rPr/>
        <w:t>Otros modelos de divergencia</w:t>
      </w:r>
      <w:r>
        <w:rPr>
          <w:spacing w:val="-11"/>
        </w:rPr>
        <w:t> </w:t>
      </w:r>
      <w:r>
        <w:rPr/>
        <w:t>regional</w:t>
      </w:r>
    </w:p>
    <w:p>
      <w:pPr>
        <w:pStyle w:val="BodyText"/>
        <w:spacing w:line="360" w:lineRule="auto" w:before="132"/>
        <w:ind w:left="102" w:right="116"/>
        <w:jc w:val="both"/>
      </w:pPr>
      <w:r>
        <w:rPr/>
        <w:t>Una vez revisado el modelo de causación acumulativa analizamos otros modelos de divergencia regional, éstos suponen que el espacio es heterogéneo en la dotación de  recursos productivos y sirven para explicar las disparidades económicas regionales,</w:t>
      </w:r>
      <w:r>
        <w:rPr>
          <w:spacing w:val="21"/>
        </w:rPr>
        <w:t> </w:t>
      </w:r>
      <w:r>
        <w:rPr/>
        <w:t>mismas</w:t>
      </w:r>
    </w:p>
    <w:p>
      <w:pPr>
        <w:spacing w:after="0" w:line="360" w:lineRule="auto"/>
        <w:jc w:val="both"/>
        <w:sectPr>
          <w:pgSz w:w="12240" w:h="15840"/>
          <w:pgMar w:header="0" w:footer="1003" w:top="1360" w:bottom="1200" w:left="1600" w:right="1580"/>
        </w:sectPr>
      </w:pPr>
    </w:p>
    <w:p>
      <w:pPr>
        <w:pStyle w:val="BodyText"/>
        <w:spacing w:line="362" w:lineRule="auto" w:before="50"/>
        <w:ind w:left="102" w:right="124"/>
        <w:jc w:val="both"/>
      </w:pPr>
      <w:r>
        <w:rPr/>
        <w:t>que establecen como postulado que las fuerzas de mercado tienden al desequilibrio y a un proceso continuo; y acumulativo de desigualdad.</w:t>
      </w:r>
    </w:p>
    <w:p>
      <w:pPr>
        <w:pStyle w:val="BodyText"/>
        <w:spacing w:line="360" w:lineRule="auto" w:before="1"/>
        <w:ind w:left="102" w:right="122" w:firstLine="707"/>
        <w:jc w:val="both"/>
      </w:pPr>
      <w:r>
        <w:rPr/>
        <w:t>Se produce una divergencia del crecimiento económico, en la que las estructuras de mercado oligopólicas y las economías internas y externas que se generan propician la concentración del capital de la actividad económica en unas cuantas regiones (Asuad, 2001).</w:t>
      </w:r>
    </w:p>
    <w:p>
      <w:pPr>
        <w:pStyle w:val="BodyText"/>
      </w:pPr>
    </w:p>
    <w:p>
      <w:pPr>
        <w:pStyle w:val="Heading2"/>
        <w:numPr>
          <w:ilvl w:val="3"/>
          <w:numId w:val="8"/>
        </w:numPr>
        <w:tabs>
          <w:tab w:pos="823" w:val="left" w:leader="none"/>
        </w:tabs>
        <w:spacing w:line="240" w:lineRule="auto" w:before="148" w:after="0"/>
        <w:ind w:left="822" w:right="0" w:hanging="720"/>
        <w:jc w:val="both"/>
      </w:pPr>
      <w:bookmarkStart w:name="_TOC_250006" w:id="11"/>
      <w:r>
        <w:rPr/>
        <w:t>Modelos de base</w:t>
      </w:r>
      <w:r>
        <w:rPr>
          <w:spacing w:val="-9"/>
        </w:rPr>
        <w:t> </w:t>
      </w:r>
      <w:bookmarkEnd w:id="11"/>
      <w:r>
        <w:rPr/>
        <w:t>exportación</w:t>
      </w:r>
    </w:p>
    <w:p>
      <w:pPr>
        <w:pStyle w:val="BodyText"/>
        <w:spacing w:line="360" w:lineRule="auto" w:before="132"/>
        <w:ind w:left="102" w:right="116"/>
        <w:jc w:val="both"/>
      </w:pPr>
      <w:r>
        <w:rPr/>
        <w:t>Otro modelo desarrollado en los años treinta, fue el de Homer Hoyt conocido como el primer modelo de base exportadora. Durante los años cincuenta Douglas North, y posteriormente Charles Tiebout y Richard Andrews desarrollaron la versión económica del modelo de Hoyt.</w:t>
      </w:r>
    </w:p>
    <w:p>
      <w:pPr>
        <w:pStyle w:val="BodyText"/>
        <w:spacing w:line="360" w:lineRule="auto" w:before="4"/>
        <w:ind w:left="102" w:right="123" w:firstLine="707"/>
        <w:jc w:val="both"/>
      </w:pPr>
      <w:r>
        <w:rPr/>
        <w:t>El modelo de base exportación, es el modelo de renta más simple, indica que el crecimiento regional es una función del rendimiento exportador regional. Esto es:</w:t>
      </w:r>
    </w:p>
    <w:p>
      <w:pPr>
        <w:spacing w:before="4"/>
        <w:ind w:left="0" w:right="597" w:firstLine="0"/>
        <w:jc w:val="center"/>
        <w:rPr>
          <w:rFonts w:ascii="Cambria Math"/>
          <w:sz w:val="24"/>
        </w:rPr>
      </w:pPr>
      <w:r>
        <w:rPr>
          <w:rFonts w:ascii="Cambria Math"/>
          <w:spacing w:val="-8"/>
          <w:w w:val="254"/>
          <w:sz w:val="24"/>
        </w:rPr>
        <w:t> </w:t>
      </w:r>
      <w:r>
        <w:rPr>
          <w:rFonts w:ascii="Cambria Math"/>
          <w:w w:val="159"/>
          <w:position w:val="-4"/>
          <w:sz w:val="17"/>
        </w:rPr>
        <w:t> </w:t>
      </w:r>
      <w:r>
        <w:rPr>
          <w:rFonts w:ascii="Cambria Math"/>
          <w:position w:val="-4"/>
          <w:sz w:val="17"/>
        </w:rPr>
        <w:t> </w:t>
      </w:r>
      <w:r>
        <w:rPr>
          <w:rFonts w:ascii="Cambria Math"/>
          <w:spacing w:val="9"/>
          <w:position w:val="-4"/>
          <w:sz w:val="17"/>
        </w:rPr>
        <w:t> </w:t>
      </w:r>
      <w:r>
        <w:rPr>
          <w:rFonts w:ascii="Cambria Math"/>
          <w:w w:val="339"/>
          <w:sz w:val="24"/>
        </w:rPr>
        <w:t> </w:t>
      </w:r>
      <w:r>
        <w:rPr>
          <w:rFonts w:ascii="Cambria Math"/>
          <w:spacing w:val="13"/>
          <w:sz w:val="24"/>
        </w:rPr>
        <w:t> </w:t>
      </w:r>
      <w:r>
        <w:rPr>
          <w:rFonts w:ascii="Cambria Math"/>
          <w:spacing w:val="7"/>
          <w:w w:val="249"/>
          <w:sz w:val="24"/>
        </w:rPr>
        <w:t> </w:t>
      </w:r>
      <w:r>
        <w:rPr>
          <w:rFonts w:ascii="Cambria Math"/>
          <w:spacing w:val="1"/>
          <w:w w:val="188"/>
          <w:sz w:val="24"/>
        </w:rPr>
        <w:t> </w:t>
      </w:r>
      <w:r>
        <w:rPr>
          <w:rFonts w:ascii="Cambria Math"/>
          <w:spacing w:val="-3"/>
          <w:w w:val="241"/>
          <w:sz w:val="24"/>
        </w:rPr>
        <w:t> </w:t>
      </w:r>
      <w:r>
        <w:rPr>
          <w:rFonts w:ascii="Cambria Math"/>
          <w:spacing w:val="14"/>
          <w:w w:val="159"/>
          <w:position w:val="-4"/>
          <w:sz w:val="17"/>
        </w:rPr>
        <w:t> </w:t>
      </w:r>
      <w:r>
        <w:rPr>
          <w:rFonts w:ascii="Cambria Math"/>
          <w:w w:val="188"/>
          <w:sz w:val="24"/>
        </w:rPr>
        <w:t> </w:t>
      </w:r>
    </w:p>
    <w:p>
      <w:pPr>
        <w:spacing w:before="144"/>
        <w:ind w:left="810" w:right="121" w:firstLine="0"/>
        <w:jc w:val="left"/>
        <w:rPr>
          <w:sz w:val="20"/>
        </w:rPr>
      </w:pPr>
      <w:r>
        <w:rPr>
          <w:rFonts w:ascii="Cambria Math"/>
          <w:w w:val="253"/>
          <w:sz w:val="20"/>
        </w:rPr>
        <w:t> </w:t>
      </w:r>
      <w:r>
        <w:rPr>
          <w:rFonts w:ascii="Cambria Math"/>
          <w:w w:val="158"/>
          <w:position w:val="-3"/>
          <w:sz w:val="14"/>
        </w:rPr>
        <w:t> </w:t>
      </w:r>
      <w:r>
        <w:rPr>
          <w:rFonts w:ascii="Cambria Math"/>
          <w:position w:val="-3"/>
          <w:sz w:val="14"/>
        </w:rPr>
        <w:t>  </w:t>
      </w:r>
      <w:r>
        <w:rPr>
          <w:rFonts w:ascii="Cambria Math"/>
          <w:w w:val="216"/>
          <w:sz w:val="20"/>
        </w:rPr>
        <w:t>  </w:t>
      </w:r>
      <w:r>
        <w:rPr>
          <w:rFonts w:ascii="Cambria Math"/>
          <w:sz w:val="20"/>
        </w:rPr>
        <w:t> </w:t>
      </w:r>
      <w:r>
        <w:rPr>
          <w:rFonts w:ascii="Cambria Math"/>
          <w:w w:val="183"/>
          <w:sz w:val="20"/>
        </w:rPr>
        <w:t>  </w:t>
      </w:r>
      <w:r>
        <w:rPr>
          <w:rFonts w:ascii="Cambria Math"/>
          <w:sz w:val="20"/>
        </w:rPr>
        <w:t> </w:t>
      </w:r>
      <w:r>
        <w:rPr>
          <w:rFonts w:ascii="Cambria Math"/>
          <w:w w:val="211"/>
          <w:sz w:val="20"/>
        </w:rPr>
        <w:t>  </w:t>
      </w:r>
      <w:r>
        <w:rPr>
          <w:rFonts w:ascii="Cambria Math"/>
          <w:w w:val="224"/>
          <w:sz w:val="20"/>
        </w:rPr>
        <w:t> </w:t>
      </w:r>
      <w:r>
        <w:rPr>
          <w:rFonts w:ascii="Cambria Math"/>
          <w:w w:val="175"/>
          <w:sz w:val="20"/>
        </w:rPr>
        <w:t>  </w:t>
      </w:r>
      <w:r>
        <w:rPr>
          <w:rFonts w:ascii="Cambria Math"/>
          <w:w w:val="379"/>
          <w:sz w:val="20"/>
        </w:rPr>
        <w:t> </w:t>
      </w:r>
      <w:r>
        <w:rPr>
          <w:rFonts w:ascii="Cambria Math"/>
          <w:w w:val="143"/>
          <w:sz w:val="20"/>
        </w:rPr>
        <w:t> </w:t>
      </w:r>
      <w:r>
        <w:rPr>
          <w:rFonts w:ascii="Cambria Math"/>
          <w:w w:val="220"/>
          <w:sz w:val="20"/>
        </w:rPr>
        <w:t>   </w:t>
      </w:r>
      <w:r>
        <w:rPr>
          <w:rFonts w:ascii="Cambria Math"/>
          <w:w w:val="241"/>
          <w:sz w:val="20"/>
        </w:rPr>
        <w:t> </w:t>
      </w:r>
      <w:r>
        <w:rPr>
          <w:rFonts w:ascii="Cambria Math"/>
          <w:sz w:val="20"/>
        </w:rPr>
        <w:t> </w:t>
      </w:r>
      <w:r>
        <w:rPr>
          <w:rFonts w:ascii="Cambria Math"/>
          <w:w w:val="243"/>
          <w:sz w:val="20"/>
        </w:rPr>
        <w:t>  </w:t>
      </w:r>
      <w:r>
        <w:rPr>
          <w:rFonts w:ascii="Cambria Math"/>
          <w:sz w:val="20"/>
        </w:rPr>
        <w:t> </w:t>
      </w:r>
      <w:r>
        <w:rPr>
          <w:rFonts w:ascii="Cambria Math"/>
          <w:w w:val="197"/>
          <w:sz w:val="20"/>
        </w:rPr>
        <w:t>  </w:t>
      </w:r>
      <w:r>
        <w:rPr>
          <w:rFonts w:ascii="Cambria Math"/>
          <w:sz w:val="20"/>
        </w:rPr>
        <w:t> </w:t>
      </w:r>
      <w:r>
        <w:rPr>
          <w:rFonts w:ascii="Cambria Math"/>
          <w:w w:val="252"/>
          <w:sz w:val="20"/>
        </w:rPr>
        <w:t> </w:t>
      </w:r>
      <w:r>
        <w:rPr>
          <w:rFonts w:ascii="Cambria Math"/>
          <w:w w:val="215"/>
          <w:sz w:val="20"/>
        </w:rPr>
        <w:t> </w:t>
      </w:r>
      <w:r>
        <w:rPr>
          <w:rFonts w:ascii="Cambria Math"/>
          <w:w w:val="241"/>
          <w:sz w:val="20"/>
        </w:rPr>
        <w:t> </w:t>
      </w:r>
      <w:r>
        <w:rPr>
          <w:rFonts w:ascii="Cambria Math"/>
          <w:w w:val="216"/>
          <w:sz w:val="20"/>
        </w:rPr>
        <w:t>     </w:t>
      </w:r>
      <w:r>
        <w:rPr>
          <w:rFonts w:ascii="Cambria Math"/>
          <w:w w:val="240"/>
          <w:sz w:val="20"/>
        </w:rPr>
        <w:t> </w:t>
      </w:r>
      <w:r>
        <w:rPr>
          <w:rFonts w:ascii="Cambria Math"/>
          <w:w w:val="259"/>
          <w:sz w:val="20"/>
        </w:rPr>
        <w:t> </w:t>
      </w:r>
      <w:r>
        <w:rPr>
          <w:rFonts w:ascii="Cambria Math"/>
          <w:sz w:val="20"/>
        </w:rPr>
        <w:t> </w:t>
      </w:r>
      <w:r>
        <w:rPr>
          <w:rFonts w:ascii="Cambria Math"/>
          <w:w w:val="243"/>
          <w:sz w:val="20"/>
        </w:rPr>
        <w:t>  </w:t>
      </w:r>
      <w:r>
        <w:rPr>
          <w:rFonts w:ascii="Cambria Math"/>
          <w:sz w:val="20"/>
        </w:rPr>
        <w:t> </w:t>
      </w:r>
      <w:r>
        <w:rPr>
          <w:rFonts w:ascii="Cambria Math"/>
          <w:w w:val="197"/>
          <w:sz w:val="20"/>
        </w:rPr>
        <w:t>  </w:t>
      </w:r>
      <w:r>
        <w:rPr>
          <w:rFonts w:ascii="Cambria Math"/>
          <w:sz w:val="20"/>
        </w:rPr>
        <w:t> </w:t>
      </w:r>
      <w:r>
        <w:rPr>
          <w:rFonts w:ascii="Cambria Math"/>
          <w:w w:val="215"/>
          <w:sz w:val="20"/>
        </w:rPr>
        <w:t> </w:t>
      </w:r>
      <w:r>
        <w:rPr>
          <w:rFonts w:ascii="Cambria Math"/>
          <w:w w:val="214"/>
          <w:sz w:val="20"/>
        </w:rPr>
        <w:t>   </w:t>
      </w:r>
      <w:r>
        <w:rPr>
          <w:rFonts w:ascii="Cambria Math"/>
          <w:w w:val="240"/>
          <w:sz w:val="20"/>
        </w:rPr>
        <w:t> </w:t>
      </w:r>
      <w:r>
        <w:rPr>
          <w:rFonts w:ascii="Cambria Math"/>
          <w:w w:val="259"/>
          <w:sz w:val="20"/>
        </w:rPr>
        <w:t> </w:t>
      </w:r>
      <w:r>
        <w:rPr>
          <w:rFonts w:ascii="Cambria Math"/>
          <w:sz w:val="20"/>
        </w:rPr>
        <w:t> </w:t>
      </w:r>
      <w:r>
        <w:rPr>
          <w:i/>
          <w:sz w:val="20"/>
        </w:rPr>
        <w:t>i</w:t>
      </w:r>
      <w:r>
        <w:rPr>
          <w:sz w:val="20"/>
        </w:rPr>
        <w:t>,</w:t>
      </w:r>
    </w:p>
    <w:p>
      <w:pPr>
        <w:spacing w:before="122"/>
        <w:ind w:left="761" w:right="0" w:firstLine="0"/>
        <w:jc w:val="left"/>
        <w:rPr>
          <w:rFonts w:ascii="Cambria Math"/>
          <w:sz w:val="20"/>
        </w:rPr>
      </w:pPr>
      <w:r>
        <w:rPr>
          <w:rFonts w:ascii="Cambria Math"/>
          <w:spacing w:val="-3"/>
          <w:w w:val="240"/>
          <w:sz w:val="20"/>
        </w:rPr>
        <w:t> </w:t>
      </w:r>
      <w:r>
        <w:rPr>
          <w:rFonts w:ascii="Cambria Math"/>
          <w:w w:val="158"/>
          <w:position w:val="-3"/>
          <w:sz w:val="14"/>
        </w:rPr>
        <w:t> </w:t>
      </w:r>
      <w:r>
        <w:rPr>
          <w:rFonts w:ascii="Cambria Math"/>
          <w:position w:val="-3"/>
          <w:sz w:val="14"/>
        </w:rPr>
        <w:t> </w:t>
      </w:r>
      <w:r>
        <w:rPr>
          <w:rFonts w:ascii="Cambria Math"/>
          <w:spacing w:val="-3"/>
          <w:position w:val="-3"/>
          <w:sz w:val="14"/>
        </w:rPr>
        <w:t> </w:t>
      </w:r>
      <w:r>
        <w:rPr>
          <w:rFonts w:ascii="Cambria Math"/>
          <w:spacing w:val="-1"/>
          <w:w w:val="216"/>
          <w:sz w:val="20"/>
        </w:rPr>
        <w:t> </w:t>
      </w:r>
      <w:r>
        <w:rPr>
          <w:rFonts w:ascii="Cambria Math"/>
          <w:w w:val="216"/>
          <w:sz w:val="20"/>
        </w:rPr>
        <w:t> </w:t>
      </w:r>
      <w:r>
        <w:rPr>
          <w:rFonts w:ascii="Cambria Math"/>
          <w:spacing w:val="5"/>
          <w:sz w:val="20"/>
        </w:rPr>
        <w:t> </w:t>
      </w:r>
      <w:r>
        <w:rPr>
          <w:rFonts w:ascii="Cambria Math"/>
          <w:spacing w:val="-1"/>
          <w:w w:val="183"/>
          <w:sz w:val="20"/>
        </w:rPr>
        <w:t> </w:t>
      </w:r>
      <w:r>
        <w:rPr>
          <w:rFonts w:ascii="Cambria Math"/>
          <w:w w:val="183"/>
          <w:sz w:val="20"/>
        </w:rPr>
        <w:t> </w:t>
      </w:r>
      <w:r>
        <w:rPr>
          <w:rFonts w:ascii="Cambria Math"/>
          <w:spacing w:val="8"/>
          <w:sz w:val="20"/>
        </w:rPr>
        <w:t> </w:t>
      </w:r>
      <w:r>
        <w:rPr>
          <w:rFonts w:ascii="Cambria Math"/>
          <w:spacing w:val="-1"/>
          <w:w w:val="125"/>
          <w:sz w:val="20"/>
        </w:rPr>
        <w:t> </w:t>
      </w:r>
      <w:r>
        <w:rPr>
          <w:rFonts w:ascii="Cambria Math"/>
          <w:w w:val="259"/>
          <w:sz w:val="20"/>
        </w:rPr>
        <w:t> </w:t>
      </w:r>
      <w:r>
        <w:rPr>
          <w:rFonts w:ascii="Cambria Math"/>
          <w:w w:val="202"/>
          <w:sz w:val="20"/>
        </w:rPr>
        <w:t> </w:t>
      </w:r>
      <w:r>
        <w:rPr>
          <w:rFonts w:ascii="Cambria Math"/>
          <w:spacing w:val="-1"/>
          <w:w w:val="202"/>
          <w:sz w:val="20"/>
        </w:rPr>
        <w:t> </w:t>
      </w:r>
      <w:r>
        <w:rPr>
          <w:rFonts w:ascii="Cambria Math"/>
          <w:w w:val="216"/>
          <w:sz w:val="20"/>
        </w:rPr>
        <w:t>  </w:t>
      </w:r>
      <w:r>
        <w:rPr>
          <w:rFonts w:ascii="Cambria Math"/>
          <w:spacing w:val="6"/>
          <w:sz w:val="20"/>
        </w:rPr>
        <w:t> </w:t>
      </w:r>
      <w:r>
        <w:rPr>
          <w:rFonts w:ascii="Cambria Math"/>
          <w:spacing w:val="-1"/>
          <w:w w:val="243"/>
          <w:sz w:val="20"/>
        </w:rPr>
        <w:t> </w:t>
      </w:r>
      <w:r>
        <w:rPr>
          <w:rFonts w:ascii="Cambria Math"/>
          <w:w w:val="243"/>
          <w:sz w:val="20"/>
        </w:rPr>
        <w:t> </w:t>
      </w:r>
      <w:r>
        <w:rPr>
          <w:rFonts w:ascii="Cambria Math"/>
          <w:spacing w:val="5"/>
          <w:sz w:val="20"/>
        </w:rPr>
        <w:t> </w:t>
      </w:r>
      <w:r>
        <w:rPr>
          <w:rFonts w:ascii="Cambria Math"/>
          <w:w w:val="211"/>
          <w:sz w:val="20"/>
        </w:rPr>
        <w:t> </w:t>
      </w:r>
      <w:r>
        <w:rPr>
          <w:rFonts w:ascii="Cambria Math"/>
          <w:spacing w:val="-2"/>
          <w:w w:val="211"/>
          <w:sz w:val="20"/>
        </w:rPr>
        <w:t> </w:t>
      </w:r>
      <w:r>
        <w:rPr>
          <w:rFonts w:ascii="Cambria Math"/>
          <w:w w:val="216"/>
          <w:sz w:val="20"/>
        </w:rPr>
        <w:t> </w:t>
      </w:r>
      <w:r>
        <w:rPr>
          <w:rFonts w:ascii="Cambria Math"/>
          <w:spacing w:val="1"/>
          <w:w w:val="216"/>
          <w:sz w:val="20"/>
        </w:rPr>
        <w:t> </w:t>
      </w:r>
      <w:r>
        <w:rPr>
          <w:rFonts w:ascii="Cambria Math"/>
          <w:spacing w:val="-1"/>
          <w:w w:val="143"/>
          <w:sz w:val="20"/>
        </w:rPr>
        <w:t> </w:t>
      </w:r>
      <w:r>
        <w:rPr>
          <w:rFonts w:ascii="Cambria Math"/>
          <w:w w:val="379"/>
          <w:sz w:val="20"/>
        </w:rPr>
        <w:t> </w:t>
      </w:r>
      <w:r>
        <w:rPr>
          <w:rFonts w:ascii="Cambria Math"/>
          <w:spacing w:val="-1"/>
          <w:w w:val="143"/>
          <w:sz w:val="20"/>
        </w:rPr>
        <w:t> </w:t>
      </w:r>
      <w:r>
        <w:rPr>
          <w:rFonts w:ascii="Cambria Math"/>
          <w:spacing w:val="1"/>
          <w:w w:val="224"/>
          <w:sz w:val="20"/>
        </w:rPr>
        <w:t> </w:t>
      </w:r>
      <w:r>
        <w:rPr>
          <w:rFonts w:ascii="Cambria Math"/>
          <w:w w:val="259"/>
          <w:sz w:val="20"/>
        </w:rPr>
        <w:t> </w:t>
      </w:r>
      <w:r>
        <w:rPr>
          <w:rFonts w:ascii="Cambria Math"/>
          <w:w w:val="209"/>
          <w:sz w:val="20"/>
        </w:rPr>
        <w:t>  </w:t>
      </w:r>
      <w:r>
        <w:rPr>
          <w:rFonts w:ascii="Cambria Math"/>
          <w:spacing w:val="7"/>
          <w:sz w:val="20"/>
        </w:rPr>
        <w:t> </w:t>
      </w:r>
      <w:r>
        <w:rPr>
          <w:rFonts w:ascii="Cambria Math"/>
          <w:spacing w:val="-1"/>
          <w:w w:val="243"/>
          <w:sz w:val="20"/>
        </w:rPr>
        <w:t> </w:t>
      </w:r>
      <w:r>
        <w:rPr>
          <w:rFonts w:ascii="Cambria Math"/>
          <w:w w:val="243"/>
          <w:sz w:val="20"/>
        </w:rPr>
        <w:t> </w:t>
      </w:r>
      <w:r>
        <w:rPr>
          <w:rFonts w:ascii="Cambria Math"/>
          <w:spacing w:val="5"/>
          <w:sz w:val="20"/>
        </w:rPr>
        <w:t> </w:t>
      </w:r>
      <w:r>
        <w:rPr>
          <w:rFonts w:ascii="Cambria Math"/>
          <w:spacing w:val="-1"/>
          <w:w w:val="201"/>
          <w:sz w:val="20"/>
        </w:rPr>
        <w:t>  </w:t>
      </w:r>
      <w:r>
        <w:rPr>
          <w:rFonts w:ascii="Cambria Math"/>
          <w:w w:val="201"/>
          <w:sz w:val="20"/>
        </w:rPr>
        <w:t> </w:t>
      </w:r>
      <w:r>
        <w:rPr>
          <w:rFonts w:ascii="Cambria Math"/>
          <w:spacing w:val="5"/>
          <w:sz w:val="20"/>
        </w:rPr>
        <w:t> </w:t>
      </w:r>
      <w:r>
        <w:rPr>
          <w:rFonts w:ascii="Cambria Math"/>
          <w:w w:val="232"/>
          <w:sz w:val="20"/>
        </w:rPr>
        <w:t> </w:t>
      </w:r>
      <w:r>
        <w:rPr>
          <w:rFonts w:ascii="Cambria Math"/>
          <w:spacing w:val="-1"/>
          <w:w w:val="232"/>
          <w:sz w:val="20"/>
        </w:rPr>
        <w:t> </w:t>
      </w:r>
      <w:r>
        <w:rPr>
          <w:rFonts w:ascii="Cambria Math"/>
          <w:spacing w:val="-1"/>
          <w:w w:val="252"/>
          <w:sz w:val="20"/>
        </w:rPr>
        <w:t> </w:t>
      </w:r>
      <w:r>
        <w:rPr>
          <w:rFonts w:ascii="Cambria Math"/>
          <w:spacing w:val="1"/>
          <w:w w:val="241"/>
          <w:sz w:val="20"/>
        </w:rPr>
        <w:t> </w:t>
      </w:r>
      <w:r>
        <w:rPr>
          <w:rFonts w:ascii="Cambria Math"/>
          <w:spacing w:val="-2"/>
          <w:w w:val="215"/>
          <w:sz w:val="20"/>
        </w:rPr>
        <w:t> </w:t>
      </w:r>
      <w:r>
        <w:rPr>
          <w:rFonts w:ascii="Cambria Math"/>
          <w:w w:val="215"/>
          <w:sz w:val="20"/>
        </w:rPr>
        <w:t> </w:t>
      </w:r>
      <w:r>
        <w:rPr>
          <w:rFonts w:ascii="Cambria Math"/>
          <w:spacing w:val="2"/>
          <w:w w:val="215"/>
          <w:sz w:val="20"/>
        </w:rPr>
        <w:t> </w:t>
      </w:r>
      <w:r>
        <w:rPr>
          <w:rFonts w:ascii="Cambria Math"/>
          <w:w w:val="175"/>
          <w:sz w:val="20"/>
        </w:rPr>
        <w:t> </w:t>
      </w:r>
      <w:r>
        <w:rPr>
          <w:rFonts w:ascii="Cambria Math"/>
          <w:spacing w:val="-2"/>
          <w:w w:val="175"/>
          <w:sz w:val="20"/>
        </w:rPr>
        <w:t> </w:t>
      </w:r>
      <w:r>
        <w:rPr>
          <w:rFonts w:ascii="Cambria Math"/>
          <w:spacing w:val="1"/>
          <w:w w:val="241"/>
          <w:sz w:val="20"/>
        </w:rPr>
        <w:t> </w:t>
      </w:r>
      <w:r>
        <w:rPr>
          <w:rFonts w:ascii="Cambria Math"/>
          <w:w w:val="259"/>
          <w:sz w:val="20"/>
        </w:rPr>
        <w:t> </w:t>
      </w:r>
      <w:r>
        <w:rPr>
          <w:rFonts w:ascii="Cambria Math"/>
          <w:w w:val="216"/>
          <w:sz w:val="20"/>
        </w:rPr>
        <w:t>  </w:t>
      </w:r>
      <w:r>
        <w:rPr>
          <w:rFonts w:ascii="Cambria Math"/>
          <w:spacing w:val="6"/>
          <w:sz w:val="20"/>
        </w:rPr>
        <w:t> </w:t>
      </w:r>
      <w:r>
        <w:rPr>
          <w:rFonts w:ascii="Cambria Math"/>
          <w:spacing w:val="-1"/>
          <w:w w:val="243"/>
          <w:sz w:val="20"/>
        </w:rPr>
        <w:t> </w:t>
      </w:r>
      <w:r>
        <w:rPr>
          <w:rFonts w:ascii="Cambria Math"/>
          <w:w w:val="243"/>
          <w:sz w:val="20"/>
        </w:rPr>
        <w:t> </w:t>
      </w:r>
      <w:r>
        <w:rPr>
          <w:rFonts w:ascii="Cambria Math"/>
          <w:spacing w:val="5"/>
          <w:sz w:val="20"/>
        </w:rPr>
        <w:t> </w:t>
      </w:r>
      <w:r>
        <w:rPr>
          <w:rFonts w:ascii="Cambria Math"/>
          <w:spacing w:val="-1"/>
          <w:w w:val="197"/>
          <w:sz w:val="20"/>
        </w:rPr>
        <w:t> </w:t>
      </w:r>
      <w:r>
        <w:rPr>
          <w:rFonts w:ascii="Cambria Math"/>
          <w:w w:val="197"/>
          <w:sz w:val="20"/>
        </w:rPr>
        <w:t> </w:t>
      </w:r>
      <w:r>
        <w:rPr>
          <w:rFonts w:ascii="Cambria Math"/>
          <w:spacing w:val="5"/>
          <w:sz w:val="20"/>
        </w:rPr>
        <w:t> </w:t>
      </w:r>
      <w:r>
        <w:rPr>
          <w:rFonts w:ascii="Cambria Math"/>
          <w:spacing w:val="-2"/>
          <w:w w:val="215"/>
          <w:sz w:val="20"/>
        </w:rPr>
        <w:t> </w:t>
      </w:r>
      <w:r>
        <w:rPr>
          <w:rFonts w:ascii="Cambria Math"/>
          <w:w w:val="214"/>
          <w:sz w:val="20"/>
        </w:rPr>
        <w:t>  </w:t>
      </w:r>
      <w:r>
        <w:rPr>
          <w:rFonts w:ascii="Cambria Math"/>
          <w:spacing w:val="1"/>
          <w:w w:val="214"/>
          <w:sz w:val="20"/>
        </w:rPr>
        <w:t> </w:t>
      </w:r>
      <w:r>
        <w:rPr>
          <w:rFonts w:ascii="Cambria Math"/>
          <w:spacing w:val="-1"/>
          <w:w w:val="240"/>
          <w:sz w:val="20"/>
        </w:rPr>
        <w:t> </w:t>
      </w:r>
      <w:r>
        <w:rPr>
          <w:rFonts w:ascii="Cambria Math"/>
          <w:spacing w:val="5"/>
          <w:w w:val="259"/>
          <w:sz w:val="20"/>
        </w:rPr>
        <w:t> </w:t>
      </w:r>
      <w:r>
        <w:rPr>
          <w:rFonts w:ascii="Cambria Math"/>
          <w:w w:val="92"/>
          <w:sz w:val="20"/>
        </w:rPr>
        <w:t> </w:t>
      </w:r>
    </w:p>
    <w:p>
      <w:pPr>
        <w:pStyle w:val="BodyText"/>
        <w:spacing w:line="360" w:lineRule="auto" w:before="113"/>
        <w:ind w:left="102" w:right="123" w:firstLine="707"/>
        <w:jc w:val="both"/>
      </w:pPr>
      <w:r>
        <w:rPr/>
        <w:t>El modelo distingue entre un sector básico exportador y uno no básico que depende de la demanda interior, y este a su vez depende del ingreso generado por las actividades exportadoras. Esta teoría destaca el papel de la apertura de las economías regionales y los modelos de demanda. En este sentido, una expansión en las exportaciones regionales provoca mayor crecimiento, y las regiones de rápido desarrollo tenderán a mostrar excedentes de exportación.</w:t>
      </w:r>
    </w:p>
    <w:p>
      <w:pPr>
        <w:pStyle w:val="BodyText"/>
        <w:spacing w:line="360" w:lineRule="auto" w:before="4"/>
        <w:ind w:left="102" w:right="116" w:firstLine="707"/>
        <w:jc w:val="both"/>
      </w:pPr>
      <w:r>
        <w:rPr/>
        <w:t>Como podemos apreciar es un modelo de demanda que relaciona el rendimiento del crecimiento regional con el Producto Nacional Bruto (PNB), (Richardson, 1977).</w:t>
      </w:r>
    </w:p>
    <w:p>
      <w:pPr>
        <w:pStyle w:val="BodyText"/>
        <w:spacing w:line="360" w:lineRule="auto" w:before="4"/>
        <w:ind w:left="102" w:right="125" w:firstLine="707"/>
        <w:jc w:val="both"/>
      </w:pPr>
      <w:r>
        <w:rPr/>
        <w:t>De acuerdo a la literatura sobre ésta teoría se observa que se han desarrollado versiones muy diferentes del modelo original.</w:t>
      </w:r>
    </w:p>
    <w:p>
      <w:pPr>
        <w:pStyle w:val="BodyText"/>
        <w:spacing w:before="4"/>
        <w:ind w:left="810" w:right="121"/>
      </w:pPr>
      <w:r>
        <w:rPr/>
        <w:t>Aquí desarrollamos una de éstas:</w:t>
      </w:r>
    </w:p>
    <w:p>
      <w:pPr>
        <w:pStyle w:val="BodyText"/>
        <w:tabs>
          <w:tab w:pos="7183" w:val="left" w:leader="none"/>
        </w:tabs>
        <w:spacing w:before="139"/>
        <w:ind w:left="810" w:right="121"/>
      </w:pPr>
      <w:r>
        <w:rPr>
          <w:rFonts w:ascii="Cambria Math"/>
          <w:w w:val="273"/>
        </w:rPr>
        <w:t> </w:t>
      </w:r>
      <w:r>
        <w:rPr>
          <w:rFonts w:ascii="Cambria Math"/>
          <w:spacing w:val="20"/>
        </w:rPr>
        <w:t> </w:t>
      </w:r>
      <w:r>
        <w:rPr>
          <w:rFonts w:ascii="Cambria Math"/>
          <w:w w:val="339"/>
        </w:rPr>
        <w:t> </w:t>
      </w:r>
      <w:r>
        <w:rPr>
          <w:rFonts w:ascii="Cambria Math"/>
          <w:spacing w:val="12"/>
        </w:rPr>
        <w:t> </w:t>
      </w:r>
      <w:r>
        <w:rPr>
          <w:rFonts w:ascii="Cambria Math"/>
          <w:w w:val="286"/>
        </w:rPr>
        <w:t> </w:t>
      </w:r>
      <w:r>
        <w:rPr>
          <w:rFonts w:ascii="Cambria Math"/>
          <w:spacing w:val="11"/>
        </w:rPr>
        <w:t> </w:t>
      </w:r>
      <w:r>
        <w:rPr>
          <w:rFonts w:ascii="Cambria Math"/>
          <w:w w:val="339"/>
        </w:rPr>
        <w:t> </w:t>
      </w:r>
      <w:r>
        <w:rPr>
          <w:rFonts w:ascii="Cambria Math"/>
        </w:rPr>
        <w:t> </w:t>
      </w:r>
      <w:r>
        <w:rPr>
          <w:rFonts w:ascii="Cambria Math"/>
          <w:w w:val="386"/>
        </w:rPr>
        <w:t> </w:t>
      </w:r>
      <w:r>
        <w:rPr>
          <w:rFonts w:ascii="Cambria Math"/>
          <w:spacing w:val="7"/>
        </w:rPr>
        <w:t> </w:t>
      </w:r>
      <w:r>
        <w:rPr>
          <w:rFonts w:ascii="Cambria Math"/>
          <w:w w:val="339"/>
        </w:rPr>
        <w:t> </w:t>
      </w:r>
      <w:r>
        <w:rPr>
          <w:rFonts w:ascii="Cambria Math"/>
        </w:rPr>
        <w:t> </w:t>
      </w:r>
      <w:r>
        <w:rPr>
          <w:rFonts w:ascii="Cambria Math"/>
          <w:w w:val="283"/>
        </w:rPr>
        <w:t> </w:t>
      </w:r>
      <w:r>
        <w:rPr>
          <w:rFonts w:ascii="Cambria Math"/>
        </w:rPr>
        <w:tab/>
      </w:r>
      <w:r>
        <w:rPr/>
        <w:t>(1)</w:t>
      </w:r>
    </w:p>
    <w:p>
      <w:pPr>
        <w:pStyle w:val="BodyText"/>
        <w:spacing w:before="144"/>
        <w:ind w:left="810" w:right="121"/>
      </w:pPr>
      <w:r>
        <w:rPr/>
        <w:t>La renta total </w:t>
      </w:r>
      <w:r>
        <w:rPr>
          <w:i/>
        </w:rPr>
        <w:t>(Y), G = </w:t>
      </w:r>
      <w:r>
        <w:rPr/>
        <w:t>gasto doméstico, </w:t>
      </w:r>
      <w:r>
        <w:rPr>
          <w:i/>
        </w:rPr>
        <w:t>M</w:t>
      </w:r>
      <w:r>
        <w:rPr/>
        <w:t>= importaciones y </w:t>
      </w:r>
      <w:r>
        <w:rPr>
          <w:i/>
        </w:rPr>
        <w:t>E </w:t>
      </w:r>
      <w:r>
        <w:rPr/>
        <w:t>= exportaciones</w:t>
      </w:r>
    </w:p>
    <w:p>
      <w:pPr>
        <w:tabs>
          <w:tab w:pos="7183" w:val="left" w:leader="none"/>
        </w:tabs>
        <w:spacing w:before="139"/>
        <w:ind w:left="810" w:right="121" w:firstLine="0"/>
        <w:jc w:val="left"/>
        <w:rPr>
          <w:sz w:val="24"/>
        </w:rPr>
      </w:pPr>
      <w:r>
        <w:rPr>
          <w:i/>
          <w:sz w:val="24"/>
        </w:rPr>
        <w:t>G =</w:t>
      </w:r>
      <w:r>
        <w:rPr>
          <w:i/>
          <w:spacing w:val="-2"/>
          <w:sz w:val="24"/>
        </w:rPr>
        <w:t> </w:t>
      </w:r>
      <w:r>
        <w:rPr>
          <w:i/>
          <w:sz w:val="24"/>
        </w:rPr>
        <w:t>gY</w:t>
        <w:tab/>
      </w:r>
      <w:r>
        <w:rPr>
          <w:sz w:val="24"/>
        </w:rPr>
        <w:t>(2)</w:t>
      </w:r>
    </w:p>
    <w:p>
      <w:pPr>
        <w:tabs>
          <w:tab w:pos="7183" w:val="left" w:leader="none"/>
        </w:tabs>
        <w:spacing w:before="137"/>
        <w:ind w:left="810" w:right="121" w:firstLine="0"/>
        <w:jc w:val="left"/>
        <w:rPr>
          <w:sz w:val="24"/>
        </w:rPr>
      </w:pPr>
      <w:r>
        <w:rPr>
          <w:i/>
          <w:sz w:val="24"/>
        </w:rPr>
        <w:t>M=</w:t>
      </w:r>
      <w:r>
        <w:rPr>
          <w:i/>
          <w:spacing w:val="-3"/>
          <w:sz w:val="24"/>
        </w:rPr>
        <w:t> </w:t>
      </w:r>
      <w:r>
        <w:rPr>
          <w:i/>
          <w:sz w:val="24"/>
        </w:rPr>
        <w:t>mY</w:t>
        <w:tab/>
      </w:r>
      <w:r>
        <w:rPr>
          <w:sz w:val="24"/>
        </w:rPr>
        <w:t>(3)</w:t>
      </w:r>
    </w:p>
    <w:p>
      <w:pPr>
        <w:spacing w:after="0"/>
        <w:jc w:val="left"/>
        <w:rPr>
          <w:sz w:val="24"/>
        </w:rPr>
        <w:sectPr>
          <w:pgSz w:w="12240" w:h="15840"/>
          <w:pgMar w:header="0" w:footer="1003" w:top="1360" w:bottom="1200" w:left="1600" w:right="1580"/>
        </w:sectPr>
      </w:pPr>
    </w:p>
    <w:p>
      <w:pPr>
        <w:pStyle w:val="BodyText"/>
        <w:spacing w:before="50"/>
        <w:ind w:left="810" w:right="121"/>
      </w:pPr>
      <w:r>
        <w:rPr/>
        <w:t>Donde </w:t>
      </w:r>
      <w:r>
        <w:rPr>
          <w:i/>
        </w:rPr>
        <w:t>g </w:t>
      </w:r>
      <w:r>
        <w:rPr/>
        <w:t>= propensión marginal a consumir y </w:t>
      </w:r>
      <w:r>
        <w:rPr>
          <w:i/>
        </w:rPr>
        <w:t>m </w:t>
      </w:r>
      <w:r>
        <w:rPr/>
        <w:t>= propensión marginal a importar.</w:t>
      </w:r>
    </w:p>
    <w:p>
      <w:pPr>
        <w:tabs>
          <w:tab w:pos="7183" w:val="left" w:leader="none"/>
        </w:tabs>
        <w:spacing w:before="139"/>
        <w:ind w:left="810" w:right="121" w:firstLine="0"/>
        <w:jc w:val="left"/>
        <w:rPr>
          <w:sz w:val="24"/>
        </w:rPr>
      </w:pPr>
      <w:r>
        <w:rPr>
          <w:i/>
          <w:sz w:val="24"/>
        </w:rPr>
        <w:t>E =</w:t>
      </w:r>
      <w:r>
        <w:rPr>
          <w:i/>
          <w:spacing w:val="38"/>
          <w:sz w:val="24"/>
        </w:rPr>
        <w:t> </w:t>
      </w:r>
      <w:r>
        <w:rPr>
          <w:sz w:val="24"/>
        </w:rPr>
        <w:t>Ẽ</w:t>
      </w:r>
      <w:r>
        <w:rPr>
          <w:spacing w:val="-2"/>
          <w:sz w:val="24"/>
        </w:rPr>
        <w:t> </w:t>
      </w:r>
      <w:r>
        <w:rPr>
          <w:sz w:val="24"/>
        </w:rPr>
        <w:t>(exógeno)</w:t>
        <w:tab/>
        <w:t>(4)</w:t>
      </w:r>
    </w:p>
    <w:p>
      <w:pPr>
        <w:pStyle w:val="BodyText"/>
        <w:spacing w:before="137"/>
        <w:ind w:left="810" w:right="121"/>
      </w:pPr>
      <w:r>
        <w:rPr/>
        <w:t>Sustituyendo 2, 3 y 4 en 1:</w:t>
      </w:r>
    </w:p>
    <w:p>
      <w:pPr>
        <w:tabs>
          <w:tab w:pos="7183" w:val="left" w:leader="none"/>
        </w:tabs>
        <w:spacing w:before="139"/>
        <w:ind w:left="810" w:right="121" w:firstLine="0"/>
        <w:jc w:val="left"/>
        <w:rPr>
          <w:sz w:val="24"/>
        </w:rPr>
      </w:pPr>
      <w:r>
        <w:rPr>
          <w:i/>
          <w:sz w:val="24"/>
        </w:rPr>
        <w:t>Y = gY – mY</w:t>
      </w:r>
      <w:r>
        <w:rPr>
          <w:i/>
          <w:spacing w:val="3"/>
          <w:sz w:val="24"/>
        </w:rPr>
        <w:t> </w:t>
      </w:r>
      <w:r>
        <w:rPr>
          <w:i/>
          <w:sz w:val="24"/>
        </w:rPr>
        <w:t>+</w:t>
      </w:r>
      <w:r>
        <w:rPr>
          <w:i/>
          <w:spacing w:val="57"/>
          <w:sz w:val="24"/>
        </w:rPr>
        <w:t> </w:t>
      </w:r>
      <w:r>
        <w:rPr>
          <w:sz w:val="24"/>
        </w:rPr>
        <w:t>Ẽ</w:t>
        <w:tab/>
        <w:t>(5)</w:t>
      </w:r>
    </w:p>
    <w:p>
      <w:pPr>
        <w:spacing w:after="0"/>
        <w:jc w:val="left"/>
        <w:rPr>
          <w:sz w:val="24"/>
        </w:rPr>
        <w:sectPr>
          <w:pgSz w:w="12240" w:h="15840"/>
          <w:pgMar w:header="0" w:footer="1003" w:top="1360" w:bottom="1200" w:left="1600" w:right="1580"/>
        </w:sectPr>
      </w:pPr>
    </w:p>
    <w:p>
      <w:pPr>
        <w:pStyle w:val="BodyText"/>
        <w:tabs>
          <w:tab w:pos="2236" w:val="left" w:leader="none"/>
          <w:tab w:pos="2886" w:val="left" w:leader="none"/>
        </w:tabs>
        <w:spacing w:line="304" w:lineRule="exact" w:before="158"/>
        <w:ind w:left="810"/>
        <w:rPr>
          <w:sz w:val="17"/>
        </w:rPr>
      </w:pPr>
      <w:r>
        <w:rPr/>
        <w:pict>
          <v:line style="position:absolute;mso-position-horizontal-relative:page;mso-position-vertical-relative:paragraph;z-index:-465520" from="211.369995pt,19.41552pt" to="242.449995pt,19.41552pt" stroked="true" strokeweight=".84pt" strokecolor="#000000">
            <w10:wrap type="none"/>
          </v:line>
        </w:pict>
      </w:r>
      <w:r>
        <w:rPr/>
        <w:t>Por</w:t>
      </w:r>
      <w:r>
        <w:rPr>
          <w:spacing w:val="-2"/>
        </w:rPr>
        <w:t> </w:t>
      </w:r>
      <w:r>
        <w:rPr/>
        <w:t>lo</w:t>
      </w:r>
      <w:r>
        <w:rPr>
          <w:spacing w:val="-1"/>
        </w:rPr>
        <w:t> </w:t>
      </w:r>
      <w:r>
        <w:rPr/>
        <w:t>tanto:</w:t>
        <w:tab/>
      </w:r>
      <w:r>
        <w:rPr>
          <w:i/>
        </w:rPr>
        <w:t>Y</w:t>
      </w:r>
      <w:r>
        <w:rPr>
          <w:i/>
          <w:spacing w:val="2"/>
        </w:rPr>
        <w:t> </w:t>
      </w:r>
      <w:r>
        <w:rPr/>
        <w:t>=</w:t>
        <w:tab/>
      </w:r>
      <w:r>
        <w:rPr>
          <w:position w:val="14"/>
          <w:sz w:val="17"/>
        </w:rPr>
        <w:t>Ẽ</w:t>
      </w:r>
    </w:p>
    <w:p>
      <w:pPr>
        <w:spacing w:line="153" w:lineRule="exact" w:before="0"/>
        <w:ind w:left="0" w:right="0" w:firstLine="0"/>
        <w:jc w:val="right"/>
        <w:rPr>
          <w:rFonts w:ascii="Cambria Math"/>
          <w:sz w:val="17"/>
        </w:rPr>
      </w:pPr>
      <w:r>
        <w:rPr>
          <w:rFonts w:ascii="Cambria Math"/>
          <w:spacing w:val="-1"/>
          <w:w w:val="263"/>
          <w:sz w:val="17"/>
        </w:rPr>
        <w:t> </w:t>
      </w:r>
      <w:r>
        <w:rPr>
          <w:rFonts w:ascii="Cambria Math"/>
          <w:w w:val="331"/>
          <w:sz w:val="17"/>
        </w:rPr>
        <w:t> </w:t>
      </w:r>
      <w:r>
        <w:rPr>
          <w:rFonts w:ascii="Cambria Math"/>
          <w:w w:val="300"/>
          <w:sz w:val="17"/>
        </w:rPr>
        <w:t> </w:t>
      </w:r>
      <w:r>
        <w:rPr>
          <w:rFonts w:ascii="Cambria Math"/>
          <w:w w:val="331"/>
          <w:sz w:val="17"/>
        </w:rPr>
        <w:t> </w:t>
      </w:r>
      <w:r>
        <w:rPr>
          <w:rFonts w:ascii="Cambria Math"/>
          <w:w w:val="425"/>
          <w:sz w:val="17"/>
        </w:rPr>
        <w:t> </w:t>
      </w:r>
    </w:p>
    <w:p>
      <w:pPr>
        <w:pStyle w:val="BodyText"/>
        <w:spacing w:before="10"/>
        <w:rPr>
          <w:rFonts w:ascii="Cambria Math"/>
          <w:sz w:val="19"/>
        </w:rPr>
      </w:pPr>
      <w:r>
        <w:rPr/>
        <w:br w:type="column"/>
      </w:r>
      <w:r>
        <w:rPr>
          <w:rFonts w:ascii="Cambria Math"/>
          <w:sz w:val="19"/>
        </w:rPr>
      </w:r>
    </w:p>
    <w:p>
      <w:pPr>
        <w:pStyle w:val="BodyText"/>
        <w:ind w:left="810"/>
      </w:pPr>
      <w:r>
        <w:rPr/>
        <w:t>(6)</w:t>
      </w:r>
    </w:p>
    <w:p>
      <w:pPr>
        <w:spacing w:after="0"/>
        <w:sectPr>
          <w:type w:val="continuous"/>
          <w:pgSz w:w="12240" w:h="15840"/>
          <w:pgMar w:top="500" w:bottom="1200" w:left="1600" w:right="1580"/>
          <w:cols w:num="2" w:equalWidth="0">
            <w:col w:w="3248" w:space="3126"/>
            <w:col w:w="2686"/>
          </w:cols>
        </w:sectPr>
      </w:pPr>
    </w:p>
    <w:p>
      <w:pPr>
        <w:pStyle w:val="BodyText"/>
        <w:rPr>
          <w:sz w:val="20"/>
        </w:rPr>
      </w:pPr>
    </w:p>
    <w:p>
      <w:pPr>
        <w:pStyle w:val="BodyText"/>
        <w:spacing w:before="11"/>
        <w:rPr>
          <w:sz w:val="21"/>
        </w:rPr>
      </w:pPr>
    </w:p>
    <w:p>
      <w:pPr>
        <w:pStyle w:val="BodyText"/>
        <w:spacing w:line="360" w:lineRule="auto" w:before="69"/>
        <w:ind w:left="102" w:right="122" w:firstLine="707"/>
        <w:jc w:val="both"/>
      </w:pPr>
      <w:r>
        <w:rPr/>
        <w:t>Es decir, la renta regional es igual a un múltiplo de las exportaciones (la base exportación), siempre que la propensión marginal al gasto local (</w:t>
      </w:r>
      <w:r>
        <w:rPr>
          <w:i/>
        </w:rPr>
        <w:t>g - m</w:t>
      </w:r>
      <w:r>
        <w:rPr/>
        <w:t>) &lt; 1.</w:t>
      </w:r>
    </w:p>
    <w:p>
      <w:pPr>
        <w:pStyle w:val="BodyText"/>
        <w:spacing w:line="360" w:lineRule="auto" w:before="4"/>
        <w:ind w:left="102" w:right="120" w:firstLine="707"/>
        <w:jc w:val="both"/>
      </w:pPr>
      <w:r>
        <w:rPr/>
        <w:t>Es importante mencionar que una de las críticas es que el modelo de base exportación reduce el mundo a un sistema de dos regiones; la zona que se estudia y el resto del mundo. A su vez, una objeción frecuente a estos modelos es que ignoran las restricciones a la capacidad y otras características del lado de la oferta. Como son modelos puros de demanda y, por lo tanto, con aplicaciones a corto plazo, el modelo supone la existencia de recursos ociosos y de exceso de capacidad. A largo plazo, las restricciones en capacidad pueden representar un obstáculo importante para elevar la tasa de crecimiento (Richadson, 1986).</w:t>
      </w:r>
    </w:p>
    <w:p>
      <w:pPr>
        <w:pStyle w:val="BodyText"/>
        <w:spacing w:line="360" w:lineRule="auto" w:before="4"/>
        <w:ind w:left="102" w:right="115" w:firstLine="707"/>
        <w:jc w:val="both"/>
      </w:pPr>
      <w:r>
        <w:rPr/>
        <w:t>Los modelos de base exportación se han utilizado para aislar los sectores locales, a través del método indirecto del cociente de localización, el cual mide la  importancia relativa que una industria tiene en una región en relación con su importancia relativa en el estado (para fines de esta investigación). Este índice se analiza en el tercer capítulo, y permite conocer algunas deficiencias relativas de las regiones de estudio, su especialización productiva, destacando los subsectores con un potencial exportador e identificando las industrias que requieren un análisis más detallado.</w:t>
      </w:r>
    </w:p>
    <w:p>
      <w:pPr>
        <w:pStyle w:val="BodyText"/>
        <w:spacing w:line="360" w:lineRule="auto" w:before="6"/>
        <w:ind w:left="102" w:right="118" w:firstLine="707"/>
        <w:jc w:val="both"/>
      </w:pPr>
      <w:r>
        <w:rPr/>
        <w:t>Siguiendo los modelos que explican el crecimiento económico, las teorías  vinculadas con los polos de crecimiento, tienen un auge reciente porque pretenden explicar las transformaciones y cambios constantes de la industria, como a continuación se</w:t>
      </w:r>
      <w:r>
        <w:rPr>
          <w:spacing w:val="-15"/>
        </w:rPr>
        <w:t> </w:t>
      </w:r>
      <w:r>
        <w:rPr/>
        <w:t>explica.</w:t>
      </w:r>
    </w:p>
    <w:p>
      <w:pPr>
        <w:pStyle w:val="BodyText"/>
      </w:pPr>
    </w:p>
    <w:p>
      <w:pPr>
        <w:pStyle w:val="Heading2"/>
        <w:numPr>
          <w:ilvl w:val="3"/>
          <w:numId w:val="8"/>
        </w:numPr>
        <w:tabs>
          <w:tab w:pos="823" w:val="left" w:leader="none"/>
        </w:tabs>
        <w:spacing w:line="240" w:lineRule="auto" w:before="148" w:after="0"/>
        <w:ind w:left="822" w:right="0" w:hanging="720"/>
        <w:jc w:val="left"/>
      </w:pPr>
      <w:bookmarkStart w:name="_TOC_250005" w:id="12"/>
      <w:r>
        <w:rPr/>
        <w:t>Los polos de</w:t>
      </w:r>
      <w:r>
        <w:rPr>
          <w:spacing w:val="-7"/>
        </w:rPr>
        <w:t> </w:t>
      </w:r>
      <w:bookmarkEnd w:id="12"/>
      <w:r>
        <w:rPr/>
        <w:t>crecimiento</w:t>
      </w:r>
    </w:p>
    <w:p>
      <w:pPr>
        <w:pStyle w:val="BodyText"/>
        <w:spacing w:line="360" w:lineRule="auto" w:before="132"/>
        <w:ind w:left="102" w:right="121"/>
      </w:pPr>
      <w:r>
        <w:rPr/>
        <w:t>Los polos de crecimiento han sido relevantes para el análisis del proceso de crecimiento  con cambios espaciales y la integración de la teoría y la política. Inicialmente ésta teoría</w:t>
      </w:r>
      <w:r>
        <w:rPr>
          <w:spacing w:val="-9"/>
        </w:rPr>
        <w:t> </w:t>
      </w:r>
      <w:r>
        <w:rPr/>
        <w:t>era</w:t>
      </w:r>
    </w:p>
    <w:p>
      <w:pPr>
        <w:spacing w:after="0" w:line="360" w:lineRule="auto"/>
        <w:sectPr>
          <w:type w:val="continuous"/>
          <w:pgSz w:w="12240" w:h="15840"/>
          <w:pgMar w:top="500" w:bottom="1200" w:left="1600" w:right="1580"/>
        </w:sectPr>
      </w:pPr>
    </w:p>
    <w:p>
      <w:pPr>
        <w:pStyle w:val="BodyText"/>
        <w:spacing w:line="362" w:lineRule="auto" w:before="50"/>
        <w:ind w:left="102" w:right="121"/>
      </w:pPr>
      <w:r>
        <w:rPr/>
        <w:t>útil en el análisis de la interdependencia industrial y del cambio estructural en el espacio económico.</w:t>
      </w:r>
    </w:p>
    <w:p>
      <w:pPr>
        <w:pStyle w:val="BodyText"/>
        <w:spacing w:line="360" w:lineRule="auto" w:before="1"/>
        <w:ind w:left="102" w:right="116" w:firstLine="707"/>
        <w:jc w:val="both"/>
      </w:pPr>
      <w:r>
        <w:rPr/>
        <w:t>Esta teoría también se le conoce como la teoría de la localización desequilibradora, desarrollada por Perroux en los años cincuenta, quien llegó a concebir el desarrollo como  un proceso polarizado en el sentido de que las fuerzas inherentes al proceso de desarrollo contribuyen a aglomerar las actividades y el crecimiento económico, y a provocar desequilibrios entre las industrias y las regiones geográficas (Miguel,</w:t>
      </w:r>
      <w:r>
        <w:rPr>
          <w:spacing w:val="-14"/>
        </w:rPr>
        <w:t> </w:t>
      </w:r>
      <w:r>
        <w:rPr/>
        <w:t>2004).</w:t>
      </w:r>
    </w:p>
    <w:p>
      <w:pPr>
        <w:pStyle w:val="BodyText"/>
        <w:spacing w:line="360" w:lineRule="auto" w:before="6"/>
        <w:ind w:left="102" w:right="115" w:firstLine="707"/>
        <w:jc w:val="both"/>
      </w:pPr>
      <w:r>
        <w:rPr/>
        <w:t>Perroux (1950) argumentó que el polo de crecimiento hace referencia a un espacio abstracto más que al espacio geográfico. Y definió polo de crecimiento a un conjunto de industrias fuertemente interrelacionadas a través de los eslabonamientos </w:t>
      </w:r>
      <w:r>
        <w:rPr>
          <w:i/>
        </w:rPr>
        <w:t>input-output </w:t>
      </w:r>
      <w:r>
        <w:rPr/>
        <w:t>alrededor de una industria líder (industria motriz o propulsora), capaz de generar un crecimiento dinámico de la economía. En este sentido, Perroux considera que las innovaciones empresariales constituyen un factor determinante en el progreso económico.</w:t>
      </w:r>
    </w:p>
    <w:p>
      <w:pPr>
        <w:pStyle w:val="BodyText"/>
        <w:spacing w:line="360" w:lineRule="auto" w:before="6"/>
        <w:ind w:left="102" w:right="119" w:firstLine="707"/>
        <w:jc w:val="both"/>
      </w:pPr>
      <w:r>
        <w:rPr/>
        <w:t>Perroux (1955) indica que el factor principal en la expansión regional es la interacción entre las industrias clave (industrias propulsoras) que forman el núcleo del polo de desarrollo. Estas industrias tienen ciertas características: un alto grado de concentración, alta elasticidad renta para sus productos que suelen ser vendidos en los mercados estatales, fuerte multiplicador local, efectos de polarización, un nivel avanzado de tecnología; y directiva, que por fuerza del ejemplo se difunden a otros sectores de la región.</w:t>
      </w:r>
    </w:p>
    <w:p>
      <w:pPr>
        <w:pStyle w:val="BodyText"/>
        <w:spacing w:line="360" w:lineRule="auto" w:before="6"/>
        <w:ind w:left="102" w:right="117" w:firstLine="707"/>
        <w:jc w:val="both"/>
      </w:pPr>
      <w:r>
        <w:rPr/>
        <w:t>De acuerdo con Richadson (1977), está teoría ofrece varias interpretaciones, según quien la examine, debido a que analistas posteriores modificaron la teoría original de Perroux. Pero lo que sí es un hecho es que todas las interpretaciones indican que los polos de desarrollo hacen referencia a los procesos de desarrollo de largo plazo, a las aglomeraciones geográficas, y a los desequilibrios industriales.</w:t>
      </w:r>
    </w:p>
    <w:p>
      <w:pPr>
        <w:spacing w:before="3"/>
        <w:ind w:left="668" w:right="682" w:firstLine="0"/>
        <w:jc w:val="both"/>
        <w:rPr>
          <w:sz w:val="22"/>
        </w:rPr>
      </w:pPr>
      <w:r>
        <w:rPr>
          <w:sz w:val="22"/>
        </w:rPr>
        <w:t>De acuerdo con Miguel (2004: 175), “los polos de desarrollo se han considerado similares a la industria estratégica, la industria básica, conjunto industrial; de ahí que los polos de desarrollo son formas de industrialización regional. Otros afirman que los polos de desarrollo son los establecimientos industriales que ejercen un efecto benéfico sobre la zona en que está ubicado”.</w:t>
      </w:r>
    </w:p>
    <w:p>
      <w:pPr>
        <w:pStyle w:val="BodyText"/>
        <w:rPr>
          <w:sz w:val="22"/>
        </w:rPr>
      </w:pPr>
    </w:p>
    <w:p>
      <w:pPr>
        <w:pStyle w:val="BodyText"/>
        <w:spacing w:line="360" w:lineRule="auto" w:before="1"/>
        <w:ind w:left="102" w:right="121"/>
      </w:pPr>
      <w:r>
        <w:rPr/>
        <w:t>En los estudios de polos de crecimiento se presentan las economías de aglomeración, que surgen de las conexiones interindustriales, bajo el concepto de complejo industrial:</w:t>
      </w:r>
    </w:p>
    <w:p>
      <w:pPr>
        <w:spacing w:before="1"/>
        <w:ind w:left="668" w:right="685" w:firstLine="0"/>
        <w:jc w:val="both"/>
        <w:rPr>
          <w:sz w:val="22"/>
        </w:rPr>
      </w:pPr>
      <w:r>
        <w:rPr>
          <w:sz w:val="24"/>
        </w:rPr>
        <w:t>“</w:t>
      </w:r>
      <w:r>
        <w:rPr>
          <w:sz w:val="22"/>
        </w:rPr>
        <w:t>Un complejo industrial es una serie de industrias en yuxtaposición espacial que se benefician  de  las  conexiones  tecnológicas  y  de  las  economías  de    </w:t>
      </w:r>
      <w:r>
        <w:rPr>
          <w:spacing w:val="54"/>
          <w:sz w:val="22"/>
        </w:rPr>
        <w:t> </w:t>
      </w:r>
      <w:r>
        <w:rPr>
          <w:sz w:val="22"/>
        </w:rPr>
        <w:t>aglomeración</w:t>
      </w:r>
    </w:p>
    <w:p>
      <w:pPr>
        <w:spacing w:after="0"/>
        <w:jc w:val="both"/>
        <w:rPr>
          <w:sz w:val="22"/>
        </w:rPr>
        <w:sectPr>
          <w:pgSz w:w="12240" w:h="15840"/>
          <w:pgMar w:header="0" w:footer="1003" w:top="1360" w:bottom="1200" w:left="1600" w:right="1580"/>
        </w:sectPr>
      </w:pPr>
    </w:p>
    <w:p>
      <w:pPr>
        <w:spacing w:before="50"/>
        <w:ind w:left="668" w:right="686" w:firstLine="0"/>
        <w:jc w:val="both"/>
        <w:rPr>
          <w:sz w:val="22"/>
        </w:rPr>
      </w:pPr>
      <w:r>
        <w:rPr>
          <w:sz w:val="22"/>
        </w:rPr>
        <w:t>comunes. Una de sus características es que la expansión, en cualquiera de las industrias, pondría en movimiento un proceso de desarrollo mantenido por un supermultiplicador elevado, es decir, un multiplicador que incorporase no solamente  las repercusiones interindustriales indirectas e inducidas, sino también el efecto acelerador de la inversión” (Richardson, 1977:</w:t>
      </w:r>
      <w:r>
        <w:rPr>
          <w:spacing w:val="-9"/>
          <w:sz w:val="22"/>
        </w:rPr>
        <w:t> </w:t>
      </w:r>
      <w:r>
        <w:rPr>
          <w:sz w:val="22"/>
        </w:rPr>
        <w:t>72).</w:t>
      </w:r>
    </w:p>
    <w:p>
      <w:pPr>
        <w:pStyle w:val="BodyText"/>
        <w:spacing w:line="360" w:lineRule="auto"/>
        <w:ind w:left="102" w:right="121" w:firstLine="566"/>
      </w:pPr>
      <w:r>
        <w:rPr/>
        <w:t>Es decir, la industria líder así como sus sectores interdependientes crecen más rápido que el resto de la economía, y facilitan a las industrias la oportunidad de concentrarse.</w:t>
      </w:r>
    </w:p>
    <w:p>
      <w:pPr>
        <w:pStyle w:val="BodyText"/>
        <w:spacing w:line="360" w:lineRule="auto" w:before="4"/>
        <w:ind w:left="102" w:right="115" w:firstLine="707"/>
        <w:jc w:val="both"/>
      </w:pPr>
      <w:r>
        <w:rPr/>
        <w:t>Las disparidades regionales ubican a las industrias de los polos como dentro de las teorías de los desequilibrios. Estas industrias sirven para conocer si un sector está globalizado, además tratan de explicar cómo las actividades económicas se desenvuelven y de esta forma tomar las medidas de política tendientes a poner en práctica sistemas regionales de desarrollo industrial.</w:t>
      </w:r>
    </w:p>
    <w:p>
      <w:pPr>
        <w:pStyle w:val="BodyText"/>
        <w:spacing w:line="360" w:lineRule="auto" w:before="6"/>
        <w:ind w:left="102" w:right="117" w:firstLine="707"/>
        <w:jc w:val="both"/>
      </w:pPr>
      <w:r>
        <w:rPr/>
        <w:t>El análisis de esta teoría es útil para conocer si en las regiones de estudio existen polos de desarrollo y si las industrias motrices, o líderes, son también industrias de primer orden, es decir; industrias modernas y de avanzada tecnología, con capacidad de innovar y de trasmitir sus innovaciones a otros sectores de la economía, lo cual se analiza en el tercer capítulo.</w:t>
      </w:r>
    </w:p>
    <w:p>
      <w:pPr>
        <w:pStyle w:val="BodyText"/>
      </w:pPr>
    </w:p>
    <w:p>
      <w:pPr>
        <w:pStyle w:val="Heading2"/>
        <w:spacing w:before="148"/>
      </w:pPr>
      <w:bookmarkStart w:name="_TOC_250004" w:id="13"/>
      <w:bookmarkEnd w:id="13"/>
      <w:r>
        <w:rPr/>
        <w:t>Puntos concluyentes</w:t>
      </w:r>
    </w:p>
    <w:p>
      <w:pPr>
        <w:pStyle w:val="BodyText"/>
        <w:spacing w:line="360" w:lineRule="auto" w:before="132"/>
        <w:ind w:left="102" w:right="116" w:firstLine="707"/>
        <w:jc w:val="both"/>
      </w:pPr>
      <w:r>
        <w:rPr/>
        <w:t>En este capítulo se describen las distintas teorías explicativas del crecimiento económico regional. El proceso de crecimiento económico, por el lado del enfoque de la oferta con las teorías neoclásicas y el enfoque de la demanda con las teorías keynesianas, a través de las leyes de Kaldor, plantean diversos factores como fuentes del crecimiento. La revisión teórica de las distintas posturas enriquece la interpretación de este documento.</w:t>
      </w:r>
    </w:p>
    <w:p>
      <w:pPr>
        <w:pStyle w:val="BodyText"/>
        <w:spacing w:line="360" w:lineRule="auto" w:before="6"/>
        <w:ind w:left="102" w:right="118" w:firstLine="707"/>
        <w:jc w:val="both"/>
      </w:pPr>
      <w:r>
        <w:rPr/>
        <w:t>Hasta hace pocos años la teoría del crecimiento, por el lado de la oferta señalaba que la expansión del producto en el largo plazo era resultado del ritmo al que el progreso tecnológico hacia aumentar la rentabilidad del capital y de </w:t>
      </w:r>
      <w:r>
        <w:rPr>
          <w:spacing w:val="3"/>
        </w:rPr>
        <w:t>la </w:t>
      </w:r>
      <w:r>
        <w:rPr/>
        <w:t>mano de obra, por lo que los cambios en la tasa de ahorro e inversión sólo influían en la tasa de crecimiento en el corto plazo; sin embargo, dado que la teoría no podía explicar las causas del progreso tecnológico, éste era visto como un fenómeno exógeno </w:t>
      </w:r>
      <w:r>
        <w:rPr>
          <w:spacing w:val="-3"/>
        </w:rPr>
        <w:t>y, </w:t>
      </w:r>
      <w:r>
        <w:rPr/>
        <w:t>por ende, el crecimiento de las regiones se explicaba también como consecuencia de variables</w:t>
      </w:r>
      <w:r>
        <w:rPr>
          <w:spacing w:val="-15"/>
        </w:rPr>
        <w:t> </w:t>
      </w:r>
      <w:r>
        <w:rPr/>
        <w:t>exógenas.</w:t>
      </w:r>
    </w:p>
    <w:p>
      <w:pPr>
        <w:pStyle w:val="BodyText"/>
        <w:spacing w:line="360" w:lineRule="auto" w:before="4"/>
        <w:ind w:left="102" w:right="115" w:firstLine="707"/>
        <w:jc w:val="both"/>
      </w:pPr>
      <w:r>
        <w:rPr/>
        <w:t>Todos los modelos de crecimiento exógeno tienen una implicación: los cambios en las políticas  gubernamentales,  como  subsidios a la investigación  o  impuestos  sobre  </w:t>
      </w:r>
      <w:r>
        <w:rPr>
          <w:spacing w:val="54"/>
        </w:rPr>
        <w:t> </w:t>
      </w:r>
      <w:r>
        <w:rPr/>
        <w:t>las</w:t>
      </w:r>
    </w:p>
    <w:p>
      <w:pPr>
        <w:spacing w:after="0" w:line="360" w:lineRule="auto"/>
        <w:jc w:val="both"/>
        <w:sectPr>
          <w:pgSz w:w="12240" w:h="15840"/>
          <w:pgMar w:header="0" w:footer="1003" w:top="1360" w:bottom="1200" w:left="1600" w:right="1580"/>
        </w:sectPr>
      </w:pPr>
    </w:p>
    <w:p>
      <w:pPr>
        <w:pStyle w:val="BodyText"/>
        <w:spacing w:line="360" w:lineRule="auto" w:before="50"/>
        <w:ind w:left="102" w:right="117"/>
        <w:jc w:val="both"/>
      </w:pPr>
      <w:r>
        <w:rPr/>
        <w:t>inversiones, tienen efectos de nivel pero no de crecimiento de largo plazo. Es decir, estas políticas elevan temporalmente la tasa de crecimiento, porque las regiones crecen a un nivel más alto de la ruta de crecimiento equilibrado, pero a largo plazo la tasa de crecimiento regresa a su nivel inicial. Posteriormente se usó el término “crecimiento endógeno” para referirse a modelos donde los cambios de esas políticas pudieran influir sobre la tasa de crecimiento regional en forma permanente. Es así como la teoría neoclásica del  crecimiento, con el modelo de Solow (1956) forma la base de la “nueva” teoría del crecimiento endógeno, que endogeniza el cambio</w:t>
      </w:r>
      <w:r>
        <w:rPr>
          <w:spacing w:val="-9"/>
        </w:rPr>
        <w:t> </w:t>
      </w:r>
      <w:r>
        <w:rPr/>
        <w:t>tecnológico.</w:t>
      </w:r>
    </w:p>
    <w:p>
      <w:pPr>
        <w:pStyle w:val="BodyText"/>
        <w:spacing w:line="360" w:lineRule="auto" w:before="124"/>
        <w:ind w:left="102" w:right="115" w:firstLine="707"/>
        <w:jc w:val="both"/>
      </w:pPr>
      <w:r>
        <w:rPr/>
        <w:t>Los estudios del crecimiento endógeno regional identifican al capital del sector público como fuente potencial de los rendimientos a escala. Barro (1990) y Sala-i-Martín (1992), ilustran al respecto a partir de las políticas del gobierno en la competencia, industrialización, protección y la apertura externa, que inciden directamente en el desempeño económico de las regiones. En particular, la industria manufacturera depende de apoyos y alicientes que reciben por parte del gobierno y las instituciones económicas formales.</w:t>
      </w:r>
    </w:p>
    <w:p>
      <w:pPr>
        <w:pStyle w:val="BodyText"/>
        <w:spacing w:line="360" w:lineRule="auto" w:before="126"/>
        <w:ind w:left="102" w:right="116" w:firstLine="770"/>
        <w:jc w:val="both"/>
      </w:pPr>
      <w:r>
        <w:rPr>
          <w:spacing w:val="-3"/>
        </w:rPr>
        <w:t>La </w:t>
      </w:r>
      <w:r>
        <w:rPr/>
        <w:t>industria está supeditada al mercado pero también al juego de incentivos producidos por las instituciones que actúan como garantes de la ley. El gobierno incentiva los mercados productivos a partir de un marco legal que hace cumplir los derechos de propiedad, permite el cumplimiento de contratos y otorga certidumbre a las inversiones.  Las instituciones actúan a través de la infraestructura pública al otorgar insumos indirectos como: electricidad, comunicaciones y transportes que se convierten en detonantes de la productividad</w:t>
      </w:r>
      <w:r>
        <w:rPr>
          <w:spacing w:val="-6"/>
        </w:rPr>
        <w:t> </w:t>
      </w:r>
      <w:r>
        <w:rPr/>
        <w:t>regional.</w:t>
      </w:r>
    </w:p>
    <w:p>
      <w:pPr>
        <w:pStyle w:val="BodyText"/>
        <w:spacing w:line="360" w:lineRule="auto" w:before="124"/>
        <w:ind w:left="102" w:right="116" w:firstLine="707"/>
        <w:jc w:val="both"/>
      </w:pPr>
      <w:r>
        <w:rPr/>
        <w:t>Otra de las variables explicativas de avance de la industria y por ende, del crecimiento económico regional es la especialización productiva. Jungmittag (2004) y Dalum </w:t>
      </w:r>
      <w:r>
        <w:rPr>
          <w:i/>
        </w:rPr>
        <w:t>et al., </w:t>
      </w:r>
      <w:r>
        <w:rPr/>
        <w:t>(1999) reseñan dos clases de especialización: smithiana y ricardiana. La Smithiana plantea que la especialización es el resultado del aprendizaje asociado a la experiencia, lo cual permite aumentar la productividad del trabajo y obtener rendimientos a escala. En tanto, la visión ricardiana, establece que las regiones especializadas en bienes con alto nivel tecnológico en sus procesos productivos tienen mayores posibilidades de alcanzar tasas más altas de productividad, lo cual se verá reflejado en un rápido</w:t>
      </w:r>
      <w:r>
        <w:rPr>
          <w:spacing w:val="3"/>
        </w:rPr>
        <w:t> </w:t>
      </w:r>
      <w:r>
        <w:rPr/>
        <w:t>crecimiento</w:t>
      </w:r>
    </w:p>
    <w:p>
      <w:pPr>
        <w:spacing w:after="0" w:line="360" w:lineRule="auto"/>
        <w:jc w:val="both"/>
        <w:sectPr>
          <w:footerReference w:type="default" r:id="rId16"/>
          <w:pgSz w:w="12240" w:h="15840"/>
          <w:pgMar w:footer="1003" w:header="0" w:top="1360" w:bottom="1200" w:left="1600" w:right="1580"/>
        </w:sectPr>
      </w:pPr>
    </w:p>
    <w:p>
      <w:pPr>
        <w:pStyle w:val="BodyText"/>
        <w:spacing w:line="362" w:lineRule="auto" w:before="50"/>
        <w:ind w:left="102" w:right="121"/>
      </w:pPr>
      <w:r>
        <w:rPr/>
        <w:t>económico. Por lo que algunas actividades ofrecen mayores posibilidades de crecimiento que otras.</w:t>
      </w:r>
    </w:p>
    <w:p>
      <w:pPr>
        <w:pStyle w:val="BodyText"/>
        <w:spacing w:line="360" w:lineRule="auto" w:before="121"/>
        <w:ind w:left="102" w:right="114" w:firstLine="707"/>
        <w:jc w:val="both"/>
      </w:pPr>
      <w:r>
        <w:rPr/>
        <w:t>Por su parte, el enfoque por el lado de la demanda, a través de los planteamientos de Kaldor (1970), establece que los factores de la producción se incrementan a un ritmo de crecimiento de la demanda. Las diferencias en el crecimiento económico regional pueden darse por los rendimientos crecientes a escala, resultado del proceso de industrialización, la cual se explica en parte por la expansión de la demanda. Específicamente, Kaldor sostiene que el principio de causación acumulativa es la presencia de rendimientos crecientes a escala en la industria manufacturera de las regiones, que por el aumento de sus exportaciones, llevan a un rápido crecimiento de la productividad y por ende de la producción, donde estas regiones tendrán la eficiencia también de los salarios más bajos. Así, el crecimiento de las regiones, se debe a la expansión de la demanda. Lo cual favorece a las regiones ricas y restringen el desarrollo de las atrasadas.</w:t>
      </w:r>
    </w:p>
    <w:p>
      <w:pPr>
        <w:pStyle w:val="BodyText"/>
        <w:spacing w:line="360" w:lineRule="auto" w:before="126"/>
        <w:ind w:left="102" w:right="115" w:firstLine="707"/>
        <w:jc w:val="both"/>
      </w:pPr>
      <w:r>
        <w:rPr/>
        <w:t>A lo anterior también se le conoce como efecto Verdoorn, que establece que las economías a escala inducen al crecimiento de la productividad manufacturera, la cual reduce el costo de producción y el precio de las exportaciones. A su vez, esto genera ventajas competitivas para las regiones, fuertes incrementos en exportaciones y subsecuentemente en producción y productividad, reforzando el círculo virtuoso. Así, el crecimiento económico de las regiones depende de la velocidad con que se invierta en los sectores donde se encuentran las economías de escala. Al respecto, la ley de Verdoorn ofrece una explicación para la persistencia de disparidades regionales, </w:t>
      </w:r>
      <w:r>
        <w:rPr>
          <w:spacing w:val="-3"/>
        </w:rPr>
        <w:t>ya </w:t>
      </w:r>
      <w:r>
        <w:rPr/>
        <w:t>que una vez que  la región tiene ventajas sobre el crecimiento, está tendera a sostener esas ventajas a través del proceso de rendimientos crecientes, que induce el crecimiento por sí</w:t>
      </w:r>
      <w:r>
        <w:rPr>
          <w:spacing w:val="-10"/>
        </w:rPr>
        <w:t> </w:t>
      </w:r>
      <w:r>
        <w:rPr/>
        <w:t>mismo.</w:t>
      </w:r>
    </w:p>
    <w:p>
      <w:pPr>
        <w:pStyle w:val="BodyText"/>
        <w:spacing w:line="360" w:lineRule="auto" w:before="205"/>
        <w:ind w:left="102" w:right="118" w:firstLine="707"/>
        <w:jc w:val="both"/>
      </w:pPr>
      <w:r>
        <w:rPr/>
        <w:t>Otro elemento descrito por Perroux (1955), en la teoría de los polos de desarrollo sostiene que el factor principal en la expansión regional es la interacción entre las industrias clave o también llamadas industrias propulsoras que forman el polo de desarrollo. Sus características hacen que por el ejemplo de la fuerza, se difundan en otros sectores de la región, promoviendo un alto grado de concentración, alta elasticidad renta para sus productos, fuerte multiplicador local, efectos polarización, y un nivel avanzado de tecnología.</w:t>
      </w:r>
    </w:p>
    <w:p>
      <w:pPr>
        <w:spacing w:after="0" w:line="360" w:lineRule="auto"/>
        <w:jc w:val="both"/>
        <w:sectPr>
          <w:footerReference w:type="default" r:id="rId17"/>
          <w:pgSz w:w="12240" w:h="15840"/>
          <w:pgMar w:footer="1003" w:header="0" w:top="1360" w:bottom="1200" w:left="1600" w:right="1580"/>
          <w:pgNumType w:start="41"/>
        </w:sectPr>
      </w:pPr>
    </w:p>
    <w:p>
      <w:pPr>
        <w:pStyle w:val="BodyText"/>
        <w:spacing w:line="360" w:lineRule="auto" w:before="50"/>
        <w:ind w:left="122" w:right="117" w:firstLine="707"/>
        <w:jc w:val="both"/>
      </w:pPr>
      <w:r>
        <w:rPr/>
        <w:t>Existen muchos estudios que sostienen haber encontrado una o más variables parcialmente correlacionadas con la tasa de crecimiento regional, al respecto, Sala-i-Martin (2002), considera que algunas lecciones importantes que se pueden extraer de esta literatura es que no hay un simple determinante del crecimiento. Sin embargo, en esta investigación, tenemos que el factor de análisis en las teorías del crecimiento regional, tanto en el enfoque de la oferta, como en el de demanda, se vincula con la productividad, la cual propicia; el crecimiento de las exportaciones manufactureras, el impulso del sector industrial y el crecimiento económico.</w:t>
      </w:r>
    </w:p>
    <w:p>
      <w:pPr>
        <w:pStyle w:val="BodyText"/>
        <w:spacing w:line="360" w:lineRule="auto" w:before="206"/>
        <w:ind w:left="122" w:right="117" w:firstLine="707"/>
        <w:jc w:val="both"/>
      </w:pPr>
      <w:r>
        <w:rPr/>
        <w:t>Es así como este marco de teorías sirve para analizar la participación del gobierno,  la especialización productiva y las economías de escala en la industria manufacturera de las regiones Toluca-Lerma y Valle de México, durante el periodo 1970-2008. Ahora bien, las regiones industrializadas presentan círculos virtuosos de crecimiento mientras que las no industrializadas se quedan rezagadas y anegadas en círculos viciosos, esto hace que se agraven las diferencias de ingreso. Y dado que la especialización en actividades manufactureras genera externalidades positivas en el resto </w:t>
      </w:r>
      <w:r>
        <w:rPr>
          <w:spacing w:val="3"/>
        </w:rPr>
        <w:t>de </w:t>
      </w:r>
      <w:r>
        <w:rPr/>
        <w:t>los sectores, es importante alentar la industria de cada región para lograr el crecimiento económico y la homogeneización</w:t>
      </w:r>
      <w:r>
        <w:rPr>
          <w:spacing w:val="-5"/>
        </w:rPr>
        <w:t> </w:t>
      </w:r>
      <w:r>
        <w:rPr/>
        <w:t>regional.</w:t>
      </w:r>
    </w:p>
    <w:p>
      <w:pPr>
        <w:pStyle w:val="BodyText"/>
        <w:spacing w:line="352" w:lineRule="auto" w:before="4"/>
        <w:ind w:left="122" w:right="115" w:firstLine="707"/>
        <w:jc w:val="both"/>
      </w:pPr>
      <w:r>
        <w:rPr/>
        <w:t>En este sentido, en esta investigación se analiza el comportamiento del producto manufacturero de estas dos principales regiones industrializadas del Estado de México, para saber por qué han perdido dinamismo en su crecimiento y conocer cuáles son los factores que han intervenido en dicho desempeño. Para ello, entonces, es de vital importancia analizar las políticas industriales que impulsaron la industrialización</w:t>
      </w:r>
      <w:r>
        <w:rPr>
          <w:position w:val="11"/>
          <w:sz w:val="16"/>
        </w:rPr>
        <w:t>23 </w:t>
      </w:r>
      <w:r>
        <w:rPr/>
        <w:t>del país y del Estado de  México  bajo  un  contexto  histórico.  El  proceso  de  industrialización  se  trata  en   el</w:t>
      </w:r>
    </w:p>
    <w:p>
      <w:pPr>
        <w:pStyle w:val="BodyText"/>
        <w:spacing w:before="14"/>
        <w:ind w:left="122" w:right="243"/>
      </w:pPr>
      <w:r>
        <w:rPr/>
        <w:t>siguiente capítulo.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r>
        <w:rPr/>
        <w:pict>
          <v:line style="position:absolute;mso-position-horizontal-relative:page;mso-position-vertical-relative:paragraph;z-index:1480;mso-wrap-distance-left:0;mso-wrap-distance-right:0" from="85.103996pt,18.72212pt" to="229.123996pt,18.72212pt" stroked="true" strokeweight=".71997pt" strokecolor="#000000">
            <w10:wrap type="topAndBottom"/>
          </v:line>
        </w:pict>
      </w:r>
    </w:p>
    <w:p>
      <w:pPr>
        <w:spacing w:before="42"/>
        <w:ind w:left="122" w:right="125" w:firstLine="0"/>
        <w:jc w:val="both"/>
        <w:rPr>
          <w:sz w:val="20"/>
        </w:rPr>
      </w:pPr>
      <w:r>
        <w:rPr>
          <w:position w:val="9"/>
          <w:sz w:val="13"/>
        </w:rPr>
        <w:t>23 </w:t>
      </w:r>
      <w:r>
        <w:rPr>
          <w:sz w:val="20"/>
        </w:rPr>
        <w:t>Hay que tomar en cuenta que a través del tiempo las diferentes formas de producción como el fordismo, taylorismo y toyotismo se presentan bajo contextos distintos, donde las industrias adquieren relevancia de acuerdo con su forma de producción y encadenamiento con otros factores de la producción y especialización.</w:t>
      </w:r>
    </w:p>
    <w:p>
      <w:pPr>
        <w:spacing w:after="0"/>
        <w:jc w:val="both"/>
        <w:rPr>
          <w:sz w:val="20"/>
        </w:rPr>
        <w:sectPr>
          <w:pgSz w:w="12240" w:h="15840"/>
          <w:pgMar w:header="0" w:footer="1003" w:top="1360" w:bottom="1200" w:left="1580" w:right="1580"/>
        </w:sectPr>
      </w:pPr>
    </w:p>
    <w:p>
      <w:pPr>
        <w:pStyle w:val="Heading2"/>
        <w:spacing w:before="55"/>
        <w:ind w:left="692" w:right="0"/>
        <w:jc w:val="center"/>
      </w:pPr>
      <w:r>
        <w:rPr/>
        <w:t>Capítulo 2</w:t>
      </w:r>
    </w:p>
    <w:p>
      <w:pPr>
        <w:spacing w:before="139"/>
        <w:ind w:left="1061" w:right="121" w:firstLine="0"/>
        <w:jc w:val="left"/>
        <w:rPr>
          <w:b/>
          <w:sz w:val="24"/>
        </w:rPr>
      </w:pPr>
      <w:r>
        <w:rPr>
          <w:b/>
          <w:sz w:val="24"/>
        </w:rPr>
        <w:t>El proceso de industrialización, regiones: Toluca-Lerma y Valle de México</w:t>
      </w:r>
    </w:p>
    <w:p>
      <w:pPr>
        <w:pStyle w:val="BodyText"/>
        <w:rPr>
          <w:b/>
        </w:rPr>
      </w:pPr>
    </w:p>
    <w:p>
      <w:pPr>
        <w:pStyle w:val="BodyText"/>
        <w:rPr>
          <w:b/>
        </w:rPr>
      </w:pPr>
    </w:p>
    <w:p>
      <w:pPr>
        <w:pStyle w:val="Heading2"/>
        <w:spacing w:before="0"/>
        <w:ind w:right="0"/>
        <w:jc w:val="both"/>
      </w:pPr>
      <w:bookmarkStart w:name="_TOC_250003" w:id="14"/>
      <w:bookmarkEnd w:id="14"/>
      <w:r>
        <w:rPr/>
        <w:t>Introducción</w:t>
      </w:r>
    </w:p>
    <w:p>
      <w:pPr>
        <w:pStyle w:val="BodyText"/>
        <w:spacing w:line="360" w:lineRule="auto" w:before="132"/>
        <w:ind w:left="102" w:right="110"/>
        <w:jc w:val="both"/>
      </w:pPr>
      <w:r>
        <w:rPr/>
        <w:t>La industrialización es un proceso que requiere seguir varios esquemas de producción que generen un crecimiento y desarrollo económico, a través de la expansión del capital</w:t>
      </w:r>
      <w:r>
        <w:rPr>
          <w:color w:val="FF0000"/>
        </w:rPr>
        <w:t>. </w:t>
      </w:r>
      <w:r>
        <w:rPr/>
        <w:t>La innovación y la estructura productiva son factores que inyectan a la industria el vigor para seguir creciendo. Mientras algunas zonas industriales logran garantizar nuevos procesos y adquirir una cadena de valor hacia la producción de bienes y servicios enfocados a la demanda, otras industrias no logran repuntar en sus procesos. Esto es lo que se analiza en este apartado: la forma en la cual se ha logrado la incorporación de la industria de la  entidad mexiquense a las necesidades del</w:t>
      </w:r>
      <w:r>
        <w:rPr>
          <w:spacing w:val="-5"/>
        </w:rPr>
        <w:t> </w:t>
      </w:r>
      <w:r>
        <w:rPr/>
        <w:t>mercado.</w:t>
      </w:r>
    </w:p>
    <w:p>
      <w:pPr>
        <w:pStyle w:val="BodyText"/>
        <w:spacing w:line="360" w:lineRule="auto" w:before="4"/>
        <w:ind w:left="102" w:right="116" w:firstLine="707"/>
        <w:jc w:val="both"/>
      </w:pPr>
      <w:r>
        <w:rPr/>
        <w:t>Este proceso no es fácil de llevarse a cabo, los teóricos han señalado muchas variables necesarias para poder lograrlo. Es por ello que este capítulo tiene como objetivo explicar los pasos que ha seguido la industrialización en nuestro país, en el Estado de México y particularmente las regiones Toluca-Lerma y Valle de México, establecidas para el análisis de esta investigación.</w:t>
      </w:r>
    </w:p>
    <w:p>
      <w:pPr>
        <w:pStyle w:val="BodyText"/>
        <w:spacing w:line="360" w:lineRule="auto" w:before="6"/>
        <w:ind w:left="102" w:right="119" w:firstLine="707"/>
        <w:jc w:val="both"/>
      </w:pPr>
      <w:r>
        <w:rPr/>
        <w:t>Existen varios conceptos relacionados con la industrialización, las definiciones también se vinculan con las políticas establecidas por los gobiernos para fomentar o promover dicho proceso.</w:t>
      </w:r>
    </w:p>
    <w:p>
      <w:pPr>
        <w:pStyle w:val="BodyText"/>
        <w:spacing w:line="360" w:lineRule="auto" w:before="4"/>
        <w:ind w:left="102" w:right="122" w:firstLine="707"/>
        <w:jc w:val="both"/>
      </w:pPr>
      <w:r>
        <w:rPr/>
        <w:t>La industria se define como el conjunto de operaciones que concurren a la transformación de materias primas y la producción de la riqueza, por lo cual las manufacturas y la elaboración de productos están de manera intrínseca dentro de este esquema. Así, el desarrollo de un país es resultado de su capacidad de transformar los recursos materiales para proporcionar elementos de uso necesarios para la subsistencia, comodidad e instrucción de la comunidad (GEM, 1990).</w:t>
      </w:r>
    </w:p>
    <w:p>
      <w:pPr>
        <w:pStyle w:val="BodyText"/>
        <w:spacing w:line="360" w:lineRule="auto" w:before="4"/>
        <w:ind w:left="102" w:right="114" w:firstLine="707"/>
        <w:jc w:val="both"/>
      </w:pPr>
      <w:r>
        <w:rPr/>
        <w:t>Por su parte, Martínez del Campo (1972) señala que la industrialización o desarrollo industrial –conceptos paralelos-, son fenómenos de primordial importancia en el crecimiento económico de todos los países. Este tema era fundamental dentro de la economía y el desarrollo, porque la industrialización era el medio obligado de desenvolvimiento de las</w:t>
      </w:r>
      <w:r>
        <w:rPr>
          <w:spacing w:val="-5"/>
        </w:rPr>
        <w:t> </w:t>
      </w:r>
      <w:r>
        <w:rPr/>
        <w:t>naciones.</w:t>
      </w:r>
    </w:p>
    <w:p>
      <w:pPr>
        <w:spacing w:after="0" w:line="360" w:lineRule="auto"/>
        <w:jc w:val="both"/>
        <w:sectPr>
          <w:pgSz w:w="12240" w:h="15840"/>
          <w:pgMar w:header="0" w:footer="1003" w:top="1360" w:bottom="1200" w:left="1600" w:right="1580"/>
        </w:sectPr>
      </w:pPr>
    </w:p>
    <w:p>
      <w:pPr>
        <w:pStyle w:val="BodyText"/>
        <w:spacing w:line="360" w:lineRule="auto" w:before="50"/>
        <w:ind w:left="122" w:right="199" w:firstLine="707"/>
        <w:jc w:val="both"/>
      </w:pPr>
      <w:r>
        <w:rPr/>
        <w:t>De tal forma, en la industrialización intervienen muchos factores, dignos de análisis, que se conjugan de manera armónica para mover los engranes de la economía. Ahora bien, las políticas instrumentadas por el gobierno también son una parte fundamental para el desarrollo de la industria, </w:t>
      </w:r>
      <w:r>
        <w:rPr>
          <w:spacing w:val="-3"/>
        </w:rPr>
        <w:t>ya </w:t>
      </w:r>
      <w:r>
        <w:rPr/>
        <w:t>que fomentan y promueven el asentamiento de dichas concentraciones manufactureras o de producción en serie. Mediante incentivos fiscales y exención de impuestos el gobierno puede promover el desarrollo de parques industriales, así como el establecimiento de comercios</w:t>
      </w:r>
      <w:r>
        <w:rPr>
          <w:spacing w:val="-12"/>
        </w:rPr>
        <w:t> </w:t>
      </w:r>
      <w:r>
        <w:rPr/>
        <w:t>afines.</w:t>
      </w:r>
    </w:p>
    <w:p>
      <w:pPr>
        <w:pStyle w:val="BodyText"/>
        <w:spacing w:line="352" w:lineRule="auto" w:before="6"/>
        <w:ind w:left="122" w:right="197" w:firstLine="707"/>
        <w:jc w:val="both"/>
      </w:pPr>
      <w:r>
        <w:rPr/>
        <w:t>Por otra parte, el análisis del proceso industrial es complicado al existir </w:t>
      </w:r>
      <w:r>
        <w:rPr>
          <w:i/>
        </w:rPr>
        <w:t>spillovers </w:t>
      </w:r>
      <w:r>
        <w:rPr/>
        <w:t>o externalidades y efectos negativos de la producción en serie y desarrollo de empresas dedicadas a la transformación</w:t>
      </w:r>
      <w:r>
        <w:rPr>
          <w:position w:val="11"/>
          <w:sz w:val="16"/>
        </w:rPr>
        <w:t>24</w:t>
      </w:r>
      <w:r>
        <w:rPr/>
        <w:t>. Es decir, se sigue el criterio de identificar la industrialización con el desarrollo y el nivel de vida de la población, porque así lo muestran los ejemplos que históricamente se tienen a partir de la Segunda Guerra Mundial por los efectos que generan: urbanización, monetización de las transacciones económicas,    trabajo</w:t>
      </w:r>
    </w:p>
    <w:p>
      <w:pPr>
        <w:pStyle w:val="BodyText"/>
        <w:spacing w:line="360" w:lineRule="auto" w:before="14"/>
        <w:ind w:left="122" w:right="199"/>
        <w:jc w:val="both"/>
      </w:pPr>
      <w:r>
        <w:rPr/>
        <w:t>asalariado, sindicalización, seguridad social, mayor dependencia individual dentro de la sociedad, reducción en el tamaño de las familias, trabajo femenino remunerado, elevación de los niveles medios de vida, las mayores oportunidades sociales, económica y políticas, entre otros (Sunkel y Paz, 2005).</w:t>
      </w:r>
    </w:p>
    <w:p>
      <w:pPr>
        <w:pStyle w:val="BodyText"/>
        <w:spacing w:line="360" w:lineRule="auto" w:before="6"/>
        <w:ind w:left="122" w:right="109" w:firstLine="707"/>
        <w:jc w:val="both"/>
      </w:pPr>
      <w:r>
        <w:rPr/>
        <w:t>De este modo, la fase de industrialización puede ser originada por alguna de las siguientes causas, señaladas por Carpizo (2006: 137):</w:t>
      </w:r>
    </w:p>
    <w:p>
      <w:pPr>
        <w:pStyle w:val="ListParagraph"/>
        <w:numPr>
          <w:ilvl w:val="4"/>
          <w:numId w:val="8"/>
        </w:numPr>
        <w:tabs>
          <w:tab w:pos="2247" w:val="left" w:leader="none"/>
        </w:tabs>
        <w:spacing w:line="360" w:lineRule="auto" w:before="6" w:after="0"/>
        <w:ind w:left="842" w:right="768" w:firstLine="708"/>
        <w:jc w:val="both"/>
        <w:rPr>
          <w:sz w:val="24"/>
        </w:rPr>
      </w:pPr>
      <w:r>
        <w:rPr>
          <w:sz w:val="24"/>
        </w:rPr>
        <w:t>La suspensión temporal o parcial de las fuentes de adquisiciones que proporcionan los oferentes externos, lo cual dará origen a la promoción de la oferta interna de proveedores; esto, </w:t>
      </w:r>
      <w:r>
        <w:rPr>
          <w:spacing w:val="-3"/>
          <w:sz w:val="24"/>
        </w:rPr>
        <w:t>ya </w:t>
      </w:r>
      <w:r>
        <w:rPr>
          <w:sz w:val="24"/>
        </w:rPr>
        <w:t>sucedió durante y después de las guerras</w:t>
      </w:r>
      <w:r>
        <w:rPr>
          <w:spacing w:val="-6"/>
          <w:sz w:val="24"/>
        </w:rPr>
        <w:t> </w:t>
      </w:r>
      <w:r>
        <w:rPr>
          <w:sz w:val="24"/>
        </w:rPr>
        <w:t>mundiales.</w:t>
      </w:r>
    </w:p>
    <w:p>
      <w:pPr>
        <w:pStyle w:val="ListParagraph"/>
        <w:numPr>
          <w:ilvl w:val="4"/>
          <w:numId w:val="8"/>
        </w:numPr>
        <w:tabs>
          <w:tab w:pos="2247" w:val="left" w:leader="none"/>
        </w:tabs>
        <w:spacing w:line="360" w:lineRule="auto" w:before="6" w:after="0"/>
        <w:ind w:left="842" w:right="768" w:firstLine="708"/>
        <w:jc w:val="both"/>
        <w:rPr>
          <w:sz w:val="24"/>
        </w:rPr>
      </w:pPr>
      <w:r>
        <w:rPr>
          <w:sz w:val="24"/>
        </w:rPr>
        <w:t>Problemas graves y constantes en la balanza de pagos de un país; lo que da origen a que se sufra por falta de divisas </w:t>
      </w:r>
      <w:r>
        <w:rPr>
          <w:spacing w:val="-3"/>
          <w:sz w:val="24"/>
        </w:rPr>
        <w:t>y, </w:t>
      </w:r>
      <w:r>
        <w:rPr>
          <w:sz w:val="24"/>
        </w:rPr>
        <w:t>por tanto, se tenga que</w:t>
      </w:r>
      <w:r>
        <w:rPr>
          <w:spacing w:val="-3"/>
          <w:sz w:val="24"/>
        </w:rPr>
        <w:t> </w:t>
      </w:r>
      <w:r>
        <w:rPr>
          <w:sz w:val="24"/>
        </w:rPr>
        <w:t>ahorrar.</w:t>
      </w:r>
    </w:p>
    <w:p>
      <w:pPr>
        <w:pStyle w:val="ListParagraph"/>
        <w:numPr>
          <w:ilvl w:val="4"/>
          <w:numId w:val="8"/>
        </w:numPr>
        <w:tabs>
          <w:tab w:pos="2247" w:val="left" w:leader="none"/>
        </w:tabs>
        <w:spacing w:line="360" w:lineRule="auto" w:before="4" w:after="0"/>
        <w:ind w:left="842" w:right="767" w:firstLine="708"/>
        <w:jc w:val="both"/>
        <w:rPr>
          <w:sz w:val="24"/>
        </w:rPr>
      </w:pPr>
      <w:r>
        <w:rPr>
          <w:sz w:val="24"/>
        </w:rPr>
        <w:t>El desarrollo del mercado interno hasta una etapa que facilite el localizar  y establecer  plantas  industriales  que  sustituyan  los  bienes  que</w:t>
      </w:r>
      <w:r>
        <w:rPr>
          <w:spacing w:val="4"/>
          <w:sz w:val="24"/>
        </w:rPr>
        <w:t> </w:t>
      </w:r>
      <w:r>
        <w:rPr>
          <w:sz w:val="24"/>
        </w:rPr>
        <w:t>se</w:t>
      </w:r>
    </w:p>
    <w:p>
      <w:pPr>
        <w:pStyle w:val="BodyText"/>
        <w:rPr>
          <w:sz w:val="20"/>
        </w:rPr>
      </w:pPr>
    </w:p>
    <w:p>
      <w:pPr>
        <w:pStyle w:val="BodyText"/>
        <w:spacing w:before="2"/>
        <w:rPr>
          <w:sz w:val="10"/>
        </w:rPr>
      </w:pPr>
      <w:r>
        <w:rPr/>
        <w:pict>
          <v:line style="position:absolute;mso-position-horizontal-relative:page;mso-position-vertical-relative:paragraph;z-index:1504;mso-wrap-distance-left:0;mso-wrap-distance-right:0" from="85.103996pt,8.180728pt" to="229.123996pt,8.180728pt" stroked="true" strokeweight=".72003pt" strokecolor="#000000">
            <w10:wrap type="topAndBottom"/>
          </v:line>
        </w:pict>
      </w:r>
    </w:p>
    <w:p>
      <w:pPr>
        <w:spacing w:before="42"/>
        <w:ind w:left="122" w:right="206" w:firstLine="0"/>
        <w:jc w:val="both"/>
        <w:rPr>
          <w:sz w:val="20"/>
        </w:rPr>
      </w:pPr>
      <w:r>
        <w:rPr>
          <w:position w:val="9"/>
          <w:sz w:val="13"/>
        </w:rPr>
        <w:t>24</w:t>
      </w:r>
      <w:r>
        <w:rPr>
          <w:sz w:val="20"/>
        </w:rPr>
        <w:t>La concentración es imperativa en un primer periodo del desarrollo industrial, posteriormente, esta concentración se convierte en un problema que deriva en dos efectos indeseables: se crean macrocefalias, con urbes desproporcionadas al tamaño del país y por otra parte, se dejan sin mejorar muchas áreas del país que debido a ese estado de depresión y que son causa de tensiones entre sectores (Martínez del Campo, 1972).</w:t>
      </w:r>
    </w:p>
    <w:p>
      <w:pPr>
        <w:spacing w:after="0"/>
        <w:jc w:val="both"/>
        <w:rPr>
          <w:sz w:val="20"/>
        </w:rPr>
        <w:sectPr>
          <w:pgSz w:w="12240" w:h="15840"/>
          <w:pgMar w:header="0" w:footer="1003" w:top="1360" w:bottom="1200" w:left="1580" w:right="1500"/>
        </w:sectPr>
      </w:pPr>
    </w:p>
    <w:p>
      <w:pPr>
        <w:pStyle w:val="BodyText"/>
        <w:spacing w:line="362" w:lineRule="auto" w:before="50"/>
        <w:ind w:left="821" w:right="121"/>
      </w:pPr>
      <w:r>
        <w:rPr/>
        <w:t>importaban, o bien para abastecer el mercado nacional de los bienes que se requieran.</w:t>
      </w:r>
    </w:p>
    <w:p>
      <w:pPr>
        <w:pStyle w:val="ListParagraph"/>
        <w:numPr>
          <w:ilvl w:val="4"/>
          <w:numId w:val="8"/>
        </w:numPr>
        <w:tabs>
          <w:tab w:pos="2226" w:val="left" w:leader="none"/>
          <w:tab w:pos="2227" w:val="left" w:leader="none"/>
        </w:tabs>
        <w:spacing w:line="360" w:lineRule="auto" w:before="1" w:after="0"/>
        <w:ind w:left="822" w:right="690" w:firstLine="708"/>
        <w:jc w:val="left"/>
        <w:rPr>
          <w:sz w:val="24"/>
        </w:rPr>
      </w:pPr>
      <w:r>
        <w:rPr>
          <w:sz w:val="24"/>
        </w:rPr>
        <w:t>La posibilidad de que un grupo empresarial específico pueda influir para impulsar determinadas ramas del sector</w:t>
      </w:r>
      <w:r>
        <w:rPr>
          <w:spacing w:val="-7"/>
          <w:sz w:val="24"/>
        </w:rPr>
        <w:t> </w:t>
      </w:r>
      <w:r>
        <w:rPr>
          <w:sz w:val="24"/>
        </w:rPr>
        <w:t>industrial.</w:t>
      </w:r>
    </w:p>
    <w:p>
      <w:pPr>
        <w:pStyle w:val="ListParagraph"/>
        <w:numPr>
          <w:ilvl w:val="4"/>
          <w:numId w:val="8"/>
        </w:numPr>
        <w:tabs>
          <w:tab w:pos="2226" w:val="left" w:leader="none"/>
          <w:tab w:pos="2227" w:val="left" w:leader="none"/>
        </w:tabs>
        <w:spacing w:line="360" w:lineRule="auto" w:before="4" w:after="0"/>
        <w:ind w:left="822" w:right="689" w:firstLine="708"/>
        <w:jc w:val="left"/>
        <w:rPr>
          <w:sz w:val="24"/>
        </w:rPr>
      </w:pPr>
      <w:r>
        <w:rPr>
          <w:sz w:val="24"/>
        </w:rPr>
        <w:t>Si los grupos sociales que detentan el poder establecen una política de desarrollo sustentada en la promoción</w:t>
      </w:r>
      <w:r>
        <w:rPr>
          <w:spacing w:val="-12"/>
          <w:sz w:val="24"/>
        </w:rPr>
        <w:t> </w:t>
      </w:r>
      <w:r>
        <w:rPr>
          <w:sz w:val="24"/>
        </w:rPr>
        <w:t>industrial.</w:t>
      </w:r>
    </w:p>
    <w:p>
      <w:pPr>
        <w:pStyle w:val="BodyText"/>
        <w:spacing w:line="360" w:lineRule="auto" w:before="4"/>
        <w:ind w:left="102" w:right="117" w:firstLine="707"/>
        <w:jc w:val="both"/>
      </w:pPr>
      <w:r>
        <w:rPr/>
        <w:t>Estas circunstancias se han presentado a lo largo de la historia de México. Es importante mencionar que existen distintos tipos de industrialización y formas de producción. Coriat (2008), establece que las primeras formas de producción se dieron en el excedente de trabajo de los oficios. De tal manera que para garantizar la acumulación de capital era necesario el alargamiento de las jornadas laborales, produciendo el plusvalor.</w:t>
      </w:r>
    </w:p>
    <w:p>
      <w:pPr>
        <w:pStyle w:val="BodyText"/>
        <w:spacing w:line="360" w:lineRule="auto" w:before="6"/>
        <w:ind w:left="102" w:right="117" w:firstLine="707"/>
        <w:jc w:val="both"/>
      </w:pPr>
      <w:r>
        <w:rPr/>
        <w:t>Es así como surgió el taylorismo, una forma de producción caracterizada por la búsqueda del incremento en la producción. Mediante la organización del trabajo se motivaba a los obreros a incrementar su producción con miras a incrementar por supuesto las mercancías que adquirían un valor que reproducía el capital del empresario. Así, el taylorismo surge con el propósito de expropiar el control del proceso productivo al obrero, someterlo y desarticular sus formas de organización social. Otro elemento clave en el taylorismo es el control de los procesos de reproducción social de la fuerza de trabajo a través del salario y el condicionamiento de sus prestaciones sociales. Los obreros vivieron la parte oscura de este modelo al ser sometidos al ritmo más acelerado del trasportador, obligados a tareas monótonas y repetitivas, originando como consecuencia, abandonos, enfermedades laborales y altas tasas de</w:t>
      </w:r>
      <w:r>
        <w:rPr>
          <w:spacing w:val="-10"/>
        </w:rPr>
        <w:t> </w:t>
      </w:r>
      <w:r>
        <w:rPr/>
        <w:t>ausentismo.</w:t>
      </w:r>
    </w:p>
    <w:p>
      <w:pPr>
        <w:pStyle w:val="BodyText"/>
        <w:spacing w:line="360" w:lineRule="auto" w:before="4"/>
        <w:ind w:left="102" w:right="118" w:firstLine="707"/>
        <w:jc w:val="both"/>
      </w:pPr>
      <w:r>
        <w:rPr/>
        <w:t>Posteriormente, con la sobreproducción y el desarrollo de mecanismos para incrementar la producción surgió el fordismo, con la producción en cadena. El fordismo como modelo de producción resultaba rentable siempre que el producto pueda venderse a  un precio relativamente bajo en relación a los salarios promedio, generalmente en una economía desarrollada (De la Garza,</w:t>
      </w:r>
      <w:r>
        <w:rPr>
          <w:spacing w:val="-9"/>
        </w:rPr>
        <w:t> </w:t>
      </w:r>
      <w:r>
        <w:rPr/>
        <w:t>2001).</w:t>
      </w:r>
    </w:p>
    <w:p>
      <w:pPr>
        <w:pStyle w:val="BodyText"/>
        <w:spacing w:line="360" w:lineRule="auto" w:before="6"/>
        <w:ind w:left="102" w:right="121"/>
      </w:pPr>
      <w:r>
        <w:rPr/>
        <w:t>Los efectos que tuvo este sistema de producción sobre el trabajo, siguiendo la lógica del capital, son las siguientes:</w:t>
      </w:r>
    </w:p>
    <w:p>
      <w:pPr>
        <w:pStyle w:val="ListParagraph"/>
        <w:numPr>
          <w:ilvl w:val="0"/>
          <w:numId w:val="9"/>
        </w:numPr>
        <w:tabs>
          <w:tab w:pos="809" w:val="left" w:leader="none"/>
          <w:tab w:pos="810" w:val="left" w:leader="none"/>
        </w:tabs>
        <w:spacing w:line="360" w:lineRule="auto" w:before="4" w:after="0"/>
        <w:ind w:left="102" w:right="121" w:firstLine="0"/>
        <w:jc w:val="left"/>
        <w:rPr>
          <w:sz w:val="24"/>
        </w:rPr>
      </w:pPr>
      <w:r>
        <w:rPr>
          <w:sz w:val="24"/>
        </w:rPr>
        <w:t>Se endurecen las formas de denominación sobre el trabajo, se utiliza la tecnología como control social del</w:t>
      </w:r>
      <w:r>
        <w:rPr>
          <w:spacing w:val="-4"/>
          <w:sz w:val="24"/>
        </w:rPr>
        <w:t> </w:t>
      </w:r>
      <w:r>
        <w:rPr>
          <w:sz w:val="24"/>
        </w:rPr>
        <w:t>trabajo.</w:t>
      </w:r>
    </w:p>
    <w:p>
      <w:pPr>
        <w:spacing w:after="0" w:line="360" w:lineRule="auto"/>
        <w:jc w:val="left"/>
        <w:rPr>
          <w:sz w:val="24"/>
        </w:rPr>
        <w:sectPr>
          <w:pgSz w:w="12240" w:h="15840"/>
          <w:pgMar w:header="0" w:footer="1003" w:top="1360" w:bottom="1200" w:left="1600" w:right="1580"/>
        </w:sectPr>
      </w:pPr>
    </w:p>
    <w:p>
      <w:pPr>
        <w:pStyle w:val="ListParagraph"/>
        <w:numPr>
          <w:ilvl w:val="0"/>
          <w:numId w:val="9"/>
        </w:numPr>
        <w:tabs>
          <w:tab w:pos="810" w:val="left" w:leader="none"/>
        </w:tabs>
        <w:spacing w:line="240" w:lineRule="auto" w:before="50" w:after="0"/>
        <w:ind w:left="810" w:right="0" w:hanging="708"/>
        <w:jc w:val="both"/>
        <w:rPr>
          <w:sz w:val="24"/>
        </w:rPr>
      </w:pPr>
      <w:r>
        <w:rPr>
          <w:sz w:val="24"/>
        </w:rPr>
        <w:t>Se aumentan los ritmos de</w:t>
      </w:r>
      <w:r>
        <w:rPr>
          <w:spacing w:val="-8"/>
          <w:sz w:val="24"/>
        </w:rPr>
        <w:t> </w:t>
      </w:r>
      <w:r>
        <w:rPr>
          <w:sz w:val="24"/>
        </w:rPr>
        <w:t>producción.</w:t>
      </w:r>
    </w:p>
    <w:p>
      <w:pPr>
        <w:pStyle w:val="ListParagraph"/>
        <w:numPr>
          <w:ilvl w:val="0"/>
          <w:numId w:val="9"/>
        </w:numPr>
        <w:tabs>
          <w:tab w:pos="810" w:val="left" w:leader="none"/>
        </w:tabs>
        <w:spacing w:line="240" w:lineRule="auto" w:before="139" w:after="0"/>
        <w:ind w:left="810" w:right="0" w:hanging="708"/>
        <w:jc w:val="both"/>
        <w:rPr>
          <w:sz w:val="24"/>
        </w:rPr>
      </w:pPr>
      <w:r>
        <w:rPr>
          <w:sz w:val="24"/>
        </w:rPr>
        <w:t>El justo a tiempo se trasforma en la “gestión por el</w:t>
      </w:r>
      <w:r>
        <w:rPr>
          <w:spacing w:val="-9"/>
          <w:sz w:val="24"/>
        </w:rPr>
        <w:t> </w:t>
      </w:r>
      <w:r>
        <w:rPr>
          <w:sz w:val="24"/>
        </w:rPr>
        <w:t>estrés”</w:t>
      </w:r>
    </w:p>
    <w:p>
      <w:pPr>
        <w:pStyle w:val="ListParagraph"/>
        <w:numPr>
          <w:ilvl w:val="0"/>
          <w:numId w:val="9"/>
        </w:numPr>
        <w:tabs>
          <w:tab w:pos="809" w:val="left" w:leader="none"/>
          <w:tab w:pos="810" w:val="left" w:leader="none"/>
        </w:tabs>
        <w:spacing w:line="360" w:lineRule="auto" w:before="137" w:after="0"/>
        <w:ind w:left="102" w:right="123" w:firstLine="0"/>
        <w:jc w:val="left"/>
        <w:rPr>
          <w:sz w:val="24"/>
        </w:rPr>
      </w:pPr>
      <w:r>
        <w:rPr>
          <w:sz w:val="24"/>
        </w:rPr>
        <w:t>La marginación del trabajador que se ubica en las partes periféricas de la fábrica se le inserta en función de las</w:t>
      </w:r>
      <w:r>
        <w:rPr>
          <w:spacing w:val="-9"/>
          <w:sz w:val="24"/>
        </w:rPr>
        <w:t> </w:t>
      </w:r>
      <w:r>
        <w:rPr>
          <w:sz w:val="24"/>
        </w:rPr>
        <w:t>necesidades.</w:t>
      </w:r>
    </w:p>
    <w:p>
      <w:pPr>
        <w:pStyle w:val="ListParagraph"/>
        <w:numPr>
          <w:ilvl w:val="0"/>
          <w:numId w:val="9"/>
        </w:numPr>
        <w:tabs>
          <w:tab w:pos="809" w:val="left" w:leader="none"/>
          <w:tab w:pos="810" w:val="left" w:leader="none"/>
        </w:tabs>
        <w:spacing w:line="360" w:lineRule="auto" w:before="4" w:after="0"/>
        <w:ind w:left="102" w:right="125" w:firstLine="0"/>
        <w:jc w:val="left"/>
        <w:rPr>
          <w:sz w:val="24"/>
        </w:rPr>
      </w:pPr>
      <w:r>
        <w:rPr>
          <w:sz w:val="24"/>
        </w:rPr>
        <w:t>Surgen el trabajador censor, el trabajador rutinario como producto de la subordinación</w:t>
      </w:r>
      <w:r>
        <w:rPr>
          <w:spacing w:val="-4"/>
          <w:sz w:val="24"/>
        </w:rPr>
        <w:t> </w:t>
      </w:r>
      <w:r>
        <w:rPr>
          <w:sz w:val="24"/>
        </w:rPr>
        <w:t>automatizada.</w:t>
      </w:r>
    </w:p>
    <w:p>
      <w:pPr>
        <w:pStyle w:val="BodyText"/>
        <w:spacing w:line="360" w:lineRule="auto" w:before="4"/>
        <w:ind w:left="102" w:right="119" w:firstLine="707"/>
        <w:jc w:val="both"/>
      </w:pPr>
      <w:r>
        <w:rPr/>
        <w:t>El fordismo, como proceso de trabajo, es una prolongación del taylorismo y consiste en la profundización tanto de la división del trabajo como de la separación entre el trabajador y su capacidad intelectual, mediante la introducción de la cadena de producción semiautomática o línea de montaje.</w:t>
      </w:r>
    </w:p>
    <w:p>
      <w:pPr>
        <w:pStyle w:val="BodyText"/>
        <w:spacing w:line="360" w:lineRule="auto" w:before="4"/>
        <w:ind w:left="102" w:right="115" w:firstLine="707"/>
        <w:jc w:val="both"/>
      </w:pPr>
      <w:r>
        <w:rPr/>
        <w:t>Posteriormente surgió el toyotismo, una corriente de pensamiento orientada a la producción y al incremento de las ganancias por parte de los productores de mercancías, basada en el desarrollo de la industria japonesa. Se destaca por impulsar procesos </w:t>
      </w:r>
      <w:r>
        <w:rPr>
          <w:i/>
        </w:rPr>
        <w:t>just on </w:t>
      </w:r>
      <w:r>
        <w:rPr>
          <w:i/>
        </w:rPr>
        <w:t>time</w:t>
      </w:r>
      <w:r>
        <w:rPr/>
        <w:t>, donde la producción se ajusta a la demanda. Basada también en la flexibilidad productiva, que permite la especialización y contar con productos a la carta, específicos para un sector y bajo estándares de producción</w:t>
      </w:r>
      <w:r>
        <w:rPr>
          <w:spacing w:val="-7"/>
        </w:rPr>
        <w:t> </w:t>
      </w:r>
      <w:r>
        <w:rPr/>
        <w:t>avanzada.</w:t>
      </w:r>
    </w:p>
    <w:p>
      <w:pPr>
        <w:pStyle w:val="BodyText"/>
        <w:spacing w:line="360" w:lineRule="auto" w:before="4"/>
        <w:ind w:left="102" w:right="117" w:firstLine="707"/>
        <w:jc w:val="both"/>
      </w:pPr>
      <w:r>
        <w:rPr/>
        <w:t>El avance en la forma de producción lleva a utilizar nuevas tecnologías para el desarrollo de nuevos productos, pero también para garantizar el incremento de la producción apoyado por máquinas. La sistematización y estandarización de los productos es la regla en la etapa</w:t>
      </w:r>
      <w:r>
        <w:rPr>
          <w:spacing w:val="-7"/>
        </w:rPr>
        <w:t> </w:t>
      </w:r>
      <w:r>
        <w:rPr/>
        <w:t>postindustrial.</w:t>
      </w:r>
    </w:p>
    <w:p>
      <w:pPr>
        <w:pStyle w:val="BodyText"/>
        <w:spacing w:line="360" w:lineRule="auto" w:before="4"/>
        <w:ind w:left="102" w:right="116" w:firstLine="566"/>
        <w:jc w:val="both"/>
      </w:pPr>
      <w:r>
        <w:rPr/>
        <w:t>En este sentido, el desarrollo de la producción como elemento fundamental de la riqueza de los países, muestra la importancia que tienen las industrias para promover el desarrollo económico. En nuestro país, dichos procesos productivos se han impuesto y evolucionado por las propias industrias. Ante este contexto es posible entender cómo se dio el proceso de industrialización que en los siguientes apartados se exponen.</w:t>
      </w:r>
    </w:p>
    <w:p>
      <w:pPr>
        <w:pStyle w:val="BodyText"/>
      </w:pPr>
    </w:p>
    <w:p>
      <w:pPr>
        <w:pStyle w:val="Heading2"/>
        <w:numPr>
          <w:ilvl w:val="1"/>
          <w:numId w:val="10"/>
        </w:numPr>
        <w:tabs>
          <w:tab w:pos="463" w:val="left" w:leader="none"/>
        </w:tabs>
        <w:spacing w:line="240" w:lineRule="auto" w:before="148" w:after="0"/>
        <w:ind w:left="462" w:right="0" w:hanging="360"/>
        <w:jc w:val="both"/>
      </w:pPr>
      <w:bookmarkStart w:name="_TOC_250002" w:id="15"/>
      <w:bookmarkEnd w:id="15"/>
      <w:r>
        <w:rPr/>
        <w:t>Antecedentes</w:t>
      </w:r>
    </w:p>
    <w:p>
      <w:pPr>
        <w:pStyle w:val="BodyText"/>
        <w:spacing w:line="360" w:lineRule="auto" w:before="134"/>
        <w:ind w:left="102" w:right="120"/>
        <w:jc w:val="both"/>
      </w:pPr>
      <w:r>
        <w:rPr/>
        <w:t>El proceso de producción de manufacturas y productos en nuestro país estuvo históricamente restringido hasta antes de la independencia de 1821, esto se debió a las restricciones coloniales que se imponían a las manufacturas. Las haciendas en esta etapa producían para el consumo interno utilizando técnicas de producción tradicionales, el sector</w:t>
      </w:r>
    </w:p>
    <w:p>
      <w:pPr>
        <w:spacing w:after="0" w:line="360" w:lineRule="auto"/>
        <w:jc w:val="both"/>
        <w:sectPr>
          <w:pgSz w:w="12240" w:h="15840"/>
          <w:pgMar w:header="0" w:footer="1003" w:top="1360" w:bottom="1200" w:left="1600" w:right="1580"/>
        </w:sectPr>
      </w:pPr>
    </w:p>
    <w:p>
      <w:pPr>
        <w:pStyle w:val="BodyText"/>
        <w:spacing w:line="360" w:lineRule="auto" w:before="50"/>
        <w:ind w:left="122" w:right="114"/>
        <w:jc w:val="both"/>
      </w:pPr>
      <w:r>
        <w:rPr/>
        <w:t>minero se orientaba hacia la explotación y exportación de minerales preciosos, mientras  que las áreas urbanas, relativamente pequeñas, desarrollaban incipientes industrias artesanales y</w:t>
      </w:r>
      <w:r>
        <w:rPr>
          <w:spacing w:val="-6"/>
        </w:rPr>
        <w:t> </w:t>
      </w:r>
      <w:r>
        <w:rPr/>
        <w:t>comerciales.</w:t>
      </w:r>
    </w:p>
    <w:p>
      <w:pPr>
        <w:pStyle w:val="BodyText"/>
        <w:spacing w:line="360" w:lineRule="auto" w:before="6"/>
        <w:ind w:left="122" w:right="119" w:firstLine="707"/>
        <w:jc w:val="both"/>
      </w:pPr>
      <w:r>
        <w:rPr/>
        <w:t>En 1823, el Presidente de la República Lucas Alamán promovió la minería, inspirado en la concepción económica mercantilista. Posteriormente, en 1830 fundó el Banco de Avió, la primera oficina de gobierno mexicano para fomentar la industria haciendo préstamos a los empresarios, lo cual fue aprovechado por la industria textil, (Carpizo, 2006: 138). En este sentido, en la década de los cuarenta la industria textil era la principal en el país, con una ocupación de cerca de 11,000 obreros y representando el 10% del total de capitales invertidos en la producción manufacturera (Bejar y Casanova, 1970).</w:t>
      </w:r>
    </w:p>
    <w:p>
      <w:pPr>
        <w:pStyle w:val="BodyText"/>
        <w:spacing w:line="360" w:lineRule="auto" w:before="4"/>
        <w:ind w:left="122" w:right="118" w:firstLine="707"/>
        <w:jc w:val="both"/>
      </w:pPr>
      <w:r>
        <w:rPr/>
        <w:t>Así, podemos decir que desde el Siglo XIX se dieron diversos ejemplos de la producción de bienes, primero a partir de talleres, y posteriormente en fábricas. Pero es hasta finales de ese siglo cuando empezó el desarrollo industrial, con el gran apoyo de la inversión extranjera y del gobierno, este último dotó al país de infraestructura en comunicaciones y energía eléctrica, con lo cual el crecimiento industrial fue vigoroso en esos años (Solís, 1970).</w:t>
      </w:r>
    </w:p>
    <w:p>
      <w:pPr>
        <w:pStyle w:val="BodyText"/>
        <w:spacing w:line="352" w:lineRule="auto" w:before="4"/>
        <w:ind w:left="122" w:right="118" w:firstLine="707"/>
        <w:jc w:val="both"/>
      </w:pPr>
      <w:r>
        <w:rPr/>
        <w:t>En general, la incipiente comercialización generó las primeras empresas industriales dedicadas a surtir de materia prima a los negocios establecidos que comenzaban a proliferar en todo el país. Sin embargo, se pueden marcar los inicios de la industrialización de nuestro país durante el porfiriato,</w:t>
      </w:r>
      <w:r>
        <w:rPr>
          <w:position w:val="11"/>
          <w:sz w:val="16"/>
        </w:rPr>
        <w:t>25 </w:t>
      </w:r>
      <w:r>
        <w:rPr/>
        <w:t>cuando aumentó la relación con Estados Unidos y el capital externo. La construcción de la red ferroviaria repercutió de manera importante sobre el</w:t>
      </w:r>
    </w:p>
    <w:p>
      <w:pPr>
        <w:pStyle w:val="BodyText"/>
        <w:spacing w:line="360" w:lineRule="auto" w:before="14"/>
        <w:ind w:left="122" w:right="123"/>
        <w:jc w:val="both"/>
      </w:pPr>
      <w:r>
        <w:rPr/>
        <w:t>desarrollo posterior. Para 1910, la distribución sectorial de la inversión extranjera era la siguiente: ferrocarriles 33%, minería 27%, deuda pública 14.6%, banca y comercio 8.5%, electricidad y servicios públicos 7%, agricultura 5.7%, manufacturas 3.9% (Hernández, 1985: 24).</w:t>
      </w:r>
    </w:p>
    <w:p>
      <w:pPr>
        <w:pStyle w:val="BodyText"/>
        <w:spacing w:line="360" w:lineRule="auto" w:before="7"/>
        <w:ind w:left="122" w:right="119" w:firstLine="707"/>
        <w:jc w:val="both"/>
      </w:pPr>
      <w:r>
        <w:rPr/>
        <w:t>Este proceso de industrialización se vio frenado en 1910 debido a todas las luchas y conflictos internos que se vivían en el país, como preámbulo a la Revolución Mexicana. Hasta 1930 se empezaron a mostrar los signos de la recuperación, en esos años se alcanzó</w:t>
      </w:r>
    </w:p>
    <w:p>
      <w:pPr>
        <w:pStyle w:val="BodyText"/>
        <w:spacing w:before="4"/>
        <w:rPr>
          <w:sz w:val="10"/>
        </w:rPr>
      </w:pPr>
      <w:r>
        <w:rPr/>
        <w:pict>
          <v:line style="position:absolute;mso-position-horizontal-relative:page;mso-position-vertical-relative:paragraph;z-index:1528;mso-wrap-distance-left:0;mso-wrap-distance-right:0" from="85.103996pt,8.279782pt" to="229.123996pt,8.279782pt" stroked="true" strokeweight=".71997pt" strokecolor="#000000">
            <w10:wrap type="topAndBottom"/>
          </v:line>
        </w:pict>
      </w:r>
    </w:p>
    <w:p>
      <w:pPr>
        <w:spacing w:before="40"/>
        <w:ind w:left="122" w:right="118" w:firstLine="0"/>
        <w:jc w:val="both"/>
        <w:rPr>
          <w:sz w:val="20"/>
        </w:rPr>
      </w:pPr>
      <w:r>
        <w:rPr>
          <w:position w:val="9"/>
          <w:sz w:val="13"/>
        </w:rPr>
        <w:t>25 </w:t>
      </w:r>
      <w:r>
        <w:rPr>
          <w:sz w:val="20"/>
        </w:rPr>
        <w:t>El porfiriato se desarrolló de 1870 a 1910, caracterizándose por abrir las puertas al capital extranjero, lo que permitió acrecentar el proceso de capitalización e industrialización del país. Hernández (1985), estima que en el año de 1884 el capital extranjero en México ascendía a menos de 110 millones de pesos y para 1910 se incrementó a más de 3 mil 400 millones de pesos, lo que representaba más del 50% de la riqueza nacional del país.</w:t>
      </w:r>
    </w:p>
    <w:p>
      <w:pPr>
        <w:spacing w:after="0"/>
        <w:jc w:val="both"/>
        <w:rPr>
          <w:sz w:val="20"/>
        </w:rPr>
        <w:sectPr>
          <w:pgSz w:w="12240" w:h="15840"/>
          <w:pgMar w:header="0" w:footer="1003" w:top="1360" w:bottom="1200" w:left="1580" w:right="1580"/>
        </w:sectPr>
      </w:pPr>
    </w:p>
    <w:p>
      <w:pPr>
        <w:pStyle w:val="BodyText"/>
        <w:spacing w:line="360" w:lineRule="auto" w:before="50"/>
        <w:ind w:left="102" w:right="120"/>
        <w:jc w:val="both"/>
      </w:pPr>
      <w:r>
        <w:rPr/>
        <w:t>los niveles de producción que se tenía en 1910. Bejar y Casanova (1970) mencionan que el Producto Interno Bruto en 1910 fue de 14.7 millones de pesos; en 1921 de 15.9; para 1930 de 17.5 y finalmente en 1940 de 20.7 millones de pesos. A partir de este año la economía empezó a crecer iniciando la expansión industrial del país.</w:t>
      </w:r>
    </w:p>
    <w:p>
      <w:pPr>
        <w:pStyle w:val="BodyText"/>
      </w:pPr>
    </w:p>
    <w:p>
      <w:pPr>
        <w:pStyle w:val="Heading2"/>
        <w:numPr>
          <w:ilvl w:val="1"/>
          <w:numId w:val="10"/>
        </w:numPr>
        <w:tabs>
          <w:tab w:pos="463" w:val="left" w:leader="none"/>
        </w:tabs>
        <w:spacing w:line="240" w:lineRule="auto" w:before="148" w:after="0"/>
        <w:ind w:left="462" w:right="0" w:hanging="360"/>
        <w:jc w:val="both"/>
      </w:pPr>
      <w:r>
        <w:rPr/>
        <w:t>El Modelo de sustitución de importaciones. Primera etapa</w:t>
      </w:r>
      <w:r>
        <w:rPr>
          <w:spacing w:val="-10"/>
        </w:rPr>
        <w:t> </w:t>
      </w:r>
      <w:r>
        <w:rPr/>
        <w:t>(1939-1958)</w:t>
      </w:r>
    </w:p>
    <w:p>
      <w:pPr>
        <w:pStyle w:val="BodyText"/>
        <w:spacing w:line="360" w:lineRule="auto" w:before="132"/>
        <w:ind w:left="102" w:right="122"/>
        <w:jc w:val="both"/>
      </w:pPr>
      <w:r>
        <w:rPr/>
        <w:t>Al iniciar los años cuarenta se constituyó una etapa decisiva en la industrialización de nuestro país. Aunque antes ya existían algunas ramas que son importantes hasta nuestros días y que siguen destacando en el panorama manufacturero nacional.</w:t>
      </w:r>
    </w:p>
    <w:p>
      <w:pPr>
        <w:pStyle w:val="BodyText"/>
        <w:spacing w:line="360" w:lineRule="auto" w:before="7"/>
        <w:ind w:left="102" w:right="118" w:firstLine="707"/>
        <w:jc w:val="both"/>
      </w:pPr>
      <w:r>
        <w:rPr/>
        <w:t>Durante la Segunda Guerra Mundial el comercio mundial se contrajo y se dio una gran escasez de productos de todos los sectores, en virtud de que la mayor parte del aparato productivo de los países en guerra se dirigió a la industria bélica, descuidando la  producción de bienes de otra</w:t>
      </w:r>
      <w:r>
        <w:rPr>
          <w:spacing w:val="-7"/>
        </w:rPr>
        <w:t> </w:t>
      </w:r>
      <w:r>
        <w:rPr/>
        <w:t>naturaleza.</w:t>
      </w:r>
    </w:p>
    <w:p>
      <w:pPr>
        <w:pStyle w:val="BodyText"/>
        <w:spacing w:line="360" w:lineRule="auto" w:before="6"/>
        <w:ind w:left="102" w:right="117" w:firstLine="707"/>
        <w:jc w:val="both"/>
      </w:pPr>
      <w:r>
        <w:rPr/>
        <w:t>Es en este periodo cuando en nuestro país surgió una industria “infante” que  satisfizo necesidades no cubiertas, es decir, al reducirse el comercio mundial, la guerra favoreció la industrialización debido a que las empresas mexicanas estaban separadas de la competencia internacional. En otras palabras, nuestro país podía exportar materias primas  al mismo tiempo que se reducían las importaciones procedentes de los países involucrados en la guerra, por tanto, se presentó una balanza de pagos favorable y creció el mercado interno debido a las necesidades insatisfechas por la reducción de las importaciones y con ello la posibilidad de producir internamente lo que los países industriales no exportaban (Bejar y Casanova,</w:t>
      </w:r>
      <w:r>
        <w:rPr>
          <w:spacing w:val="-6"/>
        </w:rPr>
        <w:t> </w:t>
      </w:r>
      <w:r>
        <w:rPr/>
        <w:t>1970).</w:t>
      </w:r>
    </w:p>
    <w:p>
      <w:pPr>
        <w:pStyle w:val="BodyText"/>
        <w:spacing w:line="360" w:lineRule="auto" w:before="4"/>
        <w:ind w:left="102" w:right="119" w:firstLine="707"/>
        <w:jc w:val="both"/>
      </w:pPr>
      <w:r>
        <w:rPr/>
        <w:t>Ciertamente, el conflicto bélico puso a México en mejores condiciones de competencia y de industrialización. A partir de 1940 el gobierno tuvo que transformar estos beneficios en políticas de apoyo y aprovechamiento. El objetivo central de la política económica fue el crecimiento industrial mediante el crédito abundante, exenciones y reducciones fiscales, depresión salarial, proteccionismo, abasto de materias primas, subsidios e infraestructura a determinados sectores (Millán, 1999).</w:t>
      </w:r>
    </w:p>
    <w:p>
      <w:pPr>
        <w:pStyle w:val="BodyText"/>
        <w:spacing w:line="360" w:lineRule="auto" w:before="4"/>
        <w:ind w:left="102" w:right="117" w:firstLine="707"/>
        <w:jc w:val="both"/>
      </w:pPr>
      <w:r>
        <w:rPr/>
        <w:t>Ante estas condiciones, la industrialización tuvo gran auge, de tal forma que al finalizar la contienda bélica se estableció la producción de bienes. Por lo tanto para continuar  con  el  proceso  de  industrialización  era  necesario  proteger  a  las      empresas</w:t>
      </w:r>
    </w:p>
    <w:p>
      <w:pPr>
        <w:spacing w:after="0" w:line="360" w:lineRule="auto"/>
        <w:jc w:val="both"/>
        <w:sectPr>
          <w:pgSz w:w="12240" w:h="15840"/>
          <w:pgMar w:header="0" w:footer="1003" w:top="1360" w:bottom="1200" w:left="1600" w:right="1580"/>
        </w:sectPr>
      </w:pPr>
    </w:p>
    <w:p>
      <w:pPr>
        <w:pStyle w:val="BodyText"/>
        <w:spacing w:line="360" w:lineRule="auto" w:before="50"/>
        <w:ind w:left="122" w:right="120"/>
        <w:jc w:val="both"/>
      </w:pPr>
      <w:r>
        <w:rPr/>
        <w:t>nacionales de la competencia internacional: el gobierno cerró la economía para no permitir la desaparición de la industria naciente, surgiendo entonces la política del llamado: Modelo de Sustitución de Importaciones (MSI).</w:t>
      </w:r>
    </w:p>
    <w:p>
      <w:pPr>
        <w:pStyle w:val="BodyText"/>
        <w:spacing w:line="360" w:lineRule="auto" w:before="6"/>
        <w:ind w:left="122" w:right="243" w:firstLine="707"/>
      </w:pPr>
      <w:r>
        <w:rPr/>
        <w:t>El MSI, tenía como principal objetivo producir internamente todos los productos para disminuir  la compra de productos extranjeros. Ésta política se dividió en dos etapas:</w:t>
      </w:r>
    </w:p>
    <w:p>
      <w:pPr>
        <w:pStyle w:val="BodyText"/>
        <w:spacing w:before="6"/>
        <w:ind w:left="830" w:right="118"/>
      </w:pPr>
      <w:r>
        <w:rPr/>
        <w:t>1.-Sustitución de importaciones de bienes de consumo ligero o bienes de    consumo</w:t>
      </w:r>
    </w:p>
    <w:p>
      <w:pPr>
        <w:pStyle w:val="BodyText"/>
        <w:spacing w:before="137"/>
        <w:ind w:left="122" w:right="243"/>
      </w:pPr>
      <w:r>
        <w:rPr/>
        <w:t>final.</w:t>
      </w:r>
    </w:p>
    <w:p>
      <w:pPr>
        <w:pStyle w:val="BodyText"/>
        <w:spacing w:before="139"/>
        <w:ind w:left="830" w:right="84"/>
      </w:pPr>
      <w:r>
        <w:rPr/>
        <w:t>2.-Sustitución de importaciones de bienes complejos o de consumo duradero (bienes</w:t>
      </w:r>
    </w:p>
    <w:p>
      <w:pPr>
        <w:pStyle w:val="BodyText"/>
        <w:spacing w:before="137"/>
        <w:ind w:left="122"/>
        <w:jc w:val="both"/>
      </w:pPr>
      <w:r>
        <w:rPr/>
        <w:t>intermedios y de capital).</w:t>
      </w:r>
    </w:p>
    <w:p>
      <w:pPr>
        <w:pStyle w:val="BodyText"/>
        <w:spacing w:line="360" w:lineRule="auto" w:before="140"/>
        <w:ind w:left="122" w:right="117" w:firstLine="707"/>
        <w:jc w:val="both"/>
      </w:pPr>
      <w:r>
        <w:rPr/>
        <w:t>Es durante la primera etapa del MSI, que el Estado comenzó a tener un papel central en el proceso de industrialización, </w:t>
      </w:r>
      <w:r>
        <w:rPr>
          <w:spacing w:val="-3"/>
        </w:rPr>
        <w:t>ya </w:t>
      </w:r>
      <w:r>
        <w:rPr/>
        <w:t>que estableció una política de promoción, apoyando  la inversión pública y una política de protección y fomento para estimular la instalación y ampliación industrial, y así disminuir la dependencia de las importaciones mediante su sustitución.</w:t>
      </w:r>
    </w:p>
    <w:p>
      <w:pPr>
        <w:pStyle w:val="BodyText"/>
        <w:spacing w:line="352" w:lineRule="auto" w:before="4"/>
        <w:ind w:left="122" w:right="115" w:firstLine="707"/>
        <w:jc w:val="both"/>
      </w:pPr>
      <w:r>
        <w:rPr/>
        <w:t>Es así como después de 1940 hubo una intensa actividad nacional para promover la industrialización por medio, principalmente de los incentivos fiscales</w:t>
      </w:r>
      <w:r>
        <w:rPr>
          <w:position w:val="11"/>
          <w:sz w:val="16"/>
        </w:rPr>
        <w:t>26</w:t>
      </w:r>
      <w:r>
        <w:rPr/>
        <w:t>. No sorprende que  el grueso de las exenciones de impuestos se orientara a las ciudades más grandes, al no contar el esquema con criterios de discriminación regional. Su influencia para atraer industrias</w:t>
      </w:r>
      <w:r>
        <w:rPr>
          <w:spacing w:val="31"/>
        </w:rPr>
        <w:t> </w:t>
      </w:r>
      <w:r>
        <w:rPr/>
        <w:t>a</w:t>
      </w:r>
      <w:r>
        <w:rPr>
          <w:spacing w:val="31"/>
        </w:rPr>
        <w:t> </w:t>
      </w:r>
      <w:r>
        <w:rPr/>
        <w:t>localidades</w:t>
      </w:r>
      <w:r>
        <w:rPr>
          <w:spacing w:val="35"/>
        </w:rPr>
        <w:t> </w:t>
      </w:r>
      <w:r>
        <w:rPr/>
        <w:t>específicas</w:t>
      </w:r>
      <w:r>
        <w:rPr>
          <w:spacing w:val="32"/>
        </w:rPr>
        <w:t> </w:t>
      </w:r>
      <w:r>
        <w:rPr/>
        <w:t>fue</w:t>
      </w:r>
      <w:r>
        <w:rPr>
          <w:spacing w:val="30"/>
        </w:rPr>
        <w:t> </w:t>
      </w:r>
      <w:r>
        <w:rPr/>
        <w:t>insignificante,</w:t>
      </w:r>
      <w:r>
        <w:rPr>
          <w:spacing w:val="31"/>
        </w:rPr>
        <w:t> </w:t>
      </w:r>
      <w:r>
        <w:rPr/>
        <w:t>sin</w:t>
      </w:r>
      <w:r>
        <w:rPr>
          <w:spacing w:val="33"/>
        </w:rPr>
        <w:t> </w:t>
      </w:r>
      <w:r>
        <w:rPr/>
        <w:t>embargo,</w:t>
      </w:r>
      <w:r>
        <w:rPr>
          <w:spacing w:val="32"/>
        </w:rPr>
        <w:t> </w:t>
      </w:r>
      <w:r>
        <w:rPr/>
        <w:t>el</w:t>
      </w:r>
      <w:r>
        <w:rPr>
          <w:spacing w:val="32"/>
        </w:rPr>
        <w:t> </w:t>
      </w:r>
      <w:r>
        <w:rPr/>
        <w:t>Estado</w:t>
      </w:r>
      <w:r>
        <w:rPr>
          <w:spacing w:val="31"/>
        </w:rPr>
        <w:t> </w:t>
      </w:r>
      <w:r>
        <w:rPr/>
        <w:t>de</w:t>
      </w:r>
      <w:r>
        <w:rPr>
          <w:spacing w:val="31"/>
        </w:rPr>
        <w:t> </w:t>
      </w:r>
      <w:r>
        <w:rPr/>
        <w:t>México</w:t>
      </w:r>
    </w:p>
    <w:p>
      <w:pPr>
        <w:pStyle w:val="BodyText"/>
        <w:spacing w:line="360" w:lineRule="auto" w:before="14"/>
        <w:ind w:left="122" w:right="117"/>
        <w:jc w:val="both"/>
      </w:pPr>
      <w:r>
        <w:rPr/>
        <w:t>continuó ofreciendo estos tipos de incentivos hasta mediados de los sesenta. Por tanto varias empresas se ubicaron en los municipios contiguos de esta entidad, lo cual les permitió no perder las ventajas de proximidad a la Ciudad de México, principal centro de consumo.</w:t>
      </w:r>
    </w:p>
    <w:p>
      <w:pPr>
        <w:pStyle w:val="BodyText"/>
        <w:spacing w:line="360" w:lineRule="auto" w:before="6"/>
        <w:ind w:left="122" w:right="119" w:firstLine="707"/>
        <w:jc w:val="both"/>
      </w:pPr>
      <w:r>
        <w:rPr/>
        <w:t>En efecto, esta expansión industrial hacia el Estado de México, donde las empresas podían obtener lotes más grandes y más baratos, comenzó a tener lugar aún antes de los cincuenta como resultado de las crecientes dificultades de las empresas para establecerse y/o expandirse. El esquema ayudó a acelerar la formación de la zona metropolitana de la Ciudad de México (Aguilar, 1993). A partir de 1940, cerca del 30% de toda la inversión pública se encaminó hacia el sector industrial (Czerny,</w:t>
      </w:r>
      <w:r>
        <w:rPr>
          <w:spacing w:val="-12"/>
        </w:rPr>
        <w:t> </w:t>
      </w:r>
      <w:r>
        <w:rPr/>
        <w:t>1978).</w:t>
      </w:r>
    </w:p>
    <w:p>
      <w:pPr>
        <w:pStyle w:val="BodyText"/>
        <w:spacing w:before="3"/>
        <w:rPr>
          <w:sz w:val="14"/>
        </w:rPr>
      </w:pPr>
      <w:r>
        <w:rPr/>
        <w:pict>
          <v:line style="position:absolute;mso-position-horizontal-relative:page;mso-position-vertical-relative:paragraph;z-index:1552;mso-wrap-distance-left:0;mso-wrap-distance-right:0" from="85.103996pt,10.559782pt" to="229.123996pt,10.559782pt" stroked="true" strokeweight=".71997pt" strokecolor="#000000">
            <w10:wrap type="topAndBottom"/>
          </v:line>
        </w:pict>
      </w:r>
    </w:p>
    <w:p>
      <w:pPr>
        <w:spacing w:before="42"/>
        <w:ind w:left="122" w:right="117" w:firstLine="0"/>
        <w:jc w:val="both"/>
        <w:rPr>
          <w:sz w:val="20"/>
        </w:rPr>
      </w:pPr>
      <w:r>
        <w:rPr>
          <w:position w:val="9"/>
          <w:sz w:val="13"/>
        </w:rPr>
        <w:t>26 </w:t>
      </w:r>
      <w:r>
        <w:rPr>
          <w:sz w:val="20"/>
        </w:rPr>
        <w:t>En 1942 se establecieron dos grupos con actividad planificadora de desarrollo socio-económico regional. Por un lado la Comisión Federal de Planificación Económica y por otro, el Consejo Mixto de Economía Regional. Véase Czerny (1978).</w:t>
      </w:r>
    </w:p>
    <w:p>
      <w:pPr>
        <w:spacing w:after="0"/>
        <w:jc w:val="both"/>
        <w:rPr>
          <w:sz w:val="20"/>
        </w:rPr>
        <w:sectPr>
          <w:pgSz w:w="12240" w:h="15840"/>
          <w:pgMar w:header="0" w:footer="1003" w:top="1360" w:bottom="1200" w:left="1580" w:right="1580"/>
        </w:sectPr>
      </w:pPr>
    </w:p>
    <w:p>
      <w:pPr>
        <w:pStyle w:val="BodyText"/>
        <w:spacing w:line="360" w:lineRule="auto" w:before="50"/>
        <w:ind w:left="102" w:right="117" w:firstLine="707"/>
        <w:jc w:val="both"/>
      </w:pPr>
      <w:r>
        <w:rPr/>
        <w:t>Prueba de ello son las leyes de fomento, que concedían diversas exenciones y reducciones fiscales. La Ley de Industrias y Transformación promulgada en 1941 y la Ley de Fomento de Industrias de Transformación, efectiva a partir de 1945 elevó la protección arancelaria y estableció el mecanismo de licencias de importación. También desde 1940, las leyes de extensión fiscal estatal, las cuales concedían diversas dispensas para periodos que variaban de 10 a 30 años, dependiendo de la entidad donde se establecían las empresas.  Otra Ley de Industrias Nuevas y Necesarias fue ampliamente utilizada para industrializar el país desde su promulgación en 1941. Aunque de acuerdo con (Czerny, 1978), de todas las empresas favorecidas por la política de incentivos fiscales, el 70% correspondió a industrias de la región central pertenecientes a la Zona Metropolitana de la Ciudad de</w:t>
      </w:r>
      <w:r>
        <w:rPr>
          <w:spacing w:val="-10"/>
        </w:rPr>
        <w:t> </w:t>
      </w:r>
      <w:r>
        <w:rPr/>
        <w:t>México.</w:t>
      </w:r>
    </w:p>
    <w:p>
      <w:pPr>
        <w:pStyle w:val="BodyText"/>
        <w:spacing w:before="4"/>
        <w:ind w:left="810"/>
      </w:pPr>
      <w:r>
        <w:rPr/>
        <w:t>El proceso de sustitución de importaciones tenía como objetivo lograr entre 1940   y</w:t>
      </w:r>
    </w:p>
    <w:p>
      <w:pPr>
        <w:spacing w:after="0"/>
        <w:sectPr>
          <w:footerReference w:type="default" r:id="rId18"/>
          <w:pgSz w:w="12240" w:h="15840"/>
          <w:pgMar w:footer="1003" w:header="0" w:top="1360" w:bottom="1200" w:left="1600" w:right="1580"/>
        </w:sectPr>
      </w:pPr>
    </w:p>
    <w:p>
      <w:pPr>
        <w:pStyle w:val="BodyText"/>
        <w:spacing w:before="139"/>
        <w:ind w:left="102" w:right="-20"/>
      </w:pPr>
      <w:r>
        <w:rPr/>
        <w:t>1950:</w:t>
      </w:r>
    </w:p>
    <w:p>
      <w:pPr>
        <w:pStyle w:val="BodyText"/>
      </w:pPr>
      <w:r>
        <w:rPr/>
        <w:br w:type="column"/>
      </w:r>
      <w:r>
        <w:rPr/>
      </w:r>
    </w:p>
    <w:p>
      <w:pPr>
        <w:pStyle w:val="BodyText"/>
      </w:pPr>
    </w:p>
    <w:p>
      <w:pPr>
        <w:pStyle w:val="ListParagraph"/>
        <w:numPr>
          <w:ilvl w:val="2"/>
          <w:numId w:val="10"/>
        </w:numPr>
        <w:tabs>
          <w:tab w:pos="1519" w:val="left" w:leader="none"/>
        </w:tabs>
        <w:spacing w:line="360" w:lineRule="auto" w:before="0" w:after="0"/>
        <w:ind w:left="474" w:right="119" w:firstLine="708"/>
        <w:jc w:val="both"/>
        <w:rPr>
          <w:sz w:val="24"/>
        </w:rPr>
      </w:pPr>
      <w:r>
        <w:rPr>
          <w:sz w:val="24"/>
        </w:rPr>
        <w:t>Crecimiento de la planta industrial con políticas de estímulo a la instalación o</w:t>
      </w:r>
      <w:r>
        <w:rPr>
          <w:spacing w:val="-5"/>
          <w:sz w:val="24"/>
        </w:rPr>
        <w:t> </w:t>
      </w:r>
      <w:r>
        <w:rPr>
          <w:sz w:val="24"/>
        </w:rPr>
        <w:t>ampliación.</w:t>
      </w:r>
    </w:p>
    <w:p>
      <w:pPr>
        <w:pStyle w:val="ListParagraph"/>
        <w:numPr>
          <w:ilvl w:val="2"/>
          <w:numId w:val="10"/>
        </w:numPr>
        <w:tabs>
          <w:tab w:pos="1519" w:val="left" w:leader="none"/>
        </w:tabs>
        <w:spacing w:line="360" w:lineRule="auto" w:before="4" w:after="0"/>
        <w:ind w:left="474" w:right="119" w:firstLine="708"/>
        <w:jc w:val="both"/>
        <w:rPr>
          <w:sz w:val="24"/>
        </w:rPr>
      </w:pPr>
      <w:r>
        <w:rPr>
          <w:sz w:val="24"/>
        </w:rPr>
        <w:t>Disminución del grado de dependencia del exterior, sobre todo de la economía de Estados Unidos, se intentó que los bienes importados se produjeran domésticamente, de ahí que se promoviera la instalación de industrias necesarias.</w:t>
      </w:r>
    </w:p>
    <w:p>
      <w:pPr>
        <w:pStyle w:val="BodyText"/>
        <w:spacing w:before="4"/>
        <w:ind w:left="102"/>
      </w:pPr>
      <w:r>
        <w:rPr/>
        <w:t>Tello  (2007),  plantea  que  durante  los  años  de  la  Segunda  Guerra  Mundial   la</w:t>
      </w:r>
    </w:p>
    <w:p>
      <w:pPr>
        <w:spacing w:after="0"/>
        <w:sectPr>
          <w:type w:val="continuous"/>
          <w:pgSz w:w="12240" w:h="15840"/>
          <w:pgMar w:top="500" w:bottom="1200" w:left="1600" w:right="1580"/>
          <w:cols w:num="2" w:equalWidth="0">
            <w:col w:w="649" w:space="59"/>
            <w:col w:w="8352"/>
          </w:cols>
        </w:sectPr>
      </w:pPr>
    </w:p>
    <w:p>
      <w:pPr>
        <w:pStyle w:val="BodyText"/>
        <w:spacing w:line="360" w:lineRule="auto" w:before="139"/>
        <w:ind w:left="102" w:right="121"/>
        <w:jc w:val="both"/>
      </w:pPr>
      <w:r>
        <w:rPr/>
        <w:t>demanda externa explica el crecimiento de la economía, y que a partir de 1946 la demanda interna se convirtió en el motor de la economía mexicana, además de que también fue en parte determinado por la naturaleza y por las características que tuvo la intervención del Estado en esos años. Durante 1940 a 1954 la economía creció a un ritmo acelerado, la tasa de crecimiento media anual fue de 6.0% y el PIB por persona de 3.0%.</w:t>
      </w:r>
    </w:p>
    <w:p>
      <w:pPr>
        <w:pStyle w:val="BodyText"/>
        <w:spacing w:line="360" w:lineRule="auto" w:before="4"/>
        <w:ind w:left="102" w:right="118" w:firstLine="707"/>
        <w:jc w:val="both"/>
      </w:pPr>
      <w:r>
        <w:rPr/>
        <w:t>Por su parte Santaella (1998) sugiere que la mayor parte de crecimiento del PIB en México durante el periodo de la posguerra se debió a una fuerte acumulación de capital físico. Cárdenas (1996) es coincidente con estos planteamientos y sostiene que el PIB entre 1950 y 1962 creció a una tasa promedio de 6.2% y en términos </w:t>
      </w:r>
      <w:r>
        <w:rPr>
          <w:i/>
        </w:rPr>
        <w:t>per cápita </w:t>
      </w:r>
      <w:r>
        <w:rPr/>
        <w:t>a 3.0% en promedio al año. De acuerdo con este autor el ahorro interno era suficiente para financiar la inversión estatal y poder crecer a tasas elevadas con recursos propios,  porque la brecha entre ahorro e inversión fue reducida. El crecimiento de estos años tuvo su causa   principal</w:t>
      </w:r>
    </w:p>
    <w:p>
      <w:pPr>
        <w:spacing w:after="0" w:line="360" w:lineRule="auto"/>
        <w:jc w:val="both"/>
        <w:sectPr>
          <w:type w:val="continuous"/>
          <w:pgSz w:w="12240" w:h="15840"/>
          <w:pgMar w:top="500" w:bottom="1200" w:left="1600" w:right="1580"/>
        </w:sectPr>
      </w:pPr>
    </w:p>
    <w:p>
      <w:pPr>
        <w:pStyle w:val="BodyText"/>
        <w:spacing w:line="362" w:lineRule="auto" w:before="50"/>
        <w:ind w:left="122" w:right="120"/>
        <w:jc w:val="both"/>
      </w:pPr>
      <w:r>
        <w:rPr/>
        <w:t>en la demanda del mercado interno, aunado a que la inversión en infraestructura sirvió de base para el crecimiento económico de los años sesenta.</w:t>
      </w:r>
    </w:p>
    <w:p>
      <w:pPr>
        <w:pStyle w:val="BodyText"/>
        <w:spacing w:line="360" w:lineRule="auto" w:before="1"/>
        <w:ind w:left="122" w:right="120" w:firstLine="707"/>
        <w:jc w:val="both"/>
      </w:pPr>
      <w:r>
        <w:rPr/>
        <w:t>Lo anterior muestra que en este periodo la economía creció debido a la demanda interna, a la intervención estatal y las inversiones tanto públicas como privadas canalizadas a lograr la industrialización del país, llevando el modelo Sustitución de importaciones a otra etapa, que a continuación se describe.</w:t>
      </w:r>
    </w:p>
    <w:p>
      <w:pPr>
        <w:pStyle w:val="BodyText"/>
      </w:pPr>
    </w:p>
    <w:p>
      <w:pPr>
        <w:pStyle w:val="Heading2"/>
        <w:numPr>
          <w:ilvl w:val="1"/>
          <w:numId w:val="10"/>
        </w:numPr>
        <w:tabs>
          <w:tab w:pos="482" w:val="left" w:leader="none"/>
        </w:tabs>
        <w:spacing w:line="240" w:lineRule="auto" w:before="148" w:after="0"/>
        <w:ind w:left="482" w:right="0" w:hanging="360"/>
        <w:jc w:val="both"/>
      </w:pPr>
      <w:r>
        <w:rPr/>
        <w:t>El Modelo de Sustitución de importaciones. Etapa avanzada</w:t>
      </w:r>
      <w:r>
        <w:rPr>
          <w:spacing w:val="-10"/>
        </w:rPr>
        <w:t> </w:t>
      </w:r>
      <w:r>
        <w:rPr/>
        <w:t>(1959-1970)</w:t>
      </w:r>
    </w:p>
    <w:p>
      <w:pPr>
        <w:pStyle w:val="BodyText"/>
        <w:spacing w:line="360" w:lineRule="auto" w:before="132"/>
        <w:ind w:left="122" w:right="114"/>
        <w:jc w:val="both"/>
      </w:pPr>
      <w:r>
        <w:rPr/>
        <w:t>Es preciso mencionar la segunda etapa de sustitución de importaciones, proyecto conocido como orientado hacia adentro, dio lugar a la etapa conocida como Desarrollo Estabilizador, cuyos principales objetivos fueron: aumentar el ritmo del crecimiento del PIB así como lograr estabilidad cambiaria, inflacionaria y política. De acuerdo con Millán (1999), estos objetivos se lograron en un periodo de corto plazo ya que durante más de una década el producto creció a una tasa media anual de 6% aproximadamente, el Índice Nacional de Precios al Consumidor (INPC) no rebasó el 4% anual y el tipo de cambio se mantuvo en</w:t>
      </w:r>
    </w:p>
    <w:p>
      <w:pPr>
        <w:pStyle w:val="BodyText"/>
        <w:spacing w:before="6"/>
        <w:ind w:left="122"/>
        <w:jc w:val="both"/>
      </w:pPr>
      <w:r>
        <w:rPr/>
        <w:t>12.50 por los siguientes 20 años.</w:t>
      </w:r>
    </w:p>
    <w:p>
      <w:pPr>
        <w:pStyle w:val="BodyText"/>
        <w:spacing w:line="360" w:lineRule="auto" w:before="137"/>
        <w:ind w:left="122" w:right="117" w:firstLine="707"/>
        <w:jc w:val="both"/>
      </w:pPr>
      <w:r>
        <w:rPr/>
        <w:t>Para lograr estos objetivos se tuvo la necesidad de un mayor endeudamiento externo por parte del gobierno, ya que los impuestos y precios de bienes y servicios públicos se mantuvieron estables al igual que la oferta monetaria. Por lo tanto, la expansión del gasto público y la inversión extranjera directa se fueron incrementando considerablemente,  ya que las divisas obtenidas por el sector primario disminuyeron.</w:t>
      </w:r>
    </w:p>
    <w:p>
      <w:pPr>
        <w:pStyle w:val="BodyText"/>
        <w:spacing w:line="350" w:lineRule="auto" w:before="6"/>
        <w:ind w:left="122" w:right="114" w:firstLine="707"/>
        <w:jc w:val="both"/>
      </w:pPr>
      <w:r>
        <w:rPr/>
        <w:t>Siguiendo la cronología histórica, en los años sesenta el gobierno fomentó los programas de integración de algunas industrias, principalmente la automotriz</w:t>
      </w:r>
      <w:r>
        <w:rPr>
          <w:position w:val="11"/>
          <w:sz w:val="16"/>
        </w:rPr>
        <w:t>27</w:t>
      </w:r>
      <w:r>
        <w:rPr/>
        <w:t>. En esta década el desarrollo industrial de nuestro país se dirigió principalmente a sustituir la importación  de  bienes  de  consumo  perecedero  ya  que  en  1960  se  otorgó  la  más alta</w:t>
      </w:r>
    </w:p>
    <w:p>
      <w:pPr>
        <w:pStyle w:val="BodyText"/>
        <w:rPr>
          <w:sz w:val="20"/>
        </w:rPr>
      </w:pPr>
    </w:p>
    <w:p>
      <w:pPr>
        <w:pStyle w:val="BodyText"/>
        <w:spacing w:before="3"/>
        <w:rPr>
          <w:sz w:val="19"/>
        </w:rPr>
      </w:pPr>
      <w:r>
        <w:rPr/>
        <w:pict>
          <v:line style="position:absolute;mso-position-horizontal-relative:page;mso-position-vertical-relative:paragraph;z-index:1576;mso-wrap-distance-left:0;mso-wrap-distance-right:0" from="85.103996pt,13.422323pt" to="229.123996pt,13.422323pt" stroked="true" strokeweight=".71997pt" strokecolor="#000000">
            <w10:wrap type="topAndBottom"/>
          </v:line>
        </w:pict>
      </w:r>
    </w:p>
    <w:p>
      <w:pPr>
        <w:spacing w:before="42"/>
        <w:ind w:left="122" w:right="116" w:firstLine="0"/>
        <w:jc w:val="both"/>
        <w:rPr>
          <w:sz w:val="20"/>
        </w:rPr>
      </w:pPr>
      <w:r>
        <w:rPr>
          <w:position w:val="9"/>
          <w:sz w:val="13"/>
        </w:rPr>
        <w:t>27 </w:t>
      </w:r>
      <w:r>
        <w:rPr>
          <w:sz w:val="20"/>
        </w:rPr>
        <w:t>En el último informe de gobierno de Gustavo Baz se tiene: “Las reformas a la Ley de Protección a la Industria que crea mayores atractivos a los inversionistas en zonas alejadas del Valle de México, han comenzado a dar los frutos requeridos. En armonía con la política estructurada al respecto por el señor Presidente de la República, hemos tenido especial interés por radicar dentro del Estado de México las principales fábricas constructoras de vehículos automóviles; y es muy grato informar a Vuestra soberanía que hemos logrado la radicación de tres industrias automotrices más importantes como son la Fábrica Automex, S.A; la General Motors de México, S.A, que construirán sus productos en el Valle de Toluca y también dentro del Estado de México; la Ford Motor Company que radicará en Cuautitlán; además de la Promexa que controla la marca Wolkswagen” (Bejar y Casanova, 1970:</w:t>
      </w:r>
      <w:r>
        <w:rPr>
          <w:spacing w:val="-19"/>
          <w:sz w:val="20"/>
        </w:rPr>
        <w:t> </w:t>
      </w:r>
      <w:r>
        <w:rPr>
          <w:sz w:val="20"/>
        </w:rPr>
        <w:t>189).</w:t>
      </w:r>
    </w:p>
    <w:p>
      <w:pPr>
        <w:spacing w:after="0"/>
        <w:jc w:val="both"/>
        <w:rPr>
          <w:sz w:val="20"/>
        </w:rPr>
        <w:sectPr>
          <w:footerReference w:type="default" r:id="rId19"/>
          <w:pgSz w:w="12240" w:h="15840"/>
          <w:pgMar w:footer="1003" w:header="0" w:top="1360" w:bottom="1200" w:left="1580" w:right="1580"/>
          <w:pgNumType w:start="51"/>
        </w:sectPr>
      </w:pPr>
    </w:p>
    <w:p>
      <w:pPr>
        <w:pStyle w:val="BodyText"/>
        <w:spacing w:line="362" w:lineRule="auto" w:before="50"/>
        <w:ind w:left="102" w:right="121"/>
      </w:pPr>
      <w:r>
        <w:rPr/>
        <w:t>protección arancelaria a los bienes industriales de consumo no durable como los textiles, productos de madera y papel.</w:t>
      </w:r>
    </w:p>
    <w:p>
      <w:pPr>
        <w:pStyle w:val="BodyText"/>
        <w:spacing w:line="360" w:lineRule="auto" w:before="1"/>
        <w:ind w:left="102" w:right="121" w:firstLine="707"/>
        <w:jc w:val="both"/>
      </w:pPr>
      <w:r>
        <w:rPr/>
        <w:t>Durante el periodo de 1950 a 1975, México diversificó su estructura industrial, en la cual estaban mayormente representados los bienes intermedios de consumo durable y de capital. A pesar de estos cambios, la manufactura mexicana se orientó en forma preferente hacia la producción de bienes tradicionales, particularmente alimentos y textiles. Esto se presentó, de acuerdo con Hernández (1985), por la estructura proteccionista y las tasas de cambio tecnológico que habían sido determinantes en la asignación de recursos dentro del sector manufacturero.</w:t>
      </w:r>
    </w:p>
    <w:p>
      <w:pPr>
        <w:pStyle w:val="BodyText"/>
        <w:spacing w:line="360" w:lineRule="auto" w:before="7"/>
        <w:ind w:left="102" w:right="118" w:firstLine="707"/>
        <w:jc w:val="both"/>
      </w:pPr>
      <w:r>
        <w:rPr/>
        <w:t>Asimismo, una característica importante de la estructura industrial prevaleciente en el país fue el acentuado proceso de concentración que tiene sus raíces en el acceso al uso de tecnología diferenciada. Hernández (1985), muestra que mientras las grandes plantas industriales utilizaban en este periodo procesos tecnológicos intensivos de capital, las pequeñas empresas de carácter artesanal utilizaban tecnologías rudimentarias que en términos relativos son intensivas en mano de obra.</w:t>
      </w:r>
    </w:p>
    <w:p>
      <w:pPr>
        <w:pStyle w:val="BodyText"/>
        <w:spacing w:line="360" w:lineRule="auto" w:before="6"/>
        <w:ind w:left="102" w:right="120" w:firstLine="707"/>
        <w:jc w:val="both"/>
      </w:pPr>
      <w:r>
        <w:rPr/>
        <w:t>El modelo de sustitución de importaciones que duró de los años cuarenta hasta los setenta desempeño un papel favorable en el crecimiento de la economía, porque de acuerdo con Tello (2007), fue el factor dinámico del crecimiento industrial, sin embargo, en 1970 este modelo ya mostraba claros signos de debilitamiento. Como parte de la política de industrialización impulsada por el gobierno federal, en 1974 se crearon los Comités Promotores del Desarrollo Socioeconómico Estatal. De acuerdo con Czerny (1978), estos comités elaboraban programas de inversiones federales a nivel de entidades federativas.</w:t>
      </w:r>
    </w:p>
    <w:p>
      <w:pPr>
        <w:spacing w:before="3"/>
        <w:ind w:left="668" w:right="687" w:firstLine="0"/>
        <w:jc w:val="both"/>
        <w:rPr>
          <w:sz w:val="22"/>
        </w:rPr>
      </w:pPr>
      <w:r>
        <w:rPr>
          <w:sz w:val="22"/>
        </w:rPr>
        <w:t>“Con el objetivo de coordinar las acciones de los comités se fundó a principios de 1974, la Dirección General de Desarrollo Regional en la Secretaría de la Presidencia. Este organismo se propuso crear los mecanismos de coordinación entre los esfuerzos nacionales y entre los regionales y estatales. En 1975 se creó la Comisión Nacional de Desarrollo Regional. Esta comisión integró a los directores de organismos descentralizados y empresas de participación estatal y fue presidida por el secretario de la presidencia” (Czerny, 1978:</w:t>
      </w:r>
      <w:r>
        <w:rPr>
          <w:spacing w:val="-8"/>
          <w:sz w:val="22"/>
        </w:rPr>
        <w:t> </w:t>
      </w:r>
      <w:r>
        <w:rPr>
          <w:sz w:val="22"/>
        </w:rPr>
        <w:t>13).</w:t>
      </w:r>
    </w:p>
    <w:p>
      <w:pPr>
        <w:pStyle w:val="BodyText"/>
        <w:spacing w:before="10"/>
        <w:rPr>
          <w:sz w:val="21"/>
        </w:rPr>
      </w:pPr>
    </w:p>
    <w:p>
      <w:pPr>
        <w:pStyle w:val="BodyText"/>
        <w:spacing w:line="360" w:lineRule="auto"/>
        <w:ind w:left="102" w:right="168" w:firstLine="566"/>
        <w:jc w:val="both"/>
      </w:pPr>
      <w:r>
        <w:rPr/>
        <w:t>Este esfuerzo de apoyo a la descentralización y desarrollo regional tuvo fuertes iniciativas de apoyo a la industria, logrando impulsar de manera decisiva acciones de desarrollo regional que duraron mientras el gobierno inyectó recursos y apoyos económicos.</w:t>
      </w:r>
    </w:p>
    <w:p>
      <w:pPr>
        <w:spacing w:after="0" w:line="360" w:lineRule="auto"/>
        <w:jc w:val="both"/>
        <w:sectPr>
          <w:pgSz w:w="12240" w:h="15840"/>
          <w:pgMar w:header="0" w:footer="1003" w:top="1360" w:bottom="1200" w:left="1600" w:right="1580"/>
        </w:sectPr>
      </w:pPr>
    </w:p>
    <w:p>
      <w:pPr>
        <w:pStyle w:val="BodyText"/>
        <w:spacing w:line="355" w:lineRule="auto" w:before="50"/>
        <w:ind w:left="122" w:right="114" w:firstLine="707"/>
        <w:jc w:val="both"/>
        <w:rPr>
          <w:sz w:val="16"/>
        </w:rPr>
      </w:pPr>
      <w:r>
        <w:rPr/>
        <w:t>Posteriormente con la crisis de la deuda, en los años ochenta era evidente que el Modelo de Sustitución de Importaciones había traído problemas, tales como ineficiencias y pérdida de competitividad de la planta productiva porque no se adoptaron nuevas tecnologías, ni se lograron innovaciones, además del colapso del sector agropecuario y la creciente dependencia financiera del exterior, ya que la subordinación al capital extranjero comenzó durante el periodo del “Desarrollo Estabilizador” de 1940  a 1970. </w:t>
      </w:r>
      <w:r>
        <w:rPr>
          <w:position w:val="11"/>
          <w:sz w:val="16"/>
        </w:rPr>
        <w:t>28</w:t>
      </w:r>
    </w:p>
    <w:p>
      <w:pPr>
        <w:pStyle w:val="BodyText"/>
        <w:spacing w:line="360" w:lineRule="auto"/>
        <w:ind w:left="122" w:right="117" w:firstLine="707"/>
        <w:jc w:val="both"/>
      </w:pPr>
      <w:r>
        <w:rPr/>
        <w:t>La sustitución pensada nunca se alcanzó, y al finalizar la década de los setenta la dependencia de la economía era evidente porque era incapaz de producir bienes de capital e insumos con tecnología; llevando a su última etapa.</w:t>
      </w:r>
    </w:p>
    <w:p>
      <w:pPr>
        <w:pStyle w:val="BodyText"/>
      </w:pPr>
    </w:p>
    <w:p>
      <w:pPr>
        <w:pStyle w:val="Heading2"/>
        <w:numPr>
          <w:ilvl w:val="1"/>
          <w:numId w:val="11"/>
        </w:numPr>
        <w:tabs>
          <w:tab w:pos="543" w:val="left" w:leader="none"/>
        </w:tabs>
        <w:spacing w:line="240" w:lineRule="auto" w:before="148" w:after="0"/>
        <w:ind w:left="542" w:right="0" w:hanging="420"/>
        <w:jc w:val="both"/>
      </w:pPr>
      <w:r>
        <w:rPr/>
        <w:t>Agotamiento del modelo (1975 a</w:t>
      </w:r>
      <w:r>
        <w:rPr>
          <w:spacing w:val="-7"/>
        </w:rPr>
        <w:t> </w:t>
      </w:r>
      <w:r>
        <w:rPr/>
        <w:t>1985)</w:t>
      </w:r>
    </w:p>
    <w:p>
      <w:pPr>
        <w:pStyle w:val="BodyText"/>
        <w:spacing w:line="360" w:lineRule="auto" w:before="134"/>
        <w:ind w:left="122" w:right="119"/>
        <w:jc w:val="both"/>
      </w:pPr>
      <w:r>
        <w:rPr/>
        <w:t>Siguiendo con el análisis histórico del desarrollo de la industria manufacturera en nuestro país, Lustig (2001) plantea que el abandono de una política macroeconómica a partir de 1972 no fue una medida benéfica para el crecimiento del país, siguiendo así hasta la crisis de la deuda en 1982, poniendo fin a la etapa de alto crecimiento del llamado “el milagro mexicano”. Con esta crisis la economía no pudo dar respuesta a la contracción de la producción asociada a choques externos. Además, de acuerdo con Vargas (2000) la subordinación económica al capital extranjero ocasionó el desarrollo desigual y la marginación de las regiones más grandes del sur de México; donde se dio el incremento de la pobreza y la emigración.</w:t>
      </w:r>
    </w:p>
    <w:p>
      <w:pPr>
        <w:spacing w:before="3"/>
        <w:ind w:left="688" w:right="683" w:firstLine="0"/>
        <w:jc w:val="both"/>
        <w:rPr>
          <w:sz w:val="22"/>
        </w:rPr>
      </w:pPr>
      <w:r>
        <w:rPr>
          <w:sz w:val="22"/>
        </w:rPr>
        <w:t>“La tierra y recursos de la nación fueron transferidos de actividades de agricultura, pesca, silvicultura y minería en las comunidades del sur, por subsidios a proyectos de industrialización en las regiones del centro, norte y noroeste del país. El tan llamado milagro mexicano fue caracterizado por regiones que tuvieron extrema pobreza a lo largo de las áreas mejor desarrolladas”, (Vargas, 2000: 8).</w:t>
      </w:r>
    </w:p>
    <w:p>
      <w:pPr>
        <w:pStyle w:val="BodyText"/>
        <w:rPr>
          <w:sz w:val="22"/>
        </w:rPr>
      </w:pPr>
    </w:p>
    <w:p>
      <w:pPr>
        <w:pStyle w:val="BodyText"/>
        <w:spacing w:line="360" w:lineRule="auto" w:before="1"/>
        <w:ind w:left="122" w:right="123" w:firstLine="566"/>
        <w:jc w:val="both"/>
      </w:pPr>
      <w:r>
        <w:rPr/>
        <w:t>En esta etapa la contracción económica fue severa, pues el PIB registró en 1971 el crecimiento más bajo desde 1959, 4.2% y sólo 0.8% en términos per cápita. Cárdenas (1996), establece que con ello terminó la larga tendencia de crecimiento observado en los últimos 10 años.</w:t>
      </w:r>
    </w:p>
    <w:p>
      <w:pPr>
        <w:spacing w:before="6"/>
        <w:ind w:left="688" w:right="684" w:firstLine="0"/>
        <w:jc w:val="both"/>
        <w:rPr>
          <w:sz w:val="22"/>
        </w:rPr>
      </w:pPr>
      <w:r>
        <w:rPr>
          <w:sz w:val="22"/>
        </w:rPr>
        <w:t>“Entre 1971 y 1981 la economía mexicana creció a una tasa media anual de 6.7% en términos reales, y 3.7% por habitante. Al año siguiente el colapso de la economía hizo decrecer el producto -0.5%. El motor de ese crecimiento fue el gasto público deficitario</w:t>
      </w:r>
    </w:p>
    <w:p>
      <w:pPr>
        <w:pStyle w:val="BodyText"/>
        <w:rPr>
          <w:sz w:val="16"/>
        </w:rPr>
      </w:pPr>
      <w:r>
        <w:rPr/>
        <w:pict>
          <v:line style="position:absolute;mso-position-horizontal-relative:page;mso-position-vertical-relative:paragraph;z-index:1600;mso-wrap-distance-left:0;mso-wrap-distance-right:0" from="85.103996pt,11.536591pt" to="229.123996pt,11.536591pt" stroked="true" strokeweight=".72003pt" strokecolor="#000000">
            <w10:wrap type="topAndBottom"/>
          </v:line>
        </w:pict>
      </w:r>
    </w:p>
    <w:p>
      <w:pPr>
        <w:spacing w:before="42"/>
        <w:ind w:left="122" w:right="243" w:firstLine="0"/>
        <w:jc w:val="left"/>
        <w:rPr>
          <w:sz w:val="20"/>
        </w:rPr>
      </w:pPr>
      <w:r>
        <w:rPr>
          <w:position w:val="9"/>
          <w:sz w:val="13"/>
        </w:rPr>
        <w:t>28 </w:t>
      </w:r>
      <w:r>
        <w:rPr>
          <w:sz w:val="20"/>
        </w:rPr>
        <w:t>En 1954 se llevó a cabo la devaluación del peso monetario frente al dólar estadounidense  lo que permitió la estabilidad cambiaria por más de 20 años. Véase Ortiz (1998).</w:t>
      </w:r>
    </w:p>
    <w:p>
      <w:pPr>
        <w:spacing w:after="0"/>
        <w:jc w:val="left"/>
        <w:rPr>
          <w:sz w:val="20"/>
        </w:rPr>
        <w:sectPr>
          <w:pgSz w:w="12240" w:h="15840"/>
          <w:pgMar w:header="0" w:footer="1003" w:top="1360" w:bottom="1200" w:left="1580" w:right="1580"/>
        </w:sectPr>
      </w:pPr>
    </w:p>
    <w:p>
      <w:pPr>
        <w:spacing w:before="50"/>
        <w:ind w:left="668" w:right="685" w:firstLine="0"/>
        <w:jc w:val="both"/>
        <w:rPr>
          <w:sz w:val="22"/>
        </w:rPr>
      </w:pPr>
      <w:r>
        <w:rPr>
          <w:sz w:val="22"/>
        </w:rPr>
        <w:t>y el auge petrolero, apalancados por el endeudamiento externo, aunque este último salió como fuga de capitales en los periodos previos a las devaluaciones. Así el déficit del sector público pasó de 2.5% del PIB en 1971 a 14.1% en 1981, para acelerarse más en 1982 a 16.9%”, (Cárdenas, 1996:</w:t>
      </w:r>
      <w:r>
        <w:rPr>
          <w:spacing w:val="-6"/>
          <w:sz w:val="22"/>
        </w:rPr>
        <w:t> </w:t>
      </w:r>
      <w:r>
        <w:rPr>
          <w:sz w:val="22"/>
        </w:rPr>
        <w:t>89).</w:t>
      </w:r>
    </w:p>
    <w:p>
      <w:pPr>
        <w:pStyle w:val="BodyText"/>
        <w:spacing w:before="10"/>
        <w:rPr>
          <w:sz w:val="21"/>
        </w:rPr>
      </w:pPr>
    </w:p>
    <w:p>
      <w:pPr>
        <w:pStyle w:val="BodyText"/>
        <w:spacing w:line="360" w:lineRule="auto"/>
        <w:ind w:left="102" w:right="117" w:firstLine="566"/>
        <w:jc w:val="both"/>
      </w:pPr>
      <w:r>
        <w:rPr/>
        <w:t>Cuando se agotó el Modelo de Sustitución de Importaciones se generaron crisis recurrentes. En este sentido, Loría (2009) sostiene que desde el comienzo de los años ochenta la economía mexicana entró en una franca fase de lento crecimiento. La razón principal radica en la caída sistemática de la productividad total de los factores, asociado a que la industria manufacturera dejó de ser el motor del crecimiento pasando así a un proceso de terciarización</w:t>
      </w:r>
      <w:r>
        <w:rPr>
          <w:spacing w:val="-9"/>
        </w:rPr>
        <w:t> </w:t>
      </w:r>
      <w:r>
        <w:rPr/>
        <w:t>improductiva.</w:t>
      </w:r>
    </w:p>
    <w:p>
      <w:pPr>
        <w:pStyle w:val="BodyText"/>
        <w:spacing w:line="360" w:lineRule="auto" w:before="4"/>
        <w:ind w:left="102" w:right="121" w:firstLine="707"/>
        <w:jc w:val="both"/>
      </w:pPr>
      <w:r>
        <w:rPr/>
        <w:t>Ante este contexto se observa que en el periodo de 1975 a 1985 las políticas públicas instrumentadas por el gobierno llevarían a</w:t>
      </w:r>
      <w:r>
        <w:rPr>
          <w:spacing w:val="-11"/>
        </w:rPr>
        <w:t> </w:t>
      </w:r>
      <w:r>
        <w:rPr/>
        <w:t>generar:</w:t>
      </w:r>
    </w:p>
    <w:p>
      <w:pPr>
        <w:pStyle w:val="ListParagraph"/>
        <w:numPr>
          <w:ilvl w:val="2"/>
          <w:numId w:val="11"/>
        </w:numPr>
        <w:tabs>
          <w:tab w:pos="1518" w:val="left" w:leader="none"/>
        </w:tabs>
        <w:spacing w:line="360" w:lineRule="auto" w:before="4" w:after="0"/>
        <w:ind w:left="462" w:right="117" w:firstLine="708"/>
        <w:jc w:val="both"/>
        <w:rPr>
          <w:sz w:val="24"/>
        </w:rPr>
      </w:pPr>
      <w:r>
        <w:rPr>
          <w:sz w:val="24"/>
        </w:rPr>
        <w:t>La introducción del fomento a las exportaciones como objetivo explícito de la política industrial, manteniendo paralelamente, no obstante, la sustitución de importaciones en sectores considerados clave para el logro de una mayor integración industrial, como los bienes de</w:t>
      </w:r>
      <w:r>
        <w:rPr>
          <w:spacing w:val="-10"/>
          <w:sz w:val="24"/>
        </w:rPr>
        <w:t> </w:t>
      </w:r>
      <w:r>
        <w:rPr>
          <w:sz w:val="24"/>
        </w:rPr>
        <w:t>capital;</w:t>
      </w:r>
    </w:p>
    <w:p>
      <w:pPr>
        <w:pStyle w:val="ListParagraph"/>
        <w:numPr>
          <w:ilvl w:val="2"/>
          <w:numId w:val="11"/>
        </w:numPr>
        <w:tabs>
          <w:tab w:pos="1518" w:val="left" w:leader="none"/>
        </w:tabs>
        <w:spacing w:line="360" w:lineRule="auto" w:before="4" w:after="0"/>
        <w:ind w:left="462" w:right="119" w:firstLine="708"/>
        <w:jc w:val="both"/>
        <w:rPr>
          <w:sz w:val="24"/>
        </w:rPr>
      </w:pPr>
      <w:r>
        <w:rPr>
          <w:sz w:val="24"/>
        </w:rPr>
        <w:t>La planificación formal como medio para evitar incoherencias y contradicciones en la aplicación del modelo, lo cual implicó el fortalecimiento de la función del Estado como agente generador del desarrollo industrial. Política que fue plasmada en documentos como el Plan de Desarrollo Industrial 1979-1982 y Programa Nacional de Fomento Industrial y Comercio Exterior</w:t>
      </w:r>
      <w:r>
        <w:rPr>
          <w:spacing w:val="-10"/>
          <w:sz w:val="24"/>
        </w:rPr>
        <w:t> </w:t>
      </w:r>
      <w:r>
        <w:rPr>
          <w:sz w:val="24"/>
        </w:rPr>
        <w:t>1984-1988.</w:t>
      </w:r>
    </w:p>
    <w:p>
      <w:pPr>
        <w:pStyle w:val="BodyText"/>
        <w:spacing w:line="360" w:lineRule="auto" w:before="6"/>
        <w:ind w:left="102" w:right="118" w:firstLine="707"/>
        <w:jc w:val="both"/>
      </w:pPr>
      <w:r>
        <w:rPr/>
        <w:t>El Plan de Desarrollo Industrial generado en 1979 a nivel nacional, fue elaborado por un grupo de funcionarios y empleados de la Secretaría de Patrimonio y Fomento Industrial, este plan era obligatorio para el sector público y solamente indicativo para el sector privado. La idea central era utilizar los excedentes financieros generados por la exportación de hidrocarburos en el fortalecimiento del sector industrial, a fin de que en el largo plazo fueran esas actividades sólidamente fundamentadas, las que constituyeran el elemento motriz de la actividad económica (Martínez del Campo, 1985). Cabe mencionar que este plan formó parte de la estrategia para enfrentar la crisis, sin embargo, ya no operó cuando está se dio.</w:t>
      </w:r>
    </w:p>
    <w:p>
      <w:pPr>
        <w:pStyle w:val="BodyText"/>
        <w:spacing w:line="360" w:lineRule="auto" w:before="4"/>
        <w:ind w:left="102" w:right="122" w:firstLine="707"/>
        <w:jc w:val="both"/>
      </w:pPr>
      <w:r>
        <w:rPr/>
        <w:t>De la Garza (1999), establece que durante este periodo de estudio, disminuyó el porcentaje del personal ocupado en agricultura, silvicultura y pesca, generando cambios  en</w:t>
      </w:r>
    </w:p>
    <w:p>
      <w:pPr>
        <w:spacing w:after="0" w:line="360" w:lineRule="auto"/>
        <w:jc w:val="both"/>
        <w:sectPr>
          <w:pgSz w:w="12240" w:h="15840"/>
          <w:pgMar w:header="0" w:footer="1003" w:top="1360" w:bottom="1200" w:left="1600" w:right="1580"/>
        </w:sectPr>
      </w:pPr>
    </w:p>
    <w:p>
      <w:pPr>
        <w:pStyle w:val="BodyText"/>
        <w:spacing w:line="360" w:lineRule="auto" w:before="50"/>
        <w:ind w:left="102" w:right="116"/>
        <w:jc w:val="both"/>
      </w:pPr>
      <w:r>
        <w:rPr/>
        <w:t>la dinámica industrial. Asimismo, Puyana y Romero (2009), señalan que nuestro país solía ser tildado como de “milagro exportador”, por el fuerte impulso del sector primario entre 1983 y 2005 donde las exportaciones crecieron a una tasa anual promedio de 9.3%, cerca  de 3.4 puntos porcentuales por encima de las registradas durante el periodo</w:t>
      </w:r>
      <w:r>
        <w:rPr>
          <w:spacing w:val="-9"/>
        </w:rPr>
        <w:t> </w:t>
      </w:r>
      <w:r>
        <w:rPr/>
        <w:t>1940-1982.</w:t>
      </w:r>
    </w:p>
    <w:p>
      <w:pPr>
        <w:pStyle w:val="BodyText"/>
        <w:spacing w:line="360" w:lineRule="auto" w:before="4"/>
        <w:ind w:left="102" w:right="113" w:firstLine="707"/>
        <w:jc w:val="both"/>
      </w:pPr>
      <w:r>
        <w:rPr/>
        <w:t>En la manufactura, se incrementó el porcentaje del personal ocupado en alimentos, bebidas y tabaco, en el periodo entre 1980-1992. Esto generó la disminución en textiles y aumentó en sustancias químicas, derivados del petróleo, caucho y plástico, y cayó en industrias metálicas básicas, productos metálicos, maquinaria y equipo. Esto se tradujo también en una mayor dependencia de la exportación y de la inversión privada, particularmente extranjera.</w:t>
      </w:r>
    </w:p>
    <w:p>
      <w:pPr>
        <w:pStyle w:val="BodyText"/>
        <w:spacing w:before="4"/>
        <w:ind w:left="810" w:right="121"/>
      </w:pPr>
      <w:r>
        <w:rPr/>
        <w:t>Tello (2007: 628) hace una clara descripción de este periodo:</w:t>
      </w:r>
    </w:p>
    <w:p>
      <w:pPr>
        <w:spacing w:before="137"/>
        <w:ind w:left="668" w:right="687" w:firstLine="0"/>
        <w:jc w:val="both"/>
        <w:rPr>
          <w:sz w:val="22"/>
        </w:rPr>
      </w:pPr>
      <w:r>
        <w:rPr>
          <w:sz w:val="24"/>
        </w:rPr>
        <w:t>“</w:t>
      </w:r>
      <w:r>
        <w:rPr>
          <w:sz w:val="22"/>
        </w:rPr>
        <w:t>A partir de 1982 se abandona progresivamente, el modelo de desarrollo que México venía siguiendo durante décadas y que se apoyaba en la intensa y extensa participación del Estado en la economía, que procuraba la justicia social, que protegía a la producción nacional y estimulaba la industrialización del país por la vía de la sustitución de importaciones, por otro modelo de desarrollo, distinto, que buscaba descansar en el libre juego de las fuerzas de mercado para asignar y utilizar los  recursos abiertos a la competencia con el exterior y con una cada vez menor participación del Estado”</w:t>
      </w:r>
      <w:r>
        <w:rPr>
          <w:spacing w:val="-5"/>
          <w:sz w:val="22"/>
        </w:rPr>
        <w:t> </w:t>
      </w:r>
      <w:r>
        <w:rPr>
          <w:sz w:val="22"/>
        </w:rPr>
        <w:t>.</w:t>
      </w:r>
    </w:p>
    <w:p>
      <w:pPr>
        <w:pStyle w:val="BodyText"/>
        <w:spacing w:before="2"/>
      </w:pPr>
    </w:p>
    <w:p>
      <w:pPr>
        <w:pStyle w:val="BodyText"/>
        <w:spacing w:line="360" w:lineRule="auto"/>
        <w:ind w:left="102" w:right="123" w:firstLine="707"/>
        <w:jc w:val="both"/>
      </w:pPr>
      <w:r>
        <w:rPr/>
        <w:t>Es así como cesó la participación del gobierno, en la economía a partir de los años ochenta y se optó por una política basada en el neoliberalismo; que dio pie a un nuevo modelo de desarrollo, basado en el libre juego del mercado y la apertura comercial, como se demostrará en el siguiente</w:t>
      </w:r>
      <w:r>
        <w:rPr>
          <w:spacing w:val="-8"/>
        </w:rPr>
        <w:t> </w:t>
      </w:r>
      <w:r>
        <w:rPr/>
        <w:t>apartado.</w:t>
      </w:r>
    </w:p>
    <w:p>
      <w:pPr>
        <w:pStyle w:val="BodyText"/>
      </w:pPr>
    </w:p>
    <w:p>
      <w:pPr>
        <w:pStyle w:val="Heading2"/>
        <w:numPr>
          <w:ilvl w:val="1"/>
          <w:numId w:val="11"/>
        </w:numPr>
        <w:tabs>
          <w:tab w:pos="523" w:val="left" w:leader="none"/>
        </w:tabs>
        <w:spacing w:line="240" w:lineRule="auto" w:before="148" w:after="0"/>
        <w:ind w:left="522" w:right="0" w:hanging="420"/>
        <w:jc w:val="both"/>
      </w:pPr>
      <w:bookmarkStart w:name="_TOC_250001" w:id="16"/>
      <w:r>
        <w:rPr/>
        <w:t>El cambio estructural. Apertura comercial</w:t>
      </w:r>
      <w:r>
        <w:rPr>
          <w:spacing w:val="-6"/>
        </w:rPr>
        <w:t> </w:t>
      </w:r>
      <w:bookmarkEnd w:id="16"/>
      <w:r>
        <w:rPr/>
        <w:t>(1985-2008)</w:t>
      </w:r>
    </w:p>
    <w:p>
      <w:pPr>
        <w:pStyle w:val="BodyText"/>
        <w:spacing w:line="360" w:lineRule="auto" w:before="134"/>
        <w:ind w:left="102" w:right="116"/>
        <w:jc w:val="both"/>
      </w:pPr>
      <w:r>
        <w:rPr/>
        <w:t>Si bien la estrategia externa de la economía mexicana de 1940 a 1970 se basó en una orientación del crecimiento hacia adentro, sustentada en el modelo de industrialización sustitutiva de importaciones, en el periodo de 1976 a 1982 se cayó de hecho en un modelo de sustitución de importaciones y monoexportación petrolera. Así el modelo más que agotarse, enfrentó restricciones para su desarrollo.</w:t>
      </w:r>
    </w:p>
    <w:p>
      <w:pPr>
        <w:pStyle w:val="BodyText"/>
        <w:spacing w:line="360" w:lineRule="auto" w:before="6"/>
        <w:ind w:left="102" w:right="120" w:firstLine="707"/>
        <w:jc w:val="both"/>
      </w:pPr>
      <w:r>
        <w:rPr/>
        <w:t>De acuerdo con Villarreal (2005), cuando la sustitución de importaciones se agotó, dejó un proceso de industrialización trunco que no permitió consolidar un crecimiento económico sano y sostenido. Este autor explica que en el país ya no era posible continuar financiando el crecimiento mediante exportaciones de petróleo  y endeudamiento    externo,</w:t>
      </w:r>
    </w:p>
    <w:p>
      <w:pPr>
        <w:spacing w:after="0" w:line="360" w:lineRule="auto"/>
        <w:jc w:val="both"/>
        <w:sectPr>
          <w:pgSz w:w="12240" w:h="15840"/>
          <w:pgMar w:header="0" w:footer="1003" w:top="1360" w:bottom="1200" w:left="1600" w:right="1580"/>
        </w:sectPr>
      </w:pPr>
    </w:p>
    <w:p>
      <w:pPr>
        <w:pStyle w:val="BodyText"/>
        <w:spacing w:line="362" w:lineRule="auto" w:before="50"/>
        <w:ind w:left="102" w:right="121"/>
      </w:pPr>
      <w:r>
        <w:rPr/>
        <w:t>debido a la crisis financiera internacional, las altas tasas de interés y el comportamiento del mercado petrolero.</w:t>
      </w:r>
    </w:p>
    <w:p>
      <w:pPr>
        <w:pStyle w:val="BodyText"/>
        <w:spacing w:line="360" w:lineRule="auto" w:before="1"/>
        <w:ind w:left="102" w:right="115" w:firstLine="707"/>
        <w:jc w:val="both"/>
      </w:pPr>
      <w:r>
        <w:rPr/>
        <w:t>Así, se planteó una nueva estrategia y la necesidad de avanzar a etapas superiores de desarrollo y crecimiento, mediante un nuevo patrón, estableciendo para ello tres opciones de estrategia externa que se recoge del análisis realizado por Villarreal (2005). Las estrategias</w:t>
      </w:r>
      <w:r>
        <w:rPr>
          <w:spacing w:val="-6"/>
        </w:rPr>
        <w:t> </w:t>
      </w:r>
      <w:r>
        <w:rPr/>
        <w:t>son:</w:t>
      </w:r>
    </w:p>
    <w:p>
      <w:pPr>
        <w:pStyle w:val="ListParagraph"/>
        <w:numPr>
          <w:ilvl w:val="0"/>
          <w:numId w:val="12"/>
        </w:numPr>
        <w:tabs>
          <w:tab w:pos="2228" w:val="left" w:leader="none"/>
          <w:tab w:pos="2229" w:val="left" w:leader="none"/>
        </w:tabs>
        <w:spacing w:line="360" w:lineRule="auto" w:before="4" w:after="0"/>
        <w:ind w:left="2229" w:right="118" w:hanging="992"/>
        <w:jc w:val="left"/>
        <w:rPr>
          <w:sz w:val="24"/>
        </w:rPr>
      </w:pPr>
      <w:r>
        <w:rPr>
          <w:sz w:val="24"/>
        </w:rPr>
        <w:t>Crecimiento orientado hacia el mercado interno: autarquía y sustitución de importaciones</w:t>
      </w:r>
      <w:r>
        <w:rPr>
          <w:spacing w:val="-10"/>
          <w:sz w:val="24"/>
        </w:rPr>
        <w:t> </w:t>
      </w:r>
      <w:r>
        <w:rPr>
          <w:sz w:val="24"/>
        </w:rPr>
        <w:t>avanzada.</w:t>
      </w:r>
    </w:p>
    <w:p>
      <w:pPr>
        <w:pStyle w:val="ListParagraph"/>
        <w:numPr>
          <w:ilvl w:val="0"/>
          <w:numId w:val="12"/>
        </w:numPr>
        <w:tabs>
          <w:tab w:pos="2226" w:val="left" w:leader="none"/>
          <w:tab w:pos="2227" w:val="left" w:leader="none"/>
        </w:tabs>
        <w:spacing w:line="240" w:lineRule="auto" w:before="4" w:after="0"/>
        <w:ind w:left="2226" w:right="0" w:hanging="915"/>
        <w:jc w:val="left"/>
        <w:rPr>
          <w:sz w:val="24"/>
        </w:rPr>
      </w:pPr>
      <w:r>
        <w:rPr>
          <w:sz w:val="24"/>
        </w:rPr>
        <w:t>Crecimiento orientado hacia</w:t>
      </w:r>
      <w:r>
        <w:rPr>
          <w:spacing w:val="-11"/>
          <w:sz w:val="24"/>
        </w:rPr>
        <w:t> </w:t>
      </w:r>
      <w:r>
        <w:rPr>
          <w:sz w:val="24"/>
        </w:rPr>
        <w:t>afuera.</w:t>
      </w:r>
    </w:p>
    <w:p>
      <w:pPr>
        <w:pStyle w:val="ListParagraph"/>
        <w:numPr>
          <w:ilvl w:val="0"/>
          <w:numId w:val="12"/>
        </w:numPr>
        <w:tabs>
          <w:tab w:pos="2226" w:val="left" w:leader="none"/>
          <w:tab w:pos="2227" w:val="left" w:leader="none"/>
        </w:tabs>
        <w:spacing w:line="240" w:lineRule="auto" w:before="140" w:after="0"/>
        <w:ind w:left="2226" w:right="0" w:hanging="994"/>
        <w:jc w:val="left"/>
        <w:rPr>
          <w:sz w:val="24"/>
        </w:rPr>
      </w:pPr>
      <w:r>
        <w:rPr>
          <w:sz w:val="24"/>
        </w:rPr>
        <w:t>Crecimiento con apertura racional a la competencia</w:t>
      </w:r>
      <w:r>
        <w:rPr>
          <w:spacing w:val="-12"/>
          <w:sz w:val="24"/>
        </w:rPr>
        <w:t> </w:t>
      </w:r>
      <w:r>
        <w:rPr>
          <w:sz w:val="24"/>
        </w:rPr>
        <w:t>externa.</w:t>
      </w:r>
    </w:p>
    <w:p>
      <w:pPr>
        <w:pStyle w:val="BodyText"/>
        <w:spacing w:line="360" w:lineRule="auto" w:before="137"/>
        <w:ind w:left="102" w:right="117" w:firstLine="707"/>
        <w:jc w:val="both"/>
      </w:pPr>
      <w:r>
        <w:rPr/>
        <w:t>En la década de los años ochenta, se dio un desmantelamiento del sistema de protección que se había llevado a cabo en años anteriores, porque entre 1987 y 1988 en el marco del programa de estabilización y con el propósito de controlar la inflación se desactivó por parte del gobierno federal el principal instrumento de la política de sustitución de importaciones y se dejó sin efecto el programa oficial de política industrial del periodo 1984-1988, que fue el Programa de Fomento Industrial y Comercio Exterior (Pronafice) y el Programa Nacional de Modernización Industrial y del Comercio Exterior, 1990-1994 (Pronamice), (Clavijo y Valdivieso, 1994: 32). Con este cambio en la promoción industrial y el abandono de facto del Modelo de Sustitución de Importaciones, inició un periodo de transición caracterizado por la falta de definición formal de la política industrial por parte del gobierno que duró por lo menos hasta</w:t>
      </w:r>
      <w:r>
        <w:rPr>
          <w:spacing w:val="-8"/>
        </w:rPr>
        <w:t> </w:t>
      </w:r>
      <w:r>
        <w:rPr/>
        <w:t>1990.</w:t>
      </w:r>
    </w:p>
    <w:p>
      <w:pPr>
        <w:pStyle w:val="BodyText"/>
        <w:spacing w:line="360" w:lineRule="auto" w:before="6"/>
        <w:ind w:left="102" w:right="167" w:firstLine="707"/>
        <w:jc w:val="both"/>
      </w:pPr>
      <w:r>
        <w:rPr/>
        <w:t>El Pronafice propuso un paquete de incentivos fiscales para inducir la descentralización industrial, enlazando por primera vez de manera explícita los incentivos ofrecidos con el esquema de parques industriales y también se incluyó a las empresas establecidas en la Zona Metropolitana de la Ciudad de México que se reubicaron en sus inmediaciones, en los estados vecinos (Aguilar, 1993).</w:t>
      </w:r>
    </w:p>
    <w:p>
      <w:pPr>
        <w:pStyle w:val="BodyText"/>
        <w:spacing w:line="360" w:lineRule="auto" w:before="4"/>
        <w:ind w:left="102" w:right="118" w:firstLine="707"/>
        <w:jc w:val="both"/>
      </w:pPr>
      <w:r>
        <w:rPr/>
        <w:t>Clavijo y Valdivieso (1994) sostienen que el avance que se había tenido en el proceso de industrialización quedó atrás, generándose un abandono de las políticas instrumentadas en décadas anteriores, que sólo se reactivó con el programa de la  Secretaría</w:t>
      </w:r>
    </w:p>
    <w:p>
      <w:pPr>
        <w:spacing w:after="0" w:line="360" w:lineRule="auto"/>
        <w:jc w:val="both"/>
        <w:sectPr>
          <w:pgSz w:w="12240" w:h="15840"/>
          <w:pgMar w:header="0" w:footer="1003" w:top="1360" w:bottom="1200" w:left="1600" w:right="1580"/>
        </w:sectPr>
      </w:pPr>
    </w:p>
    <w:p>
      <w:pPr>
        <w:pStyle w:val="BodyText"/>
        <w:spacing w:line="331" w:lineRule="auto" w:before="50"/>
        <w:ind w:left="122" w:right="243"/>
      </w:pPr>
      <w:r>
        <w:rPr/>
        <w:t>de Comercio y Fomento Industrial (Secofi), y con el Pronamice, que planteaba una estrategia de desarrollo industrial basada en dos principios fundamentales</w:t>
      </w:r>
      <w:r>
        <w:rPr>
          <w:position w:val="11"/>
          <w:sz w:val="16"/>
        </w:rPr>
        <w:t>29</w:t>
      </w:r>
      <w:r>
        <w:rPr/>
        <w:t>:</w:t>
      </w:r>
    </w:p>
    <w:p>
      <w:pPr>
        <w:pStyle w:val="ListParagraph"/>
        <w:numPr>
          <w:ilvl w:val="1"/>
          <w:numId w:val="12"/>
        </w:numPr>
        <w:tabs>
          <w:tab w:pos="2247" w:val="left" w:leader="none"/>
        </w:tabs>
        <w:spacing w:line="360" w:lineRule="auto" w:before="21" w:after="0"/>
        <w:ind w:left="842" w:right="122" w:firstLine="708"/>
        <w:jc w:val="both"/>
        <w:rPr>
          <w:sz w:val="24"/>
        </w:rPr>
      </w:pPr>
      <w:r>
        <w:rPr>
          <w:sz w:val="24"/>
        </w:rPr>
        <w:t>El fortalecimiento del mecanismo de oferta y la demanda en la asignación de</w:t>
      </w:r>
      <w:r>
        <w:rPr>
          <w:spacing w:val="-7"/>
          <w:sz w:val="24"/>
        </w:rPr>
        <w:t> </w:t>
      </w:r>
      <w:r>
        <w:rPr>
          <w:sz w:val="24"/>
        </w:rPr>
        <w:t>recursos.</w:t>
      </w:r>
    </w:p>
    <w:p>
      <w:pPr>
        <w:pStyle w:val="ListParagraph"/>
        <w:numPr>
          <w:ilvl w:val="1"/>
          <w:numId w:val="12"/>
        </w:numPr>
        <w:tabs>
          <w:tab w:pos="2247" w:val="left" w:leader="none"/>
        </w:tabs>
        <w:spacing w:line="360" w:lineRule="auto" w:before="4" w:after="0"/>
        <w:ind w:left="842" w:right="122" w:firstLine="708"/>
        <w:jc w:val="both"/>
        <w:rPr>
          <w:sz w:val="24"/>
        </w:rPr>
      </w:pPr>
      <w:r>
        <w:rPr>
          <w:sz w:val="24"/>
        </w:rPr>
        <w:t>La limitación de la función del gobierno al establecimiento de un ámbito favorable al desarrollo de las empresas, entendiendo por tal un ámbito caracterizado por la estabilidad macroeconómica y un alto grado de concurrencia en los mercados de bienes y</w:t>
      </w:r>
      <w:r>
        <w:rPr>
          <w:spacing w:val="-7"/>
          <w:sz w:val="24"/>
        </w:rPr>
        <w:t> </w:t>
      </w:r>
      <w:r>
        <w:rPr>
          <w:sz w:val="24"/>
        </w:rPr>
        <w:t>factores.</w:t>
      </w:r>
    </w:p>
    <w:p>
      <w:pPr>
        <w:pStyle w:val="BodyText"/>
        <w:spacing w:line="360" w:lineRule="auto" w:before="4"/>
        <w:ind w:left="122" w:right="114" w:firstLine="707"/>
        <w:jc w:val="both"/>
      </w:pPr>
      <w:r>
        <w:rPr/>
        <w:t>Villarreal (2005) plantea que el nuevo modelo de crecimiento hacia afuera vía la industrialización exportadora que se instrumentó durante la década de los noventa vino a sustituir el viejo modelo de crecimiento hacia adentro mediante la industrialización de sustitución de importaciones. En este contexto, la estrategia de crecimiento hacia afuera se logró a través de la apertura de la economía con acuerdos de libre comercio; tal estrategia hizo posible que durante la primera parte de los noventa hasta el año 2000 se generará una dinámica de crecimiento basada en las exportaciones.</w:t>
      </w:r>
    </w:p>
    <w:p>
      <w:pPr>
        <w:pStyle w:val="BodyText"/>
        <w:spacing w:line="360" w:lineRule="auto" w:before="6"/>
        <w:ind w:left="122" w:right="115" w:firstLine="707"/>
        <w:jc w:val="both"/>
        <w:rPr>
          <w:i/>
        </w:rPr>
      </w:pPr>
      <w:r>
        <w:rPr/>
        <w:t>Para Clavijo y Valdivieso (1994) el proceso de liberación comercial en México se inició a raíz de la crisis de la deuda, con la sustitución de los permisos por aranceles y culminó dos años después del ingreso de México al Acuerdo General sobre Aranceles y Comercio (GATT), cuando, por razones de carácter macroeconómico, se adoptó un calendario de desgravación acelerada que hizo, que en un lapso de cinco años, el régimen comercial mexicano pasara de ser uno de los más cerrados a uno de los más abiertos del mundo</w:t>
      </w:r>
      <w:r>
        <w:rPr>
          <w:i/>
        </w:rPr>
        <w:t>.</w:t>
      </w:r>
    </w:p>
    <w:p>
      <w:pPr>
        <w:pStyle w:val="BodyText"/>
        <w:spacing w:line="280" w:lineRule="exact"/>
        <w:ind w:left="122" w:firstLine="707"/>
        <w:jc w:val="both"/>
      </w:pPr>
      <w:r>
        <w:rPr/>
        <w:t>Se    plantearon    cambios    estructurales</w:t>
      </w:r>
      <w:r>
        <w:rPr>
          <w:position w:val="11"/>
          <w:sz w:val="16"/>
        </w:rPr>
        <w:t>30      </w:t>
      </w:r>
      <w:r>
        <w:rPr/>
        <w:t>basados    en    las    exportaciones   de</w:t>
      </w:r>
    </w:p>
    <w:p>
      <w:pPr>
        <w:pStyle w:val="BodyText"/>
        <w:spacing w:before="139"/>
        <w:ind w:left="122" w:right="84"/>
      </w:pPr>
      <w:r>
        <w:rPr/>
        <w:t>manufacturas,  sin  embargo,  eso  no  logró  los  resultados  esperados,  porque  a  partir  de</w:t>
      </w:r>
    </w:p>
    <w:p>
      <w:pPr>
        <w:pStyle w:val="BodyText"/>
        <w:rPr>
          <w:sz w:val="20"/>
        </w:rPr>
      </w:pPr>
    </w:p>
    <w:p>
      <w:pPr>
        <w:pStyle w:val="BodyText"/>
        <w:spacing w:before="5"/>
        <w:rPr>
          <w:sz w:val="15"/>
        </w:rPr>
      </w:pPr>
      <w:r>
        <w:rPr/>
        <w:pict>
          <v:line style="position:absolute;mso-position-horizontal-relative:page;mso-position-vertical-relative:paragraph;z-index:1624;mso-wrap-distance-left:0;mso-wrap-distance-right:0" from="85.103996pt,11.225262pt" to="229.123996pt,11.225262pt" stroked="true" strokeweight=".72003pt" strokecolor="#000000">
            <w10:wrap type="topAndBottom"/>
          </v:line>
        </w:pict>
      </w:r>
    </w:p>
    <w:p>
      <w:pPr>
        <w:spacing w:before="43"/>
        <w:ind w:left="122" w:right="119" w:firstLine="0"/>
        <w:jc w:val="both"/>
        <w:rPr>
          <w:sz w:val="20"/>
        </w:rPr>
      </w:pPr>
      <w:r>
        <w:rPr>
          <w:position w:val="9"/>
          <w:sz w:val="13"/>
        </w:rPr>
        <w:t>29 </w:t>
      </w:r>
      <w:r>
        <w:rPr>
          <w:sz w:val="20"/>
        </w:rPr>
        <w:t>El Pronamice tenía como objetivo perfeccionar y afinar el régimen de libre comercio en el que ya se encontraba la economía mexicana desde 1988.</w:t>
      </w:r>
    </w:p>
    <w:p>
      <w:pPr>
        <w:spacing w:line="230" w:lineRule="exact" w:before="3"/>
        <w:ind w:left="122" w:right="120" w:firstLine="0"/>
        <w:jc w:val="both"/>
        <w:rPr>
          <w:sz w:val="20"/>
        </w:rPr>
      </w:pPr>
      <w:r>
        <w:rPr>
          <w:position w:val="9"/>
          <w:sz w:val="13"/>
        </w:rPr>
        <w:t>30 </w:t>
      </w:r>
      <w:r>
        <w:rPr>
          <w:sz w:val="20"/>
        </w:rPr>
        <w:t>Con las reformas estructurales de 1982, pasamos de una economía basada en la industria a otra basada en los servicios, y del capital nacional al capital global, tal como lo establece el posindustrialismo. Existe un rápido</w:t>
      </w:r>
      <w:r>
        <w:rPr>
          <w:spacing w:val="9"/>
          <w:sz w:val="20"/>
        </w:rPr>
        <w:t> </w:t>
      </w:r>
      <w:r>
        <w:rPr>
          <w:sz w:val="20"/>
        </w:rPr>
        <w:t>crecimiento</w:t>
      </w:r>
      <w:r>
        <w:rPr>
          <w:spacing w:val="11"/>
          <w:sz w:val="20"/>
        </w:rPr>
        <w:t> </w:t>
      </w:r>
      <w:r>
        <w:rPr>
          <w:sz w:val="20"/>
        </w:rPr>
        <w:t>del</w:t>
      </w:r>
      <w:r>
        <w:rPr>
          <w:spacing w:val="10"/>
          <w:sz w:val="20"/>
        </w:rPr>
        <w:t> </w:t>
      </w:r>
      <w:r>
        <w:rPr>
          <w:sz w:val="20"/>
        </w:rPr>
        <w:t>sector</w:t>
      </w:r>
      <w:r>
        <w:rPr>
          <w:spacing w:val="8"/>
          <w:sz w:val="20"/>
        </w:rPr>
        <w:t> </w:t>
      </w:r>
      <w:r>
        <w:rPr>
          <w:sz w:val="20"/>
        </w:rPr>
        <w:t>servicios,</w:t>
      </w:r>
      <w:r>
        <w:rPr>
          <w:spacing w:val="10"/>
          <w:sz w:val="20"/>
        </w:rPr>
        <w:t> </w:t>
      </w:r>
      <w:r>
        <w:rPr>
          <w:sz w:val="20"/>
        </w:rPr>
        <w:t>lo</w:t>
      </w:r>
      <w:r>
        <w:rPr>
          <w:spacing w:val="11"/>
          <w:sz w:val="20"/>
        </w:rPr>
        <w:t> </w:t>
      </w:r>
      <w:r>
        <w:rPr>
          <w:sz w:val="20"/>
        </w:rPr>
        <w:t>cual</w:t>
      </w:r>
      <w:r>
        <w:rPr>
          <w:spacing w:val="10"/>
          <w:sz w:val="20"/>
        </w:rPr>
        <w:t> </w:t>
      </w:r>
      <w:r>
        <w:rPr>
          <w:sz w:val="20"/>
        </w:rPr>
        <w:t>no</w:t>
      </w:r>
      <w:r>
        <w:rPr>
          <w:spacing w:val="11"/>
          <w:sz w:val="20"/>
        </w:rPr>
        <w:t> </w:t>
      </w:r>
      <w:r>
        <w:rPr>
          <w:sz w:val="20"/>
        </w:rPr>
        <w:t>significa</w:t>
      </w:r>
      <w:r>
        <w:rPr>
          <w:spacing w:val="13"/>
          <w:sz w:val="20"/>
        </w:rPr>
        <w:t> </w:t>
      </w:r>
      <w:r>
        <w:rPr>
          <w:sz w:val="20"/>
        </w:rPr>
        <w:t>que</w:t>
      </w:r>
      <w:r>
        <w:rPr>
          <w:spacing w:val="10"/>
          <w:sz w:val="20"/>
        </w:rPr>
        <w:t> </w:t>
      </w:r>
      <w:r>
        <w:rPr>
          <w:sz w:val="20"/>
        </w:rPr>
        <w:t>haya</w:t>
      </w:r>
      <w:r>
        <w:rPr>
          <w:spacing w:val="10"/>
          <w:sz w:val="20"/>
        </w:rPr>
        <w:t> </w:t>
      </w:r>
      <w:r>
        <w:rPr>
          <w:sz w:val="20"/>
        </w:rPr>
        <w:t>disminuido</w:t>
      </w:r>
      <w:r>
        <w:rPr>
          <w:spacing w:val="11"/>
          <w:sz w:val="20"/>
        </w:rPr>
        <w:t> </w:t>
      </w:r>
      <w:r>
        <w:rPr>
          <w:sz w:val="20"/>
        </w:rPr>
        <w:t>la</w:t>
      </w:r>
      <w:r>
        <w:rPr>
          <w:spacing w:val="10"/>
          <w:sz w:val="20"/>
        </w:rPr>
        <w:t> </w:t>
      </w:r>
      <w:r>
        <w:rPr>
          <w:sz w:val="20"/>
        </w:rPr>
        <w:t>producción,</w:t>
      </w:r>
      <w:r>
        <w:rPr>
          <w:spacing w:val="10"/>
          <w:sz w:val="20"/>
        </w:rPr>
        <w:t> </w:t>
      </w:r>
      <w:r>
        <w:rPr>
          <w:sz w:val="20"/>
        </w:rPr>
        <w:t>sino</w:t>
      </w:r>
      <w:r>
        <w:rPr>
          <w:spacing w:val="11"/>
          <w:sz w:val="20"/>
        </w:rPr>
        <w:t> </w:t>
      </w:r>
      <w:r>
        <w:rPr>
          <w:sz w:val="20"/>
        </w:rPr>
        <w:t>que</w:t>
      </w:r>
      <w:r>
        <w:rPr>
          <w:spacing w:val="10"/>
          <w:sz w:val="20"/>
        </w:rPr>
        <w:t> </w:t>
      </w:r>
      <w:r>
        <w:rPr>
          <w:sz w:val="20"/>
        </w:rPr>
        <w:t>las</w:t>
      </w:r>
    </w:p>
    <w:p>
      <w:pPr>
        <w:spacing w:line="240" w:lineRule="auto" w:before="0"/>
        <w:ind w:left="122" w:right="116" w:firstLine="0"/>
        <w:jc w:val="both"/>
        <w:rPr>
          <w:sz w:val="20"/>
        </w:rPr>
      </w:pPr>
      <w:r>
        <w:rPr>
          <w:sz w:val="20"/>
        </w:rPr>
        <w:t>industrias se están adaptando a la era de la información. Donde los servicios al sector industrial, no son directamente implicados en el proceso de fabricación en sí mismo, sino son servicios integrados a la cadena productiva. En este sentido, el servindustrialismo podría aportar elementos de estudio de la productividad de los subsectores dinámicos de la economía, ya que la innovación y el conocimiento favorecen la competitividad productiva a bajos costos. Al respecto, muchos fabricantes han desarrollado estrategias de externalización de sus fases de producción para conseguir flexibilidad laboral (Ferguson,</w:t>
      </w:r>
      <w:r>
        <w:rPr>
          <w:spacing w:val="-30"/>
          <w:sz w:val="20"/>
        </w:rPr>
        <w:t> </w:t>
      </w:r>
      <w:r>
        <w:rPr>
          <w:sz w:val="20"/>
        </w:rPr>
        <w:t>2000).</w:t>
      </w:r>
    </w:p>
    <w:p>
      <w:pPr>
        <w:spacing w:after="0" w:line="240" w:lineRule="auto"/>
        <w:jc w:val="both"/>
        <w:rPr>
          <w:sz w:val="20"/>
        </w:rPr>
        <w:sectPr>
          <w:pgSz w:w="12240" w:h="15840"/>
          <w:pgMar w:header="0" w:footer="1003" w:top="1360" w:bottom="1200" w:left="1580" w:right="1580"/>
        </w:sectPr>
      </w:pPr>
    </w:p>
    <w:p>
      <w:pPr>
        <w:pStyle w:val="BodyText"/>
        <w:spacing w:line="360" w:lineRule="auto" w:before="55"/>
        <w:ind w:left="122" w:right="116"/>
        <w:jc w:val="both"/>
      </w:pPr>
      <w:r>
        <w:rPr/>
        <w:t>entonces hubo inflación, devaluación y recesión hasta 1988.</w:t>
      </w:r>
      <w:r>
        <w:rPr>
          <w:position w:val="11"/>
          <w:sz w:val="16"/>
        </w:rPr>
        <w:t>31 </w:t>
      </w:r>
      <w:r>
        <w:rPr/>
        <w:t>Posterior a esto la economía experimentó un lento crecimiento con estabilidad macroeconómica y crisis en Balanza de Pagos y tal como comenta Cárdenas (1992) citado por Loría (2009), “el sector exportador ha contribuido a promover el crecimiento o a crear recesiones y crisis en Balanza de  Pagos”.</w:t>
      </w:r>
    </w:p>
    <w:p>
      <w:pPr>
        <w:pStyle w:val="BodyText"/>
        <w:spacing w:line="360" w:lineRule="auto" w:before="6"/>
        <w:ind w:left="122" w:right="119" w:firstLine="707"/>
        <w:jc w:val="both"/>
      </w:pPr>
      <w:r>
        <w:rPr/>
        <w:t>Este proceso de apertura en México continúo en la década de los noventa, el cual se vio seriamente modificado por el proceso de la globalización. En 1994 se firmó el Tratado de Libre Comercio de América del Norte (TLCAN). Al respecto, Rodríguez (2005) comenta que el Tratado de Libre Comercio trajo a México una serie de cambios que repercutieron de manera directa en el sector industrial, por ejemplo, debido a la entrada de productos extranjeros, las empresas nacionales se vieron obligadas a incrementar su nivel  de competitividad </w:t>
      </w:r>
      <w:r>
        <w:rPr>
          <w:spacing w:val="-3"/>
        </w:rPr>
        <w:t>ya </w:t>
      </w:r>
      <w:r>
        <w:rPr/>
        <w:t>sea mediante la adopción de nuevas tecnologías, la capacitación del personal o la reducción de</w:t>
      </w:r>
      <w:r>
        <w:rPr>
          <w:spacing w:val="-8"/>
        </w:rPr>
        <w:t> </w:t>
      </w:r>
      <w:r>
        <w:rPr/>
        <w:t>costos.</w:t>
      </w:r>
    </w:p>
    <w:p>
      <w:pPr>
        <w:pStyle w:val="BodyText"/>
        <w:spacing w:line="360" w:lineRule="auto" w:before="6"/>
        <w:ind w:left="122" w:right="117" w:firstLine="707"/>
        <w:jc w:val="both"/>
      </w:pPr>
      <w:r>
        <w:rPr/>
        <w:t>Se podría decir entonces que en la década de los noventa, destacándose el periodo 1993-2000, el modelo industrial orientado a las exportaciones, fue muy exitoso como motor de crecimiento externo de la economía mexicana. Pero a partir del año 2000 y hasta la actualidad el modelo cayó en el estancamiento (Villarreal, 2005).</w:t>
      </w:r>
    </w:p>
    <w:p>
      <w:pPr>
        <w:pStyle w:val="BodyText"/>
        <w:spacing w:line="360" w:lineRule="auto" w:before="6"/>
        <w:ind w:left="122" w:right="117" w:firstLine="707"/>
        <w:jc w:val="both"/>
      </w:pPr>
      <w:r>
        <w:rPr/>
        <w:t>En este sentido, en el año 2000 se canceló la política industrial en México, necesaria para acompañar el proceso de apertura, que descansó por completo en las fuerzas de mercado y, además, con una sobrevaluación del peso. Ello pronto arrojó  resultados  en 2005: la desarticulación de las cadenas productivas existentes en el país, muchas empresas quebraron, otras dejaron de operar y algunas pocas sobrevivieron (Tello, 2007). Posteriormente  el  gobierno  en  turno  de  Felipe  Calderón  Hinojosa  (2006-2012)  se   ha</w:t>
      </w:r>
    </w:p>
    <w:p>
      <w:pPr>
        <w:pStyle w:val="BodyText"/>
        <w:spacing w:line="328" w:lineRule="auto" w:before="6"/>
        <w:ind w:left="122" w:right="124"/>
        <w:jc w:val="both"/>
        <w:rPr>
          <w:sz w:val="16"/>
        </w:rPr>
      </w:pPr>
      <w:r>
        <w:rPr/>
        <w:t>preocupado más por el combate al crimen organizado que por fortalecer el mercado interno.</w:t>
      </w:r>
      <w:r>
        <w:rPr>
          <w:position w:val="11"/>
          <w:sz w:val="16"/>
        </w:rPr>
        <w:t>32</w:t>
      </w:r>
    </w:p>
    <w:p>
      <w:pPr>
        <w:pStyle w:val="BodyText"/>
        <w:spacing w:before="1"/>
        <w:rPr>
          <w:sz w:val="20"/>
        </w:rPr>
      </w:pPr>
      <w:r>
        <w:rPr/>
        <w:pict>
          <v:line style="position:absolute;mso-position-horizontal-relative:page;mso-position-vertical-relative:paragraph;z-index:1648;mso-wrap-distance-left:0;mso-wrap-distance-right:0" from="85.103996pt,13.88118pt" to="229.123996pt,13.88118pt" stroked="true" strokeweight=".72003pt" strokecolor="#000000">
            <w10:wrap type="topAndBottom"/>
          </v:line>
        </w:pict>
      </w:r>
    </w:p>
    <w:p>
      <w:pPr>
        <w:spacing w:before="42"/>
        <w:ind w:left="122" w:right="119" w:firstLine="0"/>
        <w:jc w:val="both"/>
        <w:rPr>
          <w:sz w:val="20"/>
        </w:rPr>
      </w:pPr>
      <w:r>
        <w:rPr>
          <w:position w:val="9"/>
          <w:sz w:val="13"/>
        </w:rPr>
        <w:t>31 </w:t>
      </w:r>
      <w:r>
        <w:rPr>
          <w:sz w:val="20"/>
        </w:rPr>
        <w:t>El agotamiento del modelo económico se mostró con el incremento de la tasa de inflación. De 1963 a 1971 sólo fue de 2.8% anual. Empero existieron factores como el populismo en las políticas públicas que puso en entredicho el proceso de crecimiento rápido y sostenido a largo plazo, ya que de 1972 a 1981, inició el  proceso inflacionario. La inflación promedio en el periodo fue de 17.9%, para luego acelerarse a partir de 1982 y llegar al final de ese año a 92.6% (Cárdenas, 1996: 89). La inflación en 1988 que fue de 51.7% paso a 11.9% en 1992 y a 8.0% en 1993, producto de las políticas contra la inflación como el PECE. (Cárdenas, 1996:</w:t>
      </w:r>
      <w:r>
        <w:rPr>
          <w:spacing w:val="-3"/>
          <w:sz w:val="20"/>
        </w:rPr>
        <w:t> </w:t>
      </w:r>
      <w:r>
        <w:rPr>
          <w:sz w:val="20"/>
        </w:rPr>
        <w:t>183).</w:t>
      </w:r>
    </w:p>
    <w:p>
      <w:pPr>
        <w:spacing w:line="230" w:lineRule="exact" w:before="3"/>
        <w:ind w:left="122" w:right="124" w:firstLine="0"/>
        <w:jc w:val="both"/>
        <w:rPr>
          <w:sz w:val="20"/>
        </w:rPr>
      </w:pPr>
      <w:r>
        <w:rPr>
          <w:position w:val="9"/>
          <w:sz w:val="13"/>
        </w:rPr>
        <w:t>32 </w:t>
      </w:r>
      <w:r>
        <w:rPr>
          <w:sz w:val="20"/>
        </w:rPr>
        <w:t>El Plan Nacional de Desarrollo 2006-2012, considera en el rubro Estado de Derecho y Seguridad, acciones contra el crimen organizado; en tanto que la política industrial y el desarrollo de las estrategias económicas son ambiguas y generales.</w:t>
      </w:r>
    </w:p>
    <w:p>
      <w:pPr>
        <w:spacing w:after="0" w:line="230" w:lineRule="exact"/>
        <w:jc w:val="both"/>
        <w:rPr>
          <w:sz w:val="20"/>
        </w:rPr>
        <w:sectPr>
          <w:pgSz w:w="12240" w:h="15840"/>
          <w:pgMar w:header="0" w:footer="1003" w:top="1320" w:bottom="1200" w:left="1580" w:right="1580"/>
        </w:sectPr>
      </w:pPr>
    </w:p>
    <w:p>
      <w:pPr>
        <w:pStyle w:val="BodyText"/>
        <w:spacing w:line="360" w:lineRule="auto" w:before="50"/>
        <w:ind w:left="102" w:right="117" w:firstLine="707"/>
        <w:jc w:val="both"/>
      </w:pPr>
      <w:r>
        <w:rPr/>
        <w:t>Aunado a esto, se encuentra el fenómeno de China, el país que ha logrado penetrar en el mercado estadounidense de forma desmedida y ha desplazado los productos mexicanos. Puesto que en el año de 2007 Estados Unidos le compró a China 340.3 miles de millones de dólares, es decir el 18.6% del total de sus importaciones y a México 213.3  mmd que correspondía a 10.5% de sus compras que realiza en el exterior nuestro país vecino. La estructura de estas exportaciones chinas a nivel mundial son en su mayoría manufacturas, que han pasado de  0.8% en 1980 a 12.7% en 2008 (González,</w:t>
      </w:r>
      <w:r>
        <w:rPr>
          <w:spacing w:val="-8"/>
        </w:rPr>
        <w:t> </w:t>
      </w:r>
      <w:r>
        <w:rPr/>
        <w:t>2010).</w:t>
      </w:r>
    </w:p>
    <w:p>
      <w:pPr>
        <w:pStyle w:val="BodyText"/>
        <w:spacing w:line="360" w:lineRule="auto" w:before="6"/>
        <w:ind w:left="102" w:right="118" w:firstLine="707"/>
        <w:jc w:val="both"/>
      </w:pPr>
      <w:r>
        <w:rPr/>
        <w:t>Para 2008 el comportamiento del sector externo fue desfavorable por la caída de la actividad económica global, lo cual repercutió en México en la disminución del ritmo de crecimiento de las exportaciones no petroleras y una caída en las remesas (Banxico, 2008).</w:t>
      </w:r>
    </w:p>
    <w:p>
      <w:pPr>
        <w:pStyle w:val="BodyText"/>
        <w:spacing w:line="360" w:lineRule="auto" w:before="4"/>
        <w:ind w:left="102" w:right="117" w:firstLine="707"/>
        <w:jc w:val="both"/>
      </w:pPr>
      <w:r>
        <w:rPr/>
        <w:t>Bajo este panorama, después de la larga crisis de los ochenta el lugar prioritario lo ocupó el crecimiento económico en la política económica de México (Clavijo y Casar, 1994), pero el alza de la tasa de interés internacional y la incierta disponibilidad de fondos debido a la competencia de otros mercados emergentes, dificultaron sostener una tasa de crecimiento elevada. Por su parte, Loría (2009) menciona que ha sido doble la presión  sobre el estancamiento productivo en las últimas décadas porque las empresas mexicanas han enfrentado un desplazamiento de sus exportaciones y de su producción</w:t>
      </w:r>
      <w:r>
        <w:rPr>
          <w:spacing w:val="-14"/>
        </w:rPr>
        <w:t> </w:t>
      </w:r>
      <w:r>
        <w:rPr/>
        <w:t>interna.</w:t>
      </w:r>
    </w:p>
    <w:p>
      <w:pPr>
        <w:pStyle w:val="BodyText"/>
        <w:spacing w:line="360" w:lineRule="auto" w:before="6"/>
        <w:ind w:left="102" w:right="117" w:firstLine="707"/>
        <w:jc w:val="both"/>
      </w:pPr>
      <w:r>
        <w:rPr/>
        <w:t>Por lo tanto es importante comentar que México se quedó en una industrialización de ensamble, mientras que otros países en desarrollo, lograron un proceso de industrialización maduro o rápido en donde la participación porcentual de sector industrial en el PIB, empleo y las exportaciones totales siguieron en aumento como resultado de la inversión y de la transición de producción de bienes primarios a producción de bienes intensivos en tecnología (Villarreal,</w:t>
      </w:r>
      <w:r>
        <w:rPr>
          <w:spacing w:val="-7"/>
        </w:rPr>
        <w:t> </w:t>
      </w:r>
      <w:r>
        <w:rPr/>
        <w:t>2005).</w:t>
      </w:r>
    </w:p>
    <w:p>
      <w:pPr>
        <w:pStyle w:val="BodyText"/>
        <w:spacing w:line="360" w:lineRule="auto" w:before="6"/>
        <w:ind w:left="102" w:right="121" w:firstLine="707"/>
        <w:jc w:val="both"/>
      </w:pPr>
      <w:r>
        <w:rPr/>
        <w:t>Es así como bajó el nuevo modelo de economía abierta, México se enfrentó a problemas de inflación y caída en la producción hasta 1990. Posteriormente, la economía mexicana se recuperó con una tasa de crecimiento modesto, asociada a un fuerte desequilibrio en Balanza de Pagos.</w:t>
      </w:r>
    </w:p>
    <w:p>
      <w:pPr>
        <w:pStyle w:val="BodyText"/>
        <w:spacing w:line="360" w:lineRule="auto" w:before="6"/>
        <w:ind w:left="102" w:right="119" w:firstLine="707"/>
        <w:jc w:val="both"/>
      </w:pPr>
      <w:r>
        <w:rPr/>
        <w:t>Con la desviación de recursos de la inversión pública y privada para el pago de la deuda externa, además, la asignación ineficiente de los recursos heredada del pasado, aumentó el costo de ajuste estructural, y la fuerte recesión que sufrió México después de la crisis de 1994, se sumó a esta situación (Santaella, 1998).</w:t>
      </w:r>
    </w:p>
    <w:p>
      <w:pPr>
        <w:spacing w:after="0" w:line="360" w:lineRule="auto"/>
        <w:jc w:val="both"/>
        <w:sectPr>
          <w:pgSz w:w="12240" w:h="15840"/>
          <w:pgMar w:header="0" w:footer="1003" w:top="1360" w:bottom="1200" w:left="1600" w:right="1580"/>
        </w:sectPr>
      </w:pPr>
    </w:p>
    <w:p>
      <w:pPr>
        <w:pStyle w:val="BodyText"/>
        <w:spacing w:line="360" w:lineRule="auto" w:before="50"/>
        <w:ind w:left="102" w:right="120" w:firstLine="707"/>
        <w:jc w:val="both"/>
      </w:pPr>
      <w:r>
        <w:rPr/>
        <w:t>Se vivió sin inflación pero con un lento crecimiento de la economía hasta la crisis de 1995, y de 1996 a 2000 el PIB se recuperó a una tasa de 5.4% por año, pero de acuerdo con Lustig (2001) el PIB </w:t>
      </w:r>
      <w:r>
        <w:rPr>
          <w:i/>
        </w:rPr>
        <w:t>per cápita </w:t>
      </w:r>
      <w:r>
        <w:rPr/>
        <w:t>de México creció sólo el 0.45% por año entre 1980 y 1999. En este sentido Tello (2007: 695), enfatiza que “a la luz de los resultados de la apertura comercial, sin duda es indispensable la puesta en práctica de una política industrial activa, estratégica, en lugar de dejar todo al libre juego de las fuerzas del mercado”.</w:t>
      </w:r>
    </w:p>
    <w:p>
      <w:pPr>
        <w:pStyle w:val="BodyText"/>
        <w:spacing w:line="360" w:lineRule="auto" w:before="4"/>
        <w:ind w:left="102" w:right="117" w:firstLine="707"/>
        <w:jc w:val="both"/>
      </w:pPr>
      <w:r>
        <w:rPr/>
        <w:t>Un balance sobre la política económica, realizado por De la Garza (1999), permite entender que las políticas ejercidas sobre nuestro país siguieron el mismo modelo de América Latina: un cambio estructural sistetizado en privatización, reorientación del gasto público, disminución del gasto en inversión y desregulación de los mercados. Por ello se generaron transformaciones perjudiciales para la industria de las manufacturas, porque  estas políticas macroeconómicas se mueven fundamentalmente en el ámbito monetario, crediticio y fiscal, pero no en el productivo. Este es el contexto nacional, ahora el análisis  se realizará sobre la entidad</w:t>
      </w:r>
      <w:r>
        <w:rPr>
          <w:spacing w:val="-9"/>
        </w:rPr>
        <w:t> </w:t>
      </w:r>
      <w:r>
        <w:rPr/>
        <w:t>mexiquense.</w:t>
      </w:r>
    </w:p>
    <w:p>
      <w:pPr>
        <w:pStyle w:val="BodyText"/>
      </w:pPr>
    </w:p>
    <w:p>
      <w:pPr>
        <w:pStyle w:val="Heading2"/>
        <w:numPr>
          <w:ilvl w:val="1"/>
          <w:numId w:val="11"/>
        </w:numPr>
        <w:tabs>
          <w:tab w:pos="463" w:val="left" w:leader="none"/>
        </w:tabs>
        <w:spacing w:line="240" w:lineRule="auto" w:before="148" w:after="0"/>
        <w:ind w:left="462" w:right="0" w:hanging="360"/>
        <w:jc w:val="both"/>
      </w:pPr>
      <w:r>
        <w:rPr/>
        <w:t>La industrialización en el Estado de</w:t>
      </w:r>
      <w:r>
        <w:rPr>
          <w:spacing w:val="-9"/>
        </w:rPr>
        <w:t> </w:t>
      </w:r>
      <w:r>
        <w:rPr/>
        <w:t>México</w:t>
      </w:r>
    </w:p>
    <w:p>
      <w:pPr>
        <w:pStyle w:val="BodyText"/>
        <w:spacing w:line="360" w:lineRule="auto" w:before="132"/>
        <w:ind w:left="102" w:right="121"/>
        <w:jc w:val="both"/>
      </w:pPr>
      <w:r>
        <w:rPr/>
        <w:t>Por lo que respecta al Estado de México podemos señalar que la manufactura en la entidad durante la época colonial se constituyó básicamente con las industrias alimenticias, figurando en primer plano: la de azúcar, la panadería y las mieles que eran destinadas en su mayoría al mercado de la Ciudad de México, si bien ciudades como Toluca consumían gran parte de la producción.</w:t>
      </w:r>
    </w:p>
    <w:p>
      <w:pPr>
        <w:pStyle w:val="BodyText"/>
        <w:spacing w:line="360" w:lineRule="auto" w:before="6"/>
        <w:ind w:left="102" w:right="118" w:firstLine="707"/>
        <w:jc w:val="both"/>
      </w:pPr>
      <w:r>
        <w:rPr/>
        <w:t>De acuerdo con Bejar y Casanova (1970), la manufactura de ciertos productos, estuvo restringida a las zonas urbanas. Es el caso del pan blanco, no así las máquinas de nixtamal que se instalaron en todos los pequeños poblados y rancherías del Estado de México. Asimismo; las industrias químicas asentadas en la provincia de México elaboraban velas de sebo, elemento indispensable para el alumbrado de las minas y habitaciones, los jabones y aceites vegetales alcanzaron gran importancia, así como la pólvora utilizada en la industria minera.</w:t>
      </w:r>
    </w:p>
    <w:p>
      <w:pPr>
        <w:pStyle w:val="BodyText"/>
        <w:spacing w:line="360" w:lineRule="auto" w:before="4"/>
        <w:ind w:left="102" w:right="122" w:firstLine="707"/>
        <w:jc w:val="both"/>
      </w:pPr>
      <w:r>
        <w:rPr/>
        <w:t>La entidad mexiquense floreció en el área de la minería en la etapa de 1911 a 1944, se desarrolló de manera amplia la elaboración de productos derivados de la extracción de metales preciosos. Es en el cuatrienio de 1925 a 1929, cuando el gobernador en turno,</w:t>
      </w:r>
    </w:p>
    <w:p>
      <w:pPr>
        <w:spacing w:after="0" w:line="360" w:lineRule="auto"/>
        <w:jc w:val="both"/>
        <w:sectPr>
          <w:footerReference w:type="default" r:id="rId20"/>
          <w:pgSz w:w="12240" w:h="15840"/>
          <w:pgMar w:footer="1003" w:header="0" w:top="1360" w:bottom="1200" w:left="1600" w:right="1580"/>
        </w:sectPr>
      </w:pPr>
    </w:p>
    <w:p>
      <w:pPr>
        <w:pStyle w:val="BodyText"/>
        <w:spacing w:line="360" w:lineRule="auto" w:before="50"/>
        <w:ind w:left="122" w:right="115"/>
        <w:jc w:val="both"/>
      </w:pPr>
      <w:r>
        <w:rPr/>
        <w:t>Carlos Riva Palacio, dio un fuerte impulso a la industria pues promovió el desarrollo y crecimiento del sector industrial en la entidad. A partir de estas fechas, la entidad por tener una cercanía con el Distrito Federal, logró acaparar la atención de los inversionistas interesados en asentarse en tierra mexiquense.</w:t>
      </w:r>
    </w:p>
    <w:p>
      <w:pPr>
        <w:pStyle w:val="BodyText"/>
        <w:spacing w:line="360" w:lineRule="auto" w:before="4"/>
        <w:ind w:left="122" w:right="113" w:firstLine="707"/>
        <w:jc w:val="both"/>
      </w:pPr>
      <w:r>
        <w:rPr/>
        <w:t>Aun así, puede decirse que el incremento industrial en la entidad mexiquense durante el periodo de 1910 a 1930 fue precario. Ya sea que se tomen como indicadores el número</w:t>
      </w:r>
      <w:r>
        <w:rPr>
          <w:spacing w:val="33"/>
        </w:rPr>
        <w:t> </w:t>
      </w:r>
      <w:r>
        <w:rPr/>
        <w:t>de</w:t>
      </w:r>
      <w:r>
        <w:rPr>
          <w:spacing w:val="34"/>
        </w:rPr>
        <w:t> </w:t>
      </w:r>
      <w:r>
        <w:rPr/>
        <w:t>establecimientos</w:t>
      </w:r>
      <w:r>
        <w:rPr>
          <w:spacing w:val="33"/>
        </w:rPr>
        <w:t> </w:t>
      </w:r>
      <w:r>
        <w:rPr/>
        <w:t>o</w:t>
      </w:r>
      <w:r>
        <w:rPr>
          <w:spacing w:val="33"/>
        </w:rPr>
        <w:t> </w:t>
      </w:r>
      <w:r>
        <w:rPr/>
        <w:t>bien,</w:t>
      </w:r>
      <w:r>
        <w:rPr>
          <w:spacing w:val="32"/>
        </w:rPr>
        <w:t> </w:t>
      </w:r>
      <w:r>
        <w:rPr/>
        <w:t>el</w:t>
      </w:r>
      <w:r>
        <w:rPr>
          <w:spacing w:val="33"/>
        </w:rPr>
        <w:t> </w:t>
      </w:r>
      <w:r>
        <w:rPr/>
        <w:t>valor</w:t>
      </w:r>
      <w:r>
        <w:rPr>
          <w:spacing w:val="33"/>
        </w:rPr>
        <w:t> </w:t>
      </w:r>
      <w:r>
        <w:rPr/>
        <w:t>total</w:t>
      </w:r>
      <w:r>
        <w:rPr>
          <w:spacing w:val="33"/>
        </w:rPr>
        <w:t> </w:t>
      </w:r>
      <w:r>
        <w:rPr/>
        <w:t>de</w:t>
      </w:r>
      <w:r>
        <w:rPr>
          <w:spacing w:val="32"/>
        </w:rPr>
        <w:t> </w:t>
      </w:r>
      <w:r>
        <w:rPr/>
        <w:t>la</w:t>
      </w:r>
      <w:r>
        <w:rPr>
          <w:spacing w:val="35"/>
        </w:rPr>
        <w:t> </w:t>
      </w:r>
      <w:r>
        <w:rPr/>
        <w:t>producción.</w:t>
      </w:r>
      <w:r>
        <w:rPr>
          <w:spacing w:val="36"/>
        </w:rPr>
        <w:t> </w:t>
      </w:r>
      <w:r>
        <w:rPr/>
        <w:t>Las</w:t>
      </w:r>
      <w:r>
        <w:rPr>
          <w:spacing w:val="35"/>
        </w:rPr>
        <w:t> </w:t>
      </w:r>
      <w:r>
        <w:rPr/>
        <w:t>causas</w:t>
      </w:r>
      <w:r>
        <w:rPr>
          <w:spacing w:val="35"/>
        </w:rPr>
        <w:t> </w:t>
      </w:r>
      <w:r>
        <w:rPr/>
        <w:t>son</w:t>
      </w:r>
      <w:r>
        <w:rPr>
          <w:spacing w:val="33"/>
        </w:rPr>
        <w:t> </w:t>
      </w:r>
      <w:r>
        <w:rPr/>
        <w:t>muy</w:t>
      </w:r>
    </w:p>
    <w:p>
      <w:pPr>
        <w:pStyle w:val="BodyText"/>
        <w:spacing w:line="328" w:lineRule="auto" w:before="6"/>
        <w:ind w:left="122" w:right="117"/>
        <w:jc w:val="both"/>
      </w:pPr>
      <w:r>
        <w:rPr/>
        <w:t>obvias, considerando que en ese intervalo de 20 años hubo muy pocos años de paz y estabilidad política</w:t>
      </w:r>
      <w:r>
        <w:rPr>
          <w:position w:val="11"/>
          <w:sz w:val="16"/>
        </w:rPr>
        <w:t>33</w:t>
      </w:r>
      <w:r>
        <w:rPr/>
        <w:t>.</w:t>
      </w:r>
    </w:p>
    <w:p>
      <w:pPr>
        <w:pStyle w:val="BodyText"/>
        <w:spacing w:line="345" w:lineRule="auto" w:before="27"/>
        <w:ind w:left="122" w:right="116" w:firstLine="707"/>
        <w:jc w:val="both"/>
      </w:pPr>
      <w:r>
        <w:rPr/>
        <w:t>El 25 de marzo de 1931, el gobernador del Estado de México, Filiberto Gómez, presentó la exposición de motivos de la Ley de Protección a la Industria</w:t>
      </w:r>
      <w:r>
        <w:rPr>
          <w:position w:val="11"/>
          <w:sz w:val="16"/>
        </w:rPr>
        <w:t>34 </w:t>
      </w:r>
      <w:r>
        <w:rPr/>
        <w:t>que señalaba los beneficios de implantar cualquier tipo de negocio amparado en la propia ley, misma que tenía como objetivo acrecentar el número de empresas e industrias en la entidad.  El fomento que se hizo, promovió el desarrollo de una industria incipiente</w:t>
      </w:r>
      <w:r>
        <w:rPr>
          <w:position w:val="11"/>
          <w:sz w:val="16"/>
        </w:rPr>
        <w:t>35 </w:t>
      </w:r>
      <w:r>
        <w:rPr/>
        <w:t>y la especialización de ramas propias de la región. Es así como entre 1929 y 1933, se inició una política orientada a favorecer las nuevas industrias</w:t>
      </w:r>
      <w:r>
        <w:rPr>
          <w:position w:val="11"/>
          <w:sz w:val="16"/>
        </w:rPr>
        <w:t>36</w:t>
      </w:r>
      <w:r>
        <w:rPr/>
        <w:t>.</w:t>
      </w:r>
    </w:p>
    <w:p>
      <w:pPr>
        <w:pStyle w:val="BodyText"/>
        <w:spacing w:line="360" w:lineRule="auto" w:before="3"/>
        <w:ind w:left="122" w:right="116" w:firstLine="707"/>
        <w:jc w:val="both"/>
      </w:pPr>
      <w:r>
        <w:rPr/>
        <w:t>El objetivo de la citada ley era promover el desarrollo industrial y poner a la entidad al día en materia de industrias, haciendo necesaria la expedición de una ley que fijara los lineamientos precisos, para el otorgamiento de esas concesiones, cuidando consignar en ella, la protección fiscal cuando pudiera producir beneficio para sus pobladores y para el país en general. Aunque la política proteccionista del Gobernador Filiberto Gómez no fue suficiente para propiciar el crecimiento masivo del capital y la producción industrial, sin embargo, su iniciativa constituyó una base jurídica inicial que permitió la construcción de una política más adecuada para la industrialización del Estado de</w:t>
      </w:r>
      <w:r>
        <w:rPr>
          <w:spacing w:val="-11"/>
        </w:rPr>
        <w:t> </w:t>
      </w:r>
      <w:r>
        <w:rPr/>
        <w:t>México.</w:t>
      </w:r>
    </w:p>
    <w:p>
      <w:pPr>
        <w:pStyle w:val="BodyText"/>
        <w:spacing w:before="3"/>
        <w:rPr>
          <w:sz w:val="14"/>
        </w:rPr>
      </w:pPr>
      <w:r>
        <w:rPr/>
        <w:pict>
          <v:line style="position:absolute;mso-position-horizontal-relative:page;mso-position-vertical-relative:paragraph;z-index:1672;mso-wrap-distance-left:0;mso-wrap-distance-right:0" from="85.103996pt,10.559784pt" to="229.123996pt,10.559784pt" stroked="true" strokeweight=".71997pt" strokecolor="#000000">
            <w10:wrap type="topAndBottom"/>
          </v:line>
        </w:pict>
      </w:r>
    </w:p>
    <w:p>
      <w:pPr>
        <w:spacing w:before="43"/>
        <w:ind w:left="122" w:right="122" w:firstLine="0"/>
        <w:jc w:val="both"/>
        <w:rPr>
          <w:sz w:val="20"/>
        </w:rPr>
      </w:pPr>
      <w:r>
        <w:rPr>
          <w:position w:val="9"/>
          <w:sz w:val="13"/>
        </w:rPr>
        <w:t>33 </w:t>
      </w:r>
      <w:r>
        <w:rPr>
          <w:sz w:val="20"/>
        </w:rPr>
        <w:t>La inestabilidad política interrumpió en varias ocasiones el orden constitucional y hubo falta de continuidad administrativa especialmente de 1911 a 1924, años en que se sucedieron varios gobernantes y que debido también a ello se impide localizar información del ramo industrial durante este periodo.</w:t>
      </w:r>
    </w:p>
    <w:p>
      <w:pPr>
        <w:spacing w:line="230" w:lineRule="exact" w:before="3"/>
        <w:ind w:left="122" w:right="124" w:firstLine="0"/>
        <w:jc w:val="both"/>
        <w:rPr>
          <w:sz w:val="20"/>
        </w:rPr>
      </w:pPr>
      <w:r>
        <w:rPr>
          <w:position w:val="9"/>
          <w:sz w:val="13"/>
        </w:rPr>
        <w:t>34 </w:t>
      </w:r>
      <w:r>
        <w:rPr>
          <w:sz w:val="20"/>
        </w:rPr>
        <w:t>García Luna (1998), relata que dicha Ley se aprobó y se expidió el 17 de marzo de 1931. Esta ley señala  que gozarían de consideración en la tributación fiscal las nuevas industrias que se establecieron en el Estado de México, así como el fomento y desarrollo de las que actualmente existían. De igual manera disfrutarían </w:t>
      </w:r>
      <w:r>
        <w:rPr>
          <w:spacing w:val="5"/>
          <w:sz w:val="20"/>
        </w:rPr>
        <w:t> </w:t>
      </w:r>
      <w:r>
        <w:rPr>
          <w:sz w:val="20"/>
        </w:rPr>
        <w:t>de</w:t>
      </w:r>
    </w:p>
    <w:p>
      <w:pPr>
        <w:spacing w:line="228" w:lineRule="exact" w:before="2"/>
        <w:ind w:left="122" w:right="124" w:firstLine="0"/>
        <w:jc w:val="both"/>
        <w:rPr>
          <w:sz w:val="20"/>
        </w:rPr>
      </w:pPr>
      <w:r>
        <w:rPr>
          <w:sz w:val="20"/>
        </w:rPr>
        <w:t>los beneficios a los que la ley se refiere, “todas las industrias cuyo establecimiento signifique un ensanche en las fuentes de riqueza del Estado para su bienestar económico”.</w:t>
      </w:r>
    </w:p>
    <w:p>
      <w:pPr>
        <w:spacing w:line="230" w:lineRule="exact" w:before="1"/>
        <w:ind w:left="122" w:right="130" w:firstLine="0"/>
        <w:jc w:val="both"/>
        <w:rPr>
          <w:sz w:val="20"/>
        </w:rPr>
      </w:pPr>
      <w:r>
        <w:rPr>
          <w:position w:val="9"/>
          <w:sz w:val="13"/>
        </w:rPr>
        <w:t>35 </w:t>
      </w:r>
      <w:r>
        <w:rPr>
          <w:sz w:val="20"/>
        </w:rPr>
        <w:t>En la exposición de motivos de la Ley de Protección a la Industria, justifica el apoyo a la industria en aras de obtener beneficios públicos, ante la</w:t>
      </w:r>
      <w:r>
        <w:rPr>
          <w:spacing w:val="-13"/>
          <w:sz w:val="20"/>
        </w:rPr>
        <w:t> </w:t>
      </w:r>
      <w:r>
        <w:rPr>
          <w:sz w:val="20"/>
        </w:rPr>
        <w:t>legislatura.</w:t>
      </w:r>
    </w:p>
    <w:p>
      <w:pPr>
        <w:spacing w:line="230" w:lineRule="exact" w:before="0"/>
        <w:ind w:left="122" w:right="128" w:firstLine="0"/>
        <w:jc w:val="both"/>
        <w:rPr>
          <w:sz w:val="20"/>
        </w:rPr>
      </w:pPr>
      <w:r>
        <w:rPr>
          <w:position w:val="9"/>
          <w:sz w:val="13"/>
        </w:rPr>
        <w:t>36 </w:t>
      </w:r>
      <w:r>
        <w:rPr>
          <w:sz w:val="20"/>
        </w:rPr>
        <w:t>En la Gaceta No. 24, Tomo XXXI del Gobierno Constitucional del Estado de México, del 25 de marzo de 1931, se expresa en varios artículos la importancia de promover la industrialización.</w:t>
      </w:r>
    </w:p>
    <w:p>
      <w:pPr>
        <w:spacing w:after="0" w:line="230" w:lineRule="exact"/>
        <w:jc w:val="both"/>
        <w:rPr>
          <w:sz w:val="20"/>
        </w:rPr>
        <w:sectPr>
          <w:footerReference w:type="default" r:id="rId21"/>
          <w:pgSz w:w="12240" w:h="15840"/>
          <w:pgMar w:footer="1003" w:header="0" w:top="1360" w:bottom="1200" w:left="1580" w:right="1580"/>
          <w:pgNumType w:start="61"/>
        </w:sectPr>
      </w:pPr>
    </w:p>
    <w:p>
      <w:pPr>
        <w:pStyle w:val="BodyText"/>
        <w:spacing w:line="360" w:lineRule="auto" w:before="50"/>
        <w:ind w:left="122" w:right="116" w:firstLine="707"/>
        <w:jc w:val="both"/>
      </w:pPr>
      <w:r>
        <w:rPr/>
        <w:t>Posteriormente, el programa orgánico del gobernador Labra (1942-1945), implementado en la entidad, fue uno de los factores legales que hicieron posible el rápido desarrollo industrial que se inició a partir de 1943. Es de señalar, que durante el mandato de Labra se establecieron pocas industrias pero no se alcanzó el éxito por los escasos  resultados prácticos, sin embargo, puede fijarse como antecedente de las posteriores políticas, destinadas a incrementar la inversión industrial y la adquisición de maquinaria de los países industrializados durante la Segunda Guerra</w:t>
      </w:r>
      <w:r>
        <w:rPr>
          <w:spacing w:val="-15"/>
        </w:rPr>
        <w:t> </w:t>
      </w:r>
      <w:r>
        <w:rPr/>
        <w:t>Mundial.</w:t>
      </w:r>
    </w:p>
    <w:p>
      <w:pPr>
        <w:pStyle w:val="BodyText"/>
        <w:spacing w:line="360" w:lineRule="auto" w:before="6"/>
        <w:ind w:left="122" w:right="121" w:firstLine="707"/>
        <w:jc w:val="both"/>
      </w:pPr>
      <w:r>
        <w:rPr/>
        <w:t>De tal forma que en el primer cuarto del Siglo XX se constituyó el inicio del titubeante proceso de industrialización. Martínez del Campo (1985) sostiene que este periodo se podría caracterizar por la denominada “economía de enclave”, en donde la principal fuente de divisas la constituyó la explotación y exportación de materias primas tanto renovables como no renovables:</w:t>
      </w:r>
    </w:p>
    <w:p>
      <w:pPr>
        <w:spacing w:before="3"/>
        <w:ind w:left="688" w:right="682" w:firstLine="0"/>
        <w:jc w:val="both"/>
        <w:rPr>
          <w:sz w:val="22"/>
        </w:rPr>
      </w:pPr>
      <w:r>
        <w:rPr>
          <w:sz w:val="22"/>
        </w:rPr>
        <w:t>“La década de los años treinta –y muy particularmente a partir de 1933-  se  ven cambios profundos en la organización política y social de la nación mexicana; se crea una infraestructura básica en irrigación, caminos y otras áreas, se expropian el petróleo y los ferrocarriles, se establece un sistema financiero para el desarrollo y, sobre todo,  se reorienta la mentalidad nacional hacia la conciencia plena de sus derechos frente a sus intereses extranjeros, así como a la importancia de adoptar reformas y medidas conducentes a una más equitativa distribución de la riqueza” (Martínez del Campo, 1985:</w:t>
      </w:r>
      <w:r>
        <w:rPr>
          <w:spacing w:val="1"/>
          <w:sz w:val="22"/>
        </w:rPr>
        <w:t> </w:t>
      </w:r>
      <w:r>
        <w:rPr>
          <w:sz w:val="22"/>
        </w:rPr>
        <w:t>70).</w:t>
      </w:r>
    </w:p>
    <w:p>
      <w:pPr>
        <w:pStyle w:val="BodyText"/>
        <w:spacing w:line="278" w:lineRule="exact"/>
        <w:ind w:left="122" w:right="243" w:firstLine="566"/>
      </w:pPr>
      <w:r>
        <w:rPr/>
        <w:t>En ese sentido, Rózga e Iglesias (2004)</w:t>
      </w:r>
      <w:r>
        <w:rPr>
          <w:position w:val="11"/>
          <w:sz w:val="16"/>
        </w:rPr>
        <w:t>37  </w:t>
      </w:r>
      <w:r>
        <w:rPr/>
        <w:t>coinciden en señalar la década de 1940</w:t>
      </w:r>
    </w:p>
    <w:p>
      <w:pPr>
        <w:pStyle w:val="BodyText"/>
        <w:spacing w:line="360" w:lineRule="auto" w:before="137"/>
        <w:ind w:left="122" w:right="119"/>
        <w:jc w:val="both"/>
      </w:pPr>
      <w:r>
        <w:rPr/>
        <w:t>como el inicio de la industrialización, en el contexto de la sustitución de importaciones, donde esta política favoreció la constitución de una estructura industrial más diversificada en la entidad mexiquense.</w:t>
      </w:r>
    </w:p>
    <w:p>
      <w:pPr>
        <w:pStyle w:val="BodyText"/>
        <w:spacing w:line="355" w:lineRule="auto" w:before="4"/>
        <w:ind w:left="122" w:right="115" w:firstLine="707"/>
        <w:jc w:val="both"/>
      </w:pPr>
      <w:r>
        <w:rPr/>
        <w:t>En estas políticas de industrialización, tuvo un papel muy importante el Programa  de Fomento y Protección a las Industrias Nuevas y Necesarias, decretado en 1941 mismo que pretendía garantizar las condiciones para la introducción de empresas no existentes en el Estado de México. Posteriormente en 1944, una de las políticas de industrialización para el Estado de México consistió en extender la Ley de las Industrias de la Transformación, con</w:t>
      </w:r>
      <w:r>
        <w:rPr>
          <w:spacing w:val="37"/>
        </w:rPr>
        <w:t> </w:t>
      </w:r>
      <w:r>
        <w:rPr/>
        <w:t>la</w:t>
      </w:r>
      <w:r>
        <w:rPr>
          <w:spacing w:val="39"/>
        </w:rPr>
        <w:t> </w:t>
      </w:r>
      <w:r>
        <w:rPr/>
        <w:t>Ley</w:t>
      </w:r>
      <w:r>
        <w:rPr>
          <w:spacing w:val="32"/>
        </w:rPr>
        <w:t> </w:t>
      </w:r>
      <w:r>
        <w:rPr/>
        <w:t>de</w:t>
      </w:r>
      <w:r>
        <w:rPr>
          <w:spacing w:val="36"/>
        </w:rPr>
        <w:t> </w:t>
      </w:r>
      <w:r>
        <w:rPr/>
        <w:t>Protección</w:t>
      </w:r>
      <w:r>
        <w:rPr>
          <w:spacing w:val="37"/>
        </w:rPr>
        <w:t> </w:t>
      </w:r>
      <w:r>
        <w:rPr/>
        <w:t>a</w:t>
      </w:r>
      <w:r>
        <w:rPr>
          <w:spacing w:val="36"/>
        </w:rPr>
        <w:t> </w:t>
      </w:r>
      <w:r>
        <w:rPr/>
        <w:t>la</w:t>
      </w:r>
      <w:r>
        <w:rPr>
          <w:spacing w:val="39"/>
        </w:rPr>
        <w:t> </w:t>
      </w:r>
      <w:r>
        <w:rPr/>
        <w:t>Industria</w:t>
      </w:r>
      <w:r>
        <w:rPr>
          <w:spacing w:val="36"/>
        </w:rPr>
        <w:t> </w:t>
      </w:r>
      <w:r>
        <w:rPr/>
        <w:t>en</w:t>
      </w:r>
      <w:r>
        <w:rPr>
          <w:spacing w:val="37"/>
        </w:rPr>
        <w:t> </w:t>
      </w:r>
      <w:r>
        <w:rPr/>
        <w:t>el</w:t>
      </w:r>
      <w:r>
        <w:rPr>
          <w:spacing w:val="37"/>
        </w:rPr>
        <w:t> </w:t>
      </w:r>
      <w:r>
        <w:rPr/>
        <w:t>Estado</w:t>
      </w:r>
      <w:r>
        <w:rPr>
          <w:spacing w:val="39"/>
        </w:rPr>
        <w:t> </w:t>
      </w:r>
      <w:r>
        <w:rPr/>
        <w:t>Libre</w:t>
      </w:r>
      <w:r>
        <w:rPr>
          <w:spacing w:val="40"/>
        </w:rPr>
        <w:t> </w:t>
      </w:r>
      <w:r>
        <w:rPr/>
        <w:t>y</w:t>
      </w:r>
      <w:r>
        <w:rPr>
          <w:spacing w:val="32"/>
        </w:rPr>
        <w:t> </w:t>
      </w:r>
      <w:r>
        <w:rPr/>
        <w:t>Soberano</w:t>
      </w:r>
      <w:r>
        <w:rPr>
          <w:spacing w:val="39"/>
        </w:rPr>
        <w:t> </w:t>
      </w:r>
      <w:r>
        <w:rPr/>
        <w:t>de</w:t>
      </w:r>
      <w:r>
        <w:rPr>
          <w:spacing w:val="36"/>
        </w:rPr>
        <w:t> </w:t>
      </w:r>
      <w:r>
        <w:rPr/>
        <w:t>México.</w:t>
      </w:r>
      <w:r>
        <w:rPr>
          <w:position w:val="11"/>
          <w:sz w:val="16"/>
        </w:rPr>
        <w:t>38 </w:t>
      </w:r>
      <w:r>
        <w:rPr>
          <w:spacing w:val="16"/>
          <w:position w:val="11"/>
          <w:sz w:val="16"/>
        </w:rPr>
        <w:t> </w:t>
      </w:r>
      <w:r>
        <w:rPr/>
        <w:t>El</w:t>
      </w:r>
    </w:p>
    <w:p>
      <w:pPr>
        <w:pStyle w:val="BodyText"/>
        <w:spacing w:before="2"/>
        <w:rPr>
          <w:sz w:val="29"/>
        </w:rPr>
      </w:pPr>
      <w:r>
        <w:rPr/>
        <w:pict>
          <v:line style="position:absolute;mso-position-horizontal-relative:page;mso-position-vertical-relative:paragraph;z-index:1696;mso-wrap-distance-left:0;mso-wrap-distance-right:0" from="85.103996pt,19.136494pt" to="229.123996pt,19.136494pt" stroked="true" strokeweight=".71997pt" strokecolor="#000000">
            <w10:wrap type="topAndBottom"/>
          </v:line>
        </w:pict>
      </w:r>
    </w:p>
    <w:p>
      <w:pPr>
        <w:spacing w:before="42"/>
        <w:ind w:left="122" w:right="120" w:firstLine="0"/>
        <w:jc w:val="both"/>
        <w:rPr>
          <w:sz w:val="20"/>
        </w:rPr>
      </w:pPr>
      <w:r>
        <w:rPr>
          <w:position w:val="9"/>
          <w:sz w:val="13"/>
        </w:rPr>
        <w:t>37 </w:t>
      </w:r>
      <w:r>
        <w:rPr>
          <w:sz w:val="20"/>
        </w:rPr>
        <w:t>Rózga e Iglesias (2004) establecen 3 periodos importantes en la industrialización del Estado de México: el primero de 1940 a 1960 como el inicio de la industrialización moderna; el segundo de 1960 a 1975, como la etapa de la industrialización media y un tercer periodo de 1975 hasta los años noventa como periodo de industrialización avanzada o madura.</w:t>
      </w:r>
    </w:p>
    <w:p>
      <w:pPr>
        <w:spacing w:line="230" w:lineRule="exact" w:before="3"/>
        <w:ind w:left="122" w:right="124" w:firstLine="0"/>
        <w:jc w:val="both"/>
        <w:rPr>
          <w:sz w:val="20"/>
        </w:rPr>
      </w:pPr>
      <w:r>
        <w:rPr>
          <w:position w:val="9"/>
          <w:sz w:val="13"/>
        </w:rPr>
        <w:t>38 </w:t>
      </w:r>
      <w:r>
        <w:rPr>
          <w:sz w:val="20"/>
        </w:rPr>
        <w:t>La Ley de Protección a la Industria en el Estado de México y su reglamento, fue firmada el 20 de Octubre de</w:t>
      </w:r>
      <w:r>
        <w:rPr>
          <w:spacing w:val="14"/>
          <w:sz w:val="20"/>
        </w:rPr>
        <w:t> </w:t>
      </w:r>
      <w:r>
        <w:rPr>
          <w:sz w:val="20"/>
        </w:rPr>
        <w:t>1944,</w:t>
      </w:r>
      <w:r>
        <w:rPr>
          <w:spacing w:val="14"/>
          <w:sz w:val="20"/>
        </w:rPr>
        <w:t> </w:t>
      </w:r>
      <w:r>
        <w:rPr>
          <w:sz w:val="20"/>
        </w:rPr>
        <w:t>contenida</w:t>
      </w:r>
      <w:r>
        <w:rPr>
          <w:spacing w:val="14"/>
          <w:sz w:val="20"/>
        </w:rPr>
        <w:t> </w:t>
      </w:r>
      <w:r>
        <w:rPr>
          <w:sz w:val="20"/>
        </w:rPr>
        <w:t>en</w:t>
      </w:r>
      <w:r>
        <w:rPr>
          <w:spacing w:val="13"/>
          <w:sz w:val="20"/>
        </w:rPr>
        <w:t> </w:t>
      </w:r>
      <w:r>
        <w:rPr>
          <w:sz w:val="20"/>
        </w:rPr>
        <w:t>el</w:t>
      </w:r>
      <w:r>
        <w:rPr>
          <w:spacing w:val="13"/>
          <w:sz w:val="20"/>
        </w:rPr>
        <w:t> </w:t>
      </w:r>
      <w:r>
        <w:rPr>
          <w:sz w:val="20"/>
        </w:rPr>
        <w:t>decreto</w:t>
      </w:r>
      <w:r>
        <w:rPr>
          <w:spacing w:val="15"/>
          <w:sz w:val="20"/>
        </w:rPr>
        <w:t> </w:t>
      </w:r>
      <w:r>
        <w:rPr>
          <w:sz w:val="20"/>
        </w:rPr>
        <w:t>número</w:t>
      </w:r>
      <w:r>
        <w:rPr>
          <w:spacing w:val="14"/>
          <w:sz w:val="20"/>
        </w:rPr>
        <w:t> </w:t>
      </w:r>
      <w:r>
        <w:rPr>
          <w:sz w:val="20"/>
        </w:rPr>
        <w:t>49</w:t>
      </w:r>
      <w:r>
        <w:rPr>
          <w:spacing w:val="14"/>
          <w:sz w:val="20"/>
        </w:rPr>
        <w:t> </w:t>
      </w:r>
      <w:r>
        <w:rPr>
          <w:sz w:val="20"/>
        </w:rPr>
        <w:t>de</w:t>
      </w:r>
      <w:r>
        <w:rPr>
          <w:spacing w:val="14"/>
          <w:sz w:val="20"/>
        </w:rPr>
        <w:t> </w:t>
      </w:r>
      <w:r>
        <w:rPr>
          <w:sz w:val="20"/>
        </w:rPr>
        <w:t>la</w:t>
      </w:r>
      <w:r>
        <w:rPr>
          <w:spacing w:val="14"/>
          <w:sz w:val="20"/>
        </w:rPr>
        <w:t> </w:t>
      </w:r>
      <w:r>
        <w:rPr>
          <w:sz w:val="20"/>
        </w:rPr>
        <w:t>correspondiente</w:t>
      </w:r>
      <w:r>
        <w:rPr>
          <w:spacing w:val="24"/>
          <w:sz w:val="20"/>
        </w:rPr>
        <w:t> </w:t>
      </w:r>
      <w:r>
        <w:rPr>
          <w:sz w:val="20"/>
        </w:rPr>
        <w:t>Legislatura</w:t>
      </w:r>
      <w:r>
        <w:rPr>
          <w:spacing w:val="14"/>
          <w:sz w:val="20"/>
        </w:rPr>
        <w:t> </w:t>
      </w:r>
      <w:r>
        <w:rPr>
          <w:sz w:val="20"/>
        </w:rPr>
        <w:t>Local.</w:t>
      </w:r>
      <w:r>
        <w:rPr>
          <w:spacing w:val="16"/>
          <w:sz w:val="20"/>
        </w:rPr>
        <w:t> </w:t>
      </w:r>
      <w:r>
        <w:rPr>
          <w:sz w:val="20"/>
        </w:rPr>
        <w:t>Contiene</w:t>
      </w:r>
      <w:r>
        <w:rPr>
          <w:spacing w:val="14"/>
          <w:sz w:val="20"/>
        </w:rPr>
        <w:t> </w:t>
      </w:r>
      <w:r>
        <w:rPr>
          <w:sz w:val="20"/>
        </w:rPr>
        <w:t>19</w:t>
      </w:r>
      <w:r>
        <w:rPr>
          <w:spacing w:val="14"/>
          <w:sz w:val="20"/>
        </w:rPr>
        <w:t> </w:t>
      </w:r>
      <w:r>
        <w:rPr>
          <w:sz w:val="20"/>
        </w:rPr>
        <w:t>artículos,</w:t>
      </w:r>
    </w:p>
    <w:p>
      <w:pPr>
        <w:spacing w:after="0" w:line="230" w:lineRule="exact"/>
        <w:jc w:val="both"/>
        <w:rPr>
          <w:sz w:val="20"/>
        </w:rPr>
        <w:sectPr>
          <w:pgSz w:w="12240" w:h="15840"/>
          <w:pgMar w:header="0" w:footer="1003" w:top="1360" w:bottom="1200" w:left="1580" w:right="1580"/>
        </w:sectPr>
      </w:pPr>
    </w:p>
    <w:p>
      <w:pPr>
        <w:pStyle w:val="BodyText"/>
        <w:spacing w:line="362" w:lineRule="auto" w:before="50"/>
        <w:ind w:left="122" w:right="243"/>
      </w:pPr>
      <w:r>
        <w:rPr/>
        <w:t>objetivo al igual que a nivel nacional, era ampliar la producción manufacturera necesaria que satisficiera el consumo estatal y nacional.</w:t>
      </w:r>
    </w:p>
    <w:p>
      <w:pPr>
        <w:pStyle w:val="BodyText"/>
        <w:spacing w:line="360" w:lineRule="auto" w:before="1"/>
        <w:ind w:left="122" w:right="115" w:firstLine="707"/>
        <w:jc w:val="both"/>
      </w:pPr>
      <w:r>
        <w:rPr/>
        <w:t>La industria textil fue una de las más beneficiadas por esta ley, porque permitió la inversión de capital del periodo 1945 a 1950, en los municipios de Cuautitlán por 14,388,000;  Tultitlán  25,000,000,  Chalco  10,000;  Ixtapaluca  20,000,000;  </w:t>
      </w:r>
      <w:r>
        <w:rPr>
          <w:spacing w:val="58"/>
        </w:rPr>
        <w:t> </w:t>
      </w:r>
      <w:r>
        <w:rPr/>
        <w:t>Tlalnepantla</w:t>
      </w:r>
    </w:p>
    <w:p>
      <w:pPr>
        <w:pStyle w:val="BodyText"/>
        <w:spacing w:before="6"/>
        <w:ind w:left="122" w:right="84"/>
      </w:pPr>
      <w:r>
        <w:rPr/>
        <w:t>120,365,000;  Tlalmanalco  45,500;  Naucalpan  12,726,611;  Ecatepec  45,581,550; Toluca</w:t>
      </w:r>
    </w:p>
    <w:p>
      <w:pPr>
        <w:pStyle w:val="BodyText"/>
        <w:spacing w:line="360" w:lineRule="auto" w:before="137"/>
        <w:ind w:left="122" w:right="243"/>
      </w:pPr>
      <w:r>
        <w:rPr/>
        <w:t>2,855,000; Lerma 12,000; Metepec 11,500; Valle de Bravo 1,490 y Zumpango 1,500,000. Siendo un total de 262,995,372 (Hernández y Galindo (2006).</w:t>
      </w:r>
    </w:p>
    <w:p>
      <w:pPr>
        <w:pStyle w:val="BodyText"/>
        <w:spacing w:line="360" w:lineRule="auto" w:before="4"/>
        <w:ind w:left="122" w:right="117" w:firstLine="707"/>
        <w:jc w:val="both"/>
      </w:pPr>
      <w:r>
        <w:rPr/>
        <w:t>Es interesante destacar que las modificaciones a la Ley Fiscal, tuvieron un efecto favorable dentro de las políticas de industrialización, puesto que no solamente se limitaron  a la iniciación o formalización de los aspectos legales, sino que tuvieron la suficiente visión política para fortalecer e incrementar las vías de comunicación y obras públicas. Esto por supuesto, tuvo un efecto multiplicador </w:t>
      </w:r>
      <w:r>
        <w:rPr>
          <w:spacing w:val="-3"/>
        </w:rPr>
        <w:t>ya </w:t>
      </w:r>
      <w:r>
        <w:rPr/>
        <w:t>que a través de las carreteras y el desarrollo de infraestructura que mejorara el comercio, se logró incentivar la</w:t>
      </w:r>
      <w:r>
        <w:rPr>
          <w:spacing w:val="-12"/>
        </w:rPr>
        <w:t> </w:t>
      </w:r>
      <w:r>
        <w:rPr/>
        <w:t>industrialización.</w:t>
      </w:r>
    </w:p>
    <w:p>
      <w:pPr>
        <w:pStyle w:val="BodyText"/>
        <w:spacing w:line="360" w:lineRule="auto" w:before="4"/>
        <w:ind w:left="122" w:right="118" w:firstLine="707"/>
        <w:jc w:val="both"/>
      </w:pPr>
      <w:r>
        <w:rPr/>
        <w:t>Las externalidades positivas, derivadas de este proceso hicieron que la entidad mexiquense pudiera perfilarse como una de las más fortalecidas. Podemos decir de Toluca que era un centro industrial de regular importancia, destinado a servir de proveedor de materia prima, de producciones de consumo inmediato y orientado al suministro de mercados próximos por su cercanía con el Distrito Federal y otras ciudades que servían de paso.</w:t>
      </w:r>
    </w:p>
    <w:p>
      <w:pPr>
        <w:pStyle w:val="BodyText"/>
        <w:spacing w:line="360" w:lineRule="auto" w:before="4"/>
        <w:ind w:left="122" w:right="122" w:firstLine="707"/>
        <w:jc w:val="both"/>
      </w:pPr>
      <w:r>
        <w:rPr/>
        <w:t>Así, de acuerdo con Rodríguez (2005), por parte del gobierno estatal se buscaba que se asentaran industrias en territorio mexiquense para lograr el ansiado crecimiento industrial. Por ello se aplicaron otras políticas de apoyo como la elevación de la protección arancelaria y la instrumentación de licencias de importación, cuyo propósito era proteger a las empresas locales y mantener su competitividad ante la presencia de productos extranjeros.</w:t>
      </w:r>
    </w:p>
    <w:p>
      <w:pPr>
        <w:pStyle w:val="BodyText"/>
        <w:spacing w:line="360" w:lineRule="auto" w:before="4"/>
        <w:ind w:left="122" w:right="121" w:firstLine="707"/>
        <w:jc w:val="both"/>
      </w:pPr>
      <w:r>
        <w:rPr/>
        <w:t>Asimismo, de forma paralela se ejerció control sobre los obreros a partir de la creación en 1944 de la Confederación de Obreros y Campesinos del Estado de México (COCEM),  cuyo  propósito  era  lograr  una  disminución  de  los  conflictos  laborales     e</w:t>
      </w:r>
    </w:p>
    <w:p>
      <w:pPr>
        <w:pStyle w:val="BodyText"/>
        <w:rPr>
          <w:sz w:val="20"/>
        </w:rPr>
      </w:pPr>
    </w:p>
    <w:p>
      <w:pPr>
        <w:pStyle w:val="BodyText"/>
        <w:spacing w:before="4"/>
        <w:rPr>
          <w:sz w:val="14"/>
        </w:rPr>
      </w:pPr>
      <w:r>
        <w:rPr/>
        <w:pict>
          <v:line style="position:absolute;mso-position-horizontal-relative:page;mso-position-vertical-relative:paragraph;z-index:1720;mso-wrap-distance-left:0;mso-wrap-distance-right:0" from="85.103996pt,10.576729pt" to="527.163996pt,10.576729pt" stroked="true" strokeweight=".72003pt" strokecolor="#000000">
            <w10:wrap type="topAndBottom"/>
          </v:line>
        </w:pict>
      </w:r>
    </w:p>
    <w:p>
      <w:pPr>
        <w:spacing w:before="67"/>
        <w:ind w:left="122" w:right="118" w:firstLine="0"/>
        <w:jc w:val="left"/>
        <w:rPr>
          <w:sz w:val="20"/>
        </w:rPr>
      </w:pPr>
      <w:r>
        <w:rPr>
          <w:sz w:val="20"/>
        </w:rPr>
        <w:t>más 7 transitorios. Señala las concesiones de exención o reducción de impuestos, acordado por el Gobernador Isidro Fabela, a las nuevas industrias que se establecieran en la entidad.</w:t>
      </w:r>
    </w:p>
    <w:p>
      <w:pPr>
        <w:spacing w:after="0"/>
        <w:jc w:val="left"/>
        <w:rPr>
          <w:sz w:val="20"/>
        </w:rPr>
        <w:sectPr>
          <w:pgSz w:w="12240" w:h="15840"/>
          <w:pgMar w:header="0" w:footer="1003" w:top="1360" w:bottom="1200" w:left="1580" w:right="1580"/>
        </w:sectPr>
      </w:pPr>
    </w:p>
    <w:p>
      <w:pPr>
        <w:pStyle w:val="BodyText"/>
        <w:spacing w:line="362" w:lineRule="auto" w:before="50"/>
        <w:ind w:left="102" w:right="121"/>
      </w:pPr>
      <w:r>
        <w:rPr/>
        <w:t>intersindicales de la entidad, debido a que la CTM ejercía escaso control sobre sus sindicatos provocando inseguridad ante los inversionistas (Hernández, 2006).</w:t>
      </w:r>
    </w:p>
    <w:p>
      <w:pPr>
        <w:pStyle w:val="BodyText"/>
        <w:spacing w:line="360" w:lineRule="auto" w:before="1"/>
        <w:ind w:left="102" w:right="119" w:firstLine="707"/>
        <w:jc w:val="both"/>
      </w:pPr>
      <w:r>
        <w:rPr/>
        <w:t>Es importante señalar que la concentración industrial se dio de manera distinta a la que se planteaba en la Ley de Protección a la Industria en el Estado Libre y Soberano de México que entró en vigor el 21 de octubre de 1944. Tomando como referencia a Bejar y Casanova (1970: 174), encontramos la siguiente información:</w:t>
      </w:r>
    </w:p>
    <w:p>
      <w:pPr>
        <w:spacing w:before="3"/>
        <w:ind w:left="668" w:right="684" w:firstLine="0"/>
        <w:jc w:val="both"/>
        <w:rPr>
          <w:sz w:val="22"/>
        </w:rPr>
      </w:pPr>
      <w:r>
        <w:rPr>
          <w:sz w:val="22"/>
        </w:rPr>
        <w:t>La fracción IV del artículo I de esta Ley estipula textualmente: “Las zonas en que se establezcan industrias, para los efectos de esta fracción se señalan como zonas industriales las siguientes: Primera zona: Distritos de Toluca, Lerma y Tenango del Valle; segunda zona: Distritos de Ixtlahuaca, El Oro y Jilotepec; Tercera zona: Distritos de Sultepec, Temascaltepec y Valle de Bravo; cuarta zona: Distritos  de Chalco y</w:t>
      </w:r>
      <w:r>
        <w:rPr>
          <w:spacing w:val="-2"/>
          <w:sz w:val="22"/>
        </w:rPr>
        <w:t> </w:t>
      </w:r>
      <w:r>
        <w:rPr>
          <w:sz w:val="22"/>
        </w:rPr>
        <w:t>Otumba”.</w:t>
      </w:r>
    </w:p>
    <w:p>
      <w:pPr>
        <w:pStyle w:val="BodyText"/>
        <w:rPr>
          <w:sz w:val="22"/>
        </w:rPr>
      </w:pPr>
    </w:p>
    <w:p>
      <w:pPr>
        <w:pStyle w:val="BodyText"/>
        <w:spacing w:line="360" w:lineRule="auto" w:before="161"/>
        <w:ind w:left="102" w:right="121" w:firstLine="566"/>
        <w:jc w:val="both"/>
      </w:pPr>
      <w:r>
        <w:rPr/>
        <w:t>Para 1954 se decidió abolir los subsidios a las industrias asentadas en el Distrito Federal. Esta medida tuvo como objetivo promover una descentralización industrial que beneficiara a todo el país, porque la exención de impuestos se orientó a las ciudades más grandes y al no contar con discriminación, generó centralismo y desigualdad regional. Con esta política de eliminar los subsidios, la entidad mexiquense se vio beneficiada porque continuó ofreciendo incentivos y con ello las industrias aprovecharon la cercanía con el Distrito Federal para asentarse en la entidad mexiquense (Aguilar, 1993: 103).</w:t>
      </w:r>
    </w:p>
    <w:p>
      <w:pPr>
        <w:pStyle w:val="BodyText"/>
        <w:spacing w:line="360" w:lineRule="auto" w:before="6"/>
        <w:ind w:left="102" w:right="121" w:firstLine="707"/>
        <w:jc w:val="both"/>
      </w:pPr>
      <w:r>
        <w:rPr/>
        <w:t>A pesar de esto las concentraciones industriales se desarrollaron principalmente en los municipios cercanos al Distrito Federal. La agrupación de fábricas e industrias manufactureras en Toluca, Naucalpan y Tlalnepantla fueron las más exitosas. Dicha Ley de Protección a la Industria se limitó a proporcionar incentivos de tipo fiscal a las empresas que lo solicitaban, sin existir una restricción geográfica específica.</w:t>
      </w:r>
    </w:p>
    <w:p>
      <w:pPr>
        <w:pStyle w:val="BodyText"/>
        <w:spacing w:line="360" w:lineRule="auto" w:before="4"/>
        <w:ind w:left="102" w:right="166" w:firstLine="707"/>
        <w:jc w:val="both"/>
      </w:pPr>
      <w:r>
        <w:rPr/>
        <w:t>Esto propició problemas de saturación de servicios, falta de agua potable y drenaje, así como otros problemas derivados del poco control que se tuvo para el desarrollo de las industrias. Las áreas industriales de Naucalpan y Tlalnepantla se encontraban saturadas y se comenzó a atender este problema, incluso con el apoyo económico de los empresarios.  Y a pesar de que durante el periodo de 1975 a 1981 se pusieron en marcha políticas tendientes a la desconcentración territorial de la industria como política pública de la entidad mexiquense, se acrecentó más la concentración de industrias en la Zona Metropolitana de la Ciudad de México y en los municipios de Toluca y Lerma, cercanos a la capital del país (Rozga e Iglesias,</w:t>
      </w:r>
      <w:r>
        <w:rPr>
          <w:spacing w:val="-8"/>
        </w:rPr>
        <w:t> </w:t>
      </w:r>
      <w:r>
        <w:rPr/>
        <w:t>2004).</w:t>
      </w:r>
    </w:p>
    <w:p>
      <w:pPr>
        <w:spacing w:after="0" w:line="360" w:lineRule="auto"/>
        <w:jc w:val="both"/>
        <w:sectPr>
          <w:pgSz w:w="12240" w:h="15840"/>
          <w:pgMar w:header="0" w:footer="1003" w:top="1360" w:bottom="1200" w:left="1600" w:right="1580"/>
        </w:sectPr>
      </w:pPr>
    </w:p>
    <w:p>
      <w:pPr>
        <w:pStyle w:val="BodyText"/>
        <w:spacing w:line="352" w:lineRule="auto" w:before="50"/>
        <w:ind w:left="102" w:right="166" w:firstLine="707"/>
        <w:jc w:val="both"/>
      </w:pPr>
      <w:r>
        <w:rPr/>
        <w:t>De acuerdo con Herrejón (1985), la concentración de fábricas en Tlalnepantla y Naucalpan manifestó su desarrollo desproporcionado frente al resto de la entidad. Por ello, la administración del gobernador Sánchez Colín, sentó una base para la industrialización futura del Valle de Toluca al comprar con ese objeto 791,315 m</w:t>
      </w:r>
      <w:r>
        <w:rPr>
          <w:position w:val="11"/>
          <w:sz w:val="16"/>
        </w:rPr>
        <w:t>2 </w:t>
      </w:r>
      <w:r>
        <w:rPr/>
        <w:t>en $409,677 al oriente de la capital del estado.</w:t>
      </w:r>
    </w:p>
    <w:p>
      <w:pPr>
        <w:pStyle w:val="BodyText"/>
        <w:spacing w:line="360" w:lineRule="auto" w:before="14"/>
        <w:ind w:left="102" w:right="116" w:firstLine="707"/>
        <w:jc w:val="both"/>
      </w:pPr>
      <w:r>
        <w:rPr/>
        <w:t>A partir de 1980 la federación cedió a gobiernos estatales sus derechos y obligaciones en materia de operación, administración y desarrollo de los parques industriales, por lo que en 1982 en la entidad mexiquense se creó el Fideicomiso para el Desarrollo de Parques y Zonas Industriales en el Estado de México (FIDEPAR), éste se encargó de administrar cuatro parques industriales: El Cerrillo I, Atlacomulco, San Antonio Buenavista y Exportec Horizonte XXI (GEM, 1990: 289).</w:t>
      </w:r>
    </w:p>
    <w:p>
      <w:pPr>
        <w:pStyle w:val="BodyText"/>
        <w:spacing w:line="360" w:lineRule="auto" w:before="6"/>
        <w:ind w:left="102" w:right="114" w:firstLine="707"/>
        <w:jc w:val="both"/>
      </w:pPr>
      <w:r>
        <w:rPr/>
        <w:t>Así, durante los años ochenta el gobierno del Estado de México se dedicó a apoyar a empresas. En coordinación con los industriales, creó el organismo EDOMEX, Consorcio de Comercio Exterior S.A. de C. V., que inició sus operaciones a partir de octubre de 1982, de conformidad con el acuerdo publicado en el Diario Oficial del 26 de agosto de 1975, y que establecía el otorgamiento de estímulos a las empresas de comercio exterior. Su objetivo principal consistió en fomentar las exportaciones de los productos elaborados en el estado y abastecer de insumos a la zona fronteriza del país. Hasta 1985 el consorcio operó con los estímulos fiscales que otorgaba la Secretaría de Hacienda y Crédito Público a las empresas de comercio exterior, de ahí en adelante se desempeñó con sus propios recursos (GEM, 1990).</w:t>
      </w:r>
    </w:p>
    <w:p>
      <w:pPr>
        <w:pStyle w:val="BodyText"/>
        <w:spacing w:line="360" w:lineRule="auto" w:before="6"/>
        <w:ind w:left="102" w:right="120" w:firstLine="707"/>
        <w:jc w:val="both"/>
      </w:pPr>
      <w:r>
        <w:rPr/>
        <w:t>Posteriormente, en 1985 se construyó la primera etapa del Parque Industrial Exportec. Y durante el sexenio del Gobernador Mario Ramón Beteta se crearon tres nuevos parques industriales, uno con inversión privada (Aguilar, 1993). En 1993 se concluyeron  los parques industriales Exportec, segunda etapa y el Cerrillo II, localizados en los municipios de Toluca y Lerma, respectivamente (GEM,</w:t>
      </w:r>
      <w:r>
        <w:rPr>
          <w:spacing w:val="-9"/>
        </w:rPr>
        <w:t> </w:t>
      </w:r>
      <w:r>
        <w:rPr/>
        <w:t>1993).</w:t>
      </w:r>
    </w:p>
    <w:p>
      <w:pPr>
        <w:pStyle w:val="BodyText"/>
        <w:spacing w:line="360" w:lineRule="auto" w:before="4"/>
        <w:ind w:left="102" w:right="114" w:firstLine="707"/>
        <w:jc w:val="both"/>
      </w:pPr>
      <w:r>
        <w:rPr/>
        <w:t>Cabe mencionar que durante la administración del Gobernador Ignacio Pichardo Pagaza (1989-1993) se fomentó la modernización de la planta industrial del Estado de México, a través de la promoción de nuevos esquemas de producción entre los que destacaron: subcontratación, maquila y coinversión.</w:t>
      </w:r>
    </w:p>
    <w:p>
      <w:pPr>
        <w:tabs>
          <w:tab w:pos="2203" w:val="left" w:leader="none"/>
          <w:tab w:pos="2613" w:val="left" w:leader="none"/>
          <w:tab w:pos="3572" w:val="left" w:leader="none"/>
          <w:tab w:pos="4697" w:val="left" w:leader="none"/>
          <w:tab w:pos="6143" w:val="left" w:leader="none"/>
          <w:tab w:pos="6554" w:val="left" w:leader="none"/>
          <w:tab w:pos="6928" w:val="left" w:leader="none"/>
          <w:tab w:pos="8211" w:val="left" w:leader="none"/>
        </w:tabs>
        <w:spacing w:before="5"/>
        <w:ind w:left="668" w:right="688" w:firstLine="0"/>
        <w:jc w:val="left"/>
        <w:rPr>
          <w:sz w:val="22"/>
        </w:rPr>
      </w:pPr>
      <w:r>
        <w:rPr>
          <w:sz w:val="22"/>
        </w:rPr>
        <w:t>“En el periodo de 1989 a 1994 se dio continuidad a algunas de las políticas instrumentadas</w:t>
        <w:tab/>
        <w:t>en</w:t>
        <w:tab/>
        <w:t>periodos</w:t>
        <w:tab/>
        <w:t>anteriores,</w:t>
        <w:tab/>
        <w:t>especialmente</w:t>
        <w:tab/>
        <w:t>en</w:t>
        <w:tab/>
        <w:t>lo</w:t>
        <w:tab/>
        <w:t>referente  </w:t>
      </w:r>
      <w:r>
        <w:rPr>
          <w:spacing w:val="34"/>
          <w:sz w:val="22"/>
        </w:rPr>
        <w:t> </w:t>
      </w:r>
      <w:r>
        <w:rPr>
          <w:sz w:val="22"/>
        </w:rPr>
        <w:t>a</w:t>
        <w:tab/>
        <w:t>la</w:t>
      </w:r>
    </w:p>
    <w:p>
      <w:pPr>
        <w:spacing w:after="0"/>
        <w:jc w:val="left"/>
        <w:rPr>
          <w:sz w:val="22"/>
        </w:rPr>
        <w:sectPr>
          <w:pgSz w:w="12240" w:h="15840"/>
          <w:pgMar w:header="0" w:footer="1003" w:top="1360" w:bottom="1200" w:left="1600" w:right="1580"/>
        </w:sectPr>
      </w:pPr>
    </w:p>
    <w:p>
      <w:pPr>
        <w:spacing w:before="50"/>
        <w:ind w:left="688" w:right="686" w:firstLine="0"/>
        <w:jc w:val="both"/>
        <w:rPr>
          <w:sz w:val="22"/>
        </w:rPr>
      </w:pPr>
      <w:r>
        <w:rPr>
          <w:sz w:val="22"/>
        </w:rPr>
        <w:t>desconcentración industrial, mediante la promoción de lotes disponibles en diferentes parques del estado. Asimismo se dio un fuerte impulso a las exportaciones mediante proyectos de apoyo promovidos por la Secretaria de Comercio y Fomento Industrial (SECOFI), en razón de la entrada de México al TLCAN”, (Rozga e Iglesias, 2004: 82).</w:t>
      </w:r>
    </w:p>
    <w:p>
      <w:pPr>
        <w:pStyle w:val="BodyText"/>
        <w:rPr>
          <w:sz w:val="22"/>
        </w:rPr>
      </w:pPr>
    </w:p>
    <w:p>
      <w:pPr>
        <w:pStyle w:val="BodyText"/>
        <w:spacing w:line="360" w:lineRule="auto" w:before="161"/>
        <w:ind w:left="122" w:right="117" w:firstLine="566"/>
        <w:jc w:val="both"/>
      </w:pPr>
      <w:r>
        <w:rPr/>
        <w:t>Para 1998 se creó la Comisión Estatal de Atención Empresarial y se avanzó en la simplificación administrativa y la desregulación de la actividad productiva, se abrieron los registros estatal y municipal de trámites empresariales, y se puso en marcha el sistema de apertura rápida para empresas de nulo y bajo riesgo (GEM, 1999: 22). Durante la administración del Gobernador Arturo Montiel (1999-2005) se crearon los Centros Municipales  de Atención Empresarial,  cuya operación  facilitó  la captación de  </w:t>
      </w:r>
      <w:r>
        <w:rPr>
          <w:spacing w:val="59"/>
        </w:rPr>
        <w:t> </w:t>
      </w:r>
      <w:r>
        <w:rPr/>
        <w:t>inversión</w:t>
      </w:r>
    </w:p>
    <w:p>
      <w:pPr>
        <w:pStyle w:val="BodyText"/>
        <w:spacing w:line="280" w:lineRule="exact"/>
        <w:ind w:left="122" w:right="243"/>
      </w:pPr>
      <w:r>
        <w:rPr/>
        <w:t>productiva en los municipios del Estado de México (GEM, 2004)</w:t>
      </w:r>
      <w:r>
        <w:rPr>
          <w:position w:val="11"/>
          <w:sz w:val="16"/>
        </w:rPr>
        <w:t>39</w:t>
      </w:r>
      <w:r>
        <w:rPr/>
        <w:t>.</w:t>
      </w:r>
    </w:p>
    <w:p>
      <w:pPr>
        <w:pStyle w:val="BodyText"/>
        <w:spacing w:line="360" w:lineRule="auto" w:before="139"/>
        <w:ind w:left="122" w:right="118" w:firstLine="707"/>
        <w:jc w:val="both"/>
      </w:pPr>
      <w:r>
        <w:rPr/>
        <w:t>Es así como a inicios del año 2000 el FIDEPAR administró 12 parques de los 85 desarrollos industriales que existían en la entidad. En los últimos años se crearon dos más; San Cayetano (2004) y Santa Bárbara (2005) y el estado fungió como promotor de la inversión extranjera, ante la falta de una política industrial que promoviera la eficiencia sectorial.</w:t>
      </w:r>
    </w:p>
    <w:p>
      <w:pPr>
        <w:pStyle w:val="BodyText"/>
        <w:spacing w:line="360" w:lineRule="auto" w:before="4"/>
        <w:ind w:left="122" w:right="116" w:firstLine="707"/>
        <w:jc w:val="both"/>
      </w:pPr>
      <w:r>
        <w:rPr/>
        <w:t>Para modernizar la infraestructura de apoyo a la productividad, competitividad y dinamismo de las empresas e industrias de la entidad, y al fortalecimiento de la microempresa se logró el 7 de junio de 2006 la creación de la Comisión Coordinadora para el impulso a la Competitividad en el Estado de México. Y a partir del 16 de enero de 2006 se creó la dirección General de Atención Empresarial, su objetivo era ofrecer asesoría integral a los empresarios para la gestión de sus trámites ante las diferentes instancias de gobierno, para la instalación, operación y/o regulación de empresas, así como para realizar de forma permanente acciones que permitieran simplificar, adecuar, homologar y  consolidar el marco jurídico para brindar mayor certeza y confianza a los inversionistas en la</w:t>
      </w:r>
      <w:r>
        <w:rPr>
          <w:spacing w:val="33"/>
        </w:rPr>
        <w:t> </w:t>
      </w:r>
      <w:r>
        <w:rPr/>
        <w:t>entidad</w:t>
      </w:r>
      <w:r>
        <w:rPr>
          <w:spacing w:val="33"/>
        </w:rPr>
        <w:t> </w:t>
      </w:r>
      <w:r>
        <w:rPr/>
        <w:t>(GEM,</w:t>
      </w:r>
      <w:r>
        <w:rPr>
          <w:spacing w:val="33"/>
        </w:rPr>
        <w:t> </w:t>
      </w:r>
      <w:r>
        <w:rPr/>
        <w:t>2006).</w:t>
      </w:r>
      <w:r>
        <w:rPr>
          <w:spacing w:val="36"/>
        </w:rPr>
        <w:t> </w:t>
      </w:r>
      <w:r>
        <w:rPr/>
        <w:t>Los</w:t>
      </w:r>
      <w:r>
        <w:rPr>
          <w:spacing w:val="34"/>
        </w:rPr>
        <w:t> </w:t>
      </w:r>
      <w:r>
        <w:rPr/>
        <w:t>puntos</w:t>
      </w:r>
      <w:r>
        <w:rPr>
          <w:spacing w:val="34"/>
        </w:rPr>
        <w:t> </w:t>
      </w:r>
      <w:r>
        <w:rPr/>
        <w:t>anteriores</w:t>
      </w:r>
      <w:r>
        <w:rPr>
          <w:spacing w:val="34"/>
        </w:rPr>
        <w:t> </w:t>
      </w:r>
      <w:r>
        <w:rPr/>
        <w:t>a</w:t>
      </w:r>
      <w:r>
        <w:rPr>
          <w:spacing w:val="32"/>
        </w:rPr>
        <w:t> </w:t>
      </w:r>
      <w:r>
        <w:rPr/>
        <w:t>la</w:t>
      </w:r>
      <w:r>
        <w:rPr>
          <w:spacing w:val="33"/>
        </w:rPr>
        <w:t> </w:t>
      </w:r>
      <w:r>
        <w:rPr/>
        <w:t>fecha</w:t>
      </w:r>
      <w:r>
        <w:rPr>
          <w:spacing w:val="32"/>
        </w:rPr>
        <w:t> </w:t>
      </w:r>
      <w:r>
        <w:rPr/>
        <w:t>aún</w:t>
      </w:r>
      <w:r>
        <w:rPr>
          <w:spacing w:val="33"/>
        </w:rPr>
        <w:t> </w:t>
      </w:r>
      <w:r>
        <w:rPr/>
        <w:t>no</w:t>
      </w:r>
      <w:r>
        <w:rPr>
          <w:spacing w:val="33"/>
        </w:rPr>
        <w:t> </w:t>
      </w:r>
      <w:r>
        <w:rPr/>
        <w:t>se</w:t>
      </w:r>
      <w:r>
        <w:rPr>
          <w:spacing w:val="33"/>
        </w:rPr>
        <w:t> </w:t>
      </w:r>
      <w:r>
        <w:rPr/>
        <w:t>han</w:t>
      </w:r>
      <w:r>
        <w:rPr>
          <w:spacing w:val="33"/>
        </w:rPr>
        <w:t> </w:t>
      </w:r>
      <w:r>
        <w:rPr/>
        <w:t>logrado:</w:t>
      </w:r>
      <w:r>
        <w:rPr>
          <w:spacing w:val="34"/>
        </w:rPr>
        <w:t> </w:t>
      </w:r>
      <w:r>
        <w:rPr/>
        <w:t>no</w:t>
      </w:r>
      <w:r>
        <w:rPr>
          <w:spacing w:val="33"/>
        </w:rPr>
        <w:t> </w:t>
      </w:r>
      <w:r>
        <w:rPr/>
        <w:t>ha</w:t>
      </w:r>
    </w:p>
    <w:p>
      <w:pPr>
        <w:pStyle w:val="BodyText"/>
        <w:spacing w:line="331" w:lineRule="auto" w:before="4"/>
        <w:ind w:left="122" w:right="243"/>
      </w:pPr>
      <w:r>
        <w:rPr/>
        <w:t>aumentado la competitividad y productividad de las empresas, al contrario cada vez la industria estatal es menos competitiva</w:t>
      </w:r>
      <w:r>
        <w:rPr>
          <w:position w:val="11"/>
          <w:sz w:val="16"/>
        </w:rPr>
        <w:t>40</w:t>
      </w:r>
      <w:r>
        <w:rPr/>
        <w:t>.</w:t>
      </w:r>
    </w:p>
    <w:p>
      <w:pPr>
        <w:pStyle w:val="BodyText"/>
        <w:rPr>
          <w:sz w:val="20"/>
        </w:rPr>
      </w:pPr>
    </w:p>
    <w:p>
      <w:pPr>
        <w:pStyle w:val="BodyText"/>
        <w:spacing w:before="10"/>
        <w:rPr>
          <w:sz w:val="11"/>
        </w:rPr>
      </w:pPr>
      <w:r>
        <w:rPr/>
        <w:pict>
          <v:line style="position:absolute;mso-position-horizontal-relative:page;mso-position-vertical-relative:paragraph;z-index:1744;mso-wrap-distance-left:0;mso-wrap-distance-right:0" from="85.103996pt,9.159943pt" to="229.123996pt,9.159943pt" stroked="true" strokeweight=".71997pt" strokecolor="#000000">
            <w10:wrap type="topAndBottom"/>
          </v:line>
        </w:pict>
      </w:r>
    </w:p>
    <w:p>
      <w:pPr>
        <w:spacing w:before="40"/>
        <w:ind w:left="122" w:right="122" w:firstLine="0"/>
        <w:jc w:val="both"/>
        <w:rPr>
          <w:sz w:val="20"/>
        </w:rPr>
      </w:pPr>
      <w:r>
        <w:rPr>
          <w:position w:val="9"/>
          <w:sz w:val="13"/>
        </w:rPr>
        <w:t>39 </w:t>
      </w:r>
      <w:r>
        <w:rPr>
          <w:sz w:val="20"/>
        </w:rPr>
        <w:t>Los centros municipales de atención empresarial, siguen operando como ventanillas de atención tienen como objetivo descentralizar y agilizar la apertura de</w:t>
      </w:r>
      <w:r>
        <w:rPr>
          <w:spacing w:val="-19"/>
          <w:sz w:val="20"/>
        </w:rPr>
        <w:t> </w:t>
      </w:r>
      <w:r>
        <w:rPr>
          <w:sz w:val="20"/>
        </w:rPr>
        <w:t>empresas.</w:t>
      </w:r>
    </w:p>
    <w:p>
      <w:pPr>
        <w:spacing w:line="230" w:lineRule="exact" w:before="3"/>
        <w:ind w:left="122" w:right="115" w:firstLine="0"/>
        <w:jc w:val="both"/>
        <w:rPr>
          <w:sz w:val="20"/>
        </w:rPr>
      </w:pPr>
      <w:r>
        <w:rPr>
          <w:position w:val="9"/>
          <w:sz w:val="13"/>
        </w:rPr>
        <w:t>40 </w:t>
      </w:r>
      <w:r>
        <w:rPr>
          <w:sz w:val="20"/>
        </w:rPr>
        <w:t>De acuerdo a las variables que toma en cuenta el Instituto Mexicano para la Competitividad (IMCO, 2008) tenemos que desde 2001 la entidad se ha posicionado entre los lugares 24 y 26 en el </w:t>
      </w:r>
      <w:r>
        <w:rPr>
          <w:i/>
          <w:sz w:val="20"/>
        </w:rPr>
        <w:t>ranking </w:t>
      </w:r>
      <w:r>
        <w:rPr>
          <w:sz w:val="20"/>
        </w:rPr>
        <w:t>de competitividad. Desafortunadamente esta información sólo está disponible  para años muy recientes.</w:t>
      </w:r>
    </w:p>
    <w:p>
      <w:pPr>
        <w:spacing w:after="0" w:line="230" w:lineRule="exact"/>
        <w:jc w:val="both"/>
        <w:rPr>
          <w:sz w:val="20"/>
        </w:rPr>
        <w:sectPr>
          <w:pgSz w:w="12240" w:h="15840"/>
          <w:pgMar w:header="0" w:footer="1003" w:top="1360" w:bottom="1200" w:left="1580" w:right="1580"/>
        </w:sectPr>
      </w:pPr>
    </w:p>
    <w:p>
      <w:pPr>
        <w:pStyle w:val="BodyText"/>
        <w:spacing w:line="360" w:lineRule="auto" w:before="50"/>
        <w:ind w:left="122" w:right="117" w:firstLine="707"/>
        <w:jc w:val="both"/>
      </w:pPr>
      <w:r>
        <w:rPr/>
        <w:t>Como se puede apreciar a partir de 1980 al desaparecer la política industrial nacional, el Gobierno del Estado de México también dejó de fungir como promotor de las inversiones y canalización de recursos hacia la infraestructura productiva, en vez de ello se convirtió en un promotor de centros de atención y simplificación administrativa de las empresas y del FIDEPAR, sin instrumentar políticas de fomento a la industria.</w:t>
      </w:r>
    </w:p>
    <w:p>
      <w:pPr>
        <w:pStyle w:val="BodyText"/>
        <w:spacing w:line="360" w:lineRule="auto" w:before="6"/>
        <w:ind w:left="122" w:right="116" w:firstLine="707"/>
        <w:jc w:val="both"/>
      </w:pPr>
      <w:r>
        <w:rPr/>
        <w:t>Finalmente, se puede decir que el Estado de México tuvo todos los elementos a su alcance para lograr una industria sólida y creciente, sin embargo, tal como sostiene Millán (2007), la economía estatal mostró una insuficiente adaptación al nuevo modelo de desarrollo de economía abierta, puesto que en el rubro de las importaciones reposan las principales consecuencias de la alta dependencia del mercado interno.</w:t>
      </w:r>
    </w:p>
    <w:p>
      <w:pPr>
        <w:pStyle w:val="BodyText"/>
        <w:spacing w:line="360" w:lineRule="auto" w:before="4"/>
        <w:ind w:left="122" w:right="121" w:firstLine="707"/>
        <w:jc w:val="both"/>
      </w:pPr>
      <w:r>
        <w:rPr/>
        <w:t>En materia de exportaciones son pocas las empresas que fueron capaces de incursionar en los mercados internacionales. Al inicio de la apertura de la economía, la producción mexiquense cubría el 19.4% del mercado doméstico de manufacturas, ocho años después esa cobertura descendió cuatro puntos porcentuales. De manera simultánea, los bienes de origen foráneo experimentaron un fuerte ascenso en el grado de satisfacción internacional, al pasar en ese lapso de 9% a</w:t>
      </w:r>
      <w:r>
        <w:rPr>
          <w:spacing w:val="-11"/>
        </w:rPr>
        <w:t> </w:t>
      </w:r>
      <w:r>
        <w:rPr/>
        <w:t>23%.</w:t>
      </w:r>
    </w:p>
    <w:p>
      <w:pPr>
        <w:pStyle w:val="BodyText"/>
        <w:spacing w:line="352" w:lineRule="auto" w:before="4"/>
        <w:ind w:left="122" w:right="117" w:firstLine="707"/>
        <w:jc w:val="both"/>
      </w:pPr>
      <w:r>
        <w:rPr/>
        <w:t>Por su parte, la condición geográfica de cercanía al Distrito Federal, antes tan favorecida</w:t>
      </w:r>
      <w:r>
        <w:rPr>
          <w:b/>
        </w:rPr>
        <w:t>, </w:t>
      </w:r>
      <w:r>
        <w:rPr/>
        <w:t>hoy se ha convertido en una desventaja clara para desplegar una economía y  una política ágil y promotora de la inversión. En su lugar, se tiene un monstruo administrativo y burocrático,</w:t>
      </w:r>
      <w:r>
        <w:rPr>
          <w:position w:val="11"/>
          <w:sz w:val="16"/>
        </w:rPr>
        <w:t>41 </w:t>
      </w:r>
      <w:r>
        <w:rPr/>
        <w:t>nutrido por la incapacidad de encontrar un equilibrio sano entre desarrollo local y política. Todo lo anterior ha determinado el rezago de la  </w:t>
      </w:r>
      <w:r>
        <w:rPr>
          <w:spacing w:val="39"/>
        </w:rPr>
        <w:t> </w:t>
      </w:r>
      <w:r>
        <w:rPr/>
        <w:t>economía</w:t>
      </w:r>
    </w:p>
    <w:p>
      <w:pPr>
        <w:pStyle w:val="BodyText"/>
        <w:spacing w:line="360" w:lineRule="auto" w:before="14"/>
        <w:ind w:left="122" w:right="243"/>
      </w:pPr>
      <w:r>
        <w:rPr/>
        <w:t>de la entidad (Millán, 2007). Esto contradice los informes de Gobierno donde se dice que  se agilizaron los trámites administrativos para la creación de nuevas</w:t>
      </w:r>
      <w:r>
        <w:rPr>
          <w:spacing w:val="-15"/>
        </w:rPr>
        <w:t> </w:t>
      </w:r>
      <w:r>
        <w:rPr/>
        <w:t>empresas.</w:t>
      </w:r>
    </w:p>
    <w:p>
      <w:pPr>
        <w:pStyle w:val="BodyText"/>
        <w:spacing w:line="360" w:lineRule="auto" w:before="6"/>
        <w:ind w:left="122" w:right="122" w:firstLine="707"/>
        <w:jc w:val="both"/>
      </w:pPr>
      <w:r>
        <w:rPr/>
        <w:t>Ahora bien, pasamos a analizar el desarrollo industrial de las dos regiones  de estudio de esta investigación.</w:t>
      </w:r>
    </w:p>
    <w:p>
      <w:pPr>
        <w:pStyle w:val="BodyText"/>
      </w:pPr>
    </w:p>
    <w:p>
      <w:pPr>
        <w:pStyle w:val="Heading2"/>
        <w:numPr>
          <w:ilvl w:val="1"/>
          <w:numId w:val="11"/>
        </w:numPr>
        <w:tabs>
          <w:tab w:pos="543" w:val="left" w:leader="none"/>
        </w:tabs>
        <w:spacing w:line="240" w:lineRule="auto" w:before="148" w:after="0"/>
        <w:ind w:left="542" w:right="0" w:hanging="420"/>
        <w:jc w:val="left"/>
      </w:pPr>
      <w:r>
        <w:rPr/>
        <w:t>Desarrollo industrial de la región Valle de</w:t>
      </w:r>
      <w:r>
        <w:rPr>
          <w:spacing w:val="-12"/>
        </w:rPr>
        <w:t> </w:t>
      </w:r>
      <w:r>
        <w:rPr/>
        <w:t>México</w:t>
      </w:r>
    </w:p>
    <w:p>
      <w:pPr>
        <w:pStyle w:val="BodyText"/>
        <w:spacing w:line="360" w:lineRule="auto" w:before="134"/>
        <w:ind w:left="122" w:right="243"/>
      </w:pPr>
      <w:r>
        <w:rPr>
          <w:color w:val="333333"/>
        </w:rPr>
        <w:t>En los municipios de Naucalpan y Tlalnepantla se consolidó la fuerza económica del estratégico corredor industrial del Valle de México, estos municipios eran los principales</w:t>
      </w:r>
    </w:p>
    <w:p>
      <w:pPr>
        <w:pStyle w:val="BodyText"/>
        <w:spacing w:before="3"/>
        <w:rPr>
          <w:sz w:val="14"/>
        </w:rPr>
      </w:pPr>
      <w:r>
        <w:rPr/>
        <w:pict>
          <v:line style="position:absolute;mso-position-horizontal-relative:page;mso-position-vertical-relative:paragraph;z-index:1768;mso-wrap-distance-left:0;mso-wrap-distance-right:0" from="85.103996pt,10.559782pt" to="229.123996pt,10.559782pt" stroked="true" strokeweight=".71997pt" strokecolor="#000000">
            <w10:wrap type="topAndBottom"/>
          </v:line>
        </w:pict>
      </w:r>
    </w:p>
    <w:p>
      <w:pPr>
        <w:spacing w:before="67"/>
        <w:ind w:left="122" w:right="119" w:firstLine="0"/>
        <w:jc w:val="both"/>
        <w:rPr>
          <w:sz w:val="20"/>
        </w:rPr>
      </w:pPr>
      <w:r>
        <w:rPr>
          <w:sz w:val="20"/>
        </w:rPr>
        <w:t>En 2004 “Se creó la Comisión Estatal de Atención empresarial, el Grupo estatal para la mejora Regulatoria y el Centro Estatal de Atención Empresarial ha contribuido a consolidar un Sistema de Apertura Rápida de Empresas” (GEM, 2004: 97).</w:t>
      </w:r>
    </w:p>
    <w:p>
      <w:pPr>
        <w:spacing w:after="0"/>
        <w:jc w:val="both"/>
        <w:rPr>
          <w:sz w:val="20"/>
        </w:rPr>
        <w:sectPr>
          <w:pgSz w:w="12240" w:h="15840"/>
          <w:pgMar w:header="0" w:footer="1003" w:top="1360" w:bottom="1200" w:left="1580" w:right="1580"/>
        </w:sectPr>
      </w:pPr>
    </w:p>
    <w:p>
      <w:pPr>
        <w:pStyle w:val="BodyText"/>
        <w:spacing w:line="360" w:lineRule="auto" w:before="50"/>
        <w:ind w:left="122" w:right="121"/>
        <w:jc w:val="both"/>
      </w:pPr>
      <w:r>
        <w:rPr>
          <w:color w:val="333333"/>
        </w:rPr>
        <w:t>captadores de inversión foránea por sus elevadas participaciones al Producto Interno Bruto tanto estatal como nacional. Durante 1857 a 1880, las fábricas relacionadas con el ámbito textil en México pasaron de 47 a 97, de las cuales 13 se encontraban en el Valle de México, ocho en el Distrito Federal, cinco en el Estado de México y dos en San José, Río Hondo (Salazar, 2011).</w:t>
      </w:r>
    </w:p>
    <w:p>
      <w:pPr>
        <w:pStyle w:val="BodyText"/>
        <w:spacing w:line="360" w:lineRule="auto" w:before="6"/>
        <w:ind w:left="122" w:right="121" w:firstLine="707"/>
        <w:jc w:val="both"/>
      </w:pPr>
      <w:r>
        <w:rPr/>
        <w:t>Posteriormente, el Estado de México comenzó en 1930 a invertir en infraestructura carretera y telecomunicaciones para acercar a las grandes ciudades, dado el proceso de industrialización derivado del Modelo de Sustitución de Importaciones. Es así como algunos municipios con vocación industrial comenzaron a desarrollarse, aprovechando las oportunidades impulsadas por el gobierno estatal y por la cercanía al Distrito Federal, principal centro de consumo y de transacciones</w:t>
      </w:r>
      <w:r>
        <w:rPr>
          <w:spacing w:val="-10"/>
        </w:rPr>
        <w:t> </w:t>
      </w:r>
      <w:r>
        <w:rPr/>
        <w:t>económicas.</w:t>
      </w:r>
    </w:p>
    <w:p>
      <w:pPr>
        <w:pStyle w:val="BodyText"/>
        <w:spacing w:line="360" w:lineRule="auto" w:before="6"/>
        <w:ind w:left="122" w:right="118" w:firstLine="707"/>
        <w:jc w:val="both"/>
      </w:pPr>
      <w:r>
        <w:rPr/>
        <w:t>El moderno impulso industrial se materializó con el gobierno estatal de Wenceslao Labra (1937-1941) al ampliarse los beneficios fiscales. A su vez, con Isidro Fabela (1942- 1945) aumentaron las inversiones en infraestructura productiva. Este gobernador, que había sido diplomático tuvo un papel fundamental en el desarrollo de una nueva visión de gobierno; porque eliminó a los grupos de la política local y así instrumentó acciones para consolidar su poder. González (2008), sostiene que la élite del Estado de México se desarrolló a la par nacional;</w:t>
      </w:r>
      <w:r>
        <w:rPr>
          <w:spacing w:val="50"/>
        </w:rPr>
        <w:t> </w:t>
      </w:r>
      <w:r>
        <w:rPr/>
        <w:t>y parte de su extensa geografía se convirtió en un mayor</w:t>
      </w:r>
    </w:p>
    <w:p>
      <w:pPr>
        <w:pStyle w:val="BodyText"/>
        <w:spacing w:line="280" w:lineRule="exact"/>
        <w:ind w:left="122"/>
        <w:jc w:val="both"/>
        <w:rPr>
          <w:sz w:val="16"/>
        </w:rPr>
      </w:pPr>
      <w:r>
        <w:rPr/>
        <w:t>asentamiento industrial del país.</w:t>
      </w:r>
      <w:r>
        <w:rPr>
          <w:position w:val="11"/>
          <w:sz w:val="16"/>
        </w:rPr>
        <w:t>42</w:t>
      </w:r>
    </w:p>
    <w:p>
      <w:pPr>
        <w:pStyle w:val="BodyText"/>
        <w:spacing w:line="350" w:lineRule="auto" w:before="139"/>
        <w:ind w:left="122" w:right="119" w:firstLine="767"/>
        <w:jc w:val="both"/>
      </w:pPr>
      <w:r>
        <w:rPr/>
        <w:t>Y no menos importante fue la labor de Salvador Sánchez Colín (1951-1957) y de Gustavo Baz (1957-1963),</w:t>
      </w:r>
      <w:r>
        <w:rPr>
          <w:position w:val="11"/>
          <w:sz w:val="16"/>
        </w:rPr>
        <w:t>43 </w:t>
      </w:r>
      <w:r>
        <w:rPr/>
        <w:t>quienes promovieron la implantación de la industria en los municipios de Toluca, Naucalpan, Tlalnepantla y Ecatepec; en éstos tres últimos el crecimiento industrial coincide con la industrialización periférica de la Ciudad de México y</w:t>
      </w:r>
    </w:p>
    <w:p>
      <w:pPr>
        <w:pStyle w:val="BodyText"/>
        <w:spacing w:before="17"/>
        <w:ind w:left="122"/>
        <w:jc w:val="both"/>
      </w:pPr>
      <w:r>
        <w:rPr/>
        <w:t>su zona metropolitana (Orozco y Sánchez, 2004).</w:t>
      </w:r>
    </w:p>
    <w:p>
      <w:pPr>
        <w:pStyle w:val="BodyText"/>
        <w:spacing w:line="360" w:lineRule="auto" w:before="137"/>
        <w:ind w:left="122" w:right="121" w:firstLine="707"/>
        <w:jc w:val="both"/>
      </w:pPr>
      <w:r>
        <w:rPr/>
        <w:t>Particularmente el desarrollo industrial de los municipios conurbados se atribuye, en sus inicios a la decisión del presidente Adolfo Ruíz Cortines, quien en 1952 expidió un decreto  presidencial  que  disponía  la  descentralización  del  Distrito  Federal  hacia zonas</w:t>
      </w:r>
    </w:p>
    <w:p>
      <w:pPr>
        <w:pStyle w:val="BodyText"/>
        <w:spacing w:before="4"/>
        <w:rPr>
          <w:sz w:val="26"/>
        </w:rPr>
      </w:pPr>
      <w:r>
        <w:rPr/>
        <w:pict>
          <v:line style="position:absolute;mso-position-horizontal-relative:page;mso-position-vertical-relative:paragraph;z-index:1792;mso-wrap-distance-left:0;mso-wrap-distance-right:0" from="85.103996pt,17.519777pt" to="229.123996pt,17.519777pt" stroked="true" strokeweight=".71997pt" strokecolor="#000000">
            <w10:wrap type="topAndBottom"/>
          </v:line>
        </w:pict>
      </w:r>
    </w:p>
    <w:p>
      <w:pPr>
        <w:spacing w:before="42"/>
        <w:ind w:left="122" w:right="119" w:firstLine="0"/>
        <w:jc w:val="both"/>
        <w:rPr>
          <w:sz w:val="20"/>
        </w:rPr>
      </w:pPr>
      <w:r>
        <w:rPr>
          <w:position w:val="9"/>
          <w:sz w:val="13"/>
        </w:rPr>
        <w:t>42 </w:t>
      </w:r>
      <w:r>
        <w:rPr>
          <w:sz w:val="20"/>
        </w:rPr>
        <w:t>Véase González (2008), donde establece la historia del Estado de México a partir de la descripción política de los periodos de gobierno.</w:t>
      </w:r>
    </w:p>
    <w:p>
      <w:pPr>
        <w:spacing w:line="230" w:lineRule="exact" w:before="3"/>
        <w:ind w:left="122" w:right="125" w:firstLine="0"/>
        <w:jc w:val="both"/>
        <w:rPr>
          <w:sz w:val="20"/>
        </w:rPr>
      </w:pPr>
      <w:r>
        <w:rPr>
          <w:position w:val="9"/>
          <w:sz w:val="13"/>
        </w:rPr>
        <w:t>43 </w:t>
      </w:r>
      <w:r>
        <w:rPr>
          <w:sz w:val="20"/>
        </w:rPr>
        <w:t>En el Estado de México el gobernador Gustavo Baz, quien ocupó el cargo de 1957 a 1963 incrementó la inversión en materia de capitales, logrando con ello una concentración industrial inusitada. Por orden de importancia de los municipios estaban: Naucalpan de Juárez, Tlalnepantla, Toluca, Santa Clara y Xalostoc (Bejar y Casanova, 1970: 189).</w:t>
      </w:r>
    </w:p>
    <w:p>
      <w:pPr>
        <w:spacing w:after="0" w:line="230" w:lineRule="exact"/>
        <w:jc w:val="both"/>
        <w:rPr>
          <w:sz w:val="20"/>
        </w:rPr>
        <w:sectPr>
          <w:pgSz w:w="12240" w:h="15840"/>
          <w:pgMar w:header="0" w:footer="1003" w:top="1360" w:bottom="1200" w:left="1580" w:right="1580"/>
        </w:sectPr>
      </w:pPr>
    </w:p>
    <w:p>
      <w:pPr>
        <w:pStyle w:val="BodyText"/>
        <w:spacing w:line="362" w:lineRule="auto" w:before="50"/>
        <w:ind w:left="102" w:right="121"/>
      </w:pPr>
      <w:r>
        <w:rPr/>
        <w:t>periféricas, ya que el crecimiento de la ciudad había traspasado las zonas industriales con zonas habitacionales que colindaban ya con industrias peligrosas.</w:t>
      </w:r>
    </w:p>
    <w:p>
      <w:pPr>
        <w:pStyle w:val="BodyText"/>
        <w:spacing w:line="360" w:lineRule="auto" w:before="1"/>
        <w:ind w:left="102" w:right="117" w:firstLine="707"/>
        <w:jc w:val="right"/>
      </w:pPr>
      <w:r>
        <w:rPr/>
        <w:t>Es así que con la construcción de Ciudad Sahagún en 1952, siguiendo el modelo de las nuevas ciudades británicas, el gobierno trató por primera vez de manera explícita el asunto de la descentralización industrial (que consistió en una política de parques</w:t>
      </w:r>
      <w:r>
        <w:rPr>
          <w:w w:val="99"/>
        </w:rPr>
        <w:t> </w:t>
      </w:r>
      <w:r>
        <w:rPr/>
        <w:t>industriales). Por ello, durante el periodo 1953-1970 se establecieron 22 parques o ciudades</w:t>
      </w:r>
      <w:r>
        <w:rPr>
          <w:w w:val="99"/>
        </w:rPr>
        <w:t> </w:t>
      </w:r>
      <w:r>
        <w:rPr/>
        <w:t>industriales; 14 fueron inversiones privadas, 4 eran iniciativas del gobierno federal, y 4 más desarrollos estatales. Sin embargo, consideraciones de mercado, más que de</w:t>
      </w:r>
      <w:r>
        <w:rPr>
          <w:w w:val="99"/>
        </w:rPr>
        <w:t> </w:t>
      </w:r>
      <w:r>
        <w:rPr/>
        <w:t>descentralización fueron la fuerza motriz detrás de su localización. No es sorprendente,</w:t>
      </w:r>
      <w:r>
        <w:rPr>
          <w:w w:val="99"/>
        </w:rPr>
        <w:t> </w:t>
      </w:r>
      <w:r>
        <w:rPr/>
        <w:t>entonces, que la mayoría de los parques se construyeran en, o en los alrededores de la zona metropolitana de la ciudad de México estimulando aún más su crecimiento (Aguilar, 1993).</w:t>
      </w:r>
    </w:p>
    <w:p>
      <w:pPr>
        <w:pStyle w:val="BodyText"/>
        <w:spacing w:line="360" w:lineRule="auto" w:before="6"/>
        <w:ind w:left="102" w:right="121" w:firstLine="707"/>
        <w:jc w:val="both"/>
      </w:pPr>
      <w:r>
        <w:rPr/>
        <w:t>Los municipios mexiquense limítrofes fueron los que ofrecieron a los industriales de esa época las condiciones más atractivas para establecer ahí sus empresas, por su vínculo directo con la ciudad de México que los proveía de mano de obra, infraestructura de comunicaciones y transportes, así como la cercanía con un importante mercado y sede del poder político federal.</w:t>
      </w:r>
    </w:p>
    <w:p>
      <w:pPr>
        <w:pStyle w:val="BodyText"/>
        <w:spacing w:line="360" w:lineRule="auto" w:before="4"/>
        <w:ind w:left="102" w:right="118" w:firstLine="707"/>
        <w:jc w:val="both"/>
      </w:pPr>
      <w:r>
        <w:rPr/>
        <w:t>Es así como para el año de 1965 se asentó en el Estado de México el 71.3% del total de la producción bruta estatal, situada en sólo tres municipios: Naucalpan, Tlalnepantla y Ecatepec (Bejar y Casanova, 1970: 216). La localización industrial cercana al centro de consumo, el Distrito Federal, hizo también que se formara un área conurbada con amplias industrias y centros de trabajo como: Coacalco, Atizapán de Zaragoza, Nicolás Romero, Cuautitlán y Tultitlán, colindantes todos, y comunicados a través de transporte y carreteras con el centro del país. La otra zona de gran impacto y desarrollo, cercana al Distrito Federal fue el Valle de Toluca, conformada principalmente por los municipios de Toluca y Lerma.</w:t>
      </w:r>
    </w:p>
    <w:p>
      <w:pPr>
        <w:pStyle w:val="BodyText"/>
        <w:spacing w:line="360" w:lineRule="auto" w:before="4"/>
        <w:ind w:left="102" w:right="119" w:firstLine="707"/>
        <w:jc w:val="both"/>
      </w:pPr>
      <w:r>
        <w:rPr/>
        <w:t>De 1969 a 1975 en el Estado de México se impulsaron 19 zonas de desarrollo y 10 parques industriales en las zonas de: Texcoco, Cuautitlán Izcalli, Ocoyoacac, Tianguistenco y en áreas agrícolas con poco desarrollo como Zumpango y el Oro. De acuerdo con Herrejón (1985), en esta época la especulación de terrenos alcanzó los índices más altos en Naucalpan, luego en Tlalnepantla, Ecatepec, Cuautitlán y finalmente en Toluca, La Paz y Tianguistenco.</w:t>
      </w:r>
    </w:p>
    <w:p>
      <w:pPr>
        <w:spacing w:after="0" w:line="360" w:lineRule="auto"/>
        <w:jc w:val="both"/>
        <w:sectPr>
          <w:pgSz w:w="12240" w:h="15840"/>
          <w:pgMar w:header="0" w:footer="1003" w:top="1360" w:bottom="1200" w:left="1600" w:right="1580"/>
        </w:sectPr>
      </w:pPr>
    </w:p>
    <w:p>
      <w:pPr>
        <w:pStyle w:val="BodyText"/>
        <w:spacing w:line="360" w:lineRule="auto" w:before="50"/>
        <w:ind w:left="102" w:right="116" w:firstLine="707"/>
        <w:jc w:val="both"/>
      </w:pPr>
      <w:r>
        <w:rPr/>
        <w:t>Por su parte, los gobernadores del Estado de México; Carlos Hank González (1969- 1975) y Jorge Jiménez Cantú (1975-1981) promovieron la inversión extranjera a través del ofrecimiento de mano de obra, electricidad, accesibilidad y terrenos amplios a bajo costo. Estas iniciativas fueron acordes con la política de parques industriales y de desconcentración industrial, la cual continuó con el gobernador Alfredo del Mazo (1981- 1986).</w:t>
      </w:r>
    </w:p>
    <w:p>
      <w:pPr>
        <w:pStyle w:val="BodyText"/>
        <w:spacing w:line="360" w:lineRule="auto" w:before="4"/>
        <w:ind w:left="102" w:right="115" w:firstLine="707"/>
        <w:jc w:val="both"/>
      </w:pPr>
      <w:r>
        <w:rPr/>
        <w:t>Sin embargo, la política de creación de parques industriales adquirió su fuerza a partir de 1971, cuando se creó el Fideicomiso de Conjuntos, Parques y Centros Comerciales (FIDEIN), que fue constituido por Nacional Financiera, S.A., basado en un acuerdo presidencial con el fin de promover y ejecutar el programa de parques y ciudades industriales, considerados como los instrumentos concretos para la descentralización industrial y de la inducción del desarrollo económico en regiones atrasadas (Aguilar, 1993). Los polos de desarrollo fueron seleccionados debido a su dotación de infraestructura social y económica que los convertía en centros potenciales de desarrollo de industrialización regional.</w:t>
      </w:r>
    </w:p>
    <w:p>
      <w:pPr>
        <w:spacing w:before="6"/>
        <w:ind w:left="668" w:right="682" w:firstLine="0"/>
        <w:jc w:val="both"/>
        <w:rPr>
          <w:sz w:val="22"/>
        </w:rPr>
      </w:pPr>
      <w:r>
        <w:rPr>
          <w:sz w:val="22"/>
        </w:rPr>
        <w:t>“Los parques industriales comenzaron a establecerse en el Estado de México a partir de la década de 1960; tal es el caso de Toluca (1963), y Cartagena, en Cuautitlán (1969). Uno de los factores que incidió en el incremento de la construcción de parques industriales en algunos puntos del territorio estatal, fue el FIDEIN en 1971, y que funcionó hasta 1989” (Rózga e Iglesias, 2004: 77).</w:t>
      </w:r>
    </w:p>
    <w:p>
      <w:pPr>
        <w:pStyle w:val="BodyText"/>
        <w:spacing w:before="1"/>
      </w:pPr>
    </w:p>
    <w:p>
      <w:pPr>
        <w:pStyle w:val="BodyText"/>
        <w:spacing w:line="350" w:lineRule="auto" w:before="1"/>
        <w:ind w:left="102" w:right="117" w:firstLine="707"/>
        <w:jc w:val="both"/>
      </w:pPr>
      <w:r>
        <w:rPr/>
        <w:t>Hasta 1993 se construyeron en el país 131 parques industriales, el 24.2% se localizaban en la entidad mexiquense, ocupando una superficie total de 21,327,604 m</w:t>
      </w:r>
      <w:r>
        <w:rPr>
          <w:position w:val="11"/>
          <w:sz w:val="16"/>
        </w:rPr>
        <w:t>2 </w:t>
      </w:r>
      <w:r>
        <w:rPr/>
        <w:t>(Aguilar, 1993). Estas políticas pretendían acabar con las desigualdades regionales, por lo que se buscaba aprovechar mejor los recursos disponibles como las materias primas,   mano</w:t>
      </w:r>
    </w:p>
    <w:p>
      <w:pPr>
        <w:pStyle w:val="BodyText"/>
        <w:spacing w:line="360" w:lineRule="auto" w:before="17"/>
        <w:ind w:left="102" w:right="120"/>
        <w:jc w:val="both"/>
      </w:pPr>
      <w:r>
        <w:rPr/>
        <w:t>de obra y expansión de nuevos mercados. Esto era congruente con el Plan Nacional de Desarrollo 1983-1988, impulsado por el presidente de la República, Miguel de la Madrid, que establecía 4 objetivos: fortalecer las instituciones democráticas, vencer la crisis, recuperar la capacidad de crecimiento e iniciar cambios cualitativos en la estructura económica política y social.</w:t>
      </w:r>
    </w:p>
    <w:p>
      <w:pPr>
        <w:pStyle w:val="BodyText"/>
        <w:spacing w:line="360" w:lineRule="auto" w:before="4"/>
        <w:ind w:left="102" w:right="123" w:firstLine="707"/>
        <w:jc w:val="both"/>
      </w:pPr>
      <w:r>
        <w:rPr/>
        <w:t>De estos objetivos se derivaron 4 líneas de acción, relacionadas con la industrialización de la entidad:</w:t>
      </w:r>
    </w:p>
    <w:p>
      <w:pPr>
        <w:pStyle w:val="ListParagraph"/>
        <w:numPr>
          <w:ilvl w:val="0"/>
          <w:numId w:val="13"/>
        </w:numPr>
        <w:tabs>
          <w:tab w:pos="2226" w:val="left" w:leader="none"/>
          <w:tab w:pos="2227" w:val="left" w:leader="none"/>
        </w:tabs>
        <w:spacing w:line="360" w:lineRule="auto" w:before="4" w:after="0"/>
        <w:ind w:left="822" w:right="118" w:firstLine="708"/>
        <w:jc w:val="left"/>
        <w:rPr>
          <w:sz w:val="24"/>
        </w:rPr>
      </w:pPr>
      <w:r>
        <w:rPr>
          <w:sz w:val="24"/>
        </w:rPr>
        <w:t>Intensificar la descentralización de crecimiento industrial, abriendo alternativas viables de</w:t>
      </w:r>
      <w:r>
        <w:rPr>
          <w:spacing w:val="-9"/>
          <w:sz w:val="24"/>
        </w:rPr>
        <w:t> </w:t>
      </w:r>
      <w:r>
        <w:rPr>
          <w:sz w:val="24"/>
        </w:rPr>
        <w:t>localización.</w:t>
      </w:r>
    </w:p>
    <w:p>
      <w:pPr>
        <w:spacing w:after="0" w:line="360" w:lineRule="auto"/>
        <w:jc w:val="left"/>
        <w:rPr>
          <w:sz w:val="24"/>
        </w:rPr>
        <w:sectPr>
          <w:footerReference w:type="default" r:id="rId22"/>
          <w:pgSz w:w="12240" w:h="15840"/>
          <w:pgMar w:footer="1003" w:header="0" w:top="1360" w:bottom="1200" w:left="1600" w:right="1580"/>
        </w:sectPr>
      </w:pPr>
    </w:p>
    <w:p>
      <w:pPr>
        <w:pStyle w:val="ListParagraph"/>
        <w:numPr>
          <w:ilvl w:val="0"/>
          <w:numId w:val="13"/>
        </w:numPr>
        <w:tabs>
          <w:tab w:pos="2247" w:val="left" w:leader="none"/>
        </w:tabs>
        <w:spacing w:line="362" w:lineRule="auto" w:before="50" w:after="0"/>
        <w:ind w:left="842" w:right="122" w:firstLine="708"/>
        <w:jc w:val="both"/>
        <w:rPr>
          <w:sz w:val="24"/>
        </w:rPr>
      </w:pPr>
      <w:r>
        <w:rPr>
          <w:sz w:val="24"/>
        </w:rPr>
        <w:t>Frenar las migraciones hacia las metrópolis mediante el fortalecimiento de las condiciones de desarrollo rural en las zonas de</w:t>
      </w:r>
      <w:r>
        <w:rPr>
          <w:spacing w:val="-10"/>
          <w:sz w:val="24"/>
        </w:rPr>
        <w:t> </w:t>
      </w:r>
      <w:r>
        <w:rPr>
          <w:sz w:val="24"/>
        </w:rPr>
        <w:t>exclusión.</w:t>
      </w:r>
    </w:p>
    <w:p>
      <w:pPr>
        <w:pStyle w:val="ListParagraph"/>
        <w:numPr>
          <w:ilvl w:val="0"/>
          <w:numId w:val="13"/>
        </w:numPr>
        <w:tabs>
          <w:tab w:pos="2247" w:val="left" w:leader="none"/>
        </w:tabs>
        <w:spacing w:line="360" w:lineRule="auto" w:before="1" w:after="0"/>
        <w:ind w:left="842" w:right="119" w:firstLine="708"/>
        <w:jc w:val="both"/>
        <w:rPr>
          <w:sz w:val="24"/>
        </w:rPr>
      </w:pPr>
      <w:r>
        <w:rPr>
          <w:sz w:val="24"/>
        </w:rPr>
        <w:t>Consolidar sistemas urbanos, en escala regional relativamente independientes de la Ciudad de México, en el Occidente del país y en el Golfo de México.</w:t>
      </w:r>
    </w:p>
    <w:p>
      <w:pPr>
        <w:pStyle w:val="ListParagraph"/>
        <w:numPr>
          <w:ilvl w:val="0"/>
          <w:numId w:val="13"/>
        </w:numPr>
        <w:tabs>
          <w:tab w:pos="2247" w:val="left" w:leader="none"/>
        </w:tabs>
        <w:spacing w:line="360" w:lineRule="auto" w:before="6" w:after="0"/>
        <w:ind w:left="842" w:right="122" w:firstLine="708"/>
        <w:jc w:val="both"/>
        <w:rPr>
          <w:sz w:val="24"/>
        </w:rPr>
      </w:pPr>
      <w:r>
        <w:rPr>
          <w:sz w:val="24"/>
        </w:rPr>
        <w:t>Restringir en forma más estricta la localización de las actividades manufactureras y terciarias en la ciudad de México, así como racionalizar su expansión</w:t>
      </w:r>
      <w:r>
        <w:rPr>
          <w:spacing w:val="-3"/>
          <w:sz w:val="24"/>
        </w:rPr>
        <w:t> </w:t>
      </w:r>
      <w:r>
        <w:rPr>
          <w:sz w:val="24"/>
        </w:rPr>
        <w:t>física.</w:t>
      </w:r>
    </w:p>
    <w:p>
      <w:pPr>
        <w:pStyle w:val="BodyText"/>
        <w:spacing w:line="360" w:lineRule="auto" w:before="4"/>
        <w:ind w:left="122" w:right="123" w:firstLine="707"/>
        <w:jc w:val="both"/>
      </w:pPr>
      <w:r>
        <w:rPr/>
        <w:t>Tomando como base los resultados, podemos señalar que ninguna de las cuatro líneas propuestas se cumplió. No se logró la descentralización industrial, no se frenaron las migraciones, no se consolidaron otros sistemas urbanos independientes del Distrito Federal y las empresas se localizaron en los municipios colindantes a la capital.</w:t>
      </w:r>
    </w:p>
    <w:p>
      <w:pPr>
        <w:pStyle w:val="BodyText"/>
        <w:spacing w:line="352" w:lineRule="auto" w:before="4"/>
        <w:ind w:left="122" w:right="120" w:firstLine="707"/>
        <w:jc w:val="both"/>
      </w:pPr>
      <w:r>
        <w:rPr/>
        <w:t>Bejar y Casanova (1970), elaboraron un análisis sobre cuál fue la razón fundamental para que se asentaran las industrias dentro de estos municipios colindantes con el Distrito Federal. La proximidad al centro de producción y consumo del país fue la variable más importante</w:t>
      </w:r>
      <w:r>
        <w:rPr>
          <w:position w:val="11"/>
          <w:sz w:val="16"/>
        </w:rPr>
        <w:t>44</w:t>
      </w:r>
      <w:r>
        <w:rPr/>
        <w:t>. Por otro lado Rózga y Madrigal (2011), sostienen que el proceso de concentración</w:t>
      </w:r>
      <w:r>
        <w:rPr>
          <w:spacing w:val="52"/>
        </w:rPr>
        <w:t> </w:t>
      </w:r>
      <w:r>
        <w:rPr/>
        <w:t>en</w:t>
      </w:r>
      <w:r>
        <w:rPr>
          <w:spacing w:val="51"/>
        </w:rPr>
        <w:t> </w:t>
      </w:r>
      <w:r>
        <w:rPr/>
        <w:t>la</w:t>
      </w:r>
      <w:r>
        <w:rPr>
          <w:spacing w:val="53"/>
        </w:rPr>
        <w:t> </w:t>
      </w:r>
      <w:r>
        <w:rPr/>
        <w:t>región</w:t>
      </w:r>
      <w:r>
        <w:rPr>
          <w:spacing w:val="52"/>
        </w:rPr>
        <w:t> </w:t>
      </w:r>
      <w:r>
        <w:rPr/>
        <w:t>Valle</w:t>
      </w:r>
      <w:r>
        <w:rPr>
          <w:spacing w:val="50"/>
        </w:rPr>
        <w:t> </w:t>
      </w:r>
      <w:r>
        <w:rPr/>
        <w:t>de</w:t>
      </w:r>
      <w:r>
        <w:rPr>
          <w:spacing w:val="50"/>
        </w:rPr>
        <w:t> </w:t>
      </w:r>
      <w:r>
        <w:rPr/>
        <w:t>México</w:t>
      </w:r>
      <w:r>
        <w:rPr>
          <w:spacing w:val="51"/>
        </w:rPr>
        <w:t> </w:t>
      </w:r>
      <w:r>
        <w:rPr/>
        <w:t>de</w:t>
      </w:r>
      <w:r>
        <w:rPr>
          <w:spacing w:val="50"/>
        </w:rPr>
        <w:t> </w:t>
      </w:r>
      <w:r>
        <w:rPr/>
        <w:t>las</w:t>
      </w:r>
      <w:r>
        <w:rPr>
          <w:spacing w:val="51"/>
        </w:rPr>
        <w:t> </w:t>
      </w:r>
      <w:r>
        <w:rPr/>
        <w:t>actividades</w:t>
      </w:r>
      <w:r>
        <w:rPr>
          <w:spacing w:val="51"/>
        </w:rPr>
        <w:t> </w:t>
      </w:r>
      <w:r>
        <w:rPr/>
        <w:t>secundarias,</w:t>
      </w:r>
      <w:r>
        <w:rPr>
          <w:spacing w:val="51"/>
        </w:rPr>
        <w:t> </w:t>
      </w:r>
      <w:r>
        <w:rPr/>
        <w:t>durante</w:t>
      </w:r>
      <w:r>
        <w:rPr>
          <w:spacing w:val="51"/>
        </w:rPr>
        <w:t> </w:t>
      </w:r>
      <w:r>
        <w:rPr/>
        <w:t>la</w:t>
      </w:r>
    </w:p>
    <w:p>
      <w:pPr>
        <w:pStyle w:val="BodyText"/>
        <w:spacing w:line="360" w:lineRule="auto" w:before="14"/>
        <w:ind w:left="122" w:right="243"/>
      </w:pPr>
      <w:r>
        <w:rPr/>
        <w:t>década de los cuarenta y cincuenta, se generó a través del proceso de conurbación de los municipios aledaños a la Ciudad de</w:t>
      </w:r>
      <w:r>
        <w:rPr>
          <w:spacing w:val="53"/>
        </w:rPr>
        <w:t> </w:t>
      </w:r>
      <w:r>
        <w:rPr/>
        <w:t>México.</w:t>
      </w:r>
    </w:p>
    <w:p>
      <w:pPr>
        <w:pStyle w:val="BodyText"/>
        <w:spacing w:line="360" w:lineRule="auto" w:before="6"/>
        <w:ind w:left="122" w:right="119" w:firstLine="707"/>
        <w:jc w:val="both"/>
      </w:pPr>
      <w:r>
        <w:rPr/>
        <w:t>En este contexto, podemos señalar que para el caso del Estado de México, entre 1982 y 1985, 115 empresas salieron de los municipios conurbados con la  Ciudad  de México y la mayor parte se instalaron en el Valle de Toluca (Morales, 1988: 84). De tal forma que en la región Valle de México, conformada por varios municipios cercanos al Distrito Federal, lograron destacar en el desarrollo industrial. El primero de ellos fue Cuautitlán Izcalli, que sufrió una transformación en    la vocación agrícola que tenía a partir</w:t>
      </w:r>
    </w:p>
    <w:p>
      <w:pPr>
        <w:pStyle w:val="BodyText"/>
        <w:rPr>
          <w:sz w:val="20"/>
        </w:rPr>
      </w:pPr>
    </w:p>
    <w:p>
      <w:pPr>
        <w:pStyle w:val="BodyText"/>
        <w:rPr>
          <w:sz w:val="20"/>
        </w:rPr>
      </w:pPr>
    </w:p>
    <w:p>
      <w:pPr>
        <w:pStyle w:val="BodyText"/>
        <w:spacing w:before="4"/>
        <w:rPr>
          <w:sz w:val="18"/>
        </w:rPr>
      </w:pPr>
      <w:r>
        <w:rPr/>
        <w:pict>
          <v:line style="position:absolute;mso-position-horizontal-relative:page;mso-position-vertical-relative:paragraph;z-index:1816;mso-wrap-distance-left:0;mso-wrap-distance-right:0" from="85.103996pt,12.911708pt" to="229.123996pt,12.911708pt" stroked="true" strokeweight=".72003pt" strokecolor="#000000">
            <w10:wrap type="topAndBottom"/>
          </v:line>
        </w:pict>
      </w:r>
    </w:p>
    <w:p>
      <w:pPr>
        <w:spacing w:before="42"/>
        <w:ind w:left="122" w:right="117" w:firstLine="0"/>
        <w:jc w:val="both"/>
        <w:rPr>
          <w:sz w:val="20"/>
        </w:rPr>
      </w:pPr>
      <w:r>
        <w:rPr>
          <w:position w:val="9"/>
          <w:sz w:val="13"/>
        </w:rPr>
        <w:t>44 </w:t>
      </w:r>
      <w:r>
        <w:rPr>
          <w:sz w:val="20"/>
        </w:rPr>
        <w:t>Otras causas son: abundante mano de obra calificada, suministro adecuado de agua, energía eléctrica y combustible, redes de carreteras ferroviarias que comunicaban dichas zonas con todo el territorio nacional, tarifas ferrocarrileras que favorecían el transporte de las materias primarias en comparación con las aplicables a los productos terminados que eran relativamente altas, costos de producción unitarios para muchos tipos de productos manufacturados, notablemente más bajos en estas zonas que en el resto del país, amplia gama de servicios de todo género que ofrecían la Ciudad de México (técnicos, educacionales, de esparcimiento, etc.), franquicias fiscales otorgadas por las leyes del Estado de México en materia de protección a la industria y a  las nuevas construcciones, fraccionamientos industriales y</w:t>
      </w:r>
      <w:r>
        <w:rPr>
          <w:spacing w:val="-26"/>
          <w:sz w:val="20"/>
        </w:rPr>
        <w:t> </w:t>
      </w:r>
      <w:r>
        <w:rPr>
          <w:sz w:val="20"/>
        </w:rPr>
        <w:t>residenciales.</w:t>
      </w:r>
    </w:p>
    <w:p>
      <w:pPr>
        <w:spacing w:after="0"/>
        <w:jc w:val="both"/>
        <w:rPr>
          <w:sz w:val="20"/>
        </w:rPr>
        <w:sectPr>
          <w:footerReference w:type="default" r:id="rId23"/>
          <w:pgSz w:w="12240" w:h="15840"/>
          <w:pgMar w:footer="1003" w:header="0" w:top="1360" w:bottom="1200" w:left="1580" w:right="1580"/>
          <w:pgNumType w:start="71"/>
        </w:sectPr>
      </w:pPr>
    </w:p>
    <w:p>
      <w:pPr>
        <w:pStyle w:val="BodyText"/>
        <w:spacing w:line="331" w:lineRule="auto" w:before="50"/>
        <w:ind w:left="122" w:right="243"/>
        <w:rPr>
          <w:sz w:val="16"/>
        </w:rPr>
      </w:pPr>
      <w:r>
        <w:rPr/>
        <w:t>del periodo de gobierno de Gustavo Baz Prada (1957-1963), donde muchos terrenos agrícolas cedieron su lugar a la gran industria.</w:t>
      </w:r>
      <w:r>
        <w:rPr>
          <w:position w:val="11"/>
          <w:sz w:val="16"/>
        </w:rPr>
        <w:t>45</w:t>
      </w:r>
    </w:p>
    <w:p>
      <w:pPr>
        <w:pStyle w:val="BodyText"/>
        <w:spacing w:line="360" w:lineRule="auto" w:before="21"/>
        <w:ind w:left="122" w:right="117" w:firstLine="707"/>
        <w:jc w:val="both"/>
      </w:pPr>
      <w:r>
        <w:rPr/>
        <w:t>Un factor que favoreció de manera decisiva el desarrollo de la planta industrial de Cuautitlán Izcalli fue la autopista México-Querétaro (Castañares, 1999), así como la planta automotriz  Ford  instalada  en  1925  y  otras  ensambladoras  de  la  industria    automotriz</w:t>
      </w:r>
    </w:p>
    <w:p>
      <w:pPr>
        <w:pStyle w:val="BodyText"/>
        <w:spacing w:line="328" w:lineRule="auto" w:before="6"/>
        <w:ind w:left="122" w:right="243"/>
        <w:rPr>
          <w:sz w:val="16"/>
        </w:rPr>
      </w:pPr>
      <w:r>
        <w:rPr/>
        <w:t>beneficiadas por la política de apoyo gubernamental, también en Tultitlán se instaló la empresa Volvo.</w:t>
      </w:r>
      <w:r>
        <w:rPr>
          <w:position w:val="11"/>
          <w:sz w:val="16"/>
        </w:rPr>
        <w:t>46</w:t>
      </w:r>
    </w:p>
    <w:p>
      <w:pPr>
        <w:pStyle w:val="BodyText"/>
        <w:spacing w:line="352" w:lineRule="auto" w:before="26"/>
        <w:ind w:left="122" w:right="115" w:firstLine="707"/>
        <w:jc w:val="both"/>
        <w:rPr>
          <w:sz w:val="16"/>
        </w:rPr>
      </w:pPr>
      <w:r>
        <w:rPr/>
        <w:t>El impulso primordial del entonces Cuautitlán Izcalli, fue canalizar la inversión privada, tanto de organismos financieros como de particulares, de este modo los trabajos en este municipio comenzaron con créditos que se utilizaron en obras de infraestructura directa para la creación de los fraccionamientos y parques industriales; todas las obras fueron autofinanciables y con ello fue posible el desarrollo de Cuautitlán Izcalli.</w:t>
      </w:r>
      <w:r>
        <w:rPr>
          <w:position w:val="11"/>
          <w:sz w:val="16"/>
        </w:rPr>
        <w:t>47</w:t>
      </w:r>
    </w:p>
    <w:p>
      <w:pPr>
        <w:pStyle w:val="BodyText"/>
        <w:spacing w:line="360" w:lineRule="auto"/>
        <w:ind w:left="122" w:right="117" w:firstLine="707"/>
        <w:jc w:val="both"/>
      </w:pPr>
      <w:r>
        <w:rPr/>
        <w:t>El siguiente municipio de importancia es Ecatepec. Este municipio logró un desarrollo industrial a partir de 1938 con la primera industria importante: Sosa Texcoco, creada para aprovechar el agua salada del vaso lacustre del Lago de Texcoco, para obtener productos químicos como: sosa cáustica para uso industrial, cal y otros derivados. Logró producir 100 toneladas diarias de álcalis en 1948 y llegó a convertirse en la primera industria de este tipo en América Latina (Bucay, 2003). Asimismo, en 1939 se instaló Alexa, conocida actualmente como Alcan Alumnio y Kelvinator, después de establecieron Aceros Tepeyac, General Electric, La Costeña, Jumex y otras industrias más.</w:t>
      </w:r>
    </w:p>
    <w:p>
      <w:pPr>
        <w:pStyle w:val="BodyText"/>
        <w:spacing w:line="360" w:lineRule="auto" w:before="4"/>
        <w:ind w:left="122" w:right="118" w:firstLine="707"/>
        <w:jc w:val="both"/>
      </w:pPr>
      <w:r>
        <w:rPr/>
        <w:pict>
          <v:line style="position:absolute;mso-position-horizontal-relative:page;mso-position-vertical-relative:paragraph;z-index:1840;mso-wrap-distance-left:0;mso-wrap-distance-right:0" from="85.103996pt,127.83313pt" to="229.123996pt,127.83313pt" stroked="true" strokeweight=".71997pt" strokecolor="#000000">
            <w10:wrap type="topAndBottom"/>
          </v:line>
        </w:pict>
      </w:r>
      <w:r>
        <w:rPr/>
        <w:t>En ese sentido, Tlalnepantla de Baz un municipio perteneciente al área conurbada al Distrito Federal presentó un desarrollo inusitado, durante la administración del gobernador Isidro Fabela (1942 a 1945), se gestionó una nueva etapa de crecimiento industrial. Esto puede notarse en el monto total de inversiones en 1942, de $78,000,000.00 y para finales de 1945 esta cifra fue de $300,000,000.00 aproximadamente. Además, este gobernador tuvo la visión   política   de   fortalecer   e   incrementar   las   comunicaciones   y   obras   públicas,</w:t>
      </w:r>
    </w:p>
    <w:p>
      <w:pPr>
        <w:spacing w:before="42"/>
        <w:ind w:left="122" w:right="119" w:firstLine="0"/>
        <w:jc w:val="both"/>
        <w:rPr>
          <w:sz w:val="20"/>
        </w:rPr>
      </w:pPr>
      <w:r>
        <w:rPr>
          <w:position w:val="9"/>
          <w:sz w:val="13"/>
        </w:rPr>
        <w:t>45 </w:t>
      </w:r>
      <w:r>
        <w:rPr>
          <w:sz w:val="20"/>
        </w:rPr>
        <w:t>En enero de 1972, el Gobernador del Estado de México; Carlos Hank González, el Director General de Nacional Financiera y el Presidente municipal de Cuautitlán Izcalli, firmaron los documentos del crédito inicial otorgado por Nafinsa para la ejecución de las obras de infraestructura industrial.</w:t>
      </w:r>
    </w:p>
    <w:p>
      <w:pPr>
        <w:spacing w:line="228" w:lineRule="exact" w:before="4"/>
        <w:ind w:left="122" w:right="129" w:firstLine="0"/>
        <w:jc w:val="both"/>
        <w:rPr>
          <w:sz w:val="20"/>
        </w:rPr>
      </w:pPr>
      <w:r>
        <w:rPr>
          <w:position w:val="9"/>
          <w:sz w:val="13"/>
        </w:rPr>
        <w:t>46 </w:t>
      </w:r>
      <w:r>
        <w:rPr>
          <w:sz w:val="20"/>
        </w:rPr>
        <w:t>Véase Villareal y Villegas, (2007) donde establece el contexto histórico de la localización de la industria automotriz en México.</w:t>
      </w:r>
    </w:p>
    <w:p>
      <w:pPr>
        <w:spacing w:line="230" w:lineRule="exact" w:before="1"/>
        <w:ind w:left="122" w:right="119" w:firstLine="0"/>
        <w:jc w:val="both"/>
        <w:rPr>
          <w:sz w:val="20"/>
        </w:rPr>
      </w:pPr>
      <w:r>
        <w:rPr>
          <w:position w:val="9"/>
          <w:sz w:val="13"/>
        </w:rPr>
        <w:t>47 </w:t>
      </w:r>
      <w:r>
        <w:rPr>
          <w:sz w:val="20"/>
        </w:rPr>
        <w:t>En el Plan de Desarrollo 2005-2011, se destaca que la política de industrialización iniciada en la segunda mitad de la década de 1950 conjuntó una estrategia fiscal, de oferta de suelo y desarrollo de infraestructura para atraer inversión a la entidad. Siendo Cuautitlán Izcalli uno de los municipios beneficiados por estas medidas.</w:t>
      </w:r>
    </w:p>
    <w:p>
      <w:pPr>
        <w:spacing w:after="0" w:line="230" w:lineRule="exact"/>
        <w:jc w:val="both"/>
        <w:rPr>
          <w:sz w:val="20"/>
        </w:rPr>
        <w:sectPr>
          <w:pgSz w:w="12240" w:h="15840"/>
          <w:pgMar w:header="0" w:footer="1003" w:top="1360" w:bottom="1200" w:left="1580" w:right="1580"/>
        </w:sectPr>
      </w:pPr>
    </w:p>
    <w:p>
      <w:pPr>
        <w:pStyle w:val="BodyText"/>
        <w:spacing w:line="360" w:lineRule="auto" w:before="50"/>
        <w:ind w:left="122" w:right="116"/>
        <w:jc w:val="both"/>
      </w:pPr>
      <w:r>
        <w:rPr/>
        <w:t>aumentando la fluidez de la economía al comunicar las zonas productoras del Estado con la capital federal. Todas estas disposiciones dieron como resultado que en sólo cuatro años, Tlalnepantla superara a Monterrey por el monto total de las inversiones recibidas para su infraestructura (Bejar y Casanova, 1970).</w:t>
      </w:r>
    </w:p>
    <w:p>
      <w:pPr>
        <w:pStyle w:val="BodyText"/>
        <w:spacing w:line="360" w:lineRule="auto" w:before="4"/>
        <w:ind w:left="122" w:right="116" w:firstLine="707"/>
        <w:jc w:val="both"/>
      </w:pPr>
      <w:r>
        <w:rPr/>
        <w:t>Este municipio se convirtió en un polo importante de industrialización dentro del Valle de México, por su posición geográfica, desarrollo económico y cambios políticos- sociales a favor de la urbanización. Tlalnepantla actualmente está considerado como uno de los municipios más industrializados del país, junto con Naucalpan.</w:t>
      </w:r>
    </w:p>
    <w:p>
      <w:pPr>
        <w:pStyle w:val="BodyText"/>
        <w:spacing w:line="360" w:lineRule="auto" w:before="4"/>
        <w:ind w:left="122" w:right="115" w:firstLine="707"/>
        <w:jc w:val="both"/>
      </w:pPr>
      <w:r>
        <w:rPr/>
        <w:t>En Tlalnepantla sobresale la empresa </w:t>
      </w:r>
      <w:r>
        <w:rPr>
          <w:color w:val="333333"/>
        </w:rPr>
        <w:t>Aceros Tlalnepantla que inició sus  operaciones en el año 1906, en 1956 se fusionó con "Clavos la Nacional" adquiriendo el nombre de Aceros Nacionales, S.A. de C.V. En 1999 fue adquirida por </w:t>
      </w:r>
      <w:hyperlink r:id="rId24">
        <w:r>
          <w:rPr/>
          <w:t>DE ACERO S.A.</w:t>
        </w:r>
      </w:hyperlink>
      <w:r>
        <w:rPr/>
        <w:t>  </w:t>
      </w:r>
      <w:hyperlink r:id="rId24">
        <w:r>
          <w:rPr/>
          <w:t>de C.V</w:t>
        </w:r>
      </w:hyperlink>
      <w:r>
        <w:rPr/>
        <w:t>., </w:t>
      </w:r>
      <w:r>
        <w:rPr>
          <w:color w:val="333333"/>
        </w:rPr>
        <w:t>y hoy abarca desde la fundición de fierro hasta la producción de mallas y  alambres. Actualmente están asentadas en este municipio 2,700 industrias ocupando el primer lugar a nivel</w:t>
      </w:r>
      <w:r>
        <w:rPr>
          <w:color w:val="333333"/>
          <w:spacing w:val="-6"/>
        </w:rPr>
        <w:t> </w:t>
      </w:r>
      <w:r>
        <w:rPr>
          <w:color w:val="333333"/>
        </w:rPr>
        <w:t>estatal.</w:t>
      </w:r>
    </w:p>
    <w:p>
      <w:pPr>
        <w:pStyle w:val="BodyText"/>
        <w:spacing w:line="360" w:lineRule="auto" w:before="4"/>
        <w:ind w:left="122" w:right="118" w:firstLine="707"/>
        <w:jc w:val="both"/>
      </w:pPr>
      <w:r>
        <w:rPr>
          <w:color w:val="333333"/>
        </w:rPr>
        <w:t>La Zona Metropolitana de la Ciudad de México es considerada la primera unidad político-administrativa en cuanto a superficie de uso de suelo para uso industrial, dada su producción industrial bruta y personal ocupado, es la tercera en cuanto a mayor número de establecimientos de 50 o más empleados y la séptima a nivel nacional en el número total de industrias (SRE, 2010). Destacan las siguientes empresas por su participación en el mercado: CEMEX, Coca Cola, Cementos Anáhuac, Fandeli vinos y licores La Divina, Vicky Form, Berol y Giesecke &amp; Devrient, entre otras. Relacionado con lo anterior, se</w:t>
      </w:r>
    </w:p>
    <w:p>
      <w:pPr>
        <w:pStyle w:val="BodyText"/>
        <w:spacing w:line="282" w:lineRule="exact"/>
        <w:ind w:left="122"/>
        <w:jc w:val="both"/>
        <w:rPr>
          <w:sz w:val="16"/>
        </w:rPr>
      </w:pPr>
      <w:r>
        <w:rPr>
          <w:color w:val="333333"/>
        </w:rPr>
        <w:t>estima que juntas aportan el 16% del PIB del Estado de México. </w:t>
      </w:r>
      <w:r>
        <w:rPr>
          <w:color w:val="333333"/>
          <w:position w:val="11"/>
          <w:sz w:val="16"/>
        </w:rPr>
        <w:t>48</w:t>
      </w:r>
    </w:p>
    <w:p>
      <w:pPr>
        <w:pStyle w:val="BodyText"/>
        <w:spacing w:line="360" w:lineRule="auto" w:before="137"/>
        <w:ind w:left="122" w:right="118" w:firstLine="707"/>
        <w:jc w:val="both"/>
      </w:pPr>
      <w:r>
        <w:rPr>
          <w:color w:val="333333"/>
        </w:rPr>
        <w:t>Asimismo, Naucalpan de Juárez, cercano al Distrito Federal desarrolló un amplio desarrollo industrial y comercial, hasta nuestros días. El nacimiento de Naucalpan como municipio industrial comenzó con la instalación de la fábrica de hilazas “La Abeja”, fundada en 1869 por Isidoro de la Torre, según consta en los documentos del Archivo de Notarías de la Ciudad de México; le siguió la construcción de las vías ferroviarias de la ruta México-Acámbaro, con sendas estaciones en Naucalpan y, por supuesto, en Río Hondo (población,  entonces  perteneciente  a   Tlalnepantla,  pero  que   ahora  forma  parte       de</w:t>
      </w:r>
    </w:p>
    <w:p>
      <w:pPr>
        <w:pStyle w:val="BodyText"/>
        <w:rPr>
          <w:sz w:val="20"/>
        </w:rPr>
      </w:pPr>
    </w:p>
    <w:p>
      <w:pPr>
        <w:pStyle w:val="BodyText"/>
        <w:spacing w:before="4"/>
        <w:rPr>
          <w:sz w:val="14"/>
        </w:rPr>
      </w:pPr>
      <w:r>
        <w:rPr/>
        <w:pict>
          <v:line style="position:absolute;mso-position-horizontal-relative:page;mso-position-vertical-relative:paragraph;z-index:1864;mso-wrap-distance-left:0;mso-wrap-distance-right:0" from="85.103996pt,10.576729pt" to="229.123996pt,10.576729pt" stroked="true" strokeweight=".72003pt" strokecolor="#000000">
            <w10:wrap type="topAndBottom"/>
          </v:line>
        </w:pict>
      </w:r>
    </w:p>
    <w:p>
      <w:pPr>
        <w:spacing w:before="42"/>
        <w:ind w:left="122" w:right="243" w:firstLine="0"/>
        <w:jc w:val="left"/>
        <w:rPr>
          <w:sz w:val="20"/>
        </w:rPr>
      </w:pPr>
      <w:r>
        <w:rPr>
          <w:position w:val="9"/>
          <w:sz w:val="13"/>
        </w:rPr>
        <w:t>48 </w:t>
      </w:r>
      <w:r>
        <w:rPr>
          <w:sz w:val="20"/>
        </w:rPr>
        <w:t>Véase SRE (2010), donde muestra los datos sobre la participación del municipio de Tlalnepantla en el mercado interno y externo.</w:t>
      </w:r>
    </w:p>
    <w:p>
      <w:pPr>
        <w:spacing w:after="0"/>
        <w:jc w:val="left"/>
        <w:rPr>
          <w:sz w:val="20"/>
        </w:rPr>
        <w:sectPr>
          <w:pgSz w:w="12240" w:h="15840"/>
          <w:pgMar w:header="0" w:footer="1003" w:top="1360" w:bottom="1200" w:left="1580" w:right="1580"/>
        </w:sectPr>
      </w:pPr>
    </w:p>
    <w:p>
      <w:pPr>
        <w:pStyle w:val="BodyText"/>
        <w:spacing w:line="360" w:lineRule="auto" w:before="50"/>
        <w:ind w:left="102" w:right="119"/>
        <w:jc w:val="both"/>
      </w:pPr>
      <w:r>
        <w:rPr>
          <w:color w:val="333333"/>
        </w:rPr>
        <w:t>Naucalpan). Al ser la primera y más moderna de su tipo localizada en el centro del país, fue reinaugurada por el presidente Benito Juárez García en 1869. Dos años después, en julio de 1871, se inauguraba el “Puente de los Mexicas” en la vecina población de Santa Cruz Acatlán (Salazar, 2011).</w:t>
      </w:r>
    </w:p>
    <w:p>
      <w:pPr>
        <w:pStyle w:val="BodyText"/>
        <w:spacing w:line="360" w:lineRule="auto" w:before="4"/>
        <w:ind w:left="102" w:right="116" w:firstLine="707"/>
        <w:jc w:val="both"/>
      </w:pPr>
      <w:r>
        <w:rPr/>
        <w:t>En este municipio se ubican varias industrias, entre las que se pueden mencionar: laboratorios farmacéuticos, industria de autopartes, industria química, manufactura de textiles y de inyección de plásticos. </w:t>
      </w:r>
      <w:r>
        <w:rPr>
          <w:color w:val="333333"/>
        </w:rPr>
        <w:t>El Valle de México comenzó a desarrollarse ampliamente porque todavía existían terrenos cercanos al Distrito Federal que fueron utilizados para instalar fábricas y empresas. Posteriormente con el crecimiento de la mancha urbana, fue necesario buscar otras zonas como la región Toluca-Lerma que siguió el proceso de industrialización, buscando siempre la cercanía con el centro de consumo del país.</w:t>
      </w:r>
    </w:p>
    <w:p>
      <w:pPr>
        <w:pStyle w:val="BodyText"/>
      </w:pPr>
    </w:p>
    <w:p>
      <w:pPr>
        <w:pStyle w:val="Heading2"/>
        <w:numPr>
          <w:ilvl w:val="1"/>
          <w:numId w:val="14"/>
        </w:numPr>
        <w:tabs>
          <w:tab w:pos="523" w:val="left" w:leader="none"/>
        </w:tabs>
        <w:spacing w:line="240" w:lineRule="auto" w:before="148" w:after="0"/>
        <w:ind w:left="522" w:right="0" w:hanging="420"/>
        <w:jc w:val="both"/>
      </w:pPr>
      <w:r>
        <w:rPr/>
        <w:t>Desarrollo industrial de la región</w:t>
      </w:r>
      <w:r>
        <w:rPr>
          <w:spacing w:val="-12"/>
        </w:rPr>
        <w:t> </w:t>
      </w:r>
      <w:r>
        <w:rPr/>
        <w:t>Toluca-Lerma</w:t>
      </w:r>
    </w:p>
    <w:p>
      <w:pPr>
        <w:pStyle w:val="BodyText"/>
        <w:spacing w:line="360" w:lineRule="auto" w:before="132"/>
        <w:ind w:left="102" w:right="117"/>
        <w:jc w:val="both"/>
      </w:pPr>
      <w:r>
        <w:rPr/>
        <w:t>Toluca, la capital del Estado de México, en 1955, contaba con 500 establecimientos, 83% de los cuales eran pequeñas empresas que producían productos de consumo inmediato, así como talleres de tipo artesanal y de servicios para la vida urbana, en tanto que el otro 17% eran pequeñas empresas dedicadas a las actividades relacionadas con la molienda de trigo, la fabricación de muebles de madera, hule, las fábricas de jabón, productos textiles, alimentos, servicios, y otros materiales, en un total de 61 compañías (Aranda,</w:t>
      </w:r>
      <w:r>
        <w:rPr>
          <w:spacing w:val="-12"/>
        </w:rPr>
        <w:t> </w:t>
      </w:r>
      <w:r>
        <w:rPr/>
        <w:t>2000).</w:t>
      </w:r>
    </w:p>
    <w:p>
      <w:pPr>
        <w:pStyle w:val="BodyText"/>
        <w:spacing w:line="360" w:lineRule="auto" w:before="4"/>
        <w:ind w:left="102" w:right="119" w:firstLine="707"/>
        <w:jc w:val="both"/>
      </w:pPr>
      <w:r>
        <w:rPr/>
        <w:t>En el caso del Valle de Toluca, el capitalismo incipiente promovía la manufactura  de pequeñas industrias. El hecho de que su base de trabajo seguía siendo la técnica manual, como en el desarrollo de hilados y elaboración de manufacturas, permitió que se contara con un gran número de trabajadores asalariados, logrando el proceso de industrialización y crecimiento</w:t>
      </w:r>
      <w:r>
        <w:rPr>
          <w:spacing w:val="-6"/>
        </w:rPr>
        <w:t> </w:t>
      </w:r>
      <w:r>
        <w:rPr/>
        <w:t>económico.</w:t>
      </w:r>
    </w:p>
    <w:p>
      <w:pPr>
        <w:pStyle w:val="BodyText"/>
        <w:spacing w:line="360" w:lineRule="auto" w:before="7"/>
        <w:ind w:left="102" w:right="116" w:firstLine="707"/>
        <w:jc w:val="both"/>
      </w:pPr>
      <w:r>
        <w:rPr/>
        <w:t>De acuerdo con Aranda (2000), este panorama muestra que la incipiente industrialización de Toluca había sido el resultado de los esfuerzos de empresarios locales, más que la consecuencia de la intervención del Estado para promover la industria, como era el caso de municipios conurbados con la Ciudad de México. No por falta de incentivos económicos establecidos en la legislación sectorial correspondiente, sino por la carencia de una  política  industrial  integral  que  considerara  todos  los  requerimientos  de  la      gran</w:t>
      </w:r>
    </w:p>
    <w:p>
      <w:pPr>
        <w:spacing w:after="0" w:line="360" w:lineRule="auto"/>
        <w:jc w:val="both"/>
        <w:sectPr>
          <w:pgSz w:w="12240" w:h="15840"/>
          <w:pgMar w:header="0" w:footer="1003" w:top="1360" w:bottom="1200" w:left="1600" w:right="1580"/>
        </w:sectPr>
      </w:pPr>
    </w:p>
    <w:p>
      <w:pPr>
        <w:pStyle w:val="BodyText"/>
        <w:spacing w:line="360" w:lineRule="auto" w:before="50"/>
        <w:ind w:left="122" w:right="118"/>
        <w:jc w:val="both"/>
      </w:pPr>
      <w:r>
        <w:rPr/>
        <w:t>industria, </w:t>
      </w:r>
      <w:r>
        <w:rPr>
          <w:spacing w:val="-3"/>
        </w:rPr>
        <w:t>ya </w:t>
      </w:r>
      <w:r>
        <w:rPr/>
        <w:t>que desde 1931 y hasta los ochenta, el Estado no dejó de impulsar la protección de esta actividad; el problema es que hasta finales de los años cincuenta, aún no se contaba con las condiciones generales de la producción, ni los medios de reproducción a partir de las cuales la industria pudiera efectivamente instalarse en la</w:t>
      </w:r>
      <w:r>
        <w:rPr>
          <w:spacing w:val="-13"/>
        </w:rPr>
        <w:t> </w:t>
      </w:r>
      <w:r>
        <w:rPr/>
        <w:t>zona.</w:t>
      </w:r>
    </w:p>
    <w:p>
      <w:pPr>
        <w:pStyle w:val="BodyText"/>
        <w:spacing w:line="360" w:lineRule="auto" w:before="4"/>
        <w:ind w:left="122" w:right="167" w:firstLine="707"/>
        <w:jc w:val="both"/>
      </w:pPr>
      <w:r>
        <w:rPr/>
        <w:t>Es hasta los años sesenta cuando los gobiernos federal y estatal decidieron dar el primer paso concreto para la instalación de la gran industria en el eje Toluca-Lerma y hacia el norponiente del Estado, siguiendo la dirección de la carretera a Atlacomulco y sobre la ruta trazada por el ferrocarril, que en su trayecto desde la capital de la República hasta el norte del país, abría a la vez la vía Toluca-Ixtlahuaca-Atlacomulco (Aranda, 2000).</w:t>
      </w:r>
    </w:p>
    <w:p>
      <w:pPr>
        <w:pStyle w:val="BodyText"/>
        <w:spacing w:line="360" w:lineRule="auto" w:before="7"/>
        <w:ind w:left="122" w:right="115" w:firstLine="707"/>
        <w:jc w:val="both"/>
      </w:pPr>
      <w:r>
        <w:rPr/>
        <w:t>Esta zona industrial se marcó de acuerdo con la Gaceta de Gobierno del 8 de junio de 1963, sobre los ejes Toluca-Lerma, Toluca-Naucalpan y Toluca-Ixtlahuaca-Pastejé. Es decir, se eligió y delimitó una superficie específicamente destinada a la implantación industrial donde pudiera ofrecer al capital industrial facilidades y oportunidad de negocios, con un bajo costo en los terrenos y la adquisición de servicios. Contaba además, con vías de rápido acceso al Distrito Federal y varias fueron las empresas que optaron por establecer su centro de operaciones y producción en la entidad mexiquense.</w:t>
      </w:r>
    </w:p>
    <w:p>
      <w:pPr>
        <w:pStyle w:val="BodyText"/>
        <w:spacing w:line="360" w:lineRule="auto" w:before="4"/>
        <w:ind w:left="122" w:right="114" w:firstLine="707"/>
        <w:jc w:val="both"/>
      </w:pPr>
      <w:r>
        <w:rPr/>
        <w:t>El impulso que recibió el corredor Toluca-Lerma entre 1964 y 1969 fue por la llegada de 18 nuevas empresas, de la cuales 13 se ubicaron en el municipio de Toluca y 5 en Lerma. Aranda (2000), indica que se trataba de 13 grandes industrias y 5 medianas, sobre todo correspondientes a las ramas automotriz, química, textiles y de alimentos, con lo que se avanzaba en la consolidación de la primera, y las industrias química y textiles</w:t>
      </w:r>
      <w:r>
        <w:rPr>
          <w:spacing w:val="6"/>
        </w:rPr>
        <w:t> </w:t>
      </w:r>
      <w:r>
        <w:rPr/>
        <w:t>hacían</w:t>
      </w:r>
    </w:p>
    <w:p>
      <w:pPr>
        <w:pStyle w:val="BodyText"/>
        <w:spacing w:line="350" w:lineRule="auto" w:before="6"/>
        <w:ind w:left="122" w:right="114"/>
        <w:jc w:val="both"/>
      </w:pPr>
      <w:r>
        <w:rPr/>
        <w:t>su aparición, principalmente en Lerma, definiendo así el Corredor Industrial Toluca-Lerma (CITL) como el eje de la futura zona metropolitana</w:t>
      </w:r>
      <w:r>
        <w:rPr>
          <w:position w:val="11"/>
          <w:sz w:val="16"/>
        </w:rPr>
        <w:t>49</w:t>
      </w:r>
      <w:r>
        <w:rPr/>
        <w:t>. Las superficie destinada al uso industrial era en el 2008 de 802.01 hectáreas, que representan el 3.5 % del total municipal y que  da  empleo  a  un  estimado  de  23  mil  personas  en  la  industria  farmacéutica  y   de</w:t>
      </w:r>
    </w:p>
    <w:p>
      <w:pPr>
        <w:pStyle w:val="BodyText"/>
        <w:spacing w:line="360" w:lineRule="auto" w:before="17"/>
        <w:ind w:left="122" w:right="118"/>
        <w:jc w:val="both"/>
      </w:pPr>
      <w:r>
        <w:rPr/>
        <w:t>manufacturas automotrices, ropa y maquinaria. (Plan de Desarrollo Urbano de Lerma de Villada, 2010: 91).</w:t>
      </w:r>
    </w:p>
    <w:p>
      <w:pPr>
        <w:pStyle w:val="BodyText"/>
        <w:rPr>
          <w:sz w:val="20"/>
        </w:rPr>
      </w:pP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1888;mso-wrap-distance-left:0;mso-wrap-distance-right:0" from="85.103996pt,17.462706pt" to="229.123996pt,17.462706pt" stroked="true" strokeweight=".71997pt" strokecolor="#000000">
            <w10:wrap type="topAndBottom"/>
          </v:line>
        </w:pict>
      </w:r>
    </w:p>
    <w:p>
      <w:pPr>
        <w:spacing w:before="42"/>
        <w:ind w:left="122" w:right="119" w:firstLine="0"/>
        <w:jc w:val="both"/>
        <w:rPr>
          <w:sz w:val="20"/>
        </w:rPr>
      </w:pPr>
      <w:r>
        <w:rPr>
          <w:position w:val="9"/>
          <w:sz w:val="13"/>
        </w:rPr>
        <w:t>49 </w:t>
      </w:r>
      <w:r>
        <w:rPr>
          <w:sz w:val="20"/>
        </w:rPr>
        <w:t>Actualmente el municipio de Lerma de Villada cuenta con los siguientes parques industriales: Corredor industrial Toluca-Lerma; Fidepar I, La Bomba; Fidepar II, Cerrillo; y Parque Industrial Lerma. Véase Plan de Desarrollo Urbano de Lerma de Villada (2010).</w:t>
      </w:r>
    </w:p>
    <w:p>
      <w:pPr>
        <w:spacing w:after="0"/>
        <w:jc w:val="both"/>
        <w:rPr>
          <w:sz w:val="20"/>
        </w:rPr>
        <w:sectPr>
          <w:pgSz w:w="12240" w:h="15840"/>
          <w:pgMar w:header="0" w:footer="1003" w:top="1360" w:bottom="1200" w:left="1580" w:right="1580"/>
        </w:sectPr>
      </w:pPr>
    </w:p>
    <w:p>
      <w:pPr>
        <w:pStyle w:val="BodyText"/>
        <w:spacing w:line="360" w:lineRule="auto" w:before="50"/>
        <w:ind w:left="122" w:right="117" w:firstLine="707"/>
        <w:jc w:val="both"/>
      </w:pPr>
      <w:r>
        <w:rPr/>
        <w:t>En el parque industrial Cerillo destacan las empresas japonesa, Brother; de capital alemán, Staedtler de México; de Dinamarca, Ferring (industria farmacéutica) y de Francia, Mane México, encargada de la producción de fragancias.</w:t>
      </w:r>
    </w:p>
    <w:p>
      <w:pPr>
        <w:pStyle w:val="BodyText"/>
        <w:spacing w:line="350" w:lineRule="auto" w:before="6"/>
        <w:ind w:left="122" w:right="117" w:firstLine="707"/>
        <w:jc w:val="both"/>
      </w:pPr>
      <w:r>
        <w:rPr/>
        <w:t>Toluca, por tanto recibió un fuerte impulso en estos años, porque en el Distrito Federal se impidió que se asentaran más industrias, promoviendo con ello otras regiones y municipios como Zinacantepec, Villa Victoria, Ixtlahuaca, Tenango del Valle y Tianguistenco</w:t>
      </w:r>
      <w:r>
        <w:rPr>
          <w:position w:val="11"/>
          <w:sz w:val="16"/>
        </w:rPr>
        <w:t>50</w:t>
      </w:r>
      <w:r>
        <w:rPr/>
        <w:t>.  Por  su  lado,  Rózga  y  Madrigal  (2011),  sostienen  que  el  proceso   de</w:t>
      </w:r>
    </w:p>
    <w:p>
      <w:pPr>
        <w:pStyle w:val="BodyText"/>
        <w:spacing w:line="360" w:lineRule="auto"/>
        <w:ind w:left="122" w:right="120"/>
        <w:jc w:val="both"/>
      </w:pPr>
      <w:r>
        <w:rPr/>
        <w:t>concentración en la región Toluca-Lerma de las actividades secundarias, durante la década de los sesenta y setenta se debió a la política nacional de desconcentración de las actividades secundarias y terciarias hacia otros municipios como Toluca y</w:t>
      </w:r>
      <w:r>
        <w:rPr>
          <w:spacing w:val="-18"/>
        </w:rPr>
        <w:t> </w:t>
      </w:r>
      <w:r>
        <w:rPr/>
        <w:t>Lerma.</w:t>
      </w:r>
    </w:p>
    <w:p>
      <w:pPr>
        <w:pStyle w:val="BodyText"/>
        <w:spacing w:line="360" w:lineRule="auto" w:before="4"/>
        <w:ind w:left="122" w:right="118" w:firstLine="707"/>
        <w:jc w:val="both"/>
      </w:pPr>
      <w:r>
        <w:rPr/>
        <w:t>Posteriormente en 1982 se constituyó en la entidad mexiquense el Fideicomiso para el Desarrollo de Parques y Zonas Industriales (Fidepar), que tenía como objetivo principal adquirir reservas territoriales en los polos de desarrollo previamente establecidos. El objetivo era impulsar un desarrollo regional equilibrado y ofrecer espacios industriales que contaran con la infraestructura; así como los servicios necesarios para el establecimiento de diferentes empresas de manera ordenada.</w:t>
      </w:r>
    </w:p>
    <w:p>
      <w:pPr>
        <w:pStyle w:val="BodyText"/>
        <w:spacing w:line="360" w:lineRule="auto" w:before="4"/>
        <w:ind w:left="122" w:right="117" w:firstLine="707"/>
        <w:jc w:val="both"/>
      </w:pPr>
      <w:r>
        <w:rPr/>
        <w:t>Se logró este objetivo en algunos de ellos, como: Santiago Tianguistenco (1971), Lerma (1972), el Trébol en Tepotzotlán (1974), El Oro y Tenango  (1983). A partir de  1983, la creación de parques industriales se concentró en sólo dos municipios del estado: Toluca y Lerma, donde se crearon cinco parques industriales: Cerrillo I y II, San Antonio Buenavista y Exportec I y II, ubicados al oriente de la ciudad de Toluca (corredor industrial Toluca-Lerma), (Rozga y Ruíz,</w:t>
      </w:r>
      <w:r>
        <w:rPr>
          <w:spacing w:val="-4"/>
        </w:rPr>
        <w:t> </w:t>
      </w:r>
      <w:r>
        <w:rPr/>
        <w:t>2008).</w:t>
      </w:r>
    </w:p>
    <w:p>
      <w:pPr>
        <w:pStyle w:val="BodyText"/>
        <w:spacing w:line="360" w:lineRule="auto" w:before="4"/>
        <w:ind w:left="122" w:right="118" w:firstLine="707"/>
        <w:jc w:val="both"/>
      </w:pPr>
      <w:r>
        <w:rPr/>
        <w:t>Por su parte, el gobierno de Alfredo del Mazo (1981-1986) promovió polos de desarrollo en municipios que no contaban con una tradición industrial, tales como Zinacantepec, Ocoyoacac, Tenango del Valle, Santa Cruz Atizapán y Metepec. Asimismo, creó el Consorcio de Comercio Exterior Estatal, y el Centro de Investigación Industrial;  este último pretendía sustituir importaciones mediante el desarrollo de prototipos (Orozco, 2004: 166). Cabe mencionar que esta política no funcionó en todos los casos porque en Tenango</w:t>
      </w:r>
      <w:r>
        <w:rPr>
          <w:spacing w:val="16"/>
        </w:rPr>
        <w:t> </w:t>
      </w:r>
      <w:r>
        <w:rPr/>
        <w:t>del</w:t>
      </w:r>
      <w:r>
        <w:rPr>
          <w:spacing w:val="17"/>
        </w:rPr>
        <w:t> </w:t>
      </w:r>
      <w:r>
        <w:rPr/>
        <w:t>Valle</w:t>
      </w:r>
      <w:r>
        <w:rPr>
          <w:spacing w:val="16"/>
        </w:rPr>
        <w:t> </w:t>
      </w:r>
      <w:r>
        <w:rPr/>
        <w:t>sólo</w:t>
      </w:r>
      <w:r>
        <w:rPr>
          <w:spacing w:val="17"/>
        </w:rPr>
        <w:t> </w:t>
      </w:r>
      <w:r>
        <w:rPr/>
        <w:t>se</w:t>
      </w:r>
      <w:r>
        <w:rPr>
          <w:spacing w:val="16"/>
        </w:rPr>
        <w:t> </w:t>
      </w:r>
      <w:r>
        <w:rPr/>
        <w:t>instalaron</w:t>
      </w:r>
      <w:r>
        <w:rPr>
          <w:spacing w:val="16"/>
        </w:rPr>
        <w:t> </w:t>
      </w:r>
      <w:r>
        <w:rPr/>
        <w:t>algunas</w:t>
      </w:r>
      <w:r>
        <w:rPr>
          <w:spacing w:val="17"/>
        </w:rPr>
        <w:t> </w:t>
      </w:r>
      <w:r>
        <w:rPr/>
        <w:t>industrias</w:t>
      </w:r>
      <w:r>
        <w:rPr>
          <w:spacing w:val="19"/>
        </w:rPr>
        <w:t> </w:t>
      </w:r>
      <w:r>
        <w:rPr/>
        <w:t>y</w:t>
      </w:r>
      <w:r>
        <w:rPr>
          <w:spacing w:val="12"/>
        </w:rPr>
        <w:t> </w:t>
      </w:r>
      <w:r>
        <w:rPr/>
        <w:t>almacenes</w:t>
      </w:r>
      <w:r>
        <w:rPr>
          <w:spacing w:val="17"/>
        </w:rPr>
        <w:t> </w:t>
      </w:r>
      <w:r>
        <w:rPr/>
        <w:t>al</w:t>
      </w:r>
      <w:r>
        <w:rPr>
          <w:spacing w:val="17"/>
        </w:rPr>
        <w:t> </w:t>
      </w:r>
      <w:r>
        <w:rPr/>
        <w:t>igual</w:t>
      </w:r>
      <w:r>
        <w:rPr>
          <w:spacing w:val="16"/>
        </w:rPr>
        <w:t> </w:t>
      </w:r>
      <w:r>
        <w:rPr/>
        <w:t>que</w:t>
      </w:r>
      <w:r>
        <w:rPr>
          <w:spacing w:val="16"/>
        </w:rPr>
        <w:t> </w:t>
      </w:r>
      <w:r>
        <w:rPr/>
        <w:t>en</w:t>
      </w:r>
      <w:r>
        <w:rPr>
          <w:spacing w:val="16"/>
        </w:rPr>
        <w:t> </w:t>
      </w:r>
      <w:r>
        <w:rPr/>
        <w:t>Santa</w:t>
      </w:r>
    </w:p>
    <w:p>
      <w:pPr>
        <w:pStyle w:val="BodyText"/>
        <w:spacing w:before="10"/>
        <w:rPr>
          <w:sz w:val="17"/>
        </w:rPr>
      </w:pPr>
    </w:p>
    <w:p>
      <w:pPr>
        <w:spacing w:before="84"/>
        <w:ind w:left="122" w:right="118" w:firstLine="0"/>
        <w:jc w:val="left"/>
        <w:rPr>
          <w:sz w:val="20"/>
        </w:rPr>
      </w:pPr>
      <w:r>
        <w:rPr>
          <w:position w:val="9"/>
          <w:sz w:val="13"/>
        </w:rPr>
        <w:t>50 </w:t>
      </w:r>
      <w:r>
        <w:rPr>
          <w:sz w:val="20"/>
        </w:rPr>
        <w:t>En Santiago Tianguistenco, en la segunda mitad del Siglo XX se instauró la primera fábrica de prendas textiles, pero el punto más importante de la industrialización fue la llegada en 1994 de la empresa  automotriz</w:t>
      </w:r>
    </w:p>
    <w:p>
      <w:pPr>
        <w:spacing w:after="0"/>
        <w:jc w:val="left"/>
        <w:rPr>
          <w:sz w:val="20"/>
        </w:rPr>
        <w:sectPr>
          <w:footerReference w:type="default" r:id="rId25"/>
          <w:pgSz w:w="12240" w:h="15840"/>
          <w:pgMar w:footer="1396" w:header="0" w:top="1360" w:bottom="1580" w:left="1580" w:right="1580"/>
          <w:pgNumType w:start="76"/>
        </w:sectPr>
      </w:pPr>
    </w:p>
    <w:p>
      <w:pPr>
        <w:pStyle w:val="BodyText"/>
        <w:spacing w:line="360" w:lineRule="auto" w:before="50"/>
        <w:ind w:left="122" w:right="120"/>
        <w:jc w:val="both"/>
      </w:pPr>
      <w:r>
        <w:rPr/>
        <w:t>Cruz Atizapán; Metepec por su parte llegó a ser un centro de negocios y comercio, por el número de fraccionamientos residenciales con que cuenta, así como tener el ingreso </w:t>
      </w:r>
      <w:r>
        <w:rPr>
          <w:i/>
        </w:rPr>
        <w:t>per </w:t>
      </w:r>
      <w:r>
        <w:rPr>
          <w:i/>
        </w:rPr>
        <w:t>cápita </w:t>
      </w:r>
      <w:r>
        <w:rPr/>
        <w:t>más alto de todo el Estado de México.</w:t>
      </w:r>
    </w:p>
    <w:p>
      <w:pPr>
        <w:pStyle w:val="BodyText"/>
        <w:spacing w:line="360" w:lineRule="auto" w:before="6"/>
        <w:ind w:left="122" w:right="120" w:firstLine="707"/>
        <w:jc w:val="both"/>
      </w:pPr>
      <w:r>
        <w:rPr/>
        <w:t>Asociado con lo anterior, Arteaga (2005) realiza un análisis sociológico sobre el impacto que ha tenido la industrialización en el Valle de Toluca, transformando a los actores sociales y sobre todo, cambiando la percepción del trabajo hacia la producción en serie y mecanizado. Con la revisión de la literatura, concluye que los estudios sobre la ZMVT han tenido objetivos distintos y es preciso contar con una línea de trabajo centrada en los actores, antes que en las industrias. Es decir, la explicación social de los modos de producción y el desarrollo de la industria obedece al contexto social y a la integración regional de estos municipios con la capital del</w:t>
      </w:r>
      <w:r>
        <w:rPr>
          <w:spacing w:val="-8"/>
        </w:rPr>
        <w:t> </w:t>
      </w:r>
      <w:r>
        <w:rPr/>
        <w:t>país.</w:t>
      </w:r>
    </w:p>
    <w:p>
      <w:pPr>
        <w:pStyle w:val="BodyText"/>
        <w:spacing w:line="328" w:lineRule="auto" w:before="6"/>
        <w:ind w:left="122" w:right="120" w:firstLine="707"/>
        <w:jc w:val="both"/>
        <w:rPr>
          <w:sz w:val="16"/>
        </w:rPr>
      </w:pPr>
      <w:r>
        <w:rPr/>
        <w:t>De acuerdo con la política industrial del gobierno, el Estado de México está integrado por tres zonas:</w:t>
      </w:r>
      <w:r>
        <w:rPr>
          <w:position w:val="11"/>
          <w:sz w:val="16"/>
        </w:rPr>
        <w:t>51</w:t>
      </w:r>
    </w:p>
    <w:p>
      <w:pPr>
        <w:pStyle w:val="ListParagraph"/>
        <w:numPr>
          <w:ilvl w:val="2"/>
          <w:numId w:val="14"/>
        </w:numPr>
        <w:tabs>
          <w:tab w:pos="2247" w:val="left" w:leader="none"/>
        </w:tabs>
        <w:spacing w:line="360" w:lineRule="auto" w:before="26" w:after="0"/>
        <w:ind w:left="842" w:right="120" w:firstLine="708"/>
        <w:jc w:val="both"/>
        <w:rPr>
          <w:sz w:val="24"/>
        </w:rPr>
      </w:pPr>
      <w:r>
        <w:rPr>
          <w:sz w:val="24"/>
        </w:rPr>
        <w:t>La de Promoción, conformada por: Atlacomulco, Jilotepec, El Oro, Ixtlahuaca, Ocoyoacac, Tianguistenco, Tenango del Valle, Tenancingo, Valle de Bravo, Huehuetoca, Zumpango y</w:t>
      </w:r>
      <w:r>
        <w:rPr>
          <w:spacing w:val="-9"/>
          <w:sz w:val="24"/>
        </w:rPr>
        <w:t> </w:t>
      </w:r>
      <w:r>
        <w:rPr>
          <w:sz w:val="24"/>
        </w:rPr>
        <w:t>Tejupilco.</w:t>
      </w:r>
    </w:p>
    <w:p>
      <w:pPr>
        <w:pStyle w:val="ListParagraph"/>
        <w:numPr>
          <w:ilvl w:val="2"/>
          <w:numId w:val="14"/>
        </w:numPr>
        <w:tabs>
          <w:tab w:pos="2246" w:val="left" w:leader="none"/>
          <w:tab w:pos="2247" w:val="left" w:leader="none"/>
        </w:tabs>
        <w:spacing w:line="240" w:lineRule="auto" w:before="4" w:after="0"/>
        <w:ind w:left="2246" w:right="0" w:hanging="696"/>
        <w:jc w:val="left"/>
        <w:rPr>
          <w:sz w:val="24"/>
        </w:rPr>
      </w:pPr>
      <w:r>
        <w:rPr>
          <w:sz w:val="24"/>
        </w:rPr>
        <w:t>La de Control, que comprende los 17 municipios cercanos al</w:t>
      </w:r>
      <w:r>
        <w:rPr>
          <w:spacing w:val="-11"/>
          <w:sz w:val="24"/>
        </w:rPr>
        <w:t> </w:t>
      </w:r>
      <w:r>
        <w:rPr>
          <w:sz w:val="24"/>
        </w:rPr>
        <w:t>DF</w:t>
      </w:r>
    </w:p>
    <w:p>
      <w:pPr>
        <w:pStyle w:val="ListParagraph"/>
        <w:numPr>
          <w:ilvl w:val="2"/>
          <w:numId w:val="14"/>
        </w:numPr>
        <w:tabs>
          <w:tab w:pos="2247" w:val="left" w:leader="none"/>
        </w:tabs>
        <w:spacing w:line="360" w:lineRule="auto" w:before="139" w:after="0"/>
        <w:ind w:left="830" w:right="119" w:firstLine="720"/>
        <w:jc w:val="both"/>
        <w:rPr>
          <w:sz w:val="24"/>
        </w:rPr>
      </w:pPr>
      <w:r>
        <w:rPr>
          <w:sz w:val="24"/>
        </w:rPr>
        <w:t>La de Consolidación, formada por los municipios de Toluca y Lerma La región Toluca-Lerma, como </w:t>
      </w:r>
      <w:r>
        <w:rPr>
          <w:spacing w:val="-3"/>
          <w:sz w:val="24"/>
        </w:rPr>
        <w:t>ya </w:t>
      </w:r>
      <w:r>
        <w:rPr>
          <w:sz w:val="24"/>
        </w:rPr>
        <w:t>se mencionó en esta investigación, se   </w:t>
      </w:r>
      <w:r>
        <w:rPr>
          <w:spacing w:val="5"/>
          <w:sz w:val="24"/>
        </w:rPr>
        <w:t> </w:t>
      </w:r>
      <w:r>
        <w:rPr>
          <w:sz w:val="24"/>
        </w:rPr>
        <w:t>encuentra</w:t>
      </w:r>
    </w:p>
    <w:p>
      <w:pPr>
        <w:pStyle w:val="BodyText"/>
        <w:spacing w:line="360" w:lineRule="auto" w:before="6"/>
        <w:ind w:left="130" w:right="119"/>
        <w:jc w:val="right"/>
      </w:pPr>
      <w:r>
        <w:rPr/>
        <w:t>formada por los municipios: Toluca, Santiago Tianguistenco y Lerma, que sobresalen por su vocación industrial y por el impulso que han recibido; y que a continuación se describen.</w:t>
      </w:r>
      <w:r>
        <w:rPr>
          <w:w w:val="99"/>
        </w:rPr>
        <w:t> </w:t>
      </w:r>
      <w:r>
        <w:rPr/>
        <w:t>El primero, el parque industrial Santiago Tianguistenco nació en atención</w:t>
      </w:r>
      <w:r>
        <w:rPr>
          <w:spacing w:val="51"/>
        </w:rPr>
        <w:t> </w:t>
      </w:r>
      <w:r>
        <w:rPr/>
        <w:t>a</w:t>
      </w:r>
      <w:r>
        <w:rPr>
          <w:spacing w:val="57"/>
        </w:rPr>
        <w:t> </w:t>
      </w:r>
      <w:r>
        <w:rPr/>
        <w:t>la política de descentralización, apoyada por el gobernador Carlos Hank Gónzález</w:t>
      </w:r>
      <w:r>
        <w:rPr>
          <w:spacing w:val="58"/>
        </w:rPr>
        <w:t> </w:t>
      </w:r>
      <w:r>
        <w:rPr/>
        <w:t>quien autorizó en la Gaceta de Gobierno del 13 de agosto de 1971, llevarse a cabo un fraccionamiento de tipo industrial denominado “Parque Industrial Santiago Tianguistenco”, del Distrito de Tenango del Valle, Estado de México, el cual se especializa hasta la fecha en textiles. En este</w:t>
      </w:r>
      <w:r>
        <w:rPr>
          <w:spacing w:val="25"/>
        </w:rPr>
        <w:t> </w:t>
      </w:r>
      <w:r>
        <w:rPr/>
        <w:t>municipio tuvieron la mayor importancia las siguientes empresas: Trajes</w:t>
      </w:r>
    </w:p>
    <w:p>
      <w:pPr>
        <w:pStyle w:val="BodyText"/>
        <w:spacing w:before="6"/>
        <w:ind w:left="122"/>
        <w:jc w:val="both"/>
      </w:pPr>
      <w:r>
        <w:rPr/>
        <w:t>Mexicanos (Tramex) e Intervet México S.A. de C.V., que fue fundada en 1969.</w:t>
      </w:r>
    </w:p>
    <w:p>
      <w:pPr>
        <w:pStyle w:val="BodyText"/>
        <w:rPr>
          <w:sz w:val="20"/>
        </w:rPr>
      </w:pPr>
    </w:p>
    <w:p>
      <w:pPr>
        <w:pStyle w:val="BodyText"/>
        <w:rPr>
          <w:sz w:val="20"/>
        </w:rPr>
      </w:pPr>
    </w:p>
    <w:p>
      <w:pPr>
        <w:pStyle w:val="BodyText"/>
        <w:rPr>
          <w:sz w:val="20"/>
        </w:rPr>
      </w:pPr>
    </w:p>
    <w:p>
      <w:pPr>
        <w:pStyle w:val="BodyText"/>
        <w:spacing w:before="9"/>
        <w:rPr>
          <w:sz w:val="21"/>
        </w:rPr>
      </w:pPr>
      <w:r>
        <w:rPr/>
        <w:pict>
          <v:line style="position:absolute;mso-position-horizontal-relative:page;mso-position-vertical-relative:paragraph;z-index:1912;mso-wrap-distance-left:0;mso-wrap-distance-right:0" from="85.103996pt,14.863213pt" to="229.123996pt,14.863213pt" stroked="true" strokeweight=".72003pt" strokecolor="#000000">
            <w10:wrap type="topAndBottom"/>
          </v:line>
        </w:pict>
      </w:r>
    </w:p>
    <w:p>
      <w:pPr>
        <w:spacing w:before="42"/>
        <w:ind w:left="122" w:right="118" w:firstLine="0"/>
        <w:jc w:val="left"/>
        <w:rPr>
          <w:sz w:val="20"/>
        </w:rPr>
      </w:pPr>
      <w:r>
        <w:rPr>
          <w:position w:val="9"/>
          <w:sz w:val="13"/>
        </w:rPr>
        <w:t>51 </w:t>
      </w:r>
      <w:r>
        <w:rPr>
          <w:sz w:val="20"/>
        </w:rPr>
        <w:t>Véase Lara </w:t>
      </w:r>
      <w:r>
        <w:rPr>
          <w:i/>
          <w:sz w:val="20"/>
        </w:rPr>
        <w:t>et al., </w:t>
      </w:r>
      <w:r>
        <w:rPr>
          <w:sz w:val="20"/>
        </w:rPr>
        <w:t>(2004), donde hace un análisis de las principales industrias automotrices que se asentaron en la región.</w:t>
      </w:r>
    </w:p>
    <w:p>
      <w:pPr>
        <w:spacing w:after="0"/>
        <w:jc w:val="left"/>
        <w:rPr>
          <w:sz w:val="20"/>
        </w:rPr>
        <w:sectPr>
          <w:footerReference w:type="default" r:id="rId26"/>
          <w:pgSz w:w="12240" w:h="15840"/>
          <w:pgMar w:footer="1003" w:header="0" w:top="1360" w:bottom="1200" w:left="1580" w:right="1580"/>
          <w:pgNumType w:start="77"/>
        </w:sectPr>
      </w:pPr>
    </w:p>
    <w:p>
      <w:pPr>
        <w:pStyle w:val="BodyText"/>
        <w:spacing w:line="360" w:lineRule="auto" w:before="50"/>
        <w:ind w:left="102" w:right="116" w:firstLine="707"/>
        <w:jc w:val="both"/>
      </w:pPr>
      <w:r>
        <w:rPr/>
        <w:t>Asimismo, Lerma de Villada logró crecer por las políticas de promoción e incentivos para las empresas. El contexto histórico así lo muestra, siendo gobernador del Estado de México, José Vicente Villada (1889-1893), se otorgaron concesiones mineras a extranjeros, los hacendados e industriales fueron favorecidos con el otorgamiento de concesiones para la explotación de los bosques, el aprovechamiento de las caídas de agua y el tendido de vías ferroviarias en el territorio de este municipio. Asimismo, el gobierno estatal impulsó políticas de fomento industrial, mediante el otorgamiento de facilidades que incluían la exención de impuestos; agua y electricidad a precios preferenciales, así como apoyo a la comercialización y el transporte. Las medidas favorecieron la inversión nacional y extranjera (inglesa, norteamericana y francesa) en las ramas: textil, harinera, cervecera, de vidrio y en la minería. También se estimuló la manufactura de ladrillos, cigarros y jabón (GEM,</w:t>
      </w:r>
      <w:r>
        <w:rPr>
          <w:spacing w:val="-7"/>
        </w:rPr>
        <w:t> </w:t>
      </w:r>
      <w:r>
        <w:rPr/>
        <w:t>1999).</w:t>
      </w:r>
    </w:p>
    <w:p>
      <w:pPr>
        <w:pStyle w:val="BodyText"/>
        <w:spacing w:line="360" w:lineRule="auto" w:before="4"/>
        <w:ind w:left="102" w:right="119" w:firstLine="707"/>
        <w:jc w:val="both"/>
      </w:pPr>
      <w:r>
        <w:rPr/>
        <w:t>En este municipio destacan algunas de las empresas exportadoras de México, tal como Celanese Mexicana, Resistol, Dupont, Fibras químicas y Papel y Cartón de México.</w:t>
      </w:r>
    </w:p>
    <w:p>
      <w:pPr>
        <w:pStyle w:val="BodyText"/>
        <w:spacing w:line="360" w:lineRule="auto" w:before="4"/>
        <w:ind w:left="102" w:right="120" w:firstLine="707"/>
        <w:jc w:val="both"/>
      </w:pPr>
      <w:r>
        <w:rPr/>
        <w:t>El otro municipio puntero en la producción industrial es Toluca de Lerdo, la capital del estado, actualmente presenta un estancamiento industrial, pero históricamente desde el porfiriato en Toluca se conformó una burguesía extranjera que invertía capitales en distintas ramas económicas, especialmente en la industria cervecera y en las industrias alimenticias.</w:t>
      </w:r>
    </w:p>
    <w:p>
      <w:pPr>
        <w:pStyle w:val="BodyText"/>
        <w:spacing w:line="360" w:lineRule="auto" w:before="4"/>
        <w:ind w:left="102" w:right="118" w:firstLine="707"/>
        <w:jc w:val="both"/>
      </w:pPr>
      <w:r>
        <w:rPr/>
        <w:t>Pero se puede decir que el proceso pleno de la industrialización de este municipio se dio a partir de los sesenta, cuando Toluca se industrializó por decreto nacional. Tal como lo afirma Aranda (2000) desde finales de los años cincuenta y dentro de la política federal  para impulsar la industrialización en las principales ciudades de la región central del país que fungirían como satélites de la ciudad de México, la zona de Toluca contaba </w:t>
      </w:r>
      <w:r>
        <w:rPr>
          <w:spacing w:val="-3"/>
        </w:rPr>
        <w:t>ya </w:t>
      </w:r>
      <w:r>
        <w:rPr/>
        <w:t>con unas cuantas grandes</w:t>
      </w:r>
      <w:r>
        <w:rPr>
          <w:spacing w:val="-5"/>
        </w:rPr>
        <w:t> </w:t>
      </w:r>
      <w:r>
        <w:rPr/>
        <w:t>factorías.</w:t>
      </w:r>
    </w:p>
    <w:p>
      <w:pPr>
        <w:pStyle w:val="BodyText"/>
        <w:spacing w:line="360" w:lineRule="auto" w:before="4"/>
        <w:ind w:left="102" w:right="116" w:firstLine="707"/>
        <w:jc w:val="both"/>
      </w:pPr>
      <w:r>
        <w:rPr/>
        <w:t>El corredor industrial Toluca-Lerma se estableció sustentado en la industria de bienes intermedios y de capital cuyo principal mercado era el Distrito Federal, con una alta participación de inversiones foráneas y de empresas trasnacionales. En este municipio las empresas tradicionales se modernizaron y además aparecieron las ramas nuevas como: química, textil de fibras sintéticas, metálica y automotriz. Al respecto, a esta última en la década de los sesenta se instalaron las primeras armadoras en Toluca; Nissan (1961), General Motors (1962), VAM (1964) y Chrysler (1968). Inicialmente se albergó un modelo</w:t>
      </w:r>
    </w:p>
    <w:p>
      <w:pPr>
        <w:spacing w:after="0" w:line="360" w:lineRule="auto"/>
        <w:jc w:val="both"/>
        <w:sectPr>
          <w:pgSz w:w="12240" w:h="15840"/>
          <w:pgMar w:header="0" w:footer="1003" w:top="1360" w:bottom="1200" w:left="1600" w:right="1580"/>
        </w:sectPr>
      </w:pPr>
    </w:p>
    <w:p>
      <w:pPr>
        <w:pStyle w:val="BodyText"/>
        <w:spacing w:line="362" w:lineRule="auto" w:before="50"/>
        <w:ind w:left="122" w:right="118"/>
      </w:pPr>
      <w:r>
        <w:rPr/>
        <w:t>industrial orientado a satisfacer de manera exclusiva el mercado interno, posteriormente se amplió la oferta al mercado externo (Bueno, 2008).</w:t>
      </w:r>
    </w:p>
    <w:p>
      <w:pPr>
        <w:pStyle w:val="BodyText"/>
        <w:spacing w:line="360" w:lineRule="auto" w:before="1"/>
        <w:ind w:left="122" w:right="117" w:firstLine="770"/>
        <w:jc w:val="both"/>
      </w:pPr>
      <w:r>
        <w:rPr/>
        <w:t>Las armadoras de automóviles impulsaron la conformación de </w:t>
      </w:r>
      <w:r>
        <w:rPr>
          <w:i/>
        </w:rPr>
        <w:t>clusters </w:t>
      </w:r>
      <w:r>
        <w:rPr/>
        <w:t>con las empresas proveedoras de autopartes, pertenecientes al primero, segundo y tercer nivel de autopartes; lo cual a través del tiempo disminuyó sustancialmente. Así en el 2004, la industria automotriz empleaba el 7.84% del personal total de la rama automotriz y se generaba 9.51% del Valor Agregado de la rama. El Estado de México se especializaba en la sub-rama de carrocerías y remolques, ya que ocupaba el primer lugar, aportando el 30% del empleo, del Valor Agregado y de la producción bruta para 2004, (Villareal y Villegas, (2007).</w:t>
      </w:r>
    </w:p>
    <w:p>
      <w:pPr>
        <w:pStyle w:val="BodyText"/>
        <w:spacing w:line="360" w:lineRule="auto" w:before="4"/>
        <w:ind w:left="122" w:right="121" w:firstLine="707"/>
        <w:jc w:val="both"/>
      </w:pPr>
      <w:r>
        <w:rPr/>
        <w:t>Rozga e Iglesias (2004), distinguen las áreas de industrialización madura, como el corredor Toluca-Lerma; las áreas de desarrollo industrial dinámico y múltiple, como los municipios de Atlacomulco, Santiago Tianguistenco y Ocoyoacac. De igual forma, las políticas industriales generaron un dinámico pero homogéneo desarrollo industrial en Jocotitlán, y terminando con los municipios que adquirieron alguna importancia pero que  no lograron detonar su desarrollo industrial como: Jilotepec, Tenango, Tenancingo y El  Oro.</w:t>
      </w:r>
    </w:p>
    <w:p>
      <w:pPr>
        <w:spacing w:before="6"/>
        <w:ind w:left="688" w:right="687" w:firstLine="0"/>
        <w:jc w:val="both"/>
        <w:rPr>
          <w:sz w:val="22"/>
        </w:rPr>
      </w:pPr>
      <w:r>
        <w:rPr>
          <w:sz w:val="22"/>
        </w:rPr>
        <w:t>“La industria manufacturera del Estado de México se especializa en tres subsectores: 35 Sustancias químicas; 38 Productos metálicos, maquinaria y equipo y 34 Papel, productos de papel, imprentas y ediciones. Mientras que otros tres están muy cercana   a la especialización: 36 Productos minerales no metálicos; 37 Industrias metálicas básicas, y 32 Textiles, vestidos y cuero”, (Rózga e Iglesias,</w:t>
      </w:r>
      <w:r>
        <w:rPr>
          <w:spacing w:val="-17"/>
          <w:sz w:val="22"/>
        </w:rPr>
        <w:t> </w:t>
      </w:r>
      <w:r>
        <w:rPr>
          <w:sz w:val="22"/>
        </w:rPr>
        <w:t>2004).</w:t>
      </w:r>
    </w:p>
    <w:p>
      <w:pPr>
        <w:pStyle w:val="BodyText"/>
        <w:rPr>
          <w:sz w:val="22"/>
        </w:rPr>
      </w:pPr>
    </w:p>
    <w:p>
      <w:pPr>
        <w:pStyle w:val="BodyText"/>
        <w:spacing w:line="350" w:lineRule="auto" w:before="1"/>
        <w:ind w:left="122" w:right="115" w:firstLine="707"/>
        <w:jc w:val="both"/>
        <w:rPr>
          <w:sz w:val="16"/>
        </w:rPr>
      </w:pPr>
      <w:r>
        <w:rPr/>
        <w:t>De la Zona Metropolitana del Valle de Toluca, tan solo los municipios de Toluca y Lerma, han llegado a concentrar 83% del personal ocupado en las ramas como la industria metal-mecánica, alimentos, química y textil, (Lara </w:t>
      </w:r>
      <w:r>
        <w:rPr>
          <w:i/>
        </w:rPr>
        <w:t>et al., </w:t>
      </w:r>
      <w:r>
        <w:rPr/>
        <w:t>2004). Actualmente, se plantea el rescate de la zona industrial.</w:t>
      </w:r>
      <w:r>
        <w:rPr>
          <w:position w:val="11"/>
          <w:sz w:val="16"/>
        </w:rPr>
        <w:t>52</w:t>
      </w:r>
    </w:p>
    <w:p>
      <w:pPr>
        <w:pStyle w:val="BodyText"/>
        <w:spacing w:before="3"/>
        <w:rPr>
          <w:sz w:val="36"/>
        </w:rPr>
      </w:pPr>
    </w:p>
    <w:p>
      <w:pPr>
        <w:pStyle w:val="Heading2"/>
        <w:spacing w:before="0"/>
        <w:ind w:left="122" w:right="243"/>
      </w:pPr>
      <w:bookmarkStart w:name="_TOC_250000" w:id="17"/>
      <w:bookmarkEnd w:id="17"/>
      <w:r>
        <w:rPr/>
        <w:t>Puntos concluyentes</w:t>
      </w:r>
    </w:p>
    <w:p>
      <w:pPr>
        <w:pStyle w:val="BodyText"/>
        <w:spacing w:line="360" w:lineRule="auto" w:before="132"/>
        <w:ind w:left="122" w:right="118"/>
      </w:pPr>
      <w:r>
        <w:rPr/>
        <w:pict>
          <v:line style="position:absolute;mso-position-horizontal-relative:page;mso-position-vertical-relative:paragraph;z-index:1936;mso-wrap-distance-left:0;mso-wrap-distance-right:0" from="85.103996pt,53.683102pt" to="229.123996pt,53.683102pt" stroked="true" strokeweight=".72003pt" strokecolor="#000000">
            <w10:wrap type="topAndBottom"/>
          </v:line>
        </w:pict>
      </w:r>
      <w:r>
        <w:rPr/>
        <w:t>El desarrollo de la industria genera externalidades productivas y derrama económica en otros sectores. La industria dentro de un país o estado promueve el engranaje y la actuación</w:t>
      </w:r>
    </w:p>
    <w:p>
      <w:pPr>
        <w:spacing w:before="42"/>
        <w:ind w:left="122" w:right="117" w:firstLine="0"/>
        <w:jc w:val="both"/>
        <w:rPr>
          <w:sz w:val="20"/>
        </w:rPr>
      </w:pPr>
      <w:r>
        <w:rPr>
          <w:position w:val="9"/>
          <w:sz w:val="13"/>
        </w:rPr>
        <w:t>52 </w:t>
      </w:r>
      <w:r>
        <w:rPr>
          <w:sz w:val="20"/>
        </w:rPr>
        <w:t>Recientemente el Gobierno del Estado de México, elaboró un Atlas de Zonas Industriales de la entidad, con el objetivo de reordenarlos y rehabilitar a los más afectados; dio a conocer en septiembre de 2012, Adrián Fuentes Villalobos, Secretario de Desarrollo Económico estatal. Véase “Quieren Rehabilitar zonas de industria en Edomex”, </w:t>
      </w:r>
      <w:r>
        <w:rPr>
          <w:i/>
          <w:sz w:val="20"/>
        </w:rPr>
        <w:t>El Universal</w:t>
      </w:r>
      <w:r>
        <w:rPr>
          <w:sz w:val="20"/>
        </w:rPr>
        <w:t>, 22 de septiembre de</w:t>
      </w:r>
      <w:r>
        <w:rPr>
          <w:spacing w:val="-16"/>
          <w:sz w:val="20"/>
        </w:rPr>
        <w:t> </w:t>
      </w:r>
      <w:r>
        <w:rPr>
          <w:sz w:val="20"/>
        </w:rPr>
        <w:t>2012.</w:t>
      </w:r>
    </w:p>
    <w:p>
      <w:pPr>
        <w:spacing w:after="0"/>
        <w:jc w:val="both"/>
        <w:rPr>
          <w:sz w:val="20"/>
        </w:rPr>
        <w:sectPr>
          <w:pgSz w:w="12240" w:h="15840"/>
          <w:pgMar w:header="0" w:footer="1003" w:top="1360" w:bottom="1200" w:left="1580" w:right="1580"/>
        </w:sectPr>
      </w:pPr>
    </w:p>
    <w:p>
      <w:pPr>
        <w:pStyle w:val="BodyText"/>
        <w:spacing w:line="360" w:lineRule="auto" w:before="50"/>
        <w:ind w:left="102" w:right="120"/>
        <w:jc w:val="both"/>
      </w:pPr>
      <w:r>
        <w:rPr/>
        <w:t>de los elementos que intervienen en el proceso de la acumulación del capital. Empero, el análisis del desarrollo industrial no es una tarea sencilla, porque al ser el pilar de otros elementos o factores produce externalidades y efectos en los distintos rubros económicos, de tal forma que un elemento deseado de la economía es incentivar a la industria,  generando cada vez más empresas destinadas a la transformación de</w:t>
      </w:r>
      <w:r>
        <w:rPr>
          <w:spacing w:val="-12"/>
        </w:rPr>
        <w:t> </w:t>
      </w:r>
      <w:r>
        <w:rPr/>
        <w:t>bienes.</w:t>
      </w:r>
    </w:p>
    <w:p>
      <w:pPr>
        <w:pStyle w:val="BodyText"/>
        <w:spacing w:line="360" w:lineRule="auto" w:before="6"/>
        <w:ind w:left="102" w:right="117" w:firstLine="707"/>
        <w:jc w:val="both"/>
      </w:pPr>
      <w:r>
        <w:rPr/>
        <w:t>El proceso de industrialización en nuestro país inició de manera favorable, se creó infraestructura, comunicaciones y obras públicas que impulsaron este proceso con efectos multiplicadores para el resto de la economía. La política de sustitución de importaciones favoreció la dinámica del mercado interno, las medidas fiscales (exenciones, deducciones, créditos y subsidios) e inversión pública fueron las principales herramientas de la política industrial que generaron un rápido crecimiento durante estos años y que cesó en 1982, cuando el nuevo modelo económico hizo necesaria una nueva estrategia de desarrollo.</w:t>
      </w:r>
    </w:p>
    <w:p>
      <w:pPr>
        <w:pStyle w:val="BodyText"/>
        <w:spacing w:line="360" w:lineRule="auto" w:before="4"/>
        <w:ind w:left="102" w:right="120" w:firstLine="707"/>
        <w:jc w:val="both"/>
      </w:pPr>
      <w:r>
        <w:rPr/>
        <w:t>A partir de 1982 se abandonó el modelo de desarrollo que protegía la producción nacional y estimulaba la industrialización del país y se cambió por un modelo que se basaba en el libre juego de las fuerzas de mercado, abierto a la competencia exterior y con menor participación del Estado. En esta etapa se canceló la política industrial en México vía incentivos, lo que trajo consigo la desarticulación del proceso productivo. Las empresas de manufacturas no estaban preparadas para tal cambio, lo cual muestra que no pudieron insertarse el mercado de exportación de manera favorable.</w:t>
      </w:r>
    </w:p>
    <w:p>
      <w:pPr>
        <w:pStyle w:val="BodyText"/>
        <w:spacing w:line="360" w:lineRule="auto" w:before="6"/>
        <w:ind w:left="102" w:right="120" w:firstLine="707"/>
        <w:jc w:val="both"/>
      </w:pPr>
      <w:r>
        <w:rPr/>
        <w:t>Con el Tratado de Libre Comercio de América del Norte, que entró en  vigor en 1994 se avanzó a una política de apertura, fincada en las fuerzas del mercado que desarticularon las cadenas productivas existentes y produjeron la quiebra de empresas. De tal forma, ante el escenario de poco apoyo y alta competencia del mercado externo, las empresas industriales de México se colapsaron y participaron de forma poco significativa en los indicadores macroeconómicos del</w:t>
      </w:r>
      <w:r>
        <w:rPr>
          <w:spacing w:val="-9"/>
        </w:rPr>
        <w:t> </w:t>
      </w:r>
      <w:r>
        <w:rPr/>
        <w:t>país.</w:t>
      </w:r>
    </w:p>
    <w:p>
      <w:pPr>
        <w:pStyle w:val="BodyText"/>
        <w:spacing w:line="360" w:lineRule="auto" w:before="7"/>
        <w:ind w:left="102" w:right="123" w:firstLine="707"/>
        <w:jc w:val="both"/>
      </w:pPr>
      <w:r>
        <w:rPr/>
        <w:t>En este sentido, en México no se aprovechó la etapa de proteccionismo para ser competitivos, para reinvertir, innovar, crecer y no depender del capital extranjero, así como crear investigación y desarrollo. En suma, tenemos que el Estado paternalista dejó una industria poco competitiva incapaz de enfrentarse a sus principales socios comerciales dentro del TLCAN.</w:t>
      </w:r>
    </w:p>
    <w:p>
      <w:pPr>
        <w:spacing w:after="0" w:line="360" w:lineRule="auto"/>
        <w:jc w:val="both"/>
        <w:sectPr>
          <w:footerReference w:type="default" r:id="rId27"/>
          <w:pgSz w:w="12240" w:h="15840"/>
          <w:pgMar w:footer="1003" w:header="0" w:top="1360" w:bottom="1200" w:left="1600" w:right="1580"/>
        </w:sectPr>
      </w:pPr>
    </w:p>
    <w:p>
      <w:pPr>
        <w:pStyle w:val="BodyText"/>
        <w:spacing w:line="360" w:lineRule="auto" w:before="50"/>
        <w:ind w:left="102" w:right="116" w:firstLine="707"/>
        <w:jc w:val="both"/>
      </w:pPr>
      <w:r>
        <w:rPr/>
        <w:t>Esta situación también se reprodujo en el Estado de México porque su proceso de industrialización se llevó a cabo por medio de una política de protección y facilidades otorgadas por los gobiernos en turno, tanto federal como estatal. La descripción de cómo se crearon los parques industriales muestra estas características. Con la industrialización se pretendió acceder a la modernidad, al progreso y al desarrollo, con base en el modelo adoptado en los países occidentales.</w:t>
      </w:r>
    </w:p>
    <w:p>
      <w:pPr>
        <w:pStyle w:val="BodyText"/>
        <w:spacing w:line="360" w:lineRule="auto" w:before="4"/>
        <w:ind w:left="102" w:right="119" w:firstLine="707"/>
        <w:jc w:val="both"/>
      </w:pPr>
      <w:r>
        <w:rPr/>
        <w:t>La cercanía del Estado de México con el Distrito Federal fue una de las principales razones por la cual se comenzó a generar una política industrial de atención a los grandes centros de consumo. Por ello, el periodo de 1939 a 1958 (Modelo de Sustitución de Importaciones), fue una etapa decisiva con relación al Estado de México, porque transformó de manera directa y contundente el desarrollo de la industria estatal. Pero a su vez, en esta etapa se propició la concentración del capital y la heterogeneidad</w:t>
      </w:r>
      <w:r>
        <w:rPr>
          <w:spacing w:val="-17"/>
        </w:rPr>
        <w:t> </w:t>
      </w:r>
      <w:r>
        <w:rPr/>
        <w:t>regional.</w:t>
      </w:r>
    </w:p>
    <w:p>
      <w:pPr>
        <w:pStyle w:val="BodyText"/>
        <w:spacing w:line="360" w:lineRule="auto" w:before="4"/>
        <w:ind w:left="102" w:right="122" w:firstLine="707"/>
        <w:jc w:val="both"/>
      </w:pPr>
      <w:r>
        <w:rPr/>
        <w:t>También es importante mencionar que el establecimiento de la industria en  el Estado de México a partir de 1944 no fue coherente ni ordenado, ni concebido de acuerdo con un plan determinado, tal como lo menciona Bejar y Casanova (1970). Las iniciativas que de forma histórica se describen en este capítulo muestran este proceso. En este contexto, tenemos que la localización industrial de la región del Valle de México obedeció a una lógica de mercado por su cercanía con la capital del país y no precisamente a un Proyecto o plan con metas bien</w:t>
      </w:r>
      <w:r>
        <w:rPr>
          <w:spacing w:val="-10"/>
        </w:rPr>
        <w:t> </w:t>
      </w:r>
      <w:r>
        <w:rPr/>
        <w:t>planteadas.</w:t>
      </w:r>
    </w:p>
    <w:p>
      <w:pPr>
        <w:pStyle w:val="BodyText"/>
        <w:spacing w:line="360" w:lineRule="auto" w:before="6"/>
        <w:ind w:left="102" w:right="116" w:firstLine="707"/>
        <w:jc w:val="both"/>
      </w:pPr>
      <w:r>
        <w:rPr/>
        <w:t>Por su parte, para hablar de la industrialización en el Valle de Toluca, es necesario considerar la desconcentración industrial por decreto nacional, pues a partir de la creación del Fidepar se afianzó la localización de empresas dentro de los parques industriales, con la infraestructura y equipamiento necesarios y los servicios complementarios en la zona urbana de Toluca-Lerma. Esto favoreció la demarcación de las áreas industriales, y adecuadas condiciones para su</w:t>
      </w:r>
      <w:r>
        <w:rPr>
          <w:spacing w:val="-7"/>
        </w:rPr>
        <w:t> </w:t>
      </w:r>
      <w:r>
        <w:rPr/>
        <w:t>desarrollo.</w:t>
      </w:r>
    </w:p>
    <w:p>
      <w:pPr>
        <w:pStyle w:val="BodyText"/>
        <w:spacing w:line="360" w:lineRule="auto" w:before="7"/>
        <w:ind w:left="102" w:right="117" w:firstLine="707"/>
        <w:jc w:val="both"/>
      </w:pPr>
      <w:r>
        <w:rPr/>
        <w:t>En este contexto, en 1986, siendo Presidente Miguel de la Madrid se armó un paquete de incentivos fiscales para inducir la descentralización industrial. Para el caso del Estado de México a pesar de la crisis económica se cimentó la localización de empresas dentro de los parques industriales, para lograr el objetivo de descentralización industrial.  Sin  embargo,  encontramos  que  esta  política   fracasó  debido   a  que  las   empresas   </w:t>
      </w:r>
      <w:r>
        <w:rPr>
          <w:spacing w:val="41"/>
        </w:rPr>
        <w:t> </w:t>
      </w:r>
      <w:r>
        <w:rPr/>
        <w:t>se</w:t>
      </w:r>
    </w:p>
    <w:p>
      <w:pPr>
        <w:spacing w:after="0" w:line="360" w:lineRule="auto"/>
        <w:jc w:val="both"/>
        <w:sectPr>
          <w:footerReference w:type="default" r:id="rId28"/>
          <w:pgSz w:w="12240" w:h="15840"/>
          <w:pgMar w:footer="1003" w:header="0" w:top="1360" w:bottom="1200" w:left="1600" w:right="1580"/>
          <w:pgNumType w:start="81"/>
        </w:sectPr>
      </w:pPr>
    </w:p>
    <w:p>
      <w:pPr>
        <w:pStyle w:val="BodyText"/>
        <w:spacing w:line="362" w:lineRule="auto" w:before="50"/>
        <w:ind w:left="102" w:right="121"/>
      </w:pPr>
      <w:r>
        <w:rPr/>
        <w:t>localizaron en parques industriales cerca de la zona metropolitana de la Ciudad de México, así, estas empresas sólo se relocalizaron pero no se crearon nuevas.</w:t>
      </w:r>
    </w:p>
    <w:p>
      <w:pPr>
        <w:pStyle w:val="BodyText"/>
        <w:spacing w:line="360" w:lineRule="auto" w:before="1"/>
        <w:ind w:left="102" w:right="114" w:firstLine="707"/>
        <w:jc w:val="both"/>
      </w:pPr>
      <w:r>
        <w:rPr/>
        <w:t>Por otro lado, se aprecia que en el Estado de México el proceso de industrialización se ha caracterizado por la concentración de la producción en pocas ramas. Además, las principales causas del bajo desempeño del sector manufacturero en materia de crecimiento  y empleo fueron los bajos grados de eficiencia y la excesiva orientación hacia el mercado interno, provocados por un ámbito económico altamente protegido y excesivamente reglamentado, ocasionado por el modelo de sustitución de importaciones, propiciando baja competitividad de las empresas</w:t>
      </w:r>
      <w:r>
        <w:rPr>
          <w:spacing w:val="-10"/>
        </w:rPr>
        <w:t> </w:t>
      </w:r>
      <w:r>
        <w:rPr/>
        <w:t>manufactureras.</w:t>
      </w:r>
    </w:p>
    <w:p>
      <w:pPr>
        <w:pStyle w:val="BodyText"/>
        <w:spacing w:line="360" w:lineRule="auto" w:before="7"/>
        <w:ind w:left="102" w:right="117" w:firstLine="707"/>
        <w:jc w:val="both"/>
      </w:pPr>
      <w:r>
        <w:rPr/>
        <w:t>El viejo modelo de sustitución de importaciones se agotó, dejando una industrialización trunca que a la fecha no ha logrado consolidar el crecimiento. Esto ha sido porque a partir del cambio estructural (década de los ochenta), en el Estado de México </w:t>
      </w:r>
      <w:r>
        <w:rPr>
          <w:spacing w:val="-3"/>
        </w:rPr>
        <w:t>ya  </w:t>
      </w:r>
      <w:r>
        <w:rPr/>
        <w:t>no existió una política industrial. La industria se vio obligada a competir con el exterior y las empresas pequeñas y medianas desaparecieron, mientras que las transnacionales fueron protegidas por el Estado. Es así como el nuevo modelo de desarrollo neoliberal dejó a la industria mexiquense enfrentándose al debilitamiento del mercado interno, a los elevados costos de producción, a la escasez del crédito, a la dependencia externa de materias primas y a la caída del valor agregado de sus actividades por ser una industria orientada en su mayoría a las</w:t>
      </w:r>
      <w:r>
        <w:rPr>
          <w:spacing w:val="-7"/>
        </w:rPr>
        <w:t> </w:t>
      </w:r>
      <w:r>
        <w:rPr/>
        <w:t>exportaciones.</w:t>
      </w:r>
    </w:p>
    <w:p>
      <w:pPr>
        <w:pStyle w:val="BodyText"/>
        <w:spacing w:line="360" w:lineRule="auto" w:before="6"/>
        <w:ind w:left="102" w:right="117" w:firstLine="707"/>
        <w:jc w:val="both"/>
      </w:pPr>
      <w:r>
        <w:rPr/>
        <w:t>Al realizar un recuento histórico sobre el proceso de industrialización en México y del Estado de México se encontró que el papel de la participación del gobierno a través de la política industrial fue decisivo, y sirvió también como regulador de la inversión privada hasta antes de los años ochenta, posteriormente, se dejó todo a las fuerzas del mercado. Ante este escenario, podemos afirmar que el gobierno no ha sido capaz de presentar una estrategia de desarrollo industrial a largo plazo; por ello existe la necesidad del replanteamiento de una política industrial que realmente apoye, estimule e impulse a la industria tanto nacional como</w:t>
      </w:r>
      <w:r>
        <w:rPr>
          <w:spacing w:val="-6"/>
        </w:rPr>
        <w:t> </w:t>
      </w:r>
      <w:r>
        <w:rPr/>
        <w:t>estatal.</w:t>
      </w:r>
    </w:p>
    <w:p>
      <w:pPr>
        <w:spacing w:after="0" w:line="360" w:lineRule="auto"/>
        <w:jc w:val="both"/>
        <w:sectPr>
          <w:pgSz w:w="12240" w:h="15840"/>
          <w:pgMar w:header="0" w:footer="1003" w:top="1360" w:bottom="1200" w:left="1600" w:right="1580"/>
        </w:sectPr>
      </w:pPr>
    </w:p>
    <w:p>
      <w:pPr>
        <w:pStyle w:val="Heading2"/>
        <w:spacing w:before="55"/>
        <w:ind w:left="692" w:right="0"/>
        <w:jc w:val="center"/>
      </w:pPr>
      <w:r>
        <w:rPr/>
        <w:t>Capítulo 3</w:t>
      </w:r>
    </w:p>
    <w:p>
      <w:pPr>
        <w:spacing w:line="360" w:lineRule="auto" w:before="139"/>
        <w:ind w:left="1635" w:right="948" w:firstLine="0"/>
        <w:jc w:val="center"/>
        <w:rPr>
          <w:b/>
          <w:sz w:val="24"/>
        </w:rPr>
      </w:pPr>
      <w:r>
        <w:rPr>
          <w:b/>
          <w:sz w:val="24"/>
        </w:rPr>
        <w:t>Análisis de la industria manufacturera, regiones Toluca-Lerma y Valle de México</w:t>
      </w:r>
    </w:p>
    <w:p>
      <w:pPr>
        <w:pStyle w:val="BodyText"/>
        <w:rPr>
          <w:b/>
        </w:rPr>
      </w:pPr>
    </w:p>
    <w:p>
      <w:pPr>
        <w:spacing w:before="143"/>
        <w:ind w:left="102" w:right="0" w:firstLine="0"/>
        <w:jc w:val="both"/>
        <w:rPr>
          <w:b/>
          <w:sz w:val="24"/>
        </w:rPr>
      </w:pPr>
      <w:r>
        <w:rPr>
          <w:b/>
          <w:sz w:val="24"/>
        </w:rPr>
        <w:t>Introducción</w:t>
      </w:r>
    </w:p>
    <w:p>
      <w:pPr>
        <w:pStyle w:val="BodyText"/>
        <w:spacing w:line="360" w:lineRule="auto" w:before="134"/>
        <w:ind w:left="102" w:right="120"/>
        <w:jc w:val="both"/>
      </w:pPr>
      <w:r>
        <w:rPr/>
        <w:t>El objetivo de este capítulo es identificar las industrias más importantes pertenecientes a las dos regiones de estudio; la región Toluca-Lerma y la región Valle de México del Estado de México. Considerando sus trayectorias de especialización productiva, e identificando las industrias motrices, dado que son las industrias más importantes de las regiones y por lo tanto las que determinan el comportamiento del producto manufacturero.</w:t>
      </w:r>
    </w:p>
    <w:p>
      <w:pPr>
        <w:pStyle w:val="BodyText"/>
        <w:spacing w:line="360" w:lineRule="auto" w:before="4"/>
        <w:ind w:left="102" w:right="119" w:firstLine="707"/>
        <w:jc w:val="both"/>
      </w:pPr>
      <w:r>
        <w:rPr/>
        <w:t>Para lograr el objetivo de estudio se utilizarán técnicas regionales que se basan en datos estadísticos ordenados a través de una matriz conocida como matriz sectorial/regional (SECRE). Con la aplicación de estas técnicas se podrá conocer: ¿en qué tipo de actividades se especializa cada región?, ¿cuál es el tamaño relativo de sus actividades?, y ¿qué grado de diversificación presenta esta región? Todo esto con el objetivo de dar respuesta a estas preguntas a través del uso de los siguientes indicadores: el cociente de localización, coeficiente de especialización, coeficiente de localización, y la técnica </w:t>
      </w:r>
      <w:r>
        <w:rPr>
          <w:i/>
        </w:rPr>
        <w:t>shift-share. </w:t>
      </w:r>
      <w:r>
        <w:rPr/>
        <w:t>Una vez obtenido los índices de especialización se procederá a clasificar los subsectores de acuerdo con la taxonomía de Pavitt (1984).</w:t>
      </w:r>
    </w:p>
    <w:p>
      <w:pPr>
        <w:pStyle w:val="BodyText"/>
        <w:spacing w:line="360" w:lineRule="auto" w:before="6"/>
        <w:ind w:left="102" w:right="118" w:firstLine="707"/>
        <w:jc w:val="both"/>
      </w:pPr>
      <w:r>
        <w:rPr/>
        <w:t>El periodo de estudio abarca de 1970 a 2008, utilizando el valor agregado censal bruto (VA), cuya clasificación y desglose de cada censo se muestran en el anexo 2. Los valores absolutos de cada subsector se especifican en el cuadro 3.1.</w:t>
      </w:r>
    </w:p>
    <w:p>
      <w:pPr>
        <w:pStyle w:val="BodyText"/>
        <w:spacing w:line="360" w:lineRule="auto" w:before="4"/>
        <w:ind w:left="102" w:right="116" w:firstLine="707"/>
        <w:jc w:val="both"/>
      </w:pPr>
      <w:r>
        <w:rPr/>
        <w:t>Finalmente se realizará un diagnóstico del sector manufacturero, a través de los indicadores regionales de las industrias motrices (indicador componente nacional, indicador alto incremento real, índice de especialización local, índice de incremento de índice de especialización local y el índice de posición competitiva). Y para conocer cuáles son los subsectores de mayor impulso dentro de la industria manufacturera de las regiones.</w:t>
      </w:r>
    </w:p>
    <w:p>
      <w:pPr>
        <w:spacing w:after="0" w:line="360" w:lineRule="auto"/>
        <w:jc w:val="both"/>
        <w:sectPr>
          <w:pgSz w:w="12240" w:h="15840"/>
          <w:pgMar w:header="0" w:footer="1003" w:top="1360" w:bottom="1200" w:left="1600" w:right="1580"/>
        </w:sectPr>
      </w:pPr>
    </w:p>
    <w:p>
      <w:pPr>
        <w:pStyle w:val="BodyText"/>
        <w:rPr>
          <w:sz w:val="20"/>
        </w:rPr>
      </w:pPr>
      <w:r>
        <w:rPr/>
        <w:pict>
          <v:shape style="position:absolute;margin-left:48.104pt;margin-top:514.859985pt;width:13.05pt;height:13.3pt;mso-position-horizontal-relative:page;mso-position-vertical-relative:page;z-index:1960" type="#_x0000_t202" filled="false" stroked="false">
            <v:textbox inset="0,0,0,0" style="layout-flow:vertical">
              <w:txbxContent>
                <w:p>
                  <w:pPr>
                    <w:spacing w:line="245" w:lineRule="exact" w:before="0"/>
                    <w:ind w:left="20" w:right="-3" w:firstLine="0"/>
                    <w:jc w:val="left"/>
                    <w:rPr>
                      <w:rFonts w:ascii="Calibri"/>
                      <w:sz w:val="22"/>
                    </w:rPr>
                  </w:pPr>
                  <w:r>
                    <w:rPr>
                      <w:rFonts w:ascii="Calibri"/>
                      <w:w w:val="100"/>
                      <w:sz w:val="22"/>
                    </w:rPr>
                    <w:t>84</w:t>
                  </w:r>
                </w:p>
              </w:txbxContent>
            </v:textbox>
            <w10:wrap type="none"/>
          </v:shape>
        </w:pict>
      </w:r>
    </w:p>
    <w:p>
      <w:pPr>
        <w:pStyle w:val="BodyText"/>
        <w:spacing w:before="8"/>
        <w:rPr>
          <w:sz w:val="22"/>
        </w:rPr>
      </w:pPr>
    </w:p>
    <w:p>
      <w:pPr>
        <w:spacing w:before="84"/>
        <w:ind w:left="146" w:right="8857" w:firstLine="0"/>
        <w:jc w:val="left"/>
        <w:rPr>
          <w:rFonts w:ascii="Arial"/>
          <w:b/>
          <w:sz w:val="12"/>
        </w:rPr>
      </w:pPr>
      <w:r>
        <w:rPr>
          <w:rFonts w:ascii="Arial"/>
          <w:b/>
          <w:w w:val="120"/>
          <w:sz w:val="12"/>
        </w:rPr>
        <w:t>Cuadro 3.1</w:t>
      </w:r>
    </w:p>
    <w:p>
      <w:pPr>
        <w:spacing w:line="273" w:lineRule="auto" w:before="18"/>
        <w:ind w:left="146" w:right="8857" w:firstLine="0"/>
        <w:jc w:val="left"/>
        <w:rPr>
          <w:rFonts w:ascii="Arial" w:hAnsi="Arial"/>
          <w:b/>
          <w:sz w:val="12"/>
        </w:rPr>
      </w:pPr>
      <w:r>
        <w:rPr>
          <w:rFonts w:ascii="Arial" w:hAnsi="Arial"/>
          <w:b/>
          <w:w w:val="120"/>
          <w:sz w:val="12"/>
        </w:rPr>
        <w:t>Valor Agregado Censal Bruto. Industria manufacturera Región Toluca-Lerma y Valle de México</w:t>
      </w:r>
    </w:p>
    <w:p>
      <w:pPr>
        <w:spacing w:before="0"/>
        <w:ind w:left="146" w:right="8857" w:firstLine="0"/>
        <w:jc w:val="left"/>
        <w:rPr>
          <w:rFonts w:ascii="Arial"/>
          <w:b/>
          <w:sz w:val="12"/>
        </w:rPr>
      </w:pPr>
      <w:r>
        <w:rPr>
          <w:rFonts w:ascii="Arial"/>
          <w:b/>
          <w:w w:val="120"/>
          <w:sz w:val="12"/>
        </w:rPr>
        <w:t>1970-2008</w:t>
      </w:r>
    </w:p>
    <w:p>
      <w:pPr>
        <w:spacing w:before="18"/>
        <w:ind w:left="146" w:right="8857" w:firstLine="0"/>
        <w:jc w:val="left"/>
        <w:rPr>
          <w:rFonts w:ascii="Arial"/>
          <w:b/>
          <w:sz w:val="12"/>
        </w:rPr>
      </w:pPr>
      <w:r>
        <w:rPr>
          <w:rFonts w:ascii="Arial"/>
          <w:b/>
          <w:w w:val="120"/>
          <w:sz w:val="12"/>
        </w:rPr>
        <w:t>Miles de pesos a precios de 1993</w:t>
      </w:r>
    </w:p>
    <w:p>
      <w:pPr>
        <w:pStyle w:val="BodyText"/>
        <w:spacing w:before="4" w:after="1"/>
        <w:rPr>
          <w:rFonts w:ascii="Arial"/>
          <w:b/>
          <w:sz w:val="22"/>
        </w:rPr>
      </w:pPr>
    </w:p>
    <w:tbl>
      <w:tblPr>
        <w:tblW w:w="0" w:type="auto"/>
        <w:jc w:val="left"/>
        <w:tblInd w:w="11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54"/>
        <w:gridCol w:w="552"/>
        <w:gridCol w:w="606"/>
        <w:gridCol w:w="552"/>
        <w:gridCol w:w="606"/>
        <w:gridCol w:w="552"/>
        <w:gridCol w:w="624"/>
        <w:gridCol w:w="552"/>
        <w:gridCol w:w="606"/>
        <w:gridCol w:w="552"/>
        <w:gridCol w:w="712"/>
        <w:gridCol w:w="552"/>
        <w:gridCol w:w="668"/>
        <w:gridCol w:w="552"/>
        <w:gridCol w:w="668"/>
        <w:gridCol w:w="552"/>
        <w:gridCol w:w="766"/>
        <w:gridCol w:w="748"/>
        <w:gridCol w:w="748"/>
      </w:tblGrid>
      <w:tr>
        <w:trPr>
          <w:trHeight w:val="127" w:hRule="exact"/>
        </w:trPr>
        <w:tc>
          <w:tcPr>
            <w:tcW w:w="1354" w:type="dxa"/>
            <w:vMerge w:val="restart"/>
            <w:tcBorders>
              <w:left w:val="single" w:sz="4" w:space="0" w:color="000000"/>
              <w:right w:val="single" w:sz="4" w:space="0" w:color="000000"/>
            </w:tcBorders>
            <w:shd w:val="clear" w:color="auto" w:fill="EDEBE0"/>
          </w:tcPr>
          <w:p>
            <w:pPr>
              <w:pStyle w:val="TableParagraph"/>
              <w:spacing w:before="5"/>
              <w:jc w:val="left"/>
              <w:rPr>
                <w:b/>
                <w:sz w:val="7"/>
              </w:rPr>
            </w:pPr>
          </w:p>
          <w:p>
            <w:pPr>
              <w:pStyle w:val="TableParagraph"/>
              <w:ind w:left="400" w:right="104"/>
              <w:jc w:val="left"/>
              <w:rPr>
                <w:b/>
                <w:sz w:val="6"/>
              </w:rPr>
            </w:pPr>
            <w:r>
              <w:rPr>
                <w:b/>
                <w:w w:val="135"/>
                <w:sz w:val="6"/>
              </w:rPr>
              <w:t>Subsecto res</w:t>
            </w:r>
          </w:p>
        </w:tc>
        <w:tc>
          <w:tcPr>
            <w:tcW w:w="1158" w:type="dxa"/>
            <w:gridSpan w:val="2"/>
            <w:tcBorders>
              <w:left w:val="single" w:sz="4" w:space="0" w:color="000000"/>
              <w:right w:val="single" w:sz="4" w:space="0" w:color="000000"/>
            </w:tcBorders>
            <w:shd w:val="clear" w:color="auto" w:fill="EDEBE0"/>
          </w:tcPr>
          <w:p>
            <w:pPr>
              <w:pStyle w:val="TableParagraph"/>
              <w:spacing w:before="12"/>
              <w:ind w:left="438" w:right="430"/>
              <w:jc w:val="center"/>
              <w:rPr>
                <w:sz w:val="9"/>
              </w:rPr>
            </w:pPr>
            <w:r>
              <w:rPr>
                <w:w w:val="120"/>
                <w:sz w:val="9"/>
              </w:rPr>
              <w:t>1970</w:t>
            </w:r>
          </w:p>
        </w:tc>
        <w:tc>
          <w:tcPr>
            <w:tcW w:w="1158" w:type="dxa"/>
            <w:gridSpan w:val="2"/>
            <w:tcBorders>
              <w:left w:val="single" w:sz="4" w:space="0" w:color="000000"/>
              <w:right w:val="single" w:sz="4" w:space="0" w:color="000000"/>
            </w:tcBorders>
            <w:shd w:val="clear" w:color="auto" w:fill="EDEBE0"/>
          </w:tcPr>
          <w:p>
            <w:pPr>
              <w:pStyle w:val="TableParagraph"/>
              <w:spacing w:before="12"/>
              <w:ind w:left="438" w:right="430"/>
              <w:jc w:val="center"/>
              <w:rPr>
                <w:sz w:val="9"/>
              </w:rPr>
            </w:pPr>
            <w:r>
              <w:rPr>
                <w:w w:val="120"/>
                <w:sz w:val="9"/>
              </w:rPr>
              <w:t>1975</w:t>
            </w:r>
          </w:p>
        </w:tc>
        <w:tc>
          <w:tcPr>
            <w:tcW w:w="1176" w:type="dxa"/>
            <w:gridSpan w:val="2"/>
            <w:tcBorders>
              <w:left w:val="single" w:sz="4" w:space="0" w:color="000000"/>
              <w:right w:val="single" w:sz="4" w:space="0" w:color="000000"/>
            </w:tcBorders>
            <w:shd w:val="clear" w:color="auto" w:fill="EDEBE0"/>
          </w:tcPr>
          <w:p>
            <w:pPr>
              <w:pStyle w:val="TableParagraph"/>
              <w:spacing w:before="12"/>
              <w:ind w:left="447" w:right="439"/>
              <w:jc w:val="center"/>
              <w:rPr>
                <w:sz w:val="9"/>
              </w:rPr>
            </w:pPr>
            <w:r>
              <w:rPr>
                <w:w w:val="120"/>
                <w:sz w:val="9"/>
              </w:rPr>
              <w:t>1980</w:t>
            </w:r>
          </w:p>
        </w:tc>
        <w:tc>
          <w:tcPr>
            <w:tcW w:w="1158" w:type="dxa"/>
            <w:gridSpan w:val="2"/>
            <w:tcBorders>
              <w:left w:val="single" w:sz="4" w:space="0" w:color="000000"/>
              <w:right w:val="single" w:sz="4" w:space="0" w:color="000000"/>
            </w:tcBorders>
            <w:shd w:val="clear" w:color="auto" w:fill="EDEBE0"/>
          </w:tcPr>
          <w:p>
            <w:pPr>
              <w:pStyle w:val="TableParagraph"/>
              <w:spacing w:before="12"/>
              <w:ind w:left="438" w:right="430"/>
              <w:jc w:val="center"/>
              <w:rPr>
                <w:sz w:val="9"/>
              </w:rPr>
            </w:pPr>
            <w:r>
              <w:rPr>
                <w:w w:val="120"/>
                <w:sz w:val="9"/>
              </w:rPr>
              <w:t>1985</w:t>
            </w:r>
          </w:p>
        </w:tc>
        <w:tc>
          <w:tcPr>
            <w:tcW w:w="1265" w:type="dxa"/>
            <w:gridSpan w:val="2"/>
            <w:tcBorders>
              <w:left w:val="single" w:sz="4" w:space="0" w:color="000000"/>
              <w:right w:val="single" w:sz="4" w:space="0" w:color="000000"/>
            </w:tcBorders>
            <w:shd w:val="clear" w:color="auto" w:fill="EDEBE0"/>
          </w:tcPr>
          <w:p>
            <w:pPr>
              <w:pStyle w:val="TableParagraph"/>
              <w:spacing w:before="12"/>
              <w:ind w:left="492" w:right="483"/>
              <w:jc w:val="center"/>
              <w:rPr>
                <w:sz w:val="9"/>
              </w:rPr>
            </w:pPr>
            <w:r>
              <w:rPr>
                <w:w w:val="120"/>
                <w:sz w:val="9"/>
              </w:rPr>
              <w:t>1988</w:t>
            </w:r>
          </w:p>
        </w:tc>
        <w:tc>
          <w:tcPr>
            <w:tcW w:w="1220" w:type="dxa"/>
            <w:gridSpan w:val="2"/>
            <w:tcBorders>
              <w:left w:val="single" w:sz="4" w:space="0" w:color="000000"/>
              <w:right w:val="single" w:sz="4" w:space="0" w:color="000000"/>
            </w:tcBorders>
            <w:shd w:val="clear" w:color="auto" w:fill="EDEBE0"/>
          </w:tcPr>
          <w:p>
            <w:pPr>
              <w:pStyle w:val="TableParagraph"/>
              <w:spacing w:before="12"/>
              <w:ind w:left="465" w:right="465"/>
              <w:jc w:val="center"/>
              <w:rPr>
                <w:sz w:val="9"/>
              </w:rPr>
            </w:pPr>
            <w:r>
              <w:rPr>
                <w:w w:val="120"/>
                <w:sz w:val="9"/>
              </w:rPr>
              <w:t>1993</w:t>
            </w:r>
          </w:p>
        </w:tc>
        <w:tc>
          <w:tcPr>
            <w:tcW w:w="1220" w:type="dxa"/>
            <w:gridSpan w:val="2"/>
            <w:tcBorders>
              <w:left w:val="single" w:sz="4" w:space="0" w:color="000000"/>
              <w:right w:val="single" w:sz="4" w:space="0" w:color="000000"/>
            </w:tcBorders>
            <w:shd w:val="clear" w:color="auto" w:fill="EDEBE0"/>
          </w:tcPr>
          <w:p>
            <w:pPr>
              <w:pStyle w:val="TableParagraph"/>
              <w:spacing w:before="12"/>
              <w:ind w:left="465" w:right="465"/>
              <w:jc w:val="center"/>
              <w:rPr>
                <w:sz w:val="9"/>
              </w:rPr>
            </w:pPr>
            <w:r>
              <w:rPr>
                <w:w w:val="120"/>
                <w:sz w:val="9"/>
              </w:rPr>
              <w:t>1998</w:t>
            </w:r>
          </w:p>
        </w:tc>
        <w:tc>
          <w:tcPr>
            <w:tcW w:w="1318" w:type="dxa"/>
            <w:gridSpan w:val="2"/>
            <w:tcBorders>
              <w:left w:val="single" w:sz="4" w:space="0" w:color="000000"/>
              <w:right w:val="single" w:sz="4" w:space="0" w:color="000000"/>
            </w:tcBorders>
            <w:shd w:val="clear" w:color="auto" w:fill="EDEBE0"/>
          </w:tcPr>
          <w:p>
            <w:pPr>
              <w:pStyle w:val="TableParagraph"/>
              <w:spacing w:before="12"/>
              <w:ind w:left="518" w:right="510"/>
              <w:jc w:val="center"/>
              <w:rPr>
                <w:sz w:val="9"/>
              </w:rPr>
            </w:pPr>
            <w:r>
              <w:rPr>
                <w:w w:val="120"/>
                <w:sz w:val="9"/>
              </w:rPr>
              <w:t>2003</w:t>
            </w:r>
          </w:p>
        </w:tc>
        <w:tc>
          <w:tcPr>
            <w:tcW w:w="1496" w:type="dxa"/>
            <w:gridSpan w:val="2"/>
            <w:tcBorders>
              <w:left w:val="single" w:sz="4" w:space="0" w:color="000000"/>
              <w:right w:val="single" w:sz="4" w:space="0" w:color="000000"/>
            </w:tcBorders>
            <w:shd w:val="clear" w:color="auto" w:fill="EDEBE0"/>
          </w:tcPr>
          <w:p>
            <w:pPr>
              <w:pStyle w:val="TableParagraph"/>
              <w:spacing w:before="12"/>
              <w:ind w:left="607" w:right="599"/>
              <w:jc w:val="center"/>
              <w:rPr>
                <w:sz w:val="9"/>
              </w:rPr>
            </w:pPr>
            <w:r>
              <w:rPr>
                <w:w w:val="120"/>
                <w:sz w:val="9"/>
              </w:rPr>
              <w:t>2008</w:t>
            </w:r>
          </w:p>
        </w:tc>
      </w:tr>
      <w:tr>
        <w:trPr>
          <w:trHeight w:val="127" w:hRule="exact"/>
        </w:trPr>
        <w:tc>
          <w:tcPr>
            <w:tcW w:w="1354" w:type="dxa"/>
            <w:vMerge/>
            <w:tcBorders>
              <w:left w:val="single" w:sz="4" w:space="0" w:color="000000"/>
              <w:right w:val="single" w:sz="4" w:space="0" w:color="000000"/>
            </w:tcBorders>
            <w:shd w:val="clear" w:color="auto" w:fill="EDEBE0"/>
          </w:tcPr>
          <w:p>
            <w:pPr/>
          </w:p>
        </w:tc>
        <w:tc>
          <w:tcPr>
            <w:tcW w:w="552" w:type="dxa"/>
            <w:tcBorders>
              <w:left w:val="single" w:sz="4" w:space="0" w:color="000000"/>
              <w:right w:val="single" w:sz="4" w:space="0" w:color="000000"/>
            </w:tcBorders>
            <w:shd w:val="clear" w:color="auto" w:fill="EDEBE0"/>
          </w:tcPr>
          <w:p>
            <w:pPr>
              <w:pStyle w:val="TableParagraph"/>
              <w:spacing w:before="12"/>
              <w:ind w:left="173" w:right="168"/>
              <w:jc w:val="center"/>
              <w:rPr>
                <w:sz w:val="9"/>
              </w:rPr>
            </w:pPr>
            <w:r>
              <w:rPr>
                <w:w w:val="120"/>
                <w:sz w:val="9"/>
              </w:rPr>
              <w:t>T-L</w:t>
            </w:r>
          </w:p>
        </w:tc>
        <w:tc>
          <w:tcPr>
            <w:tcW w:w="606" w:type="dxa"/>
            <w:tcBorders>
              <w:left w:val="single" w:sz="4" w:space="0" w:color="000000"/>
              <w:right w:val="single" w:sz="4" w:space="0" w:color="000000"/>
            </w:tcBorders>
            <w:shd w:val="clear" w:color="auto" w:fill="EDEBE0"/>
          </w:tcPr>
          <w:p>
            <w:pPr>
              <w:pStyle w:val="TableParagraph"/>
              <w:spacing w:before="12"/>
              <w:ind w:right="120"/>
              <w:rPr>
                <w:sz w:val="9"/>
              </w:rPr>
            </w:pPr>
            <w:r>
              <w:rPr>
                <w:w w:val="120"/>
                <w:sz w:val="9"/>
              </w:rPr>
              <w:t>V de M.</w:t>
            </w:r>
          </w:p>
        </w:tc>
        <w:tc>
          <w:tcPr>
            <w:tcW w:w="552" w:type="dxa"/>
            <w:tcBorders>
              <w:left w:val="single" w:sz="4" w:space="0" w:color="000000"/>
              <w:right w:val="single" w:sz="4" w:space="0" w:color="000000"/>
            </w:tcBorders>
            <w:shd w:val="clear" w:color="auto" w:fill="EDEBE0"/>
          </w:tcPr>
          <w:p>
            <w:pPr>
              <w:pStyle w:val="TableParagraph"/>
              <w:spacing w:before="12"/>
              <w:ind w:left="38" w:right="33"/>
              <w:jc w:val="center"/>
              <w:rPr>
                <w:sz w:val="9"/>
              </w:rPr>
            </w:pPr>
            <w:r>
              <w:rPr>
                <w:w w:val="120"/>
                <w:sz w:val="9"/>
              </w:rPr>
              <w:t>T-L</w:t>
            </w:r>
          </w:p>
        </w:tc>
        <w:tc>
          <w:tcPr>
            <w:tcW w:w="606" w:type="dxa"/>
            <w:tcBorders>
              <w:left w:val="single" w:sz="4" w:space="0" w:color="000000"/>
              <w:right w:val="single" w:sz="4" w:space="0" w:color="000000"/>
            </w:tcBorders>
            <w:shd w:val="clear" w:color="auto" w:fill="EDEBE0"/>
          </w:tcPr>
          <w:p>
            <w:pPr>
              <w:pStyle w:val="TableParagraph"/>
              <w:spacing w:before="12"/>
              <w:ind w:left="35" w:right="33"/>
              <w:jc w:val="center"/>
              <w:rPr>
                <w:sz w:val="9"/>
              </w:rPr>
            </w:pPr>
            <w:r>
              <w:rPr>
                <w:w w:val="120"/>
                <w:sz w:val="9"/>
              </w:rPr>
              <w:t>V de M.</w:t>
            </w:r>
          </w:p>
        </w:tc>
        <w:tc>
          <w:tcPr>
            <w:tcW w:w="552" w:type="dxa"/>
            <w:tcBorders>
              <w:left w:val="single" w:sz="4" w:space="0" w:color="000000"/>
              <w:right w:val="single" w:sz="4" w:space="0" w:color="000000"/>
            </w:tcBorders>
            <w:shd w:val="clear" w:color="auto" w:fill="EDEBE0"/>
          </w:tcPr>
          <w:p>
            <w:pPr>
              <w:pStyle w:val="TableParagraph"/>
              <w:spacing w:before="12"/>
              <w:ind w:left="38" w:right="33"/>
              <w:jc w:val="center"/>
              <w:rPr>
                <w:sz w:val="9"/>
              </w:rPr>
            </w:pPr>
            <w:r>
              <w:rPr>
                <w:w w:val="120"/>
                <w:sz w:val="9"/>
              </w:rPr>
              <w:t>T-L</w:t>
            </w:r>
          </w:p>
        </w:tc>
        <w:tc>
          <w:tcPr>
            <w:tcW w:w="624" w:type="dxa"/>
            <w:tcBorders>
              <w:left w:val="single" w:sz="4" w:space="0" w:color="000000"/>
              <w:right w:val="single" w:sz="4" w:space="0" w:color="000000"/>
            </w:tcBorders>
            <w:shd w:val="clear" w:color="auto" w:fill="EDEBE0"/>
          </w:tcPr>
          <w:p>
            <w:pPr>
              <w:pStyle w:val="TableParagraph"/>
              <w:spacing w:before="12"/>
              <w:ind w:left="133"/>
              <w:jc w:val="left"/>
              <w:rPr>
                <w:sz w:val="9"/>
              </w:rPr>
            </w:pPr>
            <w:r>
              <w:rPr>
                <w:w w:val="120"/>
                <w:sz w:val="9"/>
              </w:rPr>
              <w:t>V de M.</w:t>
            </w:r>
          </w:p>
        </w:tc>
        <w:tc>
          <w:tcPr>
            <w:tcW w:w="552" w:type="dxa"/>
            <w:tcBorders>
              <w:left w:val="single" w:sz="4" w:space="0" w:color="000000"/>
              <w:right w:val="single" w:sz="4" w:space="0" w:color="000000"/>
            </w:tcBorders>
            <w:shd w:val="clear" w:color="auto" w:fill="EDEBE0"/>
          </w:tcPr>
          <w:p>
            <w:pPr>
              <w:pStyle w:val="TableParagraph"/>
              <w:spacing w:before="12"/>
              <w:ind w:left="38" w:right="33"/>
              <w:jc w:val="center"/>
              <w:rPr>
                <w:sz w:val="9"/>
              </w:rPr>
            </w:pPr>
            <w:r>
              <w:rPr>
                <w:w w:val="120"/>
                <w:sz w:val="9"/>
              </w:rPr>
              <w:t>T-L</w:t>
            </w:r>
          </w:p>
        </w:tc>
        <w:tc>
          <w:tcPr>
            <w:tcW w:w="606" w:type="dxa"/>
            <w:tcBorders>
              <w:left w:val="single" w:sz="4" w:space="0" w:color="000000"/>
              <w:right w:val="single" w:sz="4" w:space="0" w:color="000000"/>
            </w:tcBorders>
            <w:shd w:val="clear" w:color="auto" w:fill="EDEBE0"/>
          </w:tcPr>
          <w:p>
            <w:pPr>
              <w:pStyle w:val="TableParagraph"/>
              <w:spacing w:before="12"/>
              <w:ind w:left="35" w:right="33"/>
              <w:jc w:val="center"/>
              <w:rPr>
                <w:sz w:val="9"/>
              </w:rPr>
            </w:pPr>
            <w:r>
              <w:rPr>
                <w:w w:val="120"/>
                <w:sz w:val="9"/>
              </w:rPr>
              <w:t>V de M.</w:t>
            </w:r>
          </w:p>
        </w:tc>
        <w:tc>
          <w:tcPr>
            <w:tcW w:w="552" w:type="dxa"/>
            <w:tcBorders>
              <w:left w:val="single" w:sz="4" w:space="0" w:color="000000"/>
              <w:right w:val="single" w:sz="4" w:space="0" w:color="000000"/>
            </w:tcBorders>
            <w:shd w:val="clear" w:color="auto" w:fill="EDEBE0"/>
          </w:tcPr>
          <w:p>
            <w:pPr>
              <w:pStyle w:val="TableParagraph"/>
              <w:spacing w:before="12"/>
              <w:ind w:left="173" w:right="168"/>
              <w:jc w:val="center"/>
              <w:rPr>
                <w:sz w:val="9"/>
              </w:rPr>
            </w:pPr>
            <w:r>
              <w:rPr>
                <w:w w:val="120"/>
                <w:sz w:val="9"/>
              </w:rPr>
              <w:t>T-L</w:t>
            </w:r>
          </w:p>
        </w:tc>
        <w:tc>
          <w:tcPr>
            <w:tcW w:w="712" w:type="dxa"/>
            <w:tcBorders>
              <w:left w:val="single" w:sz="4" w:space="0" w:color="000000"/>
              <w:right w:val="single" w:sz="4" w:space="0" w:color="000000"/>
            </w:tcBorders>
            <w:shd w:val="clear" w:color="auto" w:fill="EDEBE0"/>
          </w:tcPr>
          <w:p>
            <w:pPr>
              <w:pStyle w:val="TableParagraph"/>
              <w:spacing w:before="12"/>
              <w:ind w:left="177"/>
              <w:jc w:val="left"/>
              <w:rPr>
                <w:sz w:val="9"/>
              </w:rPr>
            </w:pPr>
            <w:r>
              <w:rPr>
                <w:w w:val="120"/>
                <w:sz w:val="9"/>
              </w:rPr>
              <w:t>V de M.</w:t>
            </w:r>
          </w:p>
        </w:tc>
        <w:tc>
          <w:tcPr>
            <w:tcW w:w="552" w:type="dxa"/>
            <w:tcBorders>
              <w:left w:val="single" w:sz="4" w:space="0" w:color="000000"/>
              <w:right w:val="single" w:sz="4" w:space="0" w:color="000000"/>
            </w:tcBorders>
            <w:shd w:val="clear" w:color="auto" w:fill="EDEBE0"/>
          </w:tcPr>
          <w:p>
            <w:pPr>
              <w:pStyle w:val="TableParagraph"/>
              <w:spacing w:before="12"/>
              <w:ind w:left="173" w:right="168"/>
              <w:jc w:val="center"/>
              <w:rPr>
                <w:sz w:val="9"/>
              </w:rPr>
            </w:pPr>
            <w:r>
              <w:rPr>
                <w:w w:val="120"/>
                <w:sz w:val="9"/>
              </w:rPr>
              <w:t>T-L</w:t>
            </w:r>
          </w:p>
        </w:tc>
        <w:tc>
          <w:tcPr>
            <w:tcW w:w="668" w:type="dxa"/>
            <w:tcBorders>
              <w:left w:val="single" w:sz="4" w:space="0" w:color="000000"/>
              <w:right w:val="single" w:sz="4" w:space="0" w:color="000000"/>
            </w:tcBorders>
            <w:shd w:val="clear" w:color="auto" w:fill="EDEBE0"/>
          </w:tcPr>
          <w:p>
            <w:pPr>
              <w:pStyle w:val="TableParagraph"/>
              <w:spacing w:before="12"/>
              <w:ind w:left="160"/>
              <w:jc w:val="left"/>
              <w:rPr>
                <w:sz w:val="9"/>
              </w:rPr>
            </w:pPr>
            <w:r>
              <w:rPr>
                <w:w w:val="120"/>
                <w:sz w:val="9"/>
              </w:rPr>
              <w:t>V de M.</w:t>
            </w:r>
          </w:p>
        </w:tc>
        <w:tc>
          <w:tcPr>
            <w:tcW w:w="552" w:type="dxa"/>
            <w:tcBorders>
              <w:left w:val="single" w:sz="4" w:space="0" w:color="000000"/>
              <w:right w:val="single" w:sz="4" w:space="0" w:color="000000"/>
            </w:tcBorders>
            <w:shd w:val="clear" w:color="auto" w:fill="EDEBE0"/>
          </w:tcPr>
          <w:p>
            <w:pPr>
              <w:pStyle w:val="TableParagraph"/>
              <w:spacing w:before="12"/>
              <w:ind w:left="173" w:right="167"/>
              <w:jc w:val="center"/>
              <w:rPr>
                <w:sz w:val="9"/>
              </w:rPr>
            </w:pPr>
            <w:r>
              <w:rPr>
                <w:w w:val="120"/>
                <w:sz w:val="9"/>
              </w:rPr>
              <w:t>T-L</w:t>
            </w:r>
          </w:p>
        </w:tc>
        <w:tc>
          <w:tcPr>
            <w:tcW w:w="668" w:type="dxa"/>
            <w:tcBorders>
              <w:left w:val="single" w:sz="4" w:space="0" w:color="000000"/>
              <w:right w:val="single" w:sz="4" w:space="0" w:color="000000"/>
            </w:tcBorders>
            <w:shd w:val="clear" w:color="auto" w:fill="EDEBE0"/>
          </w:tcPr>
          <w:p>
            <w:pPr>
              <w:pStyle w:val="TableParagraph"/>
              <w:spacing w:before="12"/>
              <w:ind w:left="160"/>
              <w:jc w:val="left"/>
              <w:rPr>
                <w:sz w:val="9"/>
              </w:rPr>
            </w:pPr>
            <w:r>
              <w:rPr>
                <w:w w:val="120"/>
                <w:sz w:val="9"/>
              </w:rPr>
              <w:t>V de M.</w:t>
            </w:r>
          </w:p>
        </w:tc>
        <w:tc>
          <w:tcPr>
            <w:tcW w:w="552" w:type="dxa"/>
            <w:tcBorders>
              <w:left w:val="single" w:sz="4" w:space="0" w:color="000000"/>
              <w:right w:val="single" w:sz="4" w:space="0" w:color="000000"/>
            </w:tcBorders>
            <w:shd w:val="clear" w:color="auto" w:fill="EDEBE0"/>
          </w:tcPr>
          <w:p>
            <w:pPr>
              <w:pStyle w:val="TableParagraph"/>
              <w:spacing w:before="12"/>
              <w:ind w:left="39" w:right="33"/>
              <w:jc w:val="center"/>
              <w:rPr>
                <w:sz w:val="9"/>
              </w:rPr>
            </w:pPr>
            <w:r>
              <w:rPr>
                <w:w w:val="120"/>
                <w:sz w:val="9"/>
              </w:rPr>
              <w:t>T-L</w:t>
            </w:r>
          </w:p>
        </w:tc>
        <w:tc>
          <w:tcPr>
            <w:tcW w:w="766" w:type="dxa"/>
            <w:tcBorders>
              <w:left w:val="single" w:sz="4" w:space="0" w:color="000000"/>
              <w:right w:val="single" w:sz="4" w:space="0" w:color="000000"/>
            </w:tcBorders>
            <w:shd w:val="clear" w:color="auto" w:fill="EDEBE0"/>
          </w:tcPr>
          <w:p>
            <w:pPr>
              <w:pStyle w:val="TableParagraph"/>
              <w:spacing w:before="12"/>
              <w:ind w:left="205"/>
              <w:jc w:val="left"/>
              <w:rPr>
                <w:sz w:val="9"/>
              </w:rPr>
            </w:pPr>
            <w:r>
              <w:rPr>
                <w:w w:val="120"/>
                <w:sz w:val="9"/>
              </w:rPr>
              <w:t>V de M.</w:t>
            </w:r>
          </w:p>
        </w:tc>
        <w:tc>
          <w:tcPr>
            <w:tcW w:w="748" w:type="dxa"/>
            <w:tcBorders>
              <w:left w:val="single" w:sz="4" w:space="0" w:color="000000"/>
              <w:right w:val="single" w:sz="4" w:space="0" w:color="000000"/>
            </w:tcBorders>
            <w:shd w:val="clear" w:color="auto" w:fill="EDEBE0"/>
          </w:tcPr>
          <w:p>
            <w:pPr>
              <w:pStyle w:val="TableParagraph"/>
              <w:spacing w:before="12"/>
              <w:ind w:left="271" w:right="266"/>
              <w:jc w:val="center"/>
              <w:rPr>
                <w:sz w:val="9"/>
              </w:rPr>
            </w:pPr>
            <w:r>
              <w:rPr>
                <w:w w:val="120"/>
                <w:sz w:val="9"/>
              </w:rPr>
              <w:t>T-L</w:t>
            </w:r>
          </w:p>
        </w:tc>
        <w:tc>
          <w:tcPr>
            <w:tcW w:w="748" w:type="dxa"/>
            <w:tcBorders>
              <w:left w:val="single" w:sz="4" w:space="0" w:color="000000"/>
              <w:right w:val="single" w:sz="4" w:space="0" w:color="000000"/>
            </w:tcBorders>
            <w:shd w:val="clear" w:color="auto" w:fill="EDEBE0"/>
          </w:tcPr>
          <w:p>
            <w:pPr>
              <w:pStyle w:val="TableParagraph"/>
              <w:spacing w:before="12"/>
              <w:ind w:left="196"/>
              <w:jc w:val="left"/>
              <w:rPr>
                <w:sz w:val="9"/>
              </w:rPr>
            </w:pPr>
            <w:r>
              <w:rPr>
                <w:w w:val="120"/>
                <w:sz w:val="9"/>
              </w:rPr>
              <w:t>V de M.</w:t>
            </w:r>
          </w:p>
        </w:tc>
      </w:tr>
      <w:tr>
        <w:trPr>
          <w:trHeight w:val="127" w:hRule="exact"/>
        </w:trPr>
        <w:tc>
          <w:tcPr>
            <w:tcW w:w="1354" w:type="dxa"/>
            <w:tcBorders>
              <w:left w:val="single" w:sz="4" w:space="0" w:color="000000"/>
              <w:right w:val="single" w:sz="4" w:space="0" w:color="000000"/>
            </w:tcBorders>
            <w:shd w:val="clear" w:color="auto" w:fill="DBEDF3"/>
          </w:tcPr>
          <w:p>
            <w:pPr>
              <w:pStyle w:val="TableParagraph"/>
              <w:spacing w:before="22"/>
              <w:ind w:left="17" w:right="104"/>
              <w:jc w:val="left"/>
              <w:rPr>
                <w:b/>
                <w:sz w:val="8"/>
              </w:rPr>
            </w:pPr>
            <w:r>
              <w:rPr>
                <w:b/>
                <w:w w:val="120"/>
                <w:sz w:val="8"/>
              </w:rPr>
              <w:t>Total</w:t>
            </w:r>
          </w:p>
        </w:tc>
        <w:tc>
          <w:tcPr>
            <w:tcW w:w="552" w:type="dxa"/>
            <w:tcBorders>
              <w:left w:val="single" w:sz="4" w:space="0" w:color="000000"/>
              <w:right w:val="single" w:sz="4" w:space="0" w:color="000000"/>
            </w:tcBorders>
          </w:tcPr>
          <w:p>
            <w:pPr>
              <w:pStyle w:val="TableParagraph"/>
              <w:spacing w:before="22"/>
              <w:ind w:right="51"/>
              <w:rPr>
                <w:sz w:val="8"/>
              </w:rPr>
            </w:pPr>
            <w:r>
              <w:rPr>
                <w:w w:val="120"/>
                <w:sz w:val="8"/>
              </w:rPr>
              <w:t>1,916,882</w:t>
            </w:r>
          </w:p>
        </w:tc>
        <w:tc>
          <w:tcPr>
            <w:tcW w:w="606" w:type="dxa"/>
            <w:tcBorders>
              <w:left w:val="single" w:sz="4" w:space="0" w:color="000000"/>
              <w:right w:val="single" w:sz="4" w:space="0" w:color="000000"/>
            </w:tcBorders>
          </w:tcPr>
          <w:p>
            <w:pPr>
              <w:pStyle w:val="TableParagraph"/>
              <w:spacing w:before="22"/>
              <w:ind w:right="50"/>
              <w:rPr>
                <w:sz w:val="8"/>
              </w:rPr>
            </w:pPr>
            <w:r>
              <w:rPr>
                <w:w w:val="120"/>
                <w:sz w:val="8"/>
              </w:rPr>
              <w:t>12,350,565</w:t>
            </w:r>
          </w:p>
        </w:tc>
        <w:tc>
          <w:tcPr>
            <w:tcW w:w="552" w:type="dxa"/>
            <w:tcBorders>
              <w:left w:val="single" w:sz="4" w:space="0" w:color="000000"/>
              <w:right w:val="single" w:sz="4" w:space="0" w:color="000000"/>
            </w:tcBorders>
          </w:tcPr>
          <w:p>
            <w:pPr>
              <w:pStyle w:val="TableParagraph"/>
              <w:spacing w:before="22"/>
              <w:ind w:left="42" w:right="33"/>
              <w:jc w:val="center"/>
              <w:rPr>
                <w:sz w:val="8"/>
              </w:rPr>
            </w:pPr>
            <w:r>
              <w:rPr>
                <w:w w:val="120"/>
                <w:sz w:val="8"/>
              </w:rPr>
              <w:t>2,595,847</w:t>
            </w:r>
          </w:p>
        </w:tc>
        <w:tc>
          <w:tcPr>
            <w:tcW w:w="606" w:type="dxa"/>
            <w:tcBorders>
              <w:left w:val="single" w:sz="4" w:space="0" w:color="000000"/>
              <w:right w:val="single" w:sz="4" w:space="0" w:color="000000"/>
            </w:tcBorders>
          </w:tcPr>
          <w:p>
            <w:pPr>
              <w:pStyle w:val="TableParagraph"/>
              <w:spacing w:before="22"/>
              <w:ind w:left="41" w:right="33"/>
              <w:jc w:val="center"/>
              <w:rPr>
                <w:sz w:val="8"/>
              </w:rPr>
            </w:pPr>
            <w:r>
              <w:rPr>
                <w:w w:val="120"/>
                <w:sz w:val="8"/>
              </w:rPr>
              <w:t>17,165,813</w:t>
            </w:r>
          </w:p>
        </w:tc>
        <w:tc>
          <w:tcPr>
            <w:tcW w:w="552" w:type="dxa"/>
            <w:tcBorders>
              <w:left w:val="single" w:sz="4" w:space="0" w:color="000000"/>
              <w:right w:val="single" w:sz="4" w:space="0" w:color="000000"/>
            </w:tcBorders>
          </w:tcPr>
          <w:p>
            <w:pPr>
              <w:pStyle w:val="TableParagraph"/>
              <w:spacing w:before="22"/>
              <w:ind w:right="50"/>
              <w:rPr>
                <w:sz w:val="8"/>
              </w:rPr>
            </w:pPr>
            <w:r>
              <w:rPr>
                <w:w w:val="120"/>
                <w:sz w:val="8"/>
              </w:rPr>
              <w:t>3,596,117</w:t>
            </w:r>
          </w:p>
        </w:tc>
        <w:tc>
          <w:tcPr>
            <w:tcW w:w="624" w:type="dxa"/>
            <w:tcBorders>
              <w:left w:val="single" w:sz="4" w:space="0" w:color="000000"/>
              <w:right w:val="single" w:sz="4" w:space="0" w:color="000000"/>
            </w:tcBorders>
          </w:tcPr>
          <w:p>
            <w:pPr>
              <w:pStyle w:val="TableParagraph"/>
              <w:spacing w:before="22"/>
              <w:ind w:right="51"/>
              <w:rPr>
                <w:sz w:val="8"/>
              </w:rPr>
            </w:pPr>
            <w:r>
              <w:rPr>
                <w:w w:val="120"/>
                <w:sz w:val="8"/>
              </w:rPr>
              <w:t>23,193,788</w:t>
            </w:r>
          </w:p>
        </w:tc>
        <w:tc>
          <w:tcPr>
            <w:tcW w:w="552" w:type="dxa"/>
            <w:tcBorders>
              <w:left w:val="single" w:sz="4" w:space="0" w:color="000000"/>
              <w:right w:val="single" w:sz="4" w:space="0" w:color="000000"/>
            </w:tcBorders>
          </w:tcPr>
          <w:p>
            <w:pPr>
              <w:pStyle w:val="TableParagraph"/>
              <w:spacing w:before="22"/>
              <w:ind w:left="42" w:right="33"/>
              <w:jc w:val="center"/>
              <w:rPr>
                <w:sz w:val="8"/>
              </w:rPr>
            </w:pPr>
            <w:r>
              <w:rPr>
                <w:w w:val="120"/>
                <w:sz w:val="8"/>
              </w:rPr>
              <w:t>3,269,206</w:t>
            </w:r>
          </w:p>
        </w:tc>
        <w:tc>
          <w:tcPr>
            <w:tcW w:w="606" w:type="dxa"/>
            <w:tcBorders>
              <w:left w:val="single" w:sz="4" w:space="0" w:color="000000"/>
              <w:right w:val="single" w:sz="4" w:space="0" w:color="000000"/>
            </w:tcBorders>
          </w:tcPr>
          <w:p>
            <w:pPr>
              <w:pStyle w:val="TableParagraph"/>
              <w:spacing w:before="22"/>
              <w:ind w:left="42" w:right="33"/>
              <w:jc w:val="center"/>
              <w:rPr>
                <w:sz w:val="8"/>
              </w:rPr>
            </w:pPr>
            <w:r>
              <w:rPr>
                <w:w w:val="120"/>
                <w:sz w:val="8"/>
              </w:rPr>
              <w:t>16,651,884</w:t>
            </w:r>
          </w:p>
        </w:tc>
        <w:tc>
          <w:tcPr>
            <w:tcW w:w="552" w:type="dxa"/>
            <w:tcBorders>
              <w:left w:val="single" w:sz="4" w:space="0" w:color="000000"/>
              <w:right w:val="single" w:sz="4" w:space="0" w:color="000000"/>
            </w:tcBorders>
          </w:tcPr>
          <w:p>
            <w:pPr>
              <w:pStyle w:val="TableParagraph"/>
              <w:spacing w:before="22"/>
              <w:ind w:right="51"/>
              <w:rPr>
                <w:sz w:val="8"/>
              </w:rPr>
            </w:pPr>
            <w:r>
              <w:rPr>
                <w:w w:val="120"/>
                <w:sz w:val="8"/>
              </w:rPr>
              <w:t>3,726,993</w:t>
            </w:r>
          </w:p>
        </w:tc>
        <w:tc>
          <w:tcPr>
            <w:tcW w:w="712" w:type="dxa"/>
            <w:tcBorders>
              <w:left w:val="single" w:sz="4" w:space="0" w:color="000000"/>
              <w:right w:val="single" w:sz="4" w:space="0" w:color="000000"/>
            </w:tcBorders>
          </w:tcPr>
          <w:p>
            <w:pPr>
              <w:pStyle w:val="TableParagraph"/>
              <w:spacing w:before="22"/>
              <w:ind w:right="50"/>
              <w:rPr>
                <w:sz w:val="8"/>
              </w:rPr>
            </w:pPr>
            <w:r>
              <w:rPr>
                <w:w w:val="120"/>
                <w:sz w:val="8"/>
              </w:rPr>
              <w:t>17,047,708</w:t>
            </w:r>
          </w:p>
        </w:tc>
        <w:tc>
          <w:tcPr>
            <w:tcW w:w="552" w:type="dxa"/>
            <w:tcBorders>
              <w:left w:val="single" w:sz="4" w:space="0" w:color="000000"/>
              <w:right w:val="single" w:sz="4" w:space="0" w:color="000000"/>
            </w:tcBorders>
          </w:tcPr>
          <w:p>
            <w:pPr>
              <w:pStyle w:val="TableParagraph"/>
              <w:spacing w:before="22"/>
              <w:ind w:right="51"/>
              <w:rPr>
                <w:sz w:val="8"/>
              </w:rPr>
            </w:pPr>
            <w:r>
              <w:rPr>
                <w:w w:val="120"/>
                <w:sz w:val="8"/>
              </w:rPr>
              <w:t>6,860,706</w:t>
            </w:r>
          </w:p>
        </w:tc>
        <w:tc>
          <w:tcPr>
            <w:tcW w:w="668" w:type="dxa"/>
            <w:tcBorders>
              <w:left w:val="single" w:sz="4" w:space="0" w:color="000000"/>
              <w:right w:val="single" w:sz="4" w:space="0" w:color="000000"/>
            </w:tcBorders>
          </w:tcPr>
          <w:p>
            <w:pPr>
              <w:pStyle w:val="TableParagraph"/>
              <w:spacing w:before="22"/>
              <w:ind w:right="51"/>
              <w:rPr>
                <w:sz w:val="8"/>
              </w:rPr>
            </w:pPr>
            <w:r>
              <w:rPr>
                <w:w w:val="120"/>
                <w:sz w:val="8"/>
              </w:rPr>
              <w:t>22,010,971</w:t>
            </w:r>
          </w:p>
        </w:tc>
        <w:tc>
          <w:tcPr>
            <w:tcW w:w="552" w:type="dxa"/>
            <w:tcBorders>
              <w:left w:val="single" w:sz="4" w:space="0" w:color="000000"/>
              <w:right w:val="single" w:sz="4" w:space="0" w:color="000000"/>
            </w:tcBorders>
          </w:tcPr>
          <w:p>
            <w:pPr>
              <w:pStyle w:val="TableParagraph"/>
              <w:spacing w:before="22"/>
              <w:ind w:right="51"/>
              <w:rPr>
                <w:sz w:val="8"/>
              </w:rPr>
            </w:pPr>
            <w:r>
              <w:rPr>
                <w:w w:val="120"/>
                <w:sz w:val="8"/>
              </w:rPr>
              <w:t>8,297,449</w:t>
            </w:r>
          </w:p>
        </w:tc>
        <w:tc>
          <w:tcPr>
            <w:tcW w:w="668" w:type="dxa"/>
            <w:tcBorders>
              <w:left w:val="single" w:sz="4" w:space="0" w:color="000000"/>
              <w:right w:val="single" w:sz="4" w:space="0" w:color="000000"/>
            </w:tcBorders>
          </w:tcPr>
          <w:p>
            <w:pPr>
              <w:pStyle w:val="TableParagraph"/>
              <w:spacing w:before="22"/>
              <w:ind w:left="124"/>
              <w:jc w:val="left"/>
              <w:rPr>
                <w:sz w:val="8"/>
              </w:rPr>
            </w:pPr>
            <w:r>
              <w:rPr>
                <w:w w:val="120"/>
                <w:sz w:val="8"/>
              </w:rPr>
              <w:t>24,980,607</w:t>
            </w:r>
          </w:p>
        </w:tc>
        <w:tc>
          <w:tcPr>
            <w:tcW w:w="552" w:type="dxa"/>
            <w:tcBorders>
              <w:left w:val="single" w:sz="4" w:space="0" w:color="000000"/>
              <w:right w:val="single" w:sz="4" w:space="0" w:color="000000"/>
            </w:tcBorders>
          </w:tcPr>
          <w:p>
            <w:pPr>
              <w:pStyle w:val="TableParagraph"/>
              <w:spacing w:before="22"/>
              <w:ind w:left="42" w:right="33"/>
              <w:jc w:val="center"/>
              <w:rPr>
                <w:sz w:val="8"/>
              </w:rPr>
            </w:pPr>
            <w:r>
              <w:rPr>
                <w:w w:val="120"/>
                <w:sz w:val="8"/>
              </w:rPr>
              <w:t>8,550,035</w:t>
            </w:r>
          </w:p>
        </w:tc>
        <w:tc>
          <w:tcPr>
            <w:tcW w:w="766" w:type="dxa"/>
            <w:tcBorders>
              <w:left w:val="single" w:sz="4" w:space="0" w:color="000000"/>
              <w:right w:val="single" w:sz="4" w:space="0" w:color="000000"/>
            </w:tcBorders>
          </w:tcPr>
          <w:p>
            <w:pPr>
              <w:pStyle w:val="TableParagraph"/>
              <w:spacing w:before="22"/>
              <w:ind w:right="50"/>
              <w:rPr>
                <w:sz w:val="8"/>
              </w:rPr>
            </w:pPr>
            <w:r>
              <w:rPr>
                <w:w w:val="120"/>
                <w:sz w:val="8"/>
              </w:rPr>
              <w:t>19,714,072</w:t>
            </w:r>
          </w:p>
        </w:tc>
        <w:tc>
          <w:tcPr>
            <w:tcW w:w="748" w:type="dxa"/>
            <w:tcBorders>
              <w:left w:val="single" w:sz="4" w:space="0" w:color="000000"/>
              <w:right w:val="single" w:sz="4" w:space="0" w:color="000000"/>
            </w:tcBorders>
          </w:tcPr>
          <w:p>
            <w:pPr>
              <w:pStyle w:val="TableParagraph"/>
              <w:spacing w:before="22"/>
              <w:ind w:right="51"/>
              <w:rPr>
                <w:sz w:val="8"/>
              </w:rPr>
            </w:pPr>
            <w:r>
              <w:rPr>
                <w:w w:val="120"/>
                <w:sz w:val="8"/>
              </w:rPr>
              <w:t>13,440,812</w:t>
            </w:r>
          </w:p>
        </w:tc>
        <w:tc>
          <w:tcPr>
            <w:tcW w:w="748" w:type="dxa"/>
            <w:tcBorders>
              <w:left w:val="single" w:sz="4" w:space="0" w:color="000000"/>
              <w:right w:val="single" w:sz="4" w:space="0" w:color="000000"/>
            </w:tcBorders>
          </w:tcPr>
          <w:p>
            <w:pPr>
              <w:pStyle w:val="TableParagraph"/>
              <w:spacing w:before="22"/>
              <w:ind w:right="51"/>
              <w:rPr>
                <w:sz w:val="8"/>
              </w:rPr>
            </w:pPr>
            <w:r>
              <w:rPr>
                <w:w w:val="120"/>
                <w:sz w:val="8"/>
              </w:rPr>
              <w:t>19,485,647</w:t>
            </w:r>
          </w:p>
        </w:tc>
      </w:tr>
      <w:tr>
        <w:trPr>
          <w:trHeight w:val="470" w:hRule="exact"/>
        </w:trPr>
        <w:tc>
          <w:tcPr>
            <w:tcW w:w="1354" w:type="dxa"/>
            <w:tcBorders>
              <w:left w:val="single" w:sz="4" w:space="0" w:color="000000"/>
              <w:right w:val="single" w:sz="4" w:space="0" w:color="000000"/>
            </w:tcBorders>
            <w:shd w:val="clear" w:color="auto" w:fill="DBEDF3"/>
          </w:tcPr>
          <w:p>
            <w:pPr>
              <w:pStyle w:val="TableParagraph"/>
              <w:jc w:val="left"/>
              <w:rPr>
                <w:b/>
                <w:sz w:val="8"/>
              </w:rPr>
            </w:pPr>
          </w:p>
          <w:p>
            <w:pPr>
              <w:pStyle w:val="TableParagraph"/>
              <w:spacing w:line="292" w:lineRule="auto" w:before="49"/>
              <w:ind w:left="17" w:right="104"/>
              <w:jc w:val="left"/>
              <w:rPr>
                <w:b/>
                <w:sz w:val="8"/>
              </w:rPr>
            </w:pPr>
            <w:r>
              <w:rPr>
                <w:b/>
                <w:w w:val="120"/>
                <w:sz w:val="8"/>
              </w:rPr>
              <w:t>Subsector 31 Productos alimenticios, bebidas y tabaco</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right="50"/>
              <w:rPr>
                <w:sz w:val="8"/>
              </w:rPr>
            </w:pPr>
            <w:r>
              <w:rPr>
                <w:w w:val="120"/>
                <w:sz w:val="8"/>
              </w:rPr>
              <w:t>547,317</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right="50"/>
              <w:rPr>
                <w:sz w:val="8"/>
              </w:rPr>
            </w:pPr>
            <w:r>
              <w:rPr>
                <w:w w:val="120"/>
                <w:sz w:val="8"/>
              </w:rPr>
              <w:t>612,845</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left="122" w:right="33"/>
              <w:jc w:val="center"/>
              <w:rPr>
                <w:sz w:val="8"/>
              </w:rPr>
            </w:pPr>
            <w:r>
              <w:rPr>
                <w:w w:val="120"/>
                <w:sz w:val="8"/>
              </w:rPr>
              <w:t>589,508</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left="176" w:right="33"/>
              <w:jc w:val="center"/>
              <w:rPr>
                <w:sz w:val="8"/>
              </w:rPr>
            </w:pPr>
            <w:r>
              <w:rPr>
                <w:w w:val="120"/>
                <w:sz w:val="8"/>
              </w:rPr>
              <w:t>985,339</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right="50"/>
              <w:rPr>
                <w:sz w:val="8"/>
              </w:rPr>
            </w:pPr>
            <w:r>
              <w:rPr>
                <w:w w:val="120"/>
                <w:sz w:val="8"/>
              </w:rPr>
              <w:t>806,674</w:t>
            </w:r>
          </w:p>
        </w:tc>
        <w:tc>
          <w:tcPr>
            <w:tcW w:w="624"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right="51"/>
              <w:rPr>
                <w:sz w:val="8"/>
              </w:rPr>
            </w:pPr>
            <w:r>
              <w:rPr>
                <w:w w:val="120"/>
                <w:sz w:val="8"/>
              </w:rPr>
              <w:t>2,440,186</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left="122" w:right="33"/>
              <w:jc w:val="center"/>
              <w:rPr>
                <w:sz w:val="8"/>
              </w:rPr>
            </w:pPr>
            <w:r>
              <w:rPr>
                <w:w w:val="120"/>
                <w:sz w:val="8"/>
              </w:rPr>
              <w:t>515,677</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left="95" w:right="33"/>
              <w:jc w:val="center"/>
              <w:rPr>
                <w:sz w:val="8"/>
              </w:rPr>
            </w:pPr>
            <w:r>
              <w:rPr>
                <w:w w:val="120"/>
                <w:sz w:val="8"/>
              </w:rPr>
              <w:t>2,460,320</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right="50"/>
              <w:rPr>
                <w:sz w:val="8"/>
              </w:rPr>
            </w:pPr>
            <w:r>
              <w:rPr>
                <w:w w:val="120"/>
                <w:sz w:val="8"/>
              </w:rPr>
              <w:t>641,016</w:t>
            </w:r>
          </w:p>
        </w:tc>
        <w:tc>
          <w:tcPr>
            <w:tcW w:w="71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right="50"/>
              <w:rPr>
                <w:sz w:val="8"/>
              </w:rPr>
            </w:pPr>
            <w:r>
              <w:rPr>
                <w:w w:val="120"/>
                <w:sz w:val="8"/>
              </w:rPr>
              <w:t>2,531,282</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right="51"/>
              <w:rPr>
                <w:sz w:val="8"/>
              </w:rPr>
            </w:pPr>
            <w:r>
              <w:rPr>
                <w:w w:val="120"/>
                <w:sz w:val="8"/>
              </w:rPr>
              <w:t>1,637,373</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right="50"/>
              <w:rPr>
                <w:sz w:val="8"/>
              </w:rPr>
            </w:pPr>
            <w:r>
              <w:rPr>
                <w:w w:val="120"/>
                <w:sz w:val="8"/>
              </w:rPr>
              <w:t>3,400,066</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right="51"/>
              <w:rPr>
                <w:sz w:val="8"/>
              </w:rPr>
            </w:pPr>
            <w:r>
              <w:rPr>
                <w:w w:val="120"/>
                <w:sz w:val="8"/>
              </w:rPr>
              <w:t>1,799,267</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left="178"/>
              <w:jc w:val="left"/>
              <w:rPr>
                <w:sz w:val="8"/>
              </w:rPr>
            </w:pPr>
            <w:r>
              <w:rPr>
                <w:w w:val="120"/>
                <w:sz w:val="8"/>
              </w:rPr>
              <w:t>4,926,535</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left="42" w:right="33"/>
              <w:jc w:val="center"/>
              <w:rPr>
                <w:sz w:val="8"/>
              </w:rPr>
            </w:pPr>
            <w:r>
              <w:rPr>
                <w:w w:val="120"/>
                <w:sz w:val="8"/>
              </w:rPr>
              <w:t>2,763,878</w:t>
            </w:r>
          </w:p>
        </w:tc>
        <w:tc>
          <w:tcPr>
            <w:tcW w:w="76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right="50"/>
              <w:rPr>
                <w:sz w:val="8"/>
              </w:rPr>
            </w:pPr>
            <w:r>
              <w:rPr>
                <w:w w:val="120"/>
                <w:sz w:val="8"/>
              </w:rPr>
              <w:t>4,665,449</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right="50"/>
              <w:rPr>
                <w:sz w:val="8"/>
              </w:rPr>
            </w:pPr>
            <w:r>
              <w:rPr>
                <w:w w:val="120"/>
                <w:sz w:val="8"/>
              </w:rPr>
              <w:t>4,679,344</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8"/>
              <w:jc w:val="left"/>
              <w:rPr>
                <w:b/>
                <w:sz w:val="7"/>
              </w:rPr>
            </w:pPr>
          </w:p>
          <w:p>
            <w:pPr>
              <w:pStyle w:val="TableParagraph"/>
              <w:ind w:right="50"/>
              <w:rPr>
                <w:sz w:val="8"/>
              </w:rPr>
            </w:pPr>
            <w:r>
              <w:rPr>
                <w:w w:val="120"/>
                <w:sz w:val="8"/>
              </w:rPr>
              <w:t>5,474,092</w:t>
            </w:r>
          </w:p>
        </w:tc>
      </w:tr>
      <w:tr>
        <w:trPr>
          <w:trHeight w:val="358" w:hRule="exact"/>
        </w:trPr>
        <w:tc>
          <w:tcPr>
            <w:tcW w:w="1354" w:type="dxa"/>
            <w:tcBorders>
              <w:left w:val="single" w:sz="4" w:space="0" w:color="000000"/>
              <w:right w:val="single" w:sz="4" w:space="0" w:color="000000"/>
            </w:tcBorders>
            <w:shd w:val="clear" w:color="auto" w:fill="DBEDF3"/>
          </w:tcPr>
          <w:p>
            <w:pPr>
              <w:pStyle w:val="TableParagraph"/>
              <w:spacing w:line="292" w:lineRule="auto" w:before="29"/>
              <w:ind w:left="17" w:right="104"/>
              <w:jc w:val="left"/>
              <w:rPr>
                <w:b/>
                <w:sz w:val="8"/>
              </w:rPr>
            </w:pPr>
            <w:r>
              <w:rPr>
                <w:b/>
                <w:w w:val="120"/>
                <w:sz w:val="8"/>
              </w:rPr>
              <w:t>Subsector 32 Textiles, prendas de vestir e industrias  del cuero</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right="50"/>
              <w:rPr>
                <w:sz w:val="8"/>
              </w:rPr>
            </w:pPr>
            <w:r>
              <w:rPr>
                <w:w w:val="120"/>
                <w:sz w:val="8"/>
              </w:rPr>
              <w:t>105,219</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right="50"/>
              <w:rPr>
                <w:sz w:val="8"/>
              </w:rPr>
            </w:pPr>
            <w:r>
              <w:rPr>
                <w:w w:val="120"/>
                <w:sz w:val="8"/>
              </w:rPr>
              <w:t>1,434,755</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left="122" w:right="33"/>
              <w:jc w:val="center"/>
              <w:rPr>
                <w:sz w:val="8"/>
              </w:rPr>
            </w:pPr>
            <w:r>
              <w:rPr>
                <w:w w:val="120"/>
                <w:sz w:val="8"/>
              </w:rPr>
              <w:t>144,066</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left="96" w:right="33"/>
              <w:jc w:val="center"/>
              <w:rPr>
                <w:sz w:val="8"/>
              </w:rPr>
            </w:pPr>
            <w:r>
              <w:rPr>
                <w:w w:val="120"/>
                <w:sz w:val="8"/>
              </w:rPr>
              <w:t>1,728,044</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right="50"/>
              <w:rPr>
                <w:sz w:val="8"/>
              </w:rPr>
            </w:pPr>
            <w:r>
              <w:rPr>
                <w:w w:val="120"/>
                <w:sz w:val="8"/>
              </w:rPr>
              <w:t>164,008</w:t>
            </w:r>
          </w:p>
        </w:tc>
        <w:tc>
          <w:tcPr>
            <w:tcW w:w="624"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right="51"/>
              <w:rPr>
                <w:sz w:val="8"/>
              </w:rPr>
            </w:pPr>
            <w:r>
              <w:rPr>
                <w:w w:val="120"/>
                <w:sz w:val="8"/>
              </w:rPr>
              <w:t>1,909,353</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left="122" w:right="33"/>
              <w:jc w:val="center"/>
              <w:rPr>
                <w:sz w:val="8"/>
              </w:rPr>
            </w:pPr>
            <w:r>
              <w:rPr>
                <w:w w:val="120"/>
                <w:sz w:val="8"/>
              </w:rPr>
              <w:t>315,098</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left="95" w:right="33"/>
              <w:jc w:val="center"/>
              <w:rPr>
                <w:sz w:val="8"/>
              </w:rPr>
            </w:pPr>
            <w:r>
              <w:rPr>
                <w:w w:val="120"/>
                <w:sz w:val="8"/>
              </w:rPr>
              <w:t>1,740,955</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right="50"/>
              <w:rPr>
                <w:sz w:val="8"/>
              </w:rPr>
            </w:pPr>
            <w:r>
              <w:rPr>
                <w:w w:val="120"/>
                <w:sz w:val="8"/>
              </w:rPr>
              <w:t>193,324</w:t>
            </w:r>
          </w:p>
        </w:tc>
        <w:tc>
          <w:tcPr>
            <w:tcW w:w="71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right="50"/>
              <w:rPr>
                <w:sz w:val="8"/>
              </w:rPr>
            </w:pPr>
            <w:r>
              <w:rPr>
                <w:w w:val="120"/>
                <w:sz w:val="8"/>
              </w:rPr>
              <w:t>1,436,546</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right="50"/>
              <w:rPr>
                <w:sz w:val="8"/>
              </w:rPr>
            </w:pPr>
            <w:r>
              <w:rPr>
                <w:w w:val="120"/>
                <w:sz w:val="8"/>
              </w:rPr>
              <w:t>324,849</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right="50"/>
              <w:rPr>
                <w:sz w:val="8"/>
              </w:rPr>
            </w:pPr>
            <w:r>
              <w:rPr>
                <w:w w:val="120"/>
                <w:sz w:val="8"/>
              </w:rPr>
              <w:t>3,050,632</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right="50"/>
              <w:rPr>
                <w:sz w:val="8"/>
              </w:rPr>
            </w:pPr>
            <w:r>
              <w:rPr>
                <w:w w:val="120"/>
                <w:sz w:val="8"/>
              </w:rPr>
              <w:t>449,370</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left="178"/>
              <w:jc w:val="left"/>
              <w:rPr>
                <w:sz w:val="8"/>
              </w:rPr>
            </w:pPr>
            <w:r>
              <w:rPr>
                <w:w w:val="120"/>
                <w:sz w:val="8"/>
              </w:rPr>
              <w:t>1,906,633</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left="122" w:right="33"/>
              <w:jc w:val="center"/>
              <w:rPr>
                <w:sz w:val="8"/>
              </w:rPr>
            </w:pPr>
            <w:r>
              <w:rPr>
                <w:w w:val="120"/>
                <w:sz w:val="8"/>
              </w:rPr>
              <w:t>390,112</w:t>
            </w:r>
          </w:p>
        </w:tc>
        <w:tc>
          <w:tcPr>
            <w:tcW w:w="76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right="50"/>
              <w:rPr>
                <w:sz w:val="8"/>
              </w:rPr>
            </w:pPr>
            <w:r>
              <w:rPr>
                <w:w w:val="120"/>
                <w:sz w:val="8"/>
              </w:rPr>
              <w:t>1,203,782</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right="50"/>
              <w:rPr>
                <w:sz w:val="8"/>
              </w:rPr>
            </w:pPr>
            <w:r>
              <w:rPr>
                <w:w w:val="120"/>
                <w:sz w:val="8"/>
              </w:rPr>
              <w:t>574,751</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9"/>
              <w:ind w:right="50"/>
              <w:rPr>
                <w:sz w:val="8"/>
              </w:rPr>
            </w:pPr>
            <w:r>
              <w:rPr>
                <w:w w:val="120"/>
                <w:sz w:val="8"/>
              </w:rPr>
              <w:t>1,284,060</w:t>
            </w:r>
          </w:p>
        </w:tc>
      </w:tr>
      <w:tr>
        <w:trPr>
          <w:trHeight w:val="477" w:hRule="exact"/>
        </w:trPr>
        <w:tc>
          <w:tcPr>
            <w:tcW w:w="1354" w:type="dxa"/>
            <w:tcBorders>
              <w:left w:val="single" w:sz="4" w:space="0" w:color="000000"/>
              <w:right w:val="single" w:sz="4" w:space="0" w:color="000000"/>
            </w:tcBorders>
            <w:shd w:val="clear" w:color="auto" w:fill="DBEDF3"/>
          </w:tcPr>
          <w:p>
            <w:pPr>
              <w:pStyle w:val="TableParagraph"/>
              <w:jc w:val="left"/>
              <w:rPr>
                <w:b/>
                <w:sz w:val="8"/>
              </w:rPr>
            </w:pPr>
          </w:p>
          <w:p>
            <w:pPr>
              <w:pStyle w:val="TableParagraph"/>
              <w:spacing w:line="292" w:lineRule="auto" w:before="56"/>
              <w:ind w:left="17" w:right="79"/>
              <w:jc w:val="both"/>
              <w:rPr>
                <w:b/>
                <w:sz w:val="8"/>
              </w:rPr>
            </w:pPr>
            <w:r>
              <w:rPr>
                <w:b/>
                <w:w w:val="120"/>
                <w:sz w:val="8"/>
              </w:rPr>
              <w:t>Subsector 33 Industria de la madera y productos de madera. Incluye  muebles</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right="50"/>
              <w:rPr>
                <w:sz w:val="8"/>
              </w:rPr>
            </w:pPr>
            <w:r>
              <w:rPr>
                <w:w w:val="120"/>
                <w:sz w:val="8"/>
              </w:rPr>
              <w:t>3,550</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right="50"/>
              <w:rPr>
                <w:sz w:val="8"/>
              </w:rPr>
            </w:pPr>
            <w:r>
              <w:rPr>
                <w:w w:val="120"/>
                <w:sz w:val="8"/>
              </w:rPr>
              <w:t>219,597</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left="229" w:right="32"/>
              <w:jc w:val="center"/>
              <w:rPr>
                <w:sz w:val="8"/>
              </w:rPr>
            </w:pPr>
            <w:r>
              <w:rPr>
                <w:w w:val="120"/>
                <w:sz w:val="8"/>
              </w:rPr>
              <w:t>9,186</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left="176" w:right="33"/>
              <w:jc w:val="center"/>
              <w:rPr>
                <w:sz w:val="8"/>
              </w:rPr>
            </w:pPr>
            <w:r>
              <w:rPr>
                <w:w w:val="120"/>
                <w:sz w:val="8"/>
              </w:rPr>
              <w:t>490,166</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right="50"/>
              <w:rPr>
                <w:sz w:val="8"/>
              </w:rPr>
            </w:pPr>
            <w:r>
              <w:rPr>
                <w:w w:val="120"/>
                <w:sz w:val="8"/>
              </w:rPr>
              <w:t>6,162</w:t>
            </w:r>
          </w:p>
        </w:tc>
        <w:tc>
          <w:tcPr>
            <w:tcW w:w="624"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right="50"/>
              <w:rPr>
                <w:sz w:val="8"/>
              </w:rPr>
            </w:pPr>
            <w:r>
              <w:rPr>
                <w:w w:val="120"/>
                <w:sz w:val="8"/>
              </w:rPr>
              <w:t>426,599</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left="175" w:right="33"/>
              <w:jc w:val="center"/>
              <w:rPr>
                <w:sz w:val="8"/>
              </w:rPr>
            </w:pPr>
            <w:r>
              <w:rPr>
                <w:w w:val="120"/>
                <w:sz w:val="8"/>
              </w:rPr>
              <w:t>41,061</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left="176" w:right="33"/>
              <w:jc w:val="center"/>
              <w:rPr>
                <w:sz w:val="8"/>
              </w:rPr>
            </w:pPr>
            <w:r>
              <w:rPr>
                <w:w w:val="120"/>
                <w:sz w:val="8"/>
              </w:rPr>
              <w:t>251,838</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right="50"/>
              <w:rPr>
                <w:sz w:val="8"/>
              </w:rPr>
            </w:pPr>
            <w:r>
              <w:rPr>
                <w:w w:val="120"/>
                <w:sz w:val="8"/>
              </w:rPr>
              <w:t>22,146</w:t>
            </w:r>
          </w:p>
        </w:tc>
        <w:tc>
          <w:tcPr>
            <w:tcW w:w="71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right="50"/>
              <w:rPr>
                <w:sz w:val="8"/>
              </w:rPr>
            </w:pPr>
            <w:r>
              <w:rPr>
                <w:w w:val="120"/>
                <w:sz w:val="8"/>
              </w:rPr>
              <w:t>210,243</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right="50"/>
              <w:rPr>
                <w:sz w:val="8"/>
              </w:rPr>
            </w:pPr>
            <w:r>
              <w:rPr>
                <w:w w:val="120"/>
                <w:sz w:val="8"/>
              </w:rPr>
              <w:t>43,020</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right="50"/>
              <w:rPr>
                <w:sz w:val="8"/>
              </w:rPr>
            </w:pPr>
            <w:r>
              <w:rPr>
                <w:w w:val="120"/>
                <w:sz w:val="8"/>
              </w:rPr>
              <w:t>347,799</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right="50"/>
              <w:rPr>
                <w:sz w:val="8"/>
              </w:rPr>
            </w:pPr>
            <w:r>
              <w:rPr>
                <w:w w:val="120"/>
                <w:sz w:val="8"/>
              </w:rPr>
              <w:t>42,117</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right="50"/>
              <w:rPr>
                <w:sz w:val="8"/>
              </w:rPr>
            </w:pPr>
            <w:r>
              <w:rPr>
                <w:w w:val="120"/>
                <w:sz w:val="8"/>
              </w:rPr>
              <w:t>322,747</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left="175" w:right="32"/>
              <w:jc w:val="center"/>
              <w:rPr>
                <w:sz w:val="8"/>
              </w:rPr>
            </w:pPr>
            <w:r>
              <w:rPr>
                <w:w w:val="120"/>
                <w:sz w:val="8"/>
              </w:rPr>
              <w:t>19,617</w:t>
            </w:r>
          </w:p>
        </w:tc>
        <w:tc>
          <w:tcPr>
            <w:tcW w:w="76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right="50"/>
              <w:rPr>
                <w:sz w:val="8"/>
              </w:rPr>
            </w:pPr>
            <w:r>
              <w:rPr>
                <w:w w:val="120"/>
                <w:sz w:val="8"/>
              </w:rPr>
              <w:t>51,713</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right="50"/>
              <w:rPr>
                <w:sz w:val="8"/>
              </w:rPr>
            </w:pPr>
            <w:r>
              <w:rPr>
                <w:w w:val="120"/>
                <w:sz w:val="8"/>
              </w:rPr>
              <w:t>9,973</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
              <w:jc w:val="left"/>
              <w:rPr>
                <w:b/>
                <w:sz w:val="8"/>
              </w:rPr>
            </w:pPr>
          </w:p>
          <w:p>
            <w:pPr>
              <w:pStyle w:val="TableParagraph"/>
              <w:ind w:right="50"/>
              <w:rPr>
                <w:sz w:val="8"/>
              </w:rPr>
            </w:pPr>
            <w:r>
              <w:rPr>
                <w:w w:val="120"/>
                <w:sz w:val="8"/>
              </w:rPr>
              <w:t>56,282</w:t>
            </w:r>
          </w:p>
        </w:tc>
      </w:tr>
      <w:tr>
        <w:trPr>
          <w:trHeight w:val="410" w:hRule="exact"/>
        </w:trPr>
        <w:tc>
          <w:tcPr>
            <w:tcW w:w="1354" w:type="dxa"/>
            <w:tcBorders>
              <w:left w:val="single" w:sz="4" w:space="0" w:color="000000"/>
              <w:right w:val="single" w:sz="4" w:space="0" w:color="000000"/>
            </w:tcBorders>
            <w:shd w:val="clear" w:color="auto" w:fill="DBEDF3"/>
          </w:tcPr>
          <w:p>
            <w:pPr>
              <w:pStyle w:val="TableParagraph"/>
              <w:spacing w:before="1"/>
              <w:jc w:val="left"/>
              <w:rPr>
                <w:b/>
                <w:sz w:val="7"/>
              </w:rPr>
            </w:pPr>
          </w:p>
          <w:p>
            <w:pPr>
              <w:pStyle w:val="TableParagraph"/>
              <w:spacing w:line="292" w:lineRule="auto"/>
              <w:ind w:left="17" w:right="104"/>
              <w:jc w:val="left"/>
              <w:rPr>
                <w:b/>
                <w:sz w:val="8"/>
              </w:rPr>
            </w:pPr>
            <w:r>
              <w:rPr>
                <w:b/>
                <w:w w:val="120"/>
                <w:sz w:val="8"/>
              </w:rPr>
              <w:t>Subsector 34 Papel y productos  de  papel,</w:t>
            </w:r>
          </w:p>
          <w:p>
            <w:pPr>
              <w:pStyle w:val="TableParagraph"/>
              <w:ind w:left="17" w:right="104"/>
              <w:jc w:val="left"/>
              <w:rPr>
                <w:b/>
                <w:sz w:val="8"/>
              </w:rPr>
            </w:pPr>
            <w:r>
              <w:rPr>
                <w:b/>
                <w:w w:val="120"/>
                <w:sz w:val="8"/>
              </w:rPr>
              <w:t>imprentas  y editoriales</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9,162</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875,252</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left="229" w:right="32"/>
              <w:jc w:val="center"/>
              <w:rPr>
                <w:sz w:val="8"/>
              </w:rPr>
            </w:pPr>
            <w:r>
              <w:rPr>
                <w:w w:val="120"/>
                <w:sz w:val="8"/>
              </w:rPr>
              <w:t>5,710</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left="96" w:right="33"/>
              <w:jc w:val="center"/>
              <w:rPr>
                <w:sz w:val="8"/>
              </w:rPr>
            </w:pPr>
            <w:r>
              <w:rPr>
                <w:w w:val="120"/>
                <w:sz w:val="8"/>
              </w:rPr>
              <w:t>1,016,290</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227,678</w:t>
            </w:r>
          </w:p>
        </w:tc>
        <w:tc>
          <w:tcPr>
            <w:tcW w:w="624"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1"/>
              <w:rPr>
                <w:sz w:val="8"/>
              </w:rPr>
            </w:pPr>
            <w:r>
              <w:rPr>
                <w:w w:val="120"/>
                <w:sz w:val="8"/>
              </w:rPr>
              <w:t>1,620,978</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left="175" w:right="33"/>
              <w:jc w:val="center"/>
              <w:rPr>
                <w:sz w:val="8"/>
              </w:rPr>
            </w:pPr>
            <w:r>
              <w:rPr>
                <w:w w:val="120"/>
                <w:sz w:val="8"/>
              </w:rPr>
              <w:t>48,088</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left="176" w:right="33"/>
              <w:jc w:val="center"/>
              <w:rPr>
                <w:sz w:val="8"/>
              </w:rPr>
            </w:pPr>
            <w:r>
              <w:rPr>
                <w:w w:val="120"/>
                <w:sz w:val="8"/>
              </w:rPr>
              <w:t>788,967</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36,800</w:t>
            </w:r>
          </w:p>
        </w:tc>
        <w:tc>
          <w:tcPr>
            <w:tcW w:w="71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1,579,616</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147,040</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1,362,158</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86,282</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left="178"/>
              <w:jc w:val="left"/>
              <w:rPr>
                <w:sz w:val="8"/>
              </w:rPr>
            </w:pPr>
            <w:r>
              <w:rPr>
                <w:w w:val="120"/>
                <w:sz w:val="8"/>
              </w:rPr>
              <w:t>1,629,344</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left="175" w:right="32"/>
              <w:jc w:val="center"/>
              <w:rPr>
                <w:sz w:val="8"/>
              </w:rPr>
            </w:pPr>
            <w:r>
              <w:rPr>
                <w:w w:val="120"/>
                <w:sz w:val="8"/>
              </w:rPr>
              <w:t>76,850</w:t>
            </w:r>
          </w:p>
        </w:tc>
        <w:tc>
          <w:tcPr>
            <w:tcW w:w="76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2,096,270</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199,419</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1,540,366</w:t>
            </w:r>
          </w:p>
        </w:tc>
      </w:tr>
      <w:tr>
        <w:trPr>
          <w:trHeight w:val="686" w:hRule="exact"/>
        </w:trPr>
        <w:tc>
          <w:tcPr>
            <w:tcW w:w="1354" w:type="dxa"/>
            <w:tcBorders>
              <w:left w:val="single" w:sz="4" w:space="0" w:color="000000"/>
              <w:right w:val="single" w:sz="4" w:space="0" w:color="000000"/>
            </w:tcBorders>
            <w:shd w:val="clear" w:color="auto" w:fill="DBEDF3"/>
          </w:tcPr>
          <w:p>
            <w:pPr>
              <w:pStyle w:val="TableParagraph"/>
              <w:spacing w:before="7"/>
              <w:jc w:val="left"/>
              <w:rPr>
                <w:b/>
                <w:sz w:val="11"/>
              </w:rPr>
            </w:pPr>
          </w:p>
          <w:p>
            <w:pPr>
              <w:pStyle w:val="TableParagraph"/>
              <w:spacing w:line="292" w:lineRule="auto"/>
              <w:ind w:left="17" w:right="104"/>
              <w:jc w:val="left"/>
              <w:rPr>
                <w:b/>
                <w:sz w:val="8"/>
              </w:rPr>
            </w:pPr>
            <w:r>
              <w:rPr>
                <w:b/>
                <w:w w:val="120"/>
                <w:sz w:val="8"/>
              </w:rPr>
              <w:t>Subsector 35 Sustancias químicas,  productos</w:t>
            </w:r>
          </w:p>
          <w:p>
            <w:pPr>
              <w:pStyle w:val="TableParagraph"/>
              <w:spacing w:line="292" w:lineRule="auto"/>
              <w:ind w:left="17" w:right="104"/>
              <w:jc w:val="left"/>
              <w:rPr>
                <w:b/>
                <w:sz w:val="8"/>
              </w:rPr>
            </w:pPr>
            <w:r>
              <w:rPr>
                <w:b/>
                <w:w w:val="120"/>
                <w:sz w:val="8"/>
              </w:rPr>
              <w:t>derivados del petróleo y del carbón, hule y de plástico</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431,899</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2,691,948</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left="122" w:right="33"/>
              <w:jc w:val="center"/>
              <w:rPr>
                <w:sz w:val="8"/>
              </w:rPr>
            </w:pPr>
            <w:r>
              <w:rPr>
                <w:w w:val="120"/>
                <w:sz w:val="8"/>
              </w:rPr>
              <w:t>601,062</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left="96" w:right="33"/>
              <w:jc w:val="center"/>
              <w:rPr>
                <w:sz w:val="8"/>
              </w:rPr>
            </w:pPr>
            <w:r>
              <w:rPr>
                <w:w w:val="120"/>
                <w:sz w:val="8"/>
              </w:rPr>
              <w:t>4,163,810</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601,200</w:t>
            </w:r>
          </w:p>
        </w:tc>
        <w:tc>
          <w:tcPr>
            <w:tcW w:w="624"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1"/>
              <w:rPr>
                <w:sz w:val="8"/>
              </w:rPr>
            </w:pPr>
            <w:r>
              <w:rPr>
                <w:w w:val="120"/>
                <w:sz w:val="8"/>
              </w:rPr>
              <w:t>4,326,332</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left="122" w:right="33"/>
              <w:jc w:val="center"/>
              <w:rPr>
                <w:sz w:val="8"/>
              </w:rPr>
            </w:pPr>
            <w:r>
              <w:rPr>
                <w:w w:val="120"/>
                <w:sz w:val="8"/>
              </w:rPr>
              <w:t>838,506</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left="95" w:right="33"/>
              <w:jc w:val="center"/>
              <w:rPr>
                <w:sz w:val="8"/>
              </w:rPr>
            </w:pPr>
            <w:r>
              <w:rPr>
                <w:w w:val="120"/>
                <w:sz w:val="8"/>
              </w:rPr>
              <w:t>3,652,103</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1"/>
              <w:rPr>
                <w:sz w:val="8"/>
              </w:rPr>
            </w:pPr>
            <w:r>
              <w:rPr>
                <w:w w:val="120"/>
                <w:sz w:val="8"/>
              </w:rPr>
              <w:t>1,015,073</w:t>
            </w:r>
          </w:p>
        </w:tc>
        <w:tc>
          <w:tcPr>
            <w:tcW w:w="71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3,897,795</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1"/>
              <w:rPr>
                <w:sz w:val="8"/>
              </w:rPr>
            </w:pPr>
            <w:r>
              <w:rPr>
                <w:w w:val="120"/>
                <w:sz w:val="8"/>
              </w:rPr>
              <w:t>1,289,202</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5,219,698</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1"/>
              <w:rPr>
                <w:sz w:val="8"/>
              </w:rPr>
            </w:pPr>
            <w:r>
              <w:rPr>
                <w:w w:val="120"/>
                <w:sz w:val="8"/>
              </w:rPr>
              <w:t>2,235,174</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left="178"/>
              <w:jc w:val="left"/>
              <w:rPr>
                <w:sz w:val="8"/>
              </w:rPr>
            </w:pPr>
            <w:r>
              <w:rPr>
                <w:w w:val="120"/>
                <w:sz w:val="8"/>
              </w:rPr>
              <w:t>6,463,283</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left="42" w:right="33"/>
              <w:jc w:val="center"/>
              <w:rPr>
                <w:sz w:val="8"/>
              </w:rPr>
            </w:pPr>
            <w:r>
              <w:rPr>
                <w:w w:val="120"/>
                <w:sz w:val="8"/>
              </w:rPr>
              <w:t>2,350,778</w:t>
            </w:r>
          </w:p>
        </w:tc>
        <w:tc>
          <w:tcPr>
            <w:tcW w:w="76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4,985,434</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3,888,575</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6"/>
              <w:jc w:val="left"/>
              <w:rPr>
                <w:b/>
                <w:sz w:val="10"/>
              </w:rPr>
            </w:pPr>
          </w:p>
          <w:p>
            <w:pPr>
              <w:pStyle w:val="TableParagraph"/>
              <w:ind w:right="50"/>
              <w:rPr>
                <w:sz w:val="8"/>
              </w:rPr>
            </w:pPr>
            <w:r>
              <w:rPr>
                <w:w w:val="120"/>
                <w:sz w:val="8"/>
              </w:rPr>
              <w:t>5,151,900</w:t>
            </w:r>
          </w:p>
        </w:tc>
      </w:tr>
      <w:tr>
        <w:trPr>
          <w:trHeight w:val="559" w:hRule="exact"/>
        </w:trPr>
        <w:tc>
          <w:tcPr>
            <w:tcW w:w="1354" w:type="dxa"/>
            <w:tcBorders>
              <w:left w:val="single" w:sz="4" w:space="0" w:color="000000"/>
              <w:right w:val="single" w:sz="4" w:space="0" w:color="000000"/>
            </w:tcBorders>
            <w:shd w:val="clear" w:color="auto" w:fill="DBEDF3"/>
          </w:tcPr>
          <w:p>
            <w:pPr>
              <w:pStyle w:val="TableParagraph"/>
              <w:spacing w:before="3"/>
              <w:jc w:val="left"/>
              <w:rPr>
                <w:b/>
                <w:sz w:val="10"/>
              </w:rPr>
            </w:pPr>
          </w:p>
          <w:p>
            <w:pPr>
              <w:pStyle w:val="TableParagraph"/>
              <w:spacing w:line="292" w:lineRule="auto"/>
              <w:ind w:left="17" w:right="104"/>
              <w:jc w:val="left"/>
              <w:rPr>
                <w:b/>
                <w:sz w:val="8"/>
              </w:rPr>
            </w:pPr>
            <w:r>
              <w:rPr>
                <w:b/>
                <w:w w:val="120"/>
                <w:sz w:val="8"/>
              </w:rPr>
              <w:t>Subsector 36 Productos minerales no metálicos. Excluye los derivados del petróleo y del carbón</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right="50"/>
              <w:rPr>
                <w:sz w:val="8"/>
              </w:rPr>
            </w:pPr>
            <w:r>
              <w:rPr>
                <w:w w:val="120"/>
                <w:sz w:val="8"/>
              </w:rPr>
              <w:t>19,093</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right="50"/>
              <w:rPr>
                <w:sz w:val="8"/>
              </w:rPr>
            </w:pPr>
            <w:r>
              <w:rPr>
                <w:w w:val="120"/>
                <w:sz w:val="8"/>
              </w:rPr>
              <w:t>860,327</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left="175" w:right="33"/>
              <w:jc w:val="center"/>
              <w:rPr>
                <w:sz w:val="8"/>
              </w:rPr>
            </w:pPr>
            <w:r>
              <w:rPr>
                <w:w w:val="120"/>
                <w:sz w:val="8"/>
              </w:rPr>
              <w:t>40,620</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left="96" w:right="33"/>
              <w:jc w:val="center"/>
              <w:rPr>
                <w:sz w:val="8"/>
              </w:rPr>
            </w:pPr>
            <w:r>
              <w:rPr>
                <w:w w:val="120"/>
                <w:sz w:val="8"/>
              </w:rPr>
              <w:t>1,139,488</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right="50"/>
              <w:rPr>
                <w:sz w:val="8"/>
              </w:rPr>
            </w:pPr>
            <w:r>
              <w:rPr>
                <w:w w:val="120"/>
                <w:sz w:val="8"/>
              </w:rPr>
              <w:t>112,427</w:t>
            </w:r>
          </w:p>
        </w:tc>
        <w:tc>
          <w:tcPr>
            <w:tcW w:w="624"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right="51"/>
              <w:rPr>
                <w:sz w:val="8"/>
              </w:rPr>
            </w:pPr>
            <w:r>
              <w:rPr>
                <w:w w:val="120"/>
                <w:sz w:val="8"/>
              </w:rPr>
              <w:t>1,293,443</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left="122" w:right="33"/>
              <w:jc w:val="center"/>
              <w:rPr>
                <w:sz w:val="8"/>
              </w:rPr>
            </w:pPr>
            <w:r>
              <w:rPr>
                <w:w w:val="120"/>
                <w:sz w:val="8"/>
              </w:rPr>
              <w:t>166,565</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left="95" w:right="33"/>
              <w:jc w:val="center"/>
              <w:rPr>
                <w:sz w:val="8"/>
              </w:rPr>
            </w:pPr>
            <w:r>
              <w:rPr>
                <w:w w:val="120"/>
                <w:sz w:val="8"/>
              </w:rPr>
              <w:t>1,491,273</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right="50"/>
              <w:rPr>
                <w:sz w:val="8"/>
              </w:rPr>
            </w:pPr>
            <w:r>
              <w:rPr>
                <w:w w:val="120"/>
                <w:sz w:val="8"/>
              </w:rPr>
              <w:t>121,640</w:t>
            </w:r>
          </w:p>
        </w:tc>
        <w:tc>
          <w:tcPr>
            <w:tcW w:w="71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right="50"/>
              <w:rPr>
                <w:sz w:val="8"/>
              </w:rPr>
            </w:pPr>
            <w:r>
              <w:rPr>
                <w:w w:val="120"/>
                <w:sz w:val="8"/>
              </w:rPr>
              <w:t>1,117,039</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right="50"/>
              <w:rPr>
                <w:sz w:val="8"/>
              </w:rPr>
            </w:pPr>
            <w:r>
              <w:rPr>
                <w:w w:val="120"/>
                <w:sz w:val="8"/>
              </w:rPr>
              <w:t>175,305</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right="50"/>
              <w:rPr>
                <w:sz w:val="8"/>
              </w:rPr>
            </w:pPr>
            <w:r>
              <w:rPr>
                <w:w w:val="120"/>
                <w:sz w:val="8"/>
              </w:rPr>
              <w:t>2,122,937</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right="50"/>
              <w:rPr>
                <w:sz w:val="8"/>
              </w:rPr>
            </w:pPr>
            <w:r>
              <w:rPr>
                <w:w w:val="120"/>
                <w:sz w:val="8"/>
              </w:rPr>
              <w:t>100,073</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left="178"/>
              <w:jc w:val="left"/>
              <w:rPr>
                <w:sz w:val="8"/>
              </w:rPr>
            </w:pPr>
            <w:r>
              <w:rPr>
                <w:w w:val="120"/>
                <w:sz w:val="8"/>
              </w:rPr>
              <w:t>1,412,835</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left="175" w:right="32"/>
              <w:jc w:val="center"/>
              <w:rPr>
                <w:sz w:val="8"/>
              </w:rPr>
            </w:pPr>
            <w:r>
              <w:rPr>
                <w:w w:val="120"/>
                <w:sz w:val="8"/>
              </w:rPr>
              <w:t>81,320</w:t>
            </w:r>
          </w:p>
        </w:tc>
        <w:tc>
          <w:tcPr>
            <w:tcW w:w="76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right="50"/>
              <w:rPr>
                <w:sz w:val="8"/>
              </w:rPr>
            </w:pPr>
            <w:r>
              <w:rPr>
                <w:w w:val="120"/>
                <w:sz w:val="8"/>
              </w:rPr>
              <w:t>1,722,930</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right="50"/>
              <w:rPr>
                <w:sz w:val="8"/>
              </w:rPr>
            </w:pPr>
            <w:r>
              <w:rPr>
                <w:w w:val="120"/>
                <w:sz w:val="8"/>
              </w:rPr>
              <w:t>411,008</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5"/>
              <w:jc w:val="left"/>
              <w:rPr>
                <w:b/>
                <w:sz w:val="7"/>
              </w:rPr>
            </w:pPr>
          </w:p>
          <w:p>
            <w:pPr>
              <w:pStyle w:val="TableParagraph"/>
              <w:ind w:right="50"/>
              <w:rPr>
                <w:sz w:val="8"/>
              </w:rPr>
            </w:pPr>
            <w:r>
              <w:rPr>
                <w:w w:val="120"/>
                <w:sz w:val="8"/>
              </w:rPr>
              <w:t>877,906</w:t>
            </w:r>
          </w:p>
        </w:tc>
      </w:tr>
      <w:tr>
        <w:trPr>
          <w:trHeight w:val="336" w:hRule="exact"/>
        </w:trPr>
        <w:tc>
          <w:tcPr>
            <w:tcW w:w="1354" w:type="dxa"/>
            <w:tcBorders>
              <w:left w:val="single" w:sz="4" w:space="0" w:color="000000"/>
              <w:right w:val="single" w:sz="4" w:space="0" w:color="000000"/>
            </w:tcBorders>
            <w:shd w:val="clear" w:color="auto" w:fill="DBEDF3"/>
          </w:tcPr>
          <w:p>
            <w:pPr>
              <w:pStyle w:val="TableParagraph"/>
              <w:spacing w:before="3"/>
              <w:jc w:val="left"/>
              <w:rPr>
                <w:b/>
                <w:sz w:val="10"/>
              </w:rPr>
            </w:pPr>
          </w:p>
          <w:p>
            <w:pPr>
              <w:pStyle w:val="TableParagraph"/>
              <w:spacing w:line="292" w:lineRule="auto" w:before="1"/>
              <w:ind w:left="17" w:right="104"/>
              <w:jc w:val="left"/>
              <w:rPr>
                <w:b/>
                <w:sz w:val="8"/>
              </w:rPr>
            </w:pPr>
            <w:r>
              <w:rPr>
                <w:b/>
                <w:w w:val="120"/>
                <w:sz w:val="8"/>
              </w:rPr>
              <w:t>Subsector 37 Industrias metalicas  básicas</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left="347"/>
              <w:jc w:val="left"/>
              <w:rPr>
                <w:sz w:val="8"/>
              </w:rPr>
            </w:pPr>
            <w:r>
              <w:rPr>
                <w:w w:val="122"/>
                <w:sz w:val="8"/>
              </w:rPr>
              <w:t>-</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right="50"/>
              <w:rPr>
                <w:sz w:val="8"/>
              </w:rPr>
            </w:pPr>
            <w:r>
              <w:rPr>
                <w:w w:val="120"/>
                <w:sz w:val="8"/>
              </w:rPr>
              <w:t>864,607</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left="184"/>
              <w:jc w:val="center"/>
              <w:rPr>
                <w:sz w:val="8"/>
              </w:rPr>
            </w:pPr>
            <w:r>
              <w:rPr>
                <w:w w:val="122"/>
                <w:sz w:val="8"/>
              </w:rPr>
              <w:t>-</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left="96" w:right="33"/>
              <w:jc w:val="center"/>
              <w:rPr>
                <w:sz w:val="8"/>
              </w:rPr>
            </w:pPr>
            <w:r>
              <w:rPr>
                <w:w w:val="120"/>
                <w:sz w:val="8"/>
              </w:rPr>
              <w:t>1,402,832</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right="50"/>
              <w:rPr>
                <w:sz w:val="8"/>
              </w:rPr>
            </w:pPr>
            <w:r>
              <w:rPr>
                <w:w w:val="120"/>
                <w:sz w:val="8"/>
              </w:rPr>
              <w:t>111,408</w:t>
            </w:r>
          </w:p>
        </w:tc>
        <w:tc>
          <w:tcPr>
            <w:tcW w:w="624"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right="51"/>
              <w:rPr>
                <w:sz w:val="8"/>
              </w:rPr>
            </w:pPr>
            <w:r>
              <w:rPr>
                <w:w w:val="120"/>
                <w:sz w:val="8"/>
              </w:rPr>
              <w:t>1,859,878</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left="229" w:right="33"/>
              <w:jc w:val="center"/>
              <w:rPr>
                <w:sz w:val="8"/>
              </w:rPr>
            </w:pPr>
            <w:r>
              <w:rPr>
                <w:w w:val="120"/>
                <w:sz w:val="8"/>
              </w:rPr>
              <w:t>4,871</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left="176" w:right="33"/>
              <w:jc w:val="center"/>
              <w:rPr>
                <w:sz w:val="8"/>
              </w:rPr>
            </w:pPr>
            <w:r>
              <w:rPr>
                <w:w w:val="120"/>
                <w:sz w:val="8"/>
              </w:rPr>
              <w:t>760,819</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right="50"/>
              <w:rPr>
                <w:sz w:val="8"/>
              </w:rPr>
            </w:pPr>
            <w:r>
              <w:rPr>
                <w:w w:val="120"/>
                <w:sz w:val="8"/>
              </w:rPr>
              <w:t>45,482</w:t>
            </w:r>
          </w:p>
        </w:tc>
        <w:tc>
          <w:tcPr>
            <w:tcW w:w="71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right="50"/>
              <w:rPr>
                <w:sz w:val="8"/>
              </w:rPr>
            </w:pPr>
            <w:r>
              <w:rPr>
                <w:w w:val="120"/>
                <w:sz w:val="8"/>
              </w:rPr>
              <w:t>873,734</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right="50"/>
              <w:rPr>
                <w:sz w:val="8"/>
              </w:rPr>
            </w:pPr>
            <w:r>
              <w:rPr>
                <w:w w:val="120"/>
                <w:sz w:val="8"/>
              </w:rPr>
              <w:t>3,556</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right="50"/>
              <w:rPr>
                <w:sz w:val="8"/>
              </w:rPr>
            </w:pPr>
            <w:r>
              <w:rPr>
                <w:w w:val="120"/>
                <w:sz w:val="8"/>
              </w:rPr>
              <w:t>449,000</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right="51"/>
              <w:rPr>
                <w:sz w:val="8"/>
              </w:rPr>
            </w:pPr>
            <w:r>
              <w:rPr>
                <w:w w:val="120"/>
                <w:sz w:val="8"/>
              </w:rPr>
              <w:t>721</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right="50"/>
              <w:rPr>
                <w:sz w:val="8"/>
              </w:rPr>
            </w:pPr>
            <w:r>
              <w:rPr>
                <w:w w:val="120"/>
                <w:sz w:val="8"/>
              </w:rPr>
              <w:t>401,707</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left="175" w:right="32"/>
              <w:jc w:val="center"/>
              <w:rPr>
                <w:sz w:val="8"/>
              </w:rPr>
            </w:pPr>
            <w:r>
              <w:rPr>
                <w:w w:val="120"/>
                <w:sz w:val="8"/>
              </w:rPr>
              <w:t>18,013</w:t>
            </w:r>
          </w:p>
        </w:tc>
        <w:tc>
          <w:tcPr>
            <w:tcW w:w="76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right="50"/>
              <w:rPr>
                <w:sz w:val="8"/>
              </w:rPr>
            </w:pPr>
            <w:r>
              <w:rPr>
                <w:w w:val="120"/>
                <w:sz w:val="8"/>
              </w:rPr>
              <w:t>352,430</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right="50"/>
              <w:rPr>
                <w:sz w:val="8"/>
              </w:rPr>
            </w:pPr>
            <w:r>
              <w:rPr>
                <w:w w:val="120"/>
                <w:sz w:val="8"/>
              </w:rPr>
              <w:t>24,570</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47"/>
              <w:ind w:right="50"/>
              <w:rPr>
                <w:sz w:val="8"/>
              </w:rPr>
            </w:pPr>
            <w:r>
              <w:rPr>
                <w:w w:val="120"/>
                <w:sz w:val="8"/>
              </w:rPr>
              <w:t>498,988</w:t>
            </w:r>
          </w:p>
        </w:tc>
      </w:tr>
      <w:tr>
        <w:trPr>
          <w:trHeight w:val="798" w:hRule="exact"/>
        </w:trPr>
        <w:tc>
          <w:tcPr>
            <w:tcW w:w="1354" w:type="dxa"/>
            <w:tcBorders>
              <w:left w:val="single" w:sz="4" w:space="0" w:color="000000"/>
              <w:right w:val="single" w:sz="4" w:space="0" w:color="000000"/>
            </w:tcBorders>
            <w:shd w:val="clear" w:color="auto" w:fill="DBEDF3"/>
          </w:tcPr>
          <w:p>
            <w:pPr>
              <w:pStyle w:val="TableParagraph"/>
              <w:jc w:val="left"/>
              <w:rPr>
                <w:b/>
                <w:sz w:val="8"/>
              </w:rPr>
            </w:pPr>
          </w:p>
          <w:p>
            <w:pPr>
              <w:pStyle w:val="TableParagraph"/>
              <w:jc w:val="left"/>
              <w:rPr>
                <w:b/>
                <w:sz w:val="8"/>
              </w:rPr>
            </w:pPr>
          </w:p>
          <w:p>
            <w:pPr>
              <w:pStyle w:val="TableParagraph"/>
              <w:spacing w:line="292" w:lineRule="auto" w:before="61"/>
              <w:ind w:left="17" w:right="159"/>
              <w:jc w:val="both"/>
              <w:rPr>
                <w:b/>
                <w:sz w:val="8"/>
              </w:rPr>
            </w:pPr>
            <w:r>
              <w:rPr>
                <w:b/>
                <w:w w:val="120"/>
                <w:sz w:val="8"/>
              </w:rPr>
              <w:t>Subsector 38 Productos metálicos, maquinaria y equipo.  Incluyendo</w:t>
            </w:r>
          </w:p>
          <w:p>
            <w:pPr>
              <w:pStyle w:val="TableParagraph"/>
              <w:spacing w:line="292" w:lineRule="auto"/>
              <w:ind w:left="17" w:right="62"/>
              <w:jc w:val="both"/>
              <w:rPr>
                <w:b/>
                <w:sz w:val="8"/>
              </w:rPr>
            </w:pPr>
            <w:r>
              <w:rPr>
                <w:b/>
                <w:w w:val="120"/>
                <w:sz w:val="8"/>
              </w:rPr>
              <w:t>instrumentos  quirúrgicos y de precisión</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right="50"/>
              <w:rPr>
                <w:sz w:val="8"/>
              </w:rPr>
            </w:pPr>
            <w:r>
              <w:rPr>
                <w:w w:val="120"/>
                <w:sz w:val="8"/>
              </w:rPr>
              <w:t>767,913</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right="50"/>
              <w:rPr>
                <w:sz w:val="8"/>
              </w:rPr>
            </w:pPr>
            <w:r>
              <w:rPr>
                <w:w w:val="120"/>
                <w:sz w:val="8"/>
              </w:rPr>
              <w:t>4,274,491</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left="42" w:right="33"/>
              <w:jc w:val="center"/>
              <w:rPr>
                <w:sz w:val="8"/>
              </w:rPr>
            </w:pPr>
            <w:r>
              <w:rPr>
                <w:w w:val="120"/>
                <w:sz w:val="8"/>
              </w:rPr>
              <w:t>1,116,227</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left="96" w:right="33"/>
              <w:jc w:val="center"/>
              <w:rPr>
                <w:sz w:val="8"/>
              </w:rPr>
            </w:pPr>
            <w:r>
              <w:rPr>
                <w:w w:val="120"/>
                <w:sz w:val="8"/>
              </w:rPr>
              <w:t>5,645,792</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right="50"/>
              <w:rPr>
                <w:sz w:val="8"/>
              </w:rPr>
            </w:pPr>
            <w:r>
              <w:rPr>
                <w:w w:val="120"/>
                <w:sz w:val="8"/>
              </w:rPr>
              <w:t>1,566,559</w:t>
            </w:r>
          </w:p>
        </w:tc>
        <w:tc>
          <w:tcPr>
            <w:tcW w:w="624"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right="51"/>
              <w:rPr>
                <w:sz w:val="8"/>
              </w:rPr>
            </w:pPr>
            <w:r>
              <w:rPr>
                <w:w w:val="120"/>
                <w:sz w:val="8"/>
              </w:rPr>
              <w:t>8,782,731</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left="42" w:right="33"/>
              <w:jc w:val="center"/>
              <w:rPr>
                <w:sz w:val="8"/>
              </w:rPr>
            </w:pPr>
            <w:r>
              <w:rPr>
                <w:w w:val="120"/>
                <w:sz w:val="8"/>
              </w:rPr>
              <w:t>1,295,192</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left="95" w:right="33"/>
              <w:jc w:val="center"/>
              <w:rPr>
                <w:sz w:val="8"/>
              </w:rPr>
            </w:pPr>
            <w:r>
              <w:rPr>
                <w:w w:val="120"/>
                <w:sz w:val="8"/>
              </w:rPr>
              <w:t>5,240,236</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right="51"/>
              <w:rPr>
                <w:sz w:val="8"/>
              </w:rPr>
            </w:pPr>
            <w:r>
              <w:rPr>
                <w:w w:val="120"/>
                <w:sz w:val="8"/>
              </w:rPr>
              <w:t>1,642,574</w:t>
            </w:r>
          </w:p>
        </w:tc>
        <w:tc>
          <w:tcPr>
            <w:tcW w:w="71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right="50"/>
              <w:rPr>
                <w:sz w:val="8"/>
              </w:rPr>
            </w:pPr>
            <w:r>
              <w:rPr>
                <w:w w:val="120"/>
                <w:sz w:val="8"/>
              </w:rPr>
              <w:t>5,274,443</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right="51"/>
              <w:rPr>
                <w:sz w:val="8"/>
              </w:rPr>
            </w:pPr>
            <w:r>
              <w:rPr>
                <w:w w:val="120"/>
                <w:sz w:val="8"/>
              </w:rPr>
              <w:t>3,192,960</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right="50"/>
              <w:rPr>
                <w:sz w:val="8"/>
              </w:rPr>
            </w:pPr>
            <w:r>
              <w:rPr>
                <w:w w:val="120"/>
                <w:sz w:val="8"/>
              </w:rPr>
              <w:t>5,806,140</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right="51"/>
              <w:rPr>
                <w:sz w:val="8"/>
              </w:rPr>
            </w:pPr>
            <w:r>
              <w:rPr>
                <w:w w:val="120"/>
                <w:sz w:val="8"/>
              </w:rPr>
              <w:t>3,563,474</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left="178"/>
              <w:jc w:val="left"/>
              <w:rPr>
                <w:sz w:val="8"/>
              </w:rPr>
            </w:pPr>
            <w:r>
              <w:rPr>
                <w:w w:val="120"/>
                <w:sz w:val="8"/>
              </w:rPr>
              <w:t>7,631,120</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left="42" w:right="33"/>
              <w:jc w:val="center"/>
              <w:rPr>
                <w:sz w:val="8"/>
              </w:rPr>
            </w:pPr>
            <w:r>
              <w:rPr>
                <w:w w:val="120"/>
                <w:sz w:val="8"/>
              </w:rPr>
              <w:t>2,809,788</w:t>
            </w:r>
          </w:p>
        </w:tc>
        <w:tc>
          <w:tcPr>
            <w:tcW w:w="76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right="50"/>
              <w:rPr>
                <w:sz w:val="8"/>
              </w:rPr>
            </w:pPr>
            <w:r>
              <w:rPr>
                <w:w w:val="120"/>
                <w:sz w:val="8"/>
              </w:rPr>
              <w:t>3,977,339</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right="50"/>
              <w:rPr>
                <w:sz w:val="8"/>
              </w:rPr>
            </w:pPr>
            <w:r>
              <w:rPr>
                <w:w w:val="120"/>
                <w:sz w:val="8"/>
              </w:rPr>
              <w:t>3,586,670</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jc w:val="left"/>
              <w:rPr>
                <w:b/>
                <w:sz w:val="8"/>
              </w:rPr>
            </w:pPr>
          </w:p>
          <w:p>
            <w:pPr>
              <w:pStyle w:val="TableParagraph"/>
              <w:spacing w:before="49"/>
              <w:ind w:right="50"/>
              <w:rPr>
                <w:sz w:val="8"/>
              </w:rPr>
            </w:pPr>
            <w:r>
              <w:rPr>
                <w:w w:val="120"/>
                <w:sz w:val="8"/>
              </w:rPr>
              <w:t>3,966,127</w:t>
            </w:r>
          </w:p>
        </w:tc>
      </w:tr>
      <w:tr>
        <w:trPr>
          <w:trHeight w:val="395" w:hRule="exact"/>
        </w:trPr>
        <w:tc>
          <w:tcPr>
            <w:tcW w:w="1354" w:type="dxa"/>
            <w:tcBorders>
              <w:left w:val="single" w:sz="4" w:space="0" w:color="000000"/>
              <w:right w:val="single" w:sz="4" w:space="0" w:color="000000"/>
            </w:tcBorders>
            <w:shd w:val="clear" w:color="auto" w:fill="DBEDF3"/>
          </w:tcPr>
          <w:p>
            <w:pPr>
              <w:pStyle w:val="TableParagraph"/>
              <w:jc w:val="left"/>
              <w:rPr>
                <w:b/>
                <w:sz w:val="8"/>
              </w:rPr>
            </w:pPr>
          </w:p>
          <w:p>
            <w:pPr>
              <w:pStyle w:val="TableParagraph"/>
              <w:spacing w:before="5"/>
              <w:jc w:val="left"/>
              <w:rPr>
                <w:b/>
                <w:sz w:val="7"/>
              </w:rPr>
            </w:pPr>
          </w:p>
          <w:p>
            <w:pPr>
              <w:pStyle w:val="TableParagraph"/>
              <w:spacing w:before="1"/>
              <w:ind w:left="17" w:right="104"/>
              <w:jc w:val="left"/>
              <w:rPr>
                <w:b/>
                <w:sz w:val="8"/>
              </w:rPr>
            </w:pPr>
            <w:r>
              <w:rPr>
                <w:b/>
                <w:w w:val="120"/>
                <w:sz w:val="8"/>
              </w:rPr>
              <w:t>Subsector  39 Otras</w:t>
            </w:r>
          </w:p>
          <w:p>
            <w:pPr>
              <w:pStyle w:val="TableParagraph"/>
              <w:spacing w:before="20"/>
              <w:ind w:left="17"/>
              <w:jc w:val="left"/>
              <w:rPr>
                <w:b/>
                <w:sz w:val="8"/>
              </w:rPr>
            </w:pPr>
            <w:r>
              <w:rPr>
                <w:b/>
                <w:w w:val="120"/>
                <w:sz w:val="8"/>
              </w:rPr>
              <w:t>industrias  manufactureras</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right="50"/>
              <w:rPr>
                <w:sz w:val="8"/>
              </w:rPr>
            </w:pPr>
            <w:r>
              <w:rPr>
                <w:w w:val="120"/>
                <w:sz w:val="8"/>
              </w:rPr>
              <w:t>32,729</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right="50"/>
              <w:rPr>
                <w:sz w:val="8"/>
              </w:rPr>
            </w:pPr>
            <w:r>
              <w:rPr>
                <w:w w:val="120"/>
                <w:sz w:val="8"/>
              </w:rPr>
              <w:t>516,743</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left="175" w:right="33"/>
              <w:jc w:val="center"/>
              <w:rPr>
                <w:sz w:val="8"/>
              </w:rPr>
            </w:pPr>
            <w:r>
              <w:rPr>
                <w:w w:val="120"/>
                <w:sz w:val="8"/>
              </w:rPr>
              <w:t>89,467</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left="176" w:right="33"/>
              <w:jc w:val="center"/>
              <w:rPr>
                <w:sz w:val="8"/>
              </w:rPr>
            </w:pPr>
            <w:r>
              <w:rPr>
                <w:w w:val="120"/>
                <w:sz w:val="8"/>
              </w:rPr>
              <w:t>594,051</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left="347"/>
              <w:jc w:val="left"/>
              <w:rPr>
                <w:sz w:val="8"/>
              </w:rPr>
            </w:pPr>
            <w:r>
              <w:rPr>
                <w:w w:val="122"/>
                <w:sz w:val="8"/>
              </w:rPr>
              <w:t>-</w:t>
            </w:r>
          </w:p>
        </w:tc>
        <w:tc>
          <w:tcPr>
            <w:tcW w:w="624"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right="50"/>
              <w:rPr>
                <w:sz w:val="8"/>
              </w:rPr>
            </w:pPr>
            <w:r>
              <w:rPr>
                <w:w w:val="120"/>
                <w:sz w:val="8"/>
              </w:rPr>
              <w:t>534,289</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left="175" w:right="33"/>
              <w:jc w:val="center"/>
              <w:rPr>
                <w:sz w:val="8"/>
              </w:rPr>
            </w:pPr>
            <w:r>
              <w:rPr>
                <w:w w:val="120"/>
                <w:sz w:val="8"/>
              </w:rPr>
              <w:t>44,149</w:t>
            </w:r>
          </w:p>
        </w:tc>
        <w:tc>
          <w:tcPr>
            <w:tcW w:w="60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left="176" w:right="33"/>
              <w:jc w:val="center"/>
              <w:rPr>
                <w:sz w:val="8"/>
              </w:rPr>
            </w:pPr>
            <w:r>
              <w:rPr>
                <w:w w:val="120"/>
                <w:sz w:val="8"/>
              </w:rPr>
              <w:t>265,373</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right="50"/>
              <w:rPr>
                <w:sz w:val="8"/>
              </w:rPr>
            </w:pPr>
            <w:r>
              <w:rPr>
                <w:w w:val="120"/>
                <w:sz w:val="8"/>
              </w:rPr>
              <w:t>8,938</w:t>
            </w:r>
          </w:p>
        </w:tc>
        <w:tc>
          <w:tcPr>
            <w:tcW w:w="71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right="50"/>
              <w:rPr>
                <w:sz w:val="8"/>
              </w:rPr>
            </w:pPr>
            <w:r>
              <w:rPr>
                <w:w w:val="120"/>
                <w:sz w:val="8"/>
              </w:rPr>
              <w:t>127,010</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right="50"/>
              <w:rPr>
                <w:sz w:val="8"/>
              </w:rPr>
            </w:pPr>
            <w:r>
              <w:rPr>
                <w:w w:val="120"/>
                <w:sz w:val="8"/>
              </w:rPr>
              <w:t>47,400</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right="50"/>
              <w:rPr>
                <w:sz w:val="8"/>
              </w:rPr>
            </w:pPr>
            <w:r>
              <w:rPr>
                <w:w w:val="120"/>
                <w:sz w:val="8"/>
              </w:rPr>
              <w:t>252,541</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right="50"/>
              <w:rPr>
                <w:sz w:val="8"/>
              </w:rPr>
            </w:pPr>
            <w:r>
              <w:rPr>
                <w:w w:val="120"/>
                <w:sz w:val="8"/>
              </w:rPr>
              <w:t>20,946</w:t>
            </w:r>
          </w:p>
        </w:tc>
        <w:tc>
          <w:tcPr>
            <w:tcW w:w="66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right="50"/>
              <w:rPr>
                <w:sz w:val="8"/>
              </w:rPr>
            </w:pPr>
            <w:r>
              <w:rPr>
                <w:w w:val="120"/>
                <w:sz w:val="8"/>
              </w:rPr>
              <w:t>286,402</w:t>
            </w:r>
          </w:p>
        </w:tc>
        <w:tc>
          <w:tcPr>
            <w:tcW w:w="552"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left="175" w:right="32"/>
              <w:jc w:val="center"/>
              <w:rPr>
                <w:sz w:val="8"/>
              </w:rPr>
            </w:pPr>
            <w:r>
              <w:rPr>
                <w:w w:val="120"/>
                <w:sz w:val="8"/>
              </w:rPr>
              <w:t>39,679</w:t>
            </w:r>
          </w:p>
        </w:tc>
        <w:tc>
          <w:tcPr>
            <w:tcW w:w="766"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right="50"/>
              <w:rPr>
                <w:sz w:val="8"/>
              </w:rPr>
            </w:pPr>
            <w:r>
              <w:rPr>
                <w:w w:val="120"/>
                <w:sz w:val="8"/>
              </w:rPr>
              <w:t>658,724</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right="50"/>
              <w:rPr>
                <w:sz w:val="8"/>
              </w:rPr>
            </w:pPr>
            <w:r>
              <w:rPr>
                <w:w w:val="120"/>
                <w:sz w:val="8"/>
              </w:rPr>
              <w:t>66,502</w:t>
            </w:r>
          </w:p>
        </w:tc>
        <w:tc>
          <w:tcPr>
            <w:tcW w:w="748" w:type="dxa"/>
            <w:tcBorders>
              <w:left w:val="single" w:sz="4" w:space="0" w:color="000000"/>
              <w:right w:val="single" w:sz="4" w:space="0" w:color="000000"/>
            </w:tcBorders>
          </w:tcPr>
          <w:p>
            <w:pPr>
              <w:pStyle w:val="TableParagraph"/>
              <w:jc w:val="left"/>
              <w:rPr>
                <w:b/>
                <w:sz w:val="8"/>
              </w:rPr>
            </w:pPr>
          </w:p>
          <w:p>
            <w:pPr>
              <w:pStyle w:val="TableParagraph"/>
              <w:jc w:val="left"/>
              <w:rPr>
                <w:b/>
                <w:sz w:val="8"/>
              </w:rPr>
            </w:pPr>
          </w:p>
          <w:p>
            <w:pPr>
              <w:pStyle w:val="TableParagraph"/>
              <w:spacing w:before="2"/>
              <w:jc w:val="left"/>
              <w:rPr>
                <w:b/>
                <w:sz w:val="9"/>
              </w:rPr>
            </w:pPr>
          </w:p>
          <w:p>
            <w:pPr>
              <w:pStyle w:val="TableParagraph"/>
              <w:spacing w:before="1"/>
              <w:ind w:right="50"/>
              <w:rPr>
                <w:sz w:val="8"/>
              </w:rPr>
            </w:pPr>
            <w:r>
              <w:rPr>
                <w:w w:val="120"/>
                <w:sz w:val="8"/>
              </w:rPr>
              <w:t>635,926</w:t>
            </w:r>
          </w:p>
        </w:tc>
      </w:tr>
    </w:tbl>
    <w:p>
      <w:pPr>
        <w:pStyle w:val="BodyText"/>
        <w:rPr>
          <w:rFonts w:ascii="Arial"/>
          <w:b/>
          <w:sz w:val="8"/>
        </w:rPr>
      </w:pPr>
    </w:p>
    <w:p>
      <w:pPr>
        <w:spacing w:before="56"/>
        <w:ind w:left="137" w:right="0" w:firstLine="0"/>
        <w:jc w:val="left"/>
        <w:rPr>
          <w:rFonts w:ascii="Arial" w:hAnsi="Arial"/>
          <w:sz w:val="8"/>
        </w:rPr>
      </w:pPr>
      <w:r>
        <w:rPr>
          <w:rFonts w:ascii="Arial" w:hAnsi="Arial"/>
          <w:w w:val="120"/>
          <w:sz w:val="8"/>
        </w:rPr>
        <w:t>Fuente: Elaboración propia con base en los datos del INEGI.  </w:t>
      </w:r>
      <w:r>
        <w:rPr>
          <w:rFonts w:ascii="Arial" w:hAnsi="Arial"/>
          <w:i/>
          <w:w w:val="120"/>
          <w:sz w:val="8"/>
        </w:rPr>
        <w:t>Censos industriales y económicos </w:t>
      </w:r>
      <w:r>
        <w:rPr>
          <w:rFonts w:ascii="Arial" w:hAnsi="Arial"/>
          <w:w w:val="120"/>
          <w:sz w:val="8"/>
        </w:rPr>
        <w:t>. 1971, 1976, 1981, 1986, 1989, 1994, 1999, 2004 y  2009.</w:t>
      </w:r>
    </w:p>
    <w:p>
      <w:pPr>
        <w:spacing w:after="0"/>
        <w:jc w:val="left"/>
        <w:rPr>
          <w:rFonts w:ascii="Arial" w:hAnsi="Arial"/>
          <w:sz w:val="8"/>
        </w:rPr>
        <w:sectPr>
          <w:footerReference w:type="default" r:id="rId29"/>
          <w:pgSz w:w="15840" w:h="12240" w:orient="landscape"/>
          <w:pgMar w:footer="0" w:header="0" w:top="1140" w:bottom="280" w:left="1780" w:right="1300"/>
        </w:sectPr>
      </w:pPr>
    </w:p>
    <w:p>
      <w:pPr>
        <w:pStyle w:val="Heading2"/>
        <w:spacing w:before="55"/>
        <w:ind w:left="122" w:right="243"/>
      </w:pPr>
      <w:r>
        <w:rPr/>
        <w:t>3.1 Antecedentes</w:t>
      </w:r>
    </w:p>
    <w:p>
      <w:pPr>
        <w:pStyle w:val="BodyText"/>
        <w:spacing w:line="360" w:lineRule="auto" w:before="135"/>
        <w:ind w:left="122" w:right="117" w:firstLine="707"/>
        <w:jc w:val="both"/>
      </w:pPr>
      <w:r>
        <w:rPr/>
        <w:t>Como ya se comentó anteriormente en el capítulo segundo, el proceso de industrialización del Estado de México se basó en la protección de las actividades productivas: el desarrollo hacia adentro se vio favorecido de la dinámica del mercado interno y las medidas fiscales (exenciones, deducciones, créditos y subsidios) e inversión pública fueron las principales herramientas de la política industrial que generaron un rápido crecimiento durante estos años.</w:t>
      </w:r>
    </w:p>
    <w:p>
      <w:pPr>
        <w:pStyle w:val="BodyText"/>
        <w:spacing w:line="360" w:lineRule="auto" w:before="6"/>
        <w:ind w:left="122" w:right="121" w:firstLine="707"/>
        <w:jc w:val="both"/>
      </w:pPr>
      <w:r>
        <w:rPr/>
        <w:t>La cercanía al Distrito Federal fue una ventaja geográfica, que tuvo el Estado de México sobre otras entidades para conformar una industria orientada hacia el mercado interno (Millán, 2007). El modelo de sustitución de importaciones se agotó en 1982 y se hizo entonces necesaria una nueva estrategia de desarrollo, basada en el mercado externo. Pero con el cambio en la promoción industrial y el abandono de facto del modelo de sustitución de importaciones, inició un periodo de transición caracterizado por la falta de definición formal de la política industrial por parte del gobierno, necesaria para acompañar el proceso de apertura (Clavijo y Valdivieso, 1994).</w:t>
      </w:r>
    </w:p>
    <w:p>
      <w:pPr>
        <w:pStyle w:val="BodyText"/>
        <w:spacing w:line="352" w:lineRule="auto" w:before="6"/>
        <w:ind w:left="122" w:right="116" w:firstLine="707"/>
        <w:jc w:val="both"/>
      </w:pPr>
      <w:r>
        <w:rPr/>
        <w:t>La importancia del sector manufacturero radica en que es uno de los más dinámicos de la economía estatal: sus efectos se transmiten hacia otros sectores, además de que es un fiel reflejo de lo que pasa en la actividad económica en cuanto a producción total, productividad y empleo formal, sin embargo, el sector manufacturero en los últimos años  ha perdido dinamismo</w:t>
      </w:r>
      <w:r>
        <w:rPr>
          <w:position w:val="11"/>
          <w:sz w:val="16"/>
        </w:rPr>
        <w:t>53 </w:t>
      </w:r>
      <w:r>
        <w:rPr/>
        <w:t>frente a otros subsectores y ramas como las de comercio, restaurantes</w:t>
      </w:r>
      <w:r>
        <w:rPr>
          <w:spacing w:val="27"/>
        </w:rPr>
        <w:t> </w:t>
      </w:r>
      <w:r>
        <w:rPr/>
        <w:t>y</w:t>
      </w:r>
      <w:r>
        <w:rPr>
          <w:spacing w:val="17"/>
        </w:rPr>
        <w:t> </w:t>
      </w:r>
      <w:r>
        <w:rPr/>
        <w:t>hoteles</w:t>
      </w:r>
      <w:r>
        <w:rPr>
          <w:spacing w:val="22"/>
        </w:rPr>
        <w:t> </w:t>
      </w:r>
      <w:r>
        <w:rPr/>
        <w:t>(en</w:t>
      </w:r>
      <w:r>
        <w:rPr>
          <w:spacing w:val="22"/>
        </w:rPr>
        <w:t> </w:t>
      </w:r>
      <w:r>
        <w:rPr/>
        <w:t>1970</w:t>
      </w:r>
      <w:r>
        <w:rPr>
          <w:spacing w:val="22"/>
        </w:rPr>
        <w:t> </w:t>
      </w:r>
      <w:r>
        <w:rPr/>
        <w:t>participaban</w:t>
      </w:r>
      <w:r>
        <w:rPr>
          <w:spacing w:val="25"/>
        </w:rPr>
        <w:t> </w:t>
      </w:r>
      <w:r>
        <w:rPr/>
        <w:t>con</w:t>
      </w:r>
      <w:r>
        <w:rPr>
          <w:spacing w:val="24"/>
        </w:rPr>
        <w:t> </w:t>
      </w:r>
      <w:r>
        <w:rPr/>
        <w:t>16.2%</w:t>
      </w:r>
      <w:r>
        <w:rPr>
          <w:spacing w:val="26"/>
        </w:rPr>
        <w:t> </w:t>
      </w:r>
      <w:r>
        <w:rPr/>
        <w:t>y</w:t>
      </w:r>
      <w:r>
        <w:rPr>
          <w:spacing w:val="20"/>
        </w:rPr>
        <w:t> </w:t>
      </w:r>
      <w:r>
        <w:rPr/>
        <w:t>en</w:t>
      </w:r>
      <w:r>
        <w:rPr>
          <w:spacing w:val="22"/>
        </w:rPr>
        <w:t> </w:t>
      </w:r>
      <w:r>
        <w:rPr/>
        <w:t>2006</w:t>
      </w:r>
      <w:r>
        <w:rPr>
          <w:spacing w:val="24"/>
        </w:rPr>
        <w:t> </w:t>
      </w:r>
      <w:r>
        <w:rPr/>
        <w:t>creció</w:t>
      </w:r>
      <w:r>
        <w:rPr>
          <w:spacing w:val="22"/>
        </w:rPr>
        <w:t> </w:t>
      </w:r>
      <w:r>
        <w:rPr/>
        <w:t>a</w:t>
      </w:r>
      <w:r>
        <w:rPr>
          <w:spacing w:val="21"/>
        </w:rPr>
        <w:t> </w:t>
      </w:r>
      <w:r>
        <w:rPr/>
        <w:t>21.5%),</w:t>
      </w:r>
      <w:r>
        <w:rPr>
          <w:spacing w:val="22"/>
        </w:rPr>
        <w:t> </w:t>
      </w:r>
      <w:r>
        <w:rPr/>
        <w:t>la</w:t>
      </w:r>
      <w:r>
        <w:rPr>
          <w:spacing w:val="24"/>
        </w:rPr>
        <w:t> </w:t>
      </w:r>
      <w:r>
        <w:rPr/>
        <w:t>de</w:t>
      </w:r>
    </w:p>
    <w:p>
      <w:pPr>
        <w:pStyle w:val="BodyText"/>
        <w:spacing w:line="360" w:lineRule="auto" w:before="14"/>
        <w:ind w:left="122" w:right="243"/>
      </w:pPr>
      <w:r>
        <w:rPr/>
        <w:t>servicios financieros, seguros y actividades mobiliarias y de alquiler (pasaron de 8.9% en 1970 a 14.4% en 2006) lo cual es un reflejo de la terciarización de la economía.</w:t>
      </w:r>
    </w:p>
    <w:p>
      <w:pPr>
        <w:pStyle w:val="BodyText"/>
        <w:spacing w:line="352" w:lineRule="auto" w:before="6"/>
        <w:ind w:left="122" w:right="115" w:firstLine="707"/>
        <w:jc w:val="both"/>
      </w:pPr>
      <w:r>
        <w:rPr/>
        <w:t>Como consecuencia, el proceso de industrialización en el Estado de México se ha caracterizado por la concentración de la producción en pocas ramas y municipios, a lo que se ha sumado un crecimiento menor durante las últimas décadas. Según datos de los Censos Económicos 2009, de los 125 municipios mexiquenses, sólo seis de la Zona Metropolitana del Valle de México y de la Zona Metropolitana del Valle de Toluca</w:t>
      </w:r>
      <w:r>
        <w:rPr>
          <w:position w:val="11"/>
          <w:sz w:val="16"/>
        </w:rPr>
        <w:t>54</w:t>
      </w:r>
      <w:r>
        <w:rPr/>
        <w:t>, generaron casi  70%</w:t>
      </w:r>
    </w:p>
    <w:p>
      <w:pPr>
        <w:pStyle w:val="BodyText"/>
        <w:spacing w:before="3"/>
        <w:rPr>
          <w:sz w:val="29"/>
        </w:rPr>
      </w:pPr>
      <w:r>
        <w:rPr/>
        <w:pict>
          <v:line style="position:absolute;mso-position-horizontal-relative:page;mso-position-vertical-relative:paragraph;z-index:1984;mso-wrap-distance-left:0;mso-wrap-distance-right:0" from="85.103996pt,19.168716pt" to="229.123996pt,19.168716pt" stroked="true" strokeweight=".72003pt" strokecolor="#000000">
            <w10:wrap type="topAndBottom"/>
          </v:line>
        </w:pict>
      </w:r>
    </w:p>
    <w:p>
      <w:pPr>
        <w:spacing w:before="42"/>
        <w:ind w:left="122" w:right="84" w:firstLine="0"/>
        <w:jc w:val="left"/>
        <w:rPr>
          <w:sz w:val="20"/>
        </w:rPr>
      </w:pPr>
      <w:r>
        <w:rPr>
          <w:position w:val="9"/>
          <w:sz w:val="13"/>
        </w:rPr>
        <w:t>53 </w:t>
      </w:r>
      <w:r>
        <w:rPr>
          <w:sz w:val="20"/>
        </w:rPr>
        <w:t>Este sector en 1970 representaba 48.1% del PIB total del Estado, en 1985; 40.2%, en 1993; 31.8%, en 2000;</w:t>
      </w:r>
    </w:p>
    <w:p>
      <w:pPr>
        <w:spacing w:line="218" w:lineRule="exact" w:before="0"/>
        <w:ind w:left="122" w:right="243" w:firstLine="0"/>
        <w:jc w:val="left"/>
        <w:rPr>
          <w:sz w:val="20"/>
        </w:rPr>
      </w:pPr>
      <w:r>
        <w:rPr>
          <w:sz w:val="20"/>
        </w:rPr>
        <w:t>32.7% y en 2006; 27.7%.</w:t>
      </w:r>
    </w:p>
    <w:p>
      <w:pPr>
        <w:spacing w:line="230" w:lineRule="exact" w:before="15"/>
        <w:ind w:left="122" w:right="84" w:firstLine="0"/>
        <w:jc w:val="left"/>
        <w:rPr>
          <w:sz w:val="20"/>
        </w:rPr>
      </w:pPr>
      <w:r>
        <w:rPr>
          <w:position w:val="9"/>
          <w:sz w:val="13"/>
        </w:rPr>
        <w:t>54 </w:t>
      </w:r>
      <w:r>
        <w:rPr>
          <w:sz w:val="20"/>
        </w:rPr>
        <w:t>Con respecto al valor agregado de los censos económicos 2004, los municipios de Toluca y Lerma sobresalen por su significativa participación en la producción total estatal,    pues en 2003 los porcentajes eran</w:t>
      </w:r>
    </w:p>
    <w:p>
      <w:pPr>
        <w:spacing w:after="0" w:line="230" w:lineRule="exact"/>
        <w:jc w:val="left"/>
        <w:rPr>
          <w:sz w:val="20"/>
        </w:rPr>
        <w:sectPr>
          <w:footerReference w:type="default" r:id="rId30"/>
          <w:pgSz w:w="12240" w:h="15840"/>
          <w:pgMar w:footer="1003" w:header="0" w:top="1360" w:bottom="1200" w:left="1580" w:right="1580"/>
          <w:pgNumType w:start="85"/>
        </w:sectPr>
      </w:pPr>
    </w:p>
    <w:p>
      <w:pPr>
        <w:pStyle w:val="BodyText"/>
        <w:spacing w:line="360" w:lineRule="auto" w:before="50"/>
        <w:ind w:left="122" w:right="521"/>
        <w:jc w:val="both"/>
      </w:pPr>
      <w:r>
        <w:rPr/>
        <w:t>del valor agregado censal bruto: Toluca (23.31%), Lerma (6.0%), Ecatepec (10.80%), Tlalnepantla (10.36%), Naucalpan (9.43%) y Cuautitlán Izcalli (7.24%). Además, estos municipios se caracterizaron por poseer altas concentraciones de población, generando las dos grandes áreas conurbadas del estado.</w:t>
      </w:r>
    </w:p>
    <w:p>
      <w:pPr>
        <w:pStyle w:val="BodyText"/>
        <w:rPr>
          <w:sz w:val="20"/>
        </w:rPr>
      </w:pPr>
    </w:p>
    <w:p>
      <w:pPr>
        <w:pStyle w:val="BodyText"/>
        <w:spacing w:before="5"/>
        <w:rPr>
          <w:sz w:val="13"/>
        </w:rPr>
      </w:pPr>
      <w:r>
        <w:rPr/>
        <w:drawing>
          <wp:anchor distT="0" distB="0" distL="0" distR="0" allowOverlap="1" layoutInCell="1" locked="0" behindDoc="0" simplePos="0" relativeHeight="2008">
            <wp:simplePos x="0" y="0"/>
            <wp:positionH relativeFrom="page">
              <wp:posOffset>1530350</wp:posOffset>
            </wp:positionH>
            <wp:positionV relativeFrom="paragraph">
              <wp:posOffset>123453</wp:posOffset>
            </wp:positionV>
            <wp:extent cx="5386284" cy="3696462"/>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31" cstate="print"/>
                    <a:stretch>
                      <a:fillRect/>
                    </a:stretch>
                  </pic:blipFill>
                  <pic:spPr>
                    <a:xfrm>
                      <a:off x="0" y="0"/>
                      <a:ext cx="5386284" cy="3696462"/>
                    </a:xfrm>
                    <a:prstGeom prst="rect">
                      <a:avLst/>
                    </a:prstGeom>
                  </pic:spPr>
                </pic:pic>
              </a:graphicData>
            </a:graphic>
          </wp:anchor>
        </w:drawing>
      </w:r>
    </w:p>
    <w:p>
      <w:pPr>
        <w:pStyle w:val="BodyText"/>
      </w:pPr>
    </w:p>
    <w:p>
      <w:pPr>
        <w:pStyle w:val="BodyText"/>
        <w:spacing w:before="4"/>
      </w:pPr>
    </w:p>
    <w:p>
      <w:pPr>
        <w:pStyle w:val="BodyText"/>
        <w:spacing w:line="360" w:lineRule="auto"/>
        <w:ind w:left="122" w:right="513" w:firstLine="707"/>
        <w:jc w:val="both"/>
      </w:pPr>
      <w:r>
        <w:rPr/>
        <w:t>Por ello, y para fines de esta investigación, se ha optado por una regionalización propia, (véase mapa 1.1) que agrupa a los municipios manufactureros mexiquenses más importantes en dos regiones: La región Toluca-Lerma y la región Valle de México. De acuerdo con (Bassols, 1993), la división de un territorio en regiones o zonas, puede llevarse a la práctica en forma diversa, de acuerdo con los fines específicos que se persigan, pero en todos los caso las regiones son partes de un territorio. Este mismo autor cita a Dziewonski, con su definición de “región económica”, la cual es definida como un complejo socioeconómico, principalmente de producción, que se desarrolla a través del tiempo y</w:t>
      </w:r>
    </w:p>
    <w:p>
      <w:pPr>
        <w:pStyle w:val="BodyText"/>
        <w:rPr>
          <w:sz w:val="20"/>
        </w:rPr>
      </w:pPr>
    </w:p>
    <w:p>
      <w:pPr>
        <w:pStyle w:val="BodyText"/>
        <w:spacing w:before="7"/>
        <w:rPr>
          <w:sz w:val="12"/>
        </w:rPr>
      </w:pPr>
      <w:r>
        <w:rPr/>
        <w:pict>
          <v:line style="position:absolute;mso-position-horizontal-relative:page;mso-position-vertical-relative:paragraph;z-index:2032;mso-wrap-distance-left:0;mso-wrap-distance-right:0" from="85.103996pt,9.620756pt" to="527.163996pt,9.620756pt" stroked="true" strokeweight=".71997pt" strokecolor="#000000">
            <w10:wrap type="topAndBottom"/>
          </v:line>
        </w:pict>
      </w:r>
    </w:p>
    <w:p>
      <w:pPr>
        <w:spacing w:before="67"/>
        <w:ind w:left="122" w:right="527" w:firstLine="0"/>
        <w:jc w:val="both"/>
        <w:rPr>
          <w:sz w:val="20"/>
        </w:rPr>
      </w:pPr>
      <w:r>
        <w:rPr>
          <w:sz w:val="20"/>
        </w:rPr>
        <w:t>los siguientes: Toluca (17.3%), Tlalnepantla (13.6%), Naucalpan (13.0%), Cuautitlán Izcalli (11.0%), Ecatepec (9.6%) y Lerma (5.1%). Como se aprecia, a excepción de Ecatepec, los demás han sufrido una importante reducción en su participación de la producción estatal.</w:t>
      </w:r>
    </w:p>
    <w:p>
      <w:pPr>
        <w:spacing w:after="0"/>
        <w:jc w:val="both"/>
        <w:rPr>
          <w:sz w:val="20"/>
        </w:rPr>
        <w:sectPr>
          <w:pgSz w:w="12240" w:h="15840"/>
          <w:pgMar w:header="0" w:footer="1003" w:top="1360" w:bottom="1200" w:left="1580" w:right="1180"/>
        </w:sectPr>
      </w:pPr>
    </w:p>
    <w:p>
      <w:pPr>
        <w:pStyle w:val="BodyText"/>
        <w:spacing w:line="360" w:lineRule="auto" w:before="50"/>
        <w:ind w:left="102" w:right="125"/>
        <w:jc w:val="both"/>
      </w:pPr>
      <w:r>
        <w:rPr/>
        <w:t>encuentra su expresión final en el carácter del desenvolvimiento y la utilización de la tierra en un área determinada. Lo principal de una región, es la naturaleza de su economía (producción, servicios y consumo).</w:t>
      </w:r>
    </w:p>
    <w:p>
      <w:pPr>
        <w:pStyle w:val="BodyText"/>
        <w:spacing w:line="360" w:lineRule="auto" w:before="126"/>
        <w:ind w:left="102" w:right="121" w:firstLine="707"/>
        <w:jc w:val="both"/>
      </w:pPr>
      <w:r>
        <w:rPr/>
        <w:t>Es importante mencionar que en la acepción e la escuela de Perroux habría dos tipos excluyentes de ámbitos regionales: aquellos que se distinguen por su alto grado de homogeneidad frente a los que son reconocibles por su elevada heterogeneidad. Así la realidad espacial se presentaría alternativamente bajo la forma de regiones homogéneas o polarizadas (Roffman, 1993).</w:t>
      </w:r>
    </w:p>
    <w:p>
      <w:pPr>
        <w:pStyle w:val="BodyText"/>
        <w:spacing w:line="360" w:lineRule="auto" w:before="124"/>
        <w:ind w:left="102" w:right="118" w:firstLine="566"/>
        <w:jc w:val="both"/>
      </w:pPr>
      <w:r>
        <w:rPr/>
        <w:t>En este sentido, la regionalización económica se construyó con base en dos criterios: El primero fue la adyacencia al interior de cada región y el segundo el peso de cada municipio en la manufactura estatal. Con respecto a la participación de cada municipio en  el PIB manufacturero estatal. Entre 1998 y 2003 la mayor aportación correspondió al municipio de Toluca, con cerca de 17%, Tlalnepantla con 14.4%; así sucesivamente se consideró hasta la participación de 1.1% de San Mateo Atenco y de Nezahualcóyotl de 1.0%, a partir de ahí, los municipios restantes sólo contribuyen al PIB con menos de un punto porcentual, por lo cual </w:t>
      </w:r>
      <w:r>
        <w:rPr>
          <w:spacing w:val="-3"/>
        </w:rPr>
        <w:t>ya </w:t>
      </w:r>
      <w:r>
        <w:rPr/>
        <w:t>no se consideraron como parte de estas</w:t>
      </w:r>
      <w:r>
        <w:rPr>
          <w:spacing w:val="3"/>
        </w:rPr>
        <w:t> </w:t>
      </w:r>
      <w:r>
        <w:rPr/>
        <w:t>regiones.</w:t>
      </w:r>
    </w:p>
    <w:p>
      <w:pPr>
        <w:pStyle w:val="BodyText"/>
        <w:spacing w:line="360" w:lineRule="auto" w:before="124"/>
        <w:ind w:left="102" w:right="117" w:firstLine="707"/>
        <w:jc w:val="both"/>
      </w:pPr>
      <w:r>
        <w:rPr/>
        <w:t>A los municipios ubicados en la zona metropolitana del Valle de Toluca se les ha agrupado en la región Toluca-Lerma, en la que se incluyen los municipios: Toluca de Lerdo, Lerma de Villada, Santiago Tianguistenco, Ocoyoacac y San Mateo Atenco. La participación para cada uno de estos municipios se aprecia en el Cuadro 3.2, destacando la participación mayoritaria durante todo el periodo de estudio de Toluca, la cual se ha visto disminuida paulatinamente a través de los años. El municipio que ha ganado participación es Ocoyoacac, que no tenía ninguna incidencia en la industria manufacturera en 1970 y que en 2008 es de</w:t>
      </w:r>
      <w:r>
        <w:rPr>
          <w:spacing w:val="-4"/>
        </w:rPr>
        <w:t> </w:t>
      </w:r>
      <w:r>
        <w:rPr/>
        <w:t>7.3%.</w:t>
      </w:r>
    </w:p>
    <w:p>
      <w:pPr>
        <w:spacing w:after="0" w:line="360" w:lineRule="auto"/>
        <w:jc w:val="both"/>
        <w:sectPr>
          <w:pgSz w:w="12240" w:h="15840"/>
          <w:pgMar w:header="0" w:footer="1003" w:top="1360" w:bottom="1200" w:left="1600" w:right="1580"/>
        </w:sectPr>
      </w:pPr>
    </w:p>
    <w:p>
      <w:pPr>
        <w:spacing w:before="61"/>
        <w:ind w:left="836" w:right="5150" w:firstLine="0"/>
        <w:jc w:val="left"/>
        <w:rPr>
          <w:rFonts w:ascii="Arial"/>
          <w:b/>
          <w:sz w:val="12"/>
        </w:rPr>
      </w:pPr>
      <w:r>
        <w:rPr>
          <w:rFonts w:ascii="Arial"/>
          <w:b/>
          <w:sz w:val="12"/>
        </w:rPr>
        <w:t>Cuadro 3.2</w:t>
      </w:r>
    </w:p>
    <w:p>
      <w:pPr>
        <w:spacing w:before="58"/>
        <w:ind w:left="836" w:right="5150" w:firstLine="0"/>
        <w:jc w:val="left"/>
        <w:rPr>
          <w:rFonts w:ascii="Arial" w:hAnsi="Arial"/>
          <w:b/>
          <w:sz w:val="12"/>
        </w:rPr>
      </w:pPr>
      <w:r>
        <w:rPr>
          <w:rFonts w:ascii="Arial" w:hAnsi="Arial"/>
          <w:b/>
          <w:sz w:val="12"/>
        </w:rPr>
        <w:t>Región Toluca-Lerma</w:t>
      </w:r>
    </w:p>
    <w:p>
      <w:pPr>
        <w:spacing w:line="340" w:lineRule="auto" w:before="58"/>
        <w:ind w:left="836" w:right="5150" w:firstLine="0"/>
        <w:jc w:val="left"/>
        <w:rPr>
          <w:rFonts w:ascii="Arial" w:hAnsi="Arial"/>
          <w:b/>
          <w:sz w:val="12"/>
        </w:rPr>
      </w:pPr>
      <w:r>
        <w:rPr>
          <w:rFonts w:ascii="Arial" w:hAnsi="Arial"/>
          <w:b/>
          <w:sz w:val="12"/>
        </w:rPr>
        <w:t>Valor Agregado Censal Bruto. Industria manufacturera Participación porcentual</w:t>
      </w:r>
    </w:p>
    <w:p>
      <w:pPr>
        <w:pStyle w:val="BodyText"/>
        <w:spacing w:before="3"/>
        <w:rPr>
          <w:rFonts w:ascii="Arial"/>
          <w:b/>
          <w:sz w:val="13"/>
        </w:rPr>
      </w:pPr>
    </w:p>
    <w:tbl>
      <w:tblPr>
        <w:tblW w:w="0" w:type="auto"/>
        <w:jc w:val="left"/>
        <w:tblInd w:w="8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8"/>
        <w:gridCol w:w="728"/>
        <w:gridCol w:w="728"/>
        <w:gridCol w:w="919"/>
        <w:gridCol w:w="728"/>
        <w:gridCol w:w="728"/>
        <w:gridCol w:w="728"/>
      </w:tblGrid>
      <w:tr>
        <w:trPr>
          <w:trHeight w:val="588" w:hRule="exact"/>
        </w:trPr>
        <w:tc>
          <w:tcPr>
            <w:tcW w:w="728" w:type="dxa"/>
            <w:tcBorders>
              <w:left w:val="single" w:sz="4" w:space="0" w:color="000000"/>
              <w:bottom w:val="single" w:sz="4" w:space="0" w:color="000000"/>
              <w:right w:val="single" w:sz="4" w:space="0" w:color="000000"/>
            </w:tcBorders>
            <w:shd w:val="clear" w:color="auto" w:fill="D7D7D7"/>
          </w:tcPr>
          <w:p>
            <w:pPr>
              <w:pStyle w:val="TableParagraph"/>
              <w:jc w:val="left"/>
              <w:rPr>
                <w:b/>
                <w:sz w:val="14"/>
              </w:rPr>
            </w:pPr>
          </w:p>
          <w:p>
            <w:pPr>
              <w:pStyle w:val="TableParagraph"/>
              <w:jc w:val="left"/>
              <w:rPr>
                <w:b/>
                <w:sz w:val="14"/>
              </w:rPr>
            </w:pPr>
          </w:p>
          <w:p>
            <w:pPr>
              <w:pStyle w:val="TableParagraph"/>
              <w:spacing w:before="83"/>
              <w:ind w:left="221" w:right="221"/>
              <w:jc w:val="center"/>
              <w:rPr>
                <w:rFonts w:ascii="Calibri" w:hAnsi="Calibri"/>
                <w:b/>
                <w:sz w:val="14"/>
              </w:rPr>
            </w:pPr>
            <w:r>
              <w:rPr>
                <w:rFonts w:ascii="Calibri" w:hAnsi="Calibri"/>
                <w:b/>
                <w:sz w:val="14"/>
              </w:rPr>
              <w:t>Año</w:t>
            </w:r>
          </w:p>
        </w:tc>
        <w:tc>
          <w:tcPr>
            <w:tcW w:w="728" w:type="dxa"/>
            <w:tcBorders>
              <w:left w:val="single" w:sz="4" w:space="0" w:color="000000"/>
              <w:bottom w:val="single" w:sz="4" w:space="0" w:color="000000"/>
              <w:right w:val="single" w:sz="4" w:space="0" w:color="000000"/>
            </w:tcBorders>
            <w:shd w:val="clear" w:color="auto" w:fill="D7D7D7"/>
          </w:tcPr>
          <w:p>
            <w:pPr>
              <w:pStyle w:val="TableParagraph"/>
              <w:jc w:val="left"/>
              <w:rPr>
                <w:b/>
                <w:sz w:val="14"/>
              </w:rPr>
            </w:pPr>
          </w:p>
          <w:p>
            <w:pPr>
              <w:pStyle w:val="TableParagraph"/>
              <w:jc w:val="left"/>
              <w:rPr>
                <w:b/>
                <w:sz w:val="14"/>
              </w:rPr>
            </w:pPr>
          </w:p>
          <w:p>
            <w:pPr>
              <w:pStyle w:val="TableParagraph"/>
              <w:spacing w:before="83"/>
              <w:ind w:left="172"/>
              <w:jc w:val="left"/>
              <w:rPr>
                <w:rFonts w:ascii="Calibri"/>
                <w:b/>
                <w:sz w:val="14"/>
              </w:rPr>
            </w:pPr>
            <w:r>
              <w:rPr>
                <w:rFonts w:ascii="Calibri"/>
                <w:b/>
                <w:sz w:val="14"/>
              </w:rPr>
              <w:t>Toluca</w:t>
            </w:r>
          </w:p>
        </w:tc>
        <w:tc>
          <w:tcPr>
            <w:tcW w:w="728" w:type="dxa"/>
            <w:tcBorders>
              <w:left w:val="single" w:sz="4" w:space="0" w:color="000000"/>
              <w:bottom w:val="single" w:sz="4" w:space="0" w:color="000000"/>
              <w:right w:val="single" w:sz="4" w:space="0" w:color="000000"/>
            </w:tcBorders>
            <w:shd w:val="clear" w:color="auto" w:fill="D7D7D7"/>
          </w:tcPr>
          <w:p>
            <w:pPr>
              <w:pStyle w:val="TableParagraph"/>
              <w:jc w:val="left"/>
              <w:rPr>
                <w:b/>
                <w:sz w:val="14"/>
              </w:rPr>
            </w:pPr>
          </w:p>
          <w:p>
            <w:pPr>
              <w:pStyle w:val="TableParagraph"/>
              <w:jc w:val="left"/>
              <w:rPr>
                <w:b/>
                <w:sz w:val="14"/>
              </w:rPr>
            </w:pPr>
          </w:p>
          <w:p>
            <w:pPr>
              <w:pStyle w:val="TableParagraph"/>
              <w:spacing w:before="83"/>
              <w:ind w:left="182"/>
              <w:jc w:val="left"/>
              <w:rPr>
                <w:rFonts w:ascii="Calibri"/>
                <w:b/>
                <w:sz w:val="14"/>
              </w:rPr>
            </w:pPr>
            <w:r>
              <w:rPr>
                <w:rFonts w:ascii="Calibri"/>
                <w:b/>
                <w:sz w:val="14"/>
              </w:rPr>
              <w:t>Lerma</w:t>
            </w:r>
          </w:p>
        </w:tc>
        <w:tc>
          <w:tcPr>
            <w:tcW w:w="919" w:type="dxa"/>
            <w:tcBorders>
              <w:left w:val="single" w:sz="4" w:space="0" w:color="000000"/>
              <w:bottom w:val="single" w:sz="4" w:space="0" w:color="000000"/>
              <w:right w:val="single" w:sz="4" w:space="0" w:color="000000"/>
            </w:tcBorders>
            <w:shd w:val="clear" w:color="auto" w:fill="D7D7D7"/>
          </w:tcPr>
          <w:p>
            <w:pPr>
              <w:pStyle w:val="TableParagraph"/>
              <w:spacing w:before="2"/>
              <w:jc w:val="left"/>
              <w:rPr>
                <w:b/>
                <w:sz w:val="18"/>
              </w:rPr>
            </w:pPr>
          </w:p>
          <w:p>
            <w:pPr>
              <w:pStyle w:val="TableParagraph"/>
              <w:spacing w:line="276" w:lineRule="auto"/>
              <w:ind w:left="63" w:right="59" w:firstLine="154"/>
              <w:jc w:val="left"/>
              <w:rPr>
                <w:rFonts w:ascii="Calibri"/>
                <w:b/>
                <w:sz w:val="14"/>
              </w:rPr>
            </w:pPr>
            <w:r>
              <w:rPr>
                <w:rFonts w:ascii="Calibri"/>
                <w:b/>
                <w:sz w:val="14"/>
              </w:rPr>
              <w:t>Santiago </w:t>
            </w:r>
            <w:r>
              <w:rPr>
                <w:rFonts w:ascii="Calibri"/>
                <w:b/>
                <w:w w:val="95"/>
                <w:sz w:val="14"/>
              </w:rPr>
              <w:t>Tianguistenco</w:t>
            </w:r>
          </w:p>
        </w:tc>
        <w:tc>
          <w:tcPr>
            <w:tcW w:w="728" w:type="dxa"/>
            <w:tcBorders>
              <w:left w:val="single" w:sz="4" w:space="0" w:color="000000"/>
              <w:bottom w:val="single" w:sz="4" w:space="0" w:color="000000"/>
              <w:right w:val="single" w:sz="4" w:space="0" w:color="000000"/>
            </w:tcBorders>
            <w:shd w:val="clear" w:color="auto" w:fill="D7D7D7"/>
          </w:tcPr>
          <w:p>
            <w:pPr>
              <w:pStyle w:val="TableParagraph"/>
              <w:jc w:val="left"/>
              <w:rPr>
                <w:b/>
                <w:sz w:val="14"/>
              </w:rPr>
            </w:pPr>
          </w:p>
          <w:p>
            <w:pPr>
              <w:pStyle w:val="TableParagraph"/>
              <w:jc w:val="left"/>
              <w:rPr>
                <w:b/>
                <w:sz w:val="14"/>
              </w:rPr>
            </w:pPr>
          </w:p>
          <w:p>
            <w:pPr>
              <w:pStyle w:val="TableParagraph"/>
              <w:spacing w:before="83"/>
              <w:ind w:right="59"/>
              <w:rPr>
                <w:rFonts w:ascii="Calibri"/>
                <w:b/>
                <w:sz w:val="14"/>
              </w:rPr>
            </w:pPr>
            <w:r>
              <w:rPr>
                <w:rFonts w:ascii="Calibri"/>
                <w:b/>
                <w:w w:val="95"/>
                <w:sz w:val="14"/>
              </w:rPr>
              <w:t>Ocoyoacac</w:t>
            </w:r>
          </w:p>
        </w:tc>
        <w:tc>
          <w:tcPr>
            <w:tcW w:w="728" w:type="dxa"/>
            <w:tcBorders>
              <w:left w:val="single" w:sz="4" w:space="0" w:color="000000"/>
              <w:bottom w:val="single" w:sz="4" w:space="0" w:color="000000"/>
              <w:right w:val="single" w:sz="4" w:space="0" w:color="000000"/>
            </w:tcBorders>
            <w:shd w:val="clear" w:color="auto" w:fill="D7D7D7"/>
          </w:tcPr>
          <w:p>
            <w:pPr>
              <w:pStyle w:val="TableParagraph"/>
              <w:spacing w:before="2"/>
              <w:jc w:val="left"/>
              <w:rPr>
                <w:b/>
                <w:sz w:val="18"/>
              </w:rPr>
            </w:pPr>
          </w:p>
          <w:p>
            <w:pPr>
              <w:pStyle w:val="TableParagraph"/>
              <w:spacing w:line="276" w:lineRule="auto"/>
              <w:ind w:left="154" w:right="49" w:hanging="101"/>
              <w:jc w:val="left"/>
              <w:rPr>
                <w:rFonts w:ascii="Calibri"/>
                <w:b/>
                <w:sz w:val="14"/>
              </w:rPr>
            </w:pPr>
            <w:r>
              <w:rPr>
                <w:rFonts w:ascii="Calibri"/>
                <w:b/>
                <w:w w:val="95"/>
                <w:sz w:val="14"/>
              </w:rPr>
              <w:t>San Mateo </w:t>
            </w:r>
            <w:r>
              <w:rPr>
                <w:rFonts w:ascii="Calibri"/>
                <w:b/>
                <w:sz w:val="14"/>
              </w:rPr>
              <w:t>Atenco</w:t>
            </w:r>
          </w:p>
        </w:tc>
        <w:tc>
          <w:tcPr>
            <w:tcW w:w="728" w:type="dxa"/>
            <w:tcBorders>
              <w:left w:val="single" w:sz="4" w:space="0" w:color="000000"/>
              <w:bottom w:val="single" w:sz="4" w:space="0" w:color="000000"/>
              <w:right w:val="single" w:sz="4" w:space="0" w:color="000000"/>
            </w:tcBorders>
            <w:shd w:val="clear" w:color="auto" w:fill="D7D7D7"/>
          </w:tcPr>
          <w:p>
            <w:pPr>
              <w:pStyle w:val="TableParagraph"/>
              <w:jc w:val="left"/>
              <w:rPr>
                <w:b/>
                <w:sz w:val="14"/>
              </w:rPr>
            </w:pPr>
          </w:p>
          <w:p>
            <w:pPr>
              <w:pStyle w:val="TableParagraph"/>
              <w:jc w:val="left"/>
              <w:rPr>
                <w:b/>
                <w:sz w:val="14"/>
              </w:rPr>
            </w:pPr>
          </w:p>
          <w:p>
            <w:pPr>
              <w:pStyle w:val="TableParagraph"/>
              <w:spacing w:before="83"/>
              <w:ind w:right="25"/>
              <w:rPr>
                <w:rFonts w:ascii="Calibri" w:hAnsi="Calibri"/>
                <w:b/>
                <w:sz w:val="14"/>
              </w:rPr>
            </w:pPr>
            <w:r>
              <w:rPr>
                <w:rFonts w:ascii="Calibri" w:hAnsi="Calibri"/>
                <w:b/>
                <w:spacing w:val="-3"/>
                <w:sz w:val="14"/>
              </w:rPr>
              <w:t>Total </w:t>
            </w:r>
            <w:r>
              <w:rPr>
                <w:rFonts w:ascii="Calibri" w:hAnsi="Calibri"/>
                <w:b/>
                <w:sz w:val="14"/>
              </w:rPr>
              <w:t>región</w:t>
            </w:r>
          </w:p>
        </w:tc>
      </w:tr>
      <w:tr>
        <w:trPr>
          <w:trHeight w:val="196" w:hRule="exact"/>
        </w:trPr>
        <w:tc>
          <w:tcPr>
            <w:tcW w:w="728" w:type="dxa"/>
            <w:tcBorders>
              <w:top w:val="single" w:sz="4" w:space="0" w:color="000000"/>
              <w:left w:val="single" w:sz="4" w:space="0" w:color="000000"/>
              <w:right w:val="single" w:sz="4" w:space="0" w:color="000000"/>
            </w:tcBorders>
          </w:tcPr>
          <w:p>
            <w:pPr>
              <w:pStyle w:val="TableParagraph"/>
              <w:spacing w:before="13"/>
              <w:ind w:right="16"/>
              <w:rPr>
                <w:rFonts w:ascii="Calibri"/>
                <w:sz w:val="14"/>
              </w:rPr>
            </w:pPr>
            <w:r>
              <w:rPr>
                <w:rFonts w:ascii="Calibri"/>
                <w:w w:val="95"/>
                <w:sz w:val="14"/>
              </w:rPr>
              <w:t>1970</w:t>
            </w:r>
          </w:p>
        </w:tc>
        <w:tc>
          <w:tcPr>
            <w:tcW w:w="728" w:type="dxa"/>
            <w:tcBorders>
              <w:top w:val="single" w:sz="4" w:space="0" w:color="000000"/>
              <w:left w:val="single" w:sz="4" w:space="0" w:color="000000"/>
              <w:right w:val="single" w:sz="4" w:space="0" w:color="000000"/>
            </w:tcBorders>
          </w:tcPr>
          <w:p>
            <w:pPr>
              <w:pStyle w:val="TableParagraph"/>
              <w:spacing w:before="13"/>
              <w:ind w:right="10"/>
              <w:rPr>
                <w:rFonts w:ascii="Calibri"/>
                <w:sz w:val="14"/>
              </w:rPr>
            </w:pPr>
            <w:r>
              <w:rPr>
                <w:rFonts w:ascii="Calibri"/>
                <w:w w:val="95"/>
                <w:sz w:val="14"/>
              </w:rPr>
              <w:t>79.1</w:t>
            </w:r>
          </w:p>
        </w:tc>
        <w:tc>
          <w:tcPr>
            <w:tcW w:w="728" w:type="dxa"/>
            <w:tcBorders>
              <w:top w:val="single" w:sz="4" w:space="0" w:color="000000"/>
              <w:left w:val="single" w:sz="4" w:space="0" w:color="000000"/>
              <w:right w:val="single" w:sz="4" w:space="0" w:color="000000"/>
            </w:tcBorders>
          </w:tcPr>
          <w:p>
            <w:pPr>
              <w:pStyle w:val="TableParagraph"/>
              <w:spacing w:before="13"/>
              <w:ind w:right="10"/>
              <w:rPr>
                <w:rFonts w:ascii="Calibri"/>
                <w:sz w:val="14"/>
              </w:rPr>
            </w:pPr>
            <w:r>
              <w:rPr>
                <w:rFonts w:ascii="Calibri"/>
                <w:w w:val="95"/>
                <w:sz w:val="14"/>
              </w:rPr>
              <w:t>20.9</w:t>
            </w:r>
          </w:p>
        </w:tc>
        <w:tc>
          <w:tcPr>
            <w:tcW w:w="919" w:type="dxa"/>
            <w:tcBorders>
              <w:top w:val="single" w:sz="4" w:space="0" w:color="000000"/>
              <w:left w:val="single" w:sz="4" w:space="0" w:color="000000"/>
              <w:right w:val="single" w:sz="4" w:space="0" w:color="000000"/>
            </w:tcBorders>
          </w:tcPr>
          <w:p>
            <w:pPr>
              <w:pStyle w:val="TableParagraph"/>
              <w:spacing w:before="13"/>
              <w:ind w:right="10"/>
              <w:rPr>
                <w:rFonts w:ascii="Calibri"/>
                <w:sz w:val="14"/>
              </w:rPr>
            </w:pPr>
            <w:r>
              <w:rPr>
                <w:rFonts w:ascii="Calibri"/>
                <w:w w:val="95"/>
                <w:sz w:val="14"/>
              </w:rPr>
              <w:t>0.0</w:t>
            </w:r>
          </w:p>
        </w:tc>
        <w:tc>
          <w:tcPr>
            <w:tcW w:w="728" w:type="dxa"/>
            <w:tcBorders>
              <w:top w:val="single" w:sz="4" w:space="0" w:color="000000"/>
              <w:left w:val="single" w:sz="4" w:space="0" w:color="000000"/>
              <w:right w:val="single" w:sz="4" w:space="0" w:color="000000"/>
            </w:tcBorders>
          </w:tcPr>
          <w:p>
            <w:pPr>
              <w:pStyle w:val="TableParagraph"/>
              <w:spacing w:before="13"/>
              <w:ind w:right="10"/>
              <w:rPr>
                <w:rFonts w:ascii="Calibri"/>
                <w:sz w:val="14"/>
              </w:rPr>
            </w:pPr>
            <w:r>
              <w:rPr>
                <w:rFonts w:ascii="Calibri"/>
                <w:w w:val="95"/>
                <w:sz w:val="14"/>
              </w:rPr>
              <w:t>0.0</w:t>
            </w:r>
          </w:p>
        </w:tc>
        <w:tc>
          <w:tcPr>
            <w:tcW w:w="728" w:type="dxa"/>
            <w:tcBorders>
              <w:top w:val="single" w:sz="4" w:space="0" w:color="000000"/>
              <w:left w:val="single" w:sz="4" w:space="0" w:color="000000"/>
              <w:right w:val="single" w:sz="4" w:space="0" w:color="000000"/>
            </w:tcBorders>
          </w:tcPr>
          <w:p>
            <w:pPr>
              <w:pStyle w:val="TableParagraph"/>
              <w:spacing w:before="13"/>
              <w:ind w:right="12"/>
              <w:rPr>
                <w:rFonts w:ascii="Calibri"/>
                <w:sz w:val="14"/>
              </w:rPr>
            </w:pPr>
            <w:r>
              <w:rPr>
                <w:rFonts w:ascii="Calibri"/>
                <w:w w:val="95"/>
                <w:sz w:val="14"/>
              </w:rPr>
              <w:t>0.0</w:t>
            </w:r>
          </w:p>
        </w:tc>
        <w:tc>
          <w:tcPr>
            <w:tcW w:w="728" w:type="dxa"/>
            <w:tcBorders>
              <w:top w:val="single" w:sz="4" w:space="0" w:color="000000"/>
              <w:left w:val="single" w:sz="4" w:space="0" w:color="000000"/>
              <w:right w:val="single" w:sz="4" w:space="0" w:color="000000"/>
            </w:tcBorders>
          </w:tcPr>
          <w:p>
            <w:pPr>
              <w:pStyle w:val="TableParagraph"/>
              <w:spacing w:before="13"/>
              <w:ind w:right="10"/>
              <w:rPr>
                <w:rFonts w:ascii="Calibri"/>
                <w:sz w:val="14"/>
              </w:rPr>
            </w:pPr>
            <w:r>
              <w:rPr>
                <w:rFonts w:ascii="Calibri"/>
                <w:w w:val="95"/>
                <w:sz w:val="14"/>
              </w:rPr>
              <w:t>12.1</w:t>
            </w:r>
          </w:p>
        </w:tc>
      </w:tr>
      <w:tr>
        <w:trPr>
          <w:trHeight w:val="196" w:hRule="exact"/>
        </w:trPr>
        <w:tc>
          <w:tcPr>
            <w:tcW w:w="728" w:type="dxa"/>
            <w:tcBorders>
              <w:left w:val="single" w:sz="4" w:space="0" w:color="000000"/>
              <w:right w:val="single" w:sz="4" w:space="0" w:color="000000"/>
            </w:tcBorders>
          </w:tcPr>
          <w:p>
            <w:pPr>
              <w:pStyle w:val="TableParagraph"/>
              <w:spacing w:before="13"/>
              <w:ind w:right="16"/>
              <w:rPr>
                <w:rFonts w:ascii="Calibri"/>
                <w:sz w:val="14"/>
              </w:rPr>
            </w:pPr>
            <w:r>
              <w:rPr>
                <w:rFonts w:ascii="Calibri"/>
                <w:w w:val="95"/>
                <w:sz w:val="14"/>
              </w:rPr>
              <w:t>1975</w:t>
            </w:r>
          </w:p>
        </w:tc>
        <w:tc>
          <w:tcPr>
            <w:tcW w:w="728"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75.5</w:t>
            </w:r>
          </w:p>
        </w:tc>
        <w:tc>
          <w:tcPr>
            <w:tcW w:w="728"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19.8</w:t>
            </w:r>
          </w:p>
        </w:tc>
        <w:tc>
          <w:tcPr>
            <w:tcW w:w="919"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2.3</w:t>
            </w:r>
          </w:p>
        </w:tc>
        <w:tc>
          <w:tcPr>
            <w:tcW w:w="728"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2.3</w:t>
            </w:r>
          </w:p>
        </w:tc>
        <w:tc>
          <w:tcPr>
            <w:tcW w:w="728" w:type="dxa"/>
            <w:tcBorders>
              <w:left w:val="single" w:sz="4" w:space="0" w:color="000000"/>
              <w:right w:val="single" w:sz="4" w:space="0" w:color="000000"/>
            </w:tcBorders>
          </w:tcPr>
          <w:p>
            <w:pPr>
              <w:pStyle w:val="TableParagraph"/>
              <w:spacing w:before="13"/>
              <w:ind w:right="12"/>
              <w:rPr>
                <w:rFonts w:ascii="Calibri"/>
                <w:sz w:val="14"/>
              </w:rPr>
            </w:pPr>
            <w:r>
              <w:rPr>
                <w:rFonts w:ascii="Calibri"/>
                <w:w w:val="95"/>
                <w:sz w:val="14"/>
              </w:rPr>
              <w:t>0.2</w:t>
            </w:r>
          </w:p>
        </w:tc>
        <w:tc>
          <w:tcPr>
            <w:tcW w:w="728"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12.3</w:t>
            </w:r>
          </w:p>
        </w:tc>
      </w:tr>
      <w:tr>
        <w:trPr>
          <w:trHeight w:val="196" w:hRule="exact"/>
        </w:trPr>
        <w:tc>
          <w:tcPr>
            <w:tcW w:w="728" w:type="dxa"/>
            <w:tcBorders>
              <w:left w:val="single" w:sz="4" w:space="0" w:color="000000"/>
              <w:bottom w:val="single" w:sz="4" w:space="0" w:color="000000"/>
              <w:right w:val="single" w:sz="4" w:space="0" w:color="000000"/>
            </w:tcBorders>
          </w:tcPr>
          <w:p>
            <w:pPr>
              <w:pStyle w:val="TableParagraph"/>
              <w:spacing w:before="13"/>
              <w:ind w:right="16"/>
              <w:rPr>
                <w:rFonts w:ascii="Calibri"/>
                <w:sz w:val="14"/>
              </w:rPr>
            </w:pPr>
            <w:r>
              <w:rPr>
                <w:rFonts w:ascii="Calibri"/>
                <w:w w:val="95"/>
                <w:sz w:val="14"/>
              </w:rPr>
              <w:t>1980</w:t>
            </w:r>
          </w:p>
        </w:tc>
        <w:tc>
          <w:tcPr>
            <w:tcW w:w="728" w:type="dxa"/>
            <w:tcBorders>
              <w:left w:val="single" w:sz="4" w:space="0" w:color="000000"/>
              <w:bottom w:val="single" w:sz="4" w:space="0" w:color="000000"/>
              <w:right w:val="single" w:sz="4" w:space="0" w:color="000000"/>
            </w:tcBorders>
          </w:tcPr>
          <w:p>
            <w:pPr>
              <w:pStyle w:val="TableParagraph"/>
              <w:spacing w:before="13"/>
              <w:ind w:right="10"/>
              <w:rPr>
                <w:rFonts w:ascii="Calibri"/>
                <w:sz w:val="14"/>
              </w:rPr>
            </w:pPr>
            <w:r>
              <w:rPr>
                <w:rFonts w:ascii="Calibri"/>
                <w:w w:val="95"/>
                <w:sz w:val="14"/>
              </w:rPr>
              <w:t>73.6</w:t>
            </w:r>
          </w:p>
        </w:tc>
        <w:tc>
          <w:tcPr>
            <w:tcW w:w="728" w:type="dxa"/>
            <w:tcBorders>
              <w:left w:val="single" w:sz="4" w:space="0" w:color="000000"/>
              <w:bottom w:val="single" w:sz="4" w:space="0" w:color="000000"/>
              <w:right w:val="single" w:sz="4" w:space="0" w:color="000000"/>
            </w:tcBorders>
          </w:tcPr>
          <w:p>
            <w:pPr>
              <w:pStyle w:val="TableParagraph"/>
              <w:spacing w:before="13"/>
              <w:ind w:right="10"/>
              <w:rPr>
                <w:rFonts w:ascii="Calibri"/>
                <w:sz w:val="14"/>
              </w:rPr>
            </w:pPr>
            <w:r>
              <w:rPr>
                <w:rFonts w:ascii="Calibri"/>
                <w:w w:val="95"/>
                <w:sz w:val="14"/>
              </w:rPr>
              <w:t>10.4</w:t>
            </w:r>
          </w:p>
        </w:tc>
        <w:tc>
          <w:tcPr>
            <w:tcW w:w="919" w:type="dxa"/>
            <w:tcBorders>
              <w:left w:val="single" w:sz="4" w:space="0" w:color="000000"/>
              <w:bottom w:val="single" w:sz="4" w:space="0" w:color="000000"/>
              <w:right w:val="single" w:sz="4" w:space="0" w:color="000000"/>
            </w:tcBorders>
          </w:tcPr>
          <w:p>
            <w:pPr>
              <w:pStyle w:val="TableParagraph"/>
              <w:spacing w:before="13"/>
              <w:ind w:right="10"/>
              <w:rPr>
                <w:rFonts w:ascii="Calibri"/>
                <w:sz w:val="14"/>
              </w:rPr>
            </w:pPr>
            <w:r>
              <w:rPr>
                <w:rFonts w:ascii="Calibri"/>
                <w:w w:val="95"/>
                <w:sz w:val="14"/>
              </w:rPr>
              <w:t>1.4</w:t>
            </w:r>
          </w:p>
        </w:tc>
        <w:tc>
          <w:tcPr>
            <w:tcW w:w="728" w:type="dxa"/>
            <w:tcBorders>
              <w:left w:val="single" w:sz="4" w:space="0" w:color="000000"/>
              <w:bottom w:val="single" w:sz="4" w:space="0" w:color="000000"/>
              <w:right w:val="single" w:sz="4" w:space="0" w:color="000000"/>
            </w:tcBorders>
          </w:tcPr>
          <w:p>
            <w:pPr>
              <w:pStyle w:val="TableParagraph"/>
              <w:spacing w:before="13"/>
              <w:ind w:right="10"/>
              <w:rPr>
                <w:rFonts w:ascii="Calibri"/>
                <w:sz w:val="14"/>
              </w:rPr>
            </w:pPr>
            <w:r>
              <w:rPr>
                <w:rFonts w:ascii="Calibri"/>
                <w:w w:val="95"/>
                <w:sz w:val="14"/>
              </w:rPr>
              <w:t>0.1</w:t>
            </w:r>
          </w:p>
        </w:tc>
        <w:tc>
          <w:tcPr>
            <w:tcW w:w="728" w:type="dxa"/>
            <w:tcBorders>
              <w:left w:val="single" w:sz="4" w:space="0" w:color="000000"/>
              <w:bottom w:val="single" w:sz="4" w:space="0" w:color="000000"/>
              <w:right w:val="single" w:sz="4" w:space="0" w:color="000000"/>
            </w:tcBorders>
          </w:tcPr>
          <w:p>
            <w:pPr>
              <w:pStyle w:val="TableParagraph"/>
              <w:spacing w:before="13"/>
              <w:ind w:right="10"/>
              <w:rPr>
                <w:rFonts w:ascii="Calibri"/>
                <w:sz w:val="14"/>
              </w:rPr>
            </w:pPr>
            <w:r>
              <w:rPr>
                <w:rFonts w:ascii="Calibri"/>
                <w:w w:val="95"/>
                <w:sz w:val="14"/>
              </w:rPr>
              <w:t>14.6</w:t>
            </w:r>
          </w:p>
        </w:tc>
        <w:tc>
          <w:tcPr>
            <w:tcW w:w="728" w:type="dxa"/>
            <w:tcBorders>
              <w:left w:val="single" w:sz="4" w:space="0" w:color="000000"/>
              <w:bottom w:val="single" w:sz="4" w:space="0" w:color="000000"/>
              <w:right w:val="single" w:sz="4" w:space="0" w:color="000000"/>
            </w:tcBorders>
          </w:tcPr>
          <w:p>
            <w:pPr>
              <w:pStyle w:val="TableParagraph"/>
              <w:spacing w:before="13"/>
              <w:ind w:right="10"/>
              <w:rPr>
                <w:rFonts w:ascii="Calibri"/>
                <w:sz w:val="14"/>
              </w:rPr>
            </w:pPr>
            <w:r>
              <w:rPr>
                <w:rFonts w:ascii="Calibri"/>
                <w:w w:val="95"/>
                <w:sz w:val="14"/>
              </w:rPr>
              <w:t>12.6</w:t>
            </w:r>
          </w:p>
        </w:tc>
      </w:tr>
      <w:tr>
        <w:trPr>
          <w:trHeight w:val="196" w:hRule="exact"/>
        </w:trPr>
        <w:tc>
          <w:tcPr>
            <w:tcW w:w="728" w:type="dxa"/>
            <w:tcBorders>
              <w:top w:val="single" w:sz="4" w:space="0" w:color="000000"/>
              <w:left w:val="single" w:sz="4" w:space="0" w:color="000000"/>
              <w:right w:val="single" w:sz="4" w:space="0" w:color="000000"/>
            </w:tcBorders>
          </w:tcPr>
          <w:p>
            <w:pPr>
              <w:pStyle w:val="TableParagraph"/>
              <w:spacing w:before="13"/>
              <w:ind w:right="16"/>
              <w:rPr>
                <w:rFonts w:ascii="Calibri"/>
                <w:sz w:val="14"/>
              </w:rPr>
            </w:pPr>
            <w:r>
              <w:rPr>
                <w:rFonts w:ascii="Calibri"/>
                <w:w w:val="95"/>
                <w:sz w:val="14"/>
              </w:rPr>
              <w:t>1985</w:t>
            </w:r>
          </w:p>
        </w:tc>
        <w:tc>
          <w:tcPr>
            <w:tcW w:w="728" w:type="dxa"/>
            <w:tcBorders>
              <w:top w:val="single" w:sz="4" w:space="0" w:color="000000"/>
              <w:left w:val="single" w:sz="4" w:space="0" w:color="000000"/>
              <w:right w:val="single" w:sz="4" w:space="0" w:color="000000"/>
            </w:tcBorders>
          </w:tcPr>
          <w:p>
            <w:pPr>
              <w:pStyle w:val="TableParagraph"/>
              <w:spacing w:before="13"/>
              <w:ind w:right="10"/>
              <w:rPr>
                <w:rFonts w:ascii="Calibri"/>
                <w:sz w:val="14"/>
              </w:rPr>
            </w:pPr>
            <w:r>
              <w:rPr>
                <w:rFonts w:ascii="Calibri"/>
                <w:w w:val="95"/>
                <w:sz w:val="14"/>
              </w:rPr>
              <w:t>72.4</w:t>
            </w:r>
          </w:p>
        </w:tc>
        <w:tc>
          <w:tcPr>
            <w:tcW w:w="728" w:type="dxa"/>
            <w:tcBorders>
              <w:top w:val="single" w:sz="4" w:space="0" w:color="000000"/>
              <w:left w:val="single" w:sz="4" w:space="0" w:color="000000"/>
              <w:right w:val="single" w:sz="4" w:space="0" w:color="000000"/>
            </w:tcBorders>
          </w:tcPr>
          <w:p>
            <w:pPr>
              <w:pStyle w:val="TableParagraph"/>
              <w:spacing w:before="13"/>
              <w:ind w:right="10"/>
              <w:rPr>
                <w:rFonts w:ascii="Calibri"/>
                <w:sz w:val="14"/>
              </w:rPr>
            </w:pPr>
            <w:r>
              <w:rPr>
                <w:rFonts w:ascii="Calibri"/>
                <w:w w:val="95"/>
                <w:sz w:val="14"/>
              </w:rPr>
              <w:t>17.3</w:t>
            </w:r>
          </w:p>
        </w:tc>
        <w:tc>
          <w:tcPr>
            <w:tcW w:w="919" w:type="dxa"/>
            <w:tcBorders>
              <w:top w:val="single" w:sz="4" w:space="0" w:color="000000"/>
              <w:left w:val="single" w:sz="4" w:space="0" w:color="000000"/>
              <w:right w:val="single" w:sz="4" w:space="0" w:color="000000"/>
            </w:tcBorders>
          </w:tcPr>
          <w:p>
            <w:pPr>
              <w:pStyle w:val="TableParagraph"/>
              <w:spacing w:before="13"/>
              <w:ind w:right="10"/>
              <w:rPr>
                <w:rFonts w:ascii="Calibri"/>
                <w:sz w:val="14"/>
              </w:rPr>
            </w:pPr>
            <w:r>
              <w:rPr>
                <w:rFonts w:ascii="Calibri"/>
                <w:w w:val="95"/>
                <w:sz w:val="14"/>
              </w:rPr>
              <w:t>8.5</w:t>
            </w:r>
          </w:p>
        </w:tc>
        <w:tc>
          <w:tcPr>
            <w:tcW w:w="728" w:type="dxa"/>
            <w:tcBorders>
              <w:top w:val="single" w:sz="4" w:space="0" w:color="000000"/>
              <w:left w:val="single" w:sz="4" w:space="0" w:color="000000"/>
              <w:right w:val="single" w:sz="4" w:space="0" w:color="000000"/>
            </w:tcBorders>
          </w:tcPr>
          <w:p>
            <w:pPr>
              <w:pStyle w:val="TableParagraph"/>
              <w:spacing w:before="13"/>
              <w:ind w:right="10"/>
              <w:rPr>
                <w:rFonts w:ascii="Calibri"/>
                <w:sz w:val="14"/>
              </w:rPr>
            </w:pPr>
            <w:r>
              <w:rPr>
                <w:rFonts w:ascii="Calibri"/>
                <w:w w:val="95"/>
                <w:sz w:val="14"/>
              </w:rPr>
              <w:t>1.2</w:t>
            </w:r>
          </w:p>
        </w:tc>
        <w:tc>
          <w:tcPr>
            <w:tcW w:w="728" w:type="dxa"/>
            <w:tcBorders>
              <w:top w:val="single" w:sz="4" w:space="0" w:color="000000"/>
              <w:left w:val="single" w:sz="4" w:space="0" w:color="000000"/>
              <w:right w:val="single" w:sz="4" w:space="0" w:color="000000"/>
            </w:tcBorders>
          </w:tcPr>
          <w:p>
            <w:pPr>
              <w:pStyle w:val="TableParagraph"/>
              <w:spacing w:before="13"/>
              <w:ind w:right="12"/>
              <w:rPr>
                <w:rFonts w:ascii="Calibri"/>
                <w:sz w:val="14"/>
              </w:rPr>
            </w:pPr>
            <w:r>
              <w:rPr>
                <w:rFonts w:ascii="Calibri"/>
                <w:w w:val="95"/>
                <w:sz w:val="14"/>
              </w:rPr>
              <w:t>0.7</w:t>
            </w:r>
          </w:p>
        </w:tc>
        <w:tc>
          <w:tcPr>
            <w:tcW w:w="728" w:type="dxa"/>
            <w:tcBorders>
              <w:top w:val="single" w:sz="4" w:space="0" w:color="000000"/>
              <w:left w:val="single" w:sz="4" w:space="0" w:color="000000"/>
              <w:right w:val="single" w:sz="4" w:space="0" w:color="000000"/>
            </w:tcBorders>
          </w:tcPr>
          <w:p>
            <w:pPr>
              <w:pStyle w:val="TableParagraph"/>
              <w:spacing w:before="13"/>
              <w:ind w:right="10"/>
              <w:rPr>
                <w:rFonts w:ascii="Calibri"/>
                <w:sz w:val="14"/>
              </w:rPr>
            </w:pPr>
            <w:r>
              <w:rPr>
                <w:rFonts w:ascii="Calibri"/>
                <w:w w:val="95"/>
                <w:sz w:val="14"/>
              </w:rPr>
              <w:t>14.5</w:t>
            </w:r>
          </w:p>
        </w:tc>
      </w:tr>
      <w:tr>
        <w:trPr>
          <w:trHeight w:val="196" w:hRule="exact"/>
        </w:trPr>
        <w:tc>
          <w:tcPr>
            <w:tcW w:w="728" w:type="dxa"/>
            <w:tcBorders>
              <w:left w:val="single" w:sz="4" w:space="0" w:color="000000"/>
              <w:right w:val="single" w:sz="4" w:space="0" w:color="000000"/>
            </w:tcBorders>
          </w:tcPr>
          <w:p>
            <w:pPr>
              <w:pStyle w:val="TableParagraph"/>
              <w:spacing w:before="14"/>
              <w:ind w:right="16"/>
              <w:rPr>
                <w:rFonts w:ascii="Calibri"/>
                <w:sz w:val="14"/>
              </w:rPr>
            </w:pPr>
            <w:r>
              <w:rPr>
                <w:rFonts w:ascii="Calibri"/>
                <w:w w:val="95"/>
                <w:sz w:val="14"/>
              </w:rPr>
              <w:t>1988</w:t>
            </w:r>
          </w:p>
        </w:tc>
        <w:tc>
          <w:tcPr>
            <w:tcW w:w="728" w:type="dxa"/>
            <w:tcBorders>
              <w:left w:val="single" w:sz="4" w:space="0" w:color="000000"/>
              <w:right w:val="single" w:sz="4" w:space="0" w:color="000000"/>
            </w:tcBorders>
          </w:tcPr>
          <w:p>
            <w:pPr>
              <w:pStyle w:val="TableParagraph"/>
              <w:spacing w:before="14"/>
              <w:ind w:right="10"/>
              <w:rPr>
                <w:rFonts w:ascii="Calibri"/>
                <w:sz w:val="14"/>
              </w:rPr>
            </w:pPr>
            <w:r>
              <w:rPr>
                <w:rFonts w:ascii="Calibri"/>
                <w:w w:val="95"/>
                <w:sz w:val="14"/>
              </w:rPr>
              <w:t>65.4</w:t>
            </w:r>
          </w:p>
        </w:tc>
        <w:tc>
          <w:tcPr>
            <w:tcW w:w="728" w:type="dxa"/>
            <w:tcBorders>
              <w:left w:val="single" w:sz="4" w:space="0" w:color="000000"/>
              <w:right w:val="single" w:sz="4" w:space="0" w:color="000000"/>
            </w:tcBorders>
          </w:tcPr>
          <w:p>
            <w:pPr>
              <w:pStyle w:val="TableParagraph"/>
              <w:spacing w:before="14"/>
              <w:ind w:right="10"/>
              <w:rPr>
                <w:rFonts w:ascii="Calibri"/>
                <w:sz w:val="14"/>
              </w:rPr>
            </w:pPr>
            <w:r>
              <w:rPr>
                <w:rFonts w:ascii="Calibri"/>
                <w:w w:val="95"/>
                <w:sz w:val="14"/>
              </w:rPr>
              <w:t>25.9</w:t>
            </w:r>
          </w:p>
        </w:tc>
        <w:tc>
          <w:tcPr>
            <w:tcW w:w="919" w:type="dxa"/>
            <w:tcBorders>
              <w:left w:val="single" w:sz="4" w:space="0" w:color="000000"/>
              <w:right w:val="single" w:sz="4" w:space="0" w:color="000000"/>
            </w:tcBorders>
          </w:tcPr>
          <w:p>
            <w:pPr>
              <w:pStyle w:val="TableParagraph"/>
              <w:spacing w:before="14"/>
              <w:ind w:right="10"/>
              <w:rPr>
                <w:rFonts w:ascii="Calibri"/>
                <w:sz w:val="14"/>
              </w:rPr>
            </w:pPr>
            <w:r>
              <w:rPr>
                <w:rFonts w:ascii="Calibri"/>
                <w:w w:val="95"/>
                <w:sz w:val="14"/>
              </w:rPr>
              <w:t>7.2</w:t>
            </w:r>
          </w:p>
        </w:tc>
        <w:tc>
          <w:tcPr>
            <w:tcW w:w="728" w:type="dxa"/>
            <w:tcBorders>
              <w:left w:val="single" w:sz="4" w:space="0" w:color="000000"/>
              <w:right w:val="single" w:sz="4" w:space="0" w:color="000000"/>
            </w:tcBorders>
          </w:tcPr>
          <w:p>
            <w:pPr>
              <w:pStyle w:val="TableParagraph"/>
              <w:spacing w:before="14"/>
              <w:ind w:right="10"/>
              <w:rPr>
                <w:rFonts w:ascii="Calibri"/>
                <w:sz w:val="14"/>
              </w:rPr>
            </w:pPr>
            <w:r>
              <w:rPr>
                <w:rFonts w:ascii="Calibri"/>
                <w:w w:val="95"/>
                <w:sz w:val="14"/>
              </w:rPr>
              <w:t>0.4</w:t>
            </w:r>
          </w:p>
        </w:tc>
        <w:tc>
          <w:tcPr>
            <w:tcW w:w="728" w:type="dxa"/>
            <w:tcBorders>
              <w:left w:val="single" w:sz="4" w:space="0" w:color="000000"/>
              <w:right w:val="single" w:sz="4" w:space="0" w:color="000000"/>
            </w:tcBorders>
          </w:tcPr>
          <w:p>
            <w:pPr>
              <w:pStyle w:val="TableParagraph"/>
              <w:spacing w:before="14"/>
              <w:ind w:right="12"/>
              <w:rPr>
                <w:rFonts w:ascii="Calibri"/>
                <w:sz w:val="14"/>
              </w:rPr>
            </w:pPr>
            <w:r>
              <w:rPr>
                <w:rFonts w:ascii="Calibri"/>
                <w:w w:val="95"/>
                <w:sz w:val="14"/>
              </w:rPr>
              <w:t>1.2</w:t>
            </w:r>
          </w:p>
        </w:tc>
        <w:tc>
          <w:tcPr>
            <w:tcW w:w="728" w:type="dxa"/>
            <w:tcBorders>
              <w:left w:val="single" w:sz="4" w:space="0" w:color="000000"/>
              <w:right w:val="single" w:sz="4" w:space="0" w:color="000000"/>
            </w:tcBorders>
          </w:tcPr>
          <w:p>
            <w:pPr>
              <w:pStyle w:val="TableParagraph"/>
              <w:spacing w:before="14"/>
              <w:ind w:right="10"/>
              <w:rPr>
                <w:rFonts w:ascii="Calibri"/>
                <w:sz w:val="14"/>
              </w:rPr>
            </w:pPr>
            <w:r>
              <w:rPr>
                <w:rFonts w:ascii="Calibri"/>
                <w:w w:val="95"/>
                <w:sz w:val="14"/>
              </w:rPr>
              <w:t>16.6</w:t>
            </w:r>
          </w:p>
        </w:tc>
      </w:tr>
      <w:tr>
        <w:trPr>
          <w:trHeight w:val="196" w:hRule="exact"/>
        </w:trPr>
        <w:tc>
          <w:tcPr>
            <w:tcW w:w="728" w:type="dxa"/>
            <w:tcBorders>
              <w:left w:val="single" w:sz="4" w:space="0" w:color="000000"/>
              <w:right w:val="single" w:sz="4" w:space="0" w:color="000000"/>
            </w:tcBorders>
          </w:tcPr>
          <w:p>
            <w:pPr>
              <w:pStyle w:val="TableParagraph"/>
              <w:spacing w:before="13"/>
              <w:ind w:right="16"/>
              <w:rPr>
                <w:rFonts w:ascii="Calibri"/>
                <w:sz w:val="14"/>
              </w:rPr>
            </w:pPr>
            <w:r>
              <w:rPr>
                <w:rFonts w:ascii="Calibri"/>
                <w:w w:val="95"/>
                <w:sz w:val="14"/>
              </w:rPr>
              <w:t>1993</w:t>
            </w:r>
          </w:p>
        </w:tc>
        <w:tc>
          <w:tcPr>
            <w:tcW w:w="728"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67.3</w:t>
            </w:r>
          </w:p>
        </w:tc>
        <w:tc>
          <w:tcPr>
            <w:tcW w:w="728"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17.2</w:t>
            </w:r>
          </w:p>
        </w:tc>
        <w:tc>
          <w:tcPr>
            <w:tcW w:w="919"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8.5</w:t>
            </w:r>
          </w:p>
        </w:tc>
        <w:tc>
          <w:tcPr>
            <w:tcW w:w="728"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1.7</w:t>
            </w:r>
          </w:p>
        </w:tc>
        <w:tc>
          <w:tcPr>
            <w:tcW w:w="728" w:type="dxa"/>
            <w:tcBorders>
              <w:left w:val="single" w:sz="4" w:space="0" w:color="000000"/>
              <w:right w:val="single" w:sz="4" w:space="0" w:color="000000"/>
            </w:tcBorders>
          </w:tcPr>
          <w:p>
            <w:pPr>
              <w:pStyle w:val="TableParagraph"/>
              <w:spacing w:before="13"/>
              <w:ind w:right="12"/>
              <w:rPr>
                <w:rFonts w:ascii="Calibri"/>
                <w:sz w:val="14"/>
              </w:rPr>
            </w:pPr>
            <w:r>
              <w:rPr>
                <w:rFonts w:ascii="Calibri"/>
                <w:w w:val="95"/>
                <w:sz w:val="14"/>
              </w:rPr>
              <w:t>5.3</w:t>
            </w:r>
          </w:p>
        </w:tc>
        <w:tc>
          <w:tcPr>
            <w:tcW w:w="728"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20.8</w:t>
            </w:r>
          </w:p>
        </w:tc>
      </w:tr>
      <w:tr>
        <w:trPr>
          <w:trHeight w:val="196" w:hRule="exact"/>
        </w:trPr>
        <w:tc>
          <w:tcPr>
            <w:tcW w:w="728" w:type="dxa"/>
            <w:tcBorders>
              <w:left w:val="single" w:sz="4" w:space="0" w:color="000000"/>
              <w:right w:val="single" w:sz="4" w:space="0" w:color="000000"/>
            </w:tcBorders>
          </w:tcPr>
          <w:p>
            <w:pPr>
              <w:pStyle w:val="TableParagraph"/>
              <w:spacing w:before="13"/>
              <w:ind w:right="16"/>
              <w:rPr>
                <w:rFonts w:ascii="Calibri"/>
                <w:sz w:val="14"/>
              </w:rPr>
            </w:pPr>
            <w:r>
              <w:rPr>
                <w:rFonts w:ascii="Calibri"/>
                <w:w w:val="95"/>
                <w:sz w:val="14"/>
              </w:rPr>
              <w:t>1998</w:t>
            </w:r>
          </w:p>
        </w:tc>
        <w:tc>
          <w:tcPr>
            <w:tcW w:w="728"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64.6</w:t>
            </w:r>
          </w:p>
        </w:tc>
        <w:tc>
          <w:tcPr>
            <w:tcW w:w="728"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17.4</w:t>
            </w:r>
          </w:p>
        </w:tc>
        <w:tc>
          <w:tcPr>
            <w:tcW w:w="919"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8.5</w:t>
            </w:r>
          </w:p>
        </w:tc>
        <w:tc>
          <w:tcPr>
            <w:tcW w:w="728"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4.7</w:t>
            </w:r>
          </w:p>
        </w:tc>
        <w:tc>
          <w:tcPr>
            <w:tcW w:w="728" w:type="dxa"/>
            <w:tcBorders>
              <w:left w:val="single" w:sz="4" w:space="0" w:color="000000"/>
              <w:right w:val="single" w:sz="4" w:space="0" w:color="000000"/>
            </w:tcBorders>
          </w:tcPr>
          <w:p>
            <w:pPr>
              <w:pStyle w:val="TableParagraph"/>
              <w:spacing w:before="13"/>
              <w:ind w:right="12"/>
              <w:rPr>
                <w:rFonts w:ascii="Calibri"/>
                <w:sz w:val="14"/>
              </w:rPr>
            </w:pPr>
            <w:r>
              <w:rPr>
                <w:rFonts w:ascii="Calibri"/>
                <w:w w:val="95"/>
                <w:sz w:val="14"/>
              </w:rPr>
              <w:t>4.9</w:t>
            </w:r>
          </w:p>
        </w:tc>
        <w:tc>
          <w:tcPr>
            <w:tcW w:w="728"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22.1</w:t>
            </w:r>
          </w:p>
        </w:tc>
      </w:tr>
      <w:tr>
        <w:trPr>
          <w:trHeight w:val="196" w:hRule="exact"/>
        </w:trPr>
        <w:tc>
          <w:tcPr>
            <w:tcW w:w="728" w:type="dxa"/>
            <w:tcBorders>
              <w:left w:val="single" w:sz="4" w:space="0" w:color="000000"/>
              <w:right w:val="single" w:sz="4" w:space="0" w:color="000000"/>
            </w:tcBorders>
          </w:tcPr>
          <w:p>
            <w:pPr>
              <w:pStyle w:val="TableParagraph"/>
              <w:spacing w:before="14"/>
              <w:ind w:right="16"/>
              <w:rPr>
                <w:rFonts w:ascii="Calibri"/>
                <w:sz w:val="14"/>
              </w:rPr>
            </w:pPr>
            <w:r>
              <w:rPr>
                <w:rFonts w:ascii="Calibri"/>
                <w:w w:val="95"/>
                <w:sz w:val="14"/>
              </w:rPr>
              <w:t>2003</w:t>
            </w:r>
          </w:p>
        </w:tc>
        <w:tc>
          <w:tcPr>
            <w:tcW w:w="728" w:type="dxa"/>
            <w:tcBorders>
              <w:left w:val="single" w:sz="4" w:space="0" w:color="000000"/>
              <w:right w:val="single" w:sz="4" w:space="0" w:color="000000"/>
            </w:tcBorders>
          </w:tcPr>
          <w:p>
            <w:pPr>
              <w:pStyle w:val="TableParagraph"/>
              <w:spacing w:before="14"/>
              <w:ind w:right="10"/>
              <w:rPr>
                <w:rFonts w:ascii="Calibri"/>
                <w:sz w:val="14"/>
              </w:rPr>
            </w:pPr>
            <w:r>
              <w:rPr>
                <w:rFonts w:ascii="Calibri"/>
                <w:w w:val="95"/>
                <w:sz w:val="14"/>
              </w:rPr>
              <w:t>66.9</w:t>
            </w:r>
          </w:p>
        </w:tc>
        <w:tc>
          <w:tcPr>
            <w:tcW w:w="728" w:type="dxa"/>
            <w:tcBorders>
              <w:left w:val="single" w:sz="4" w:space="0" w:color="000000"/>
              <w:right w:val="single" w:sz="4" w:space="0" w:color="000000"/>
            </w:tcBorders>
          </w:tcPr>
          <w:p>
            <w:pPr>
              <w:pStyle w:val="TableParagraph"/>
              <w:spacing w:before="14"/>
              <w:ind w:right="10"/>
              <w:rPr>
                <w:rFonts w:ascii="Calibri"/>
                <w:sz w:val="14"/>
              </w:rPr>
            </w:pPr>
            <w:r>
              <w:rPr>
                <w:rFonts w:ascii="Calibri"/>
                <w:w w:val="95"/>
                <w:sz w:val="14"/>
              </w:rPr>
              <w:t>20.0</w:t>
            </w:r>
          </w:p>
        </w:tc>
        <w:tc>
          <w:tcPr>
            <w:tcW w:w="919" w:type="dxa"/>
            <w:tcBorders>
              <w:left w:val="single" w:sz="4" w:space="0" w:color="000000"/>
              <w:right w:val="single" w:sz="4" w:space="0" w:color="000000"/>
            </w:tcBorders>
          </w:tcPr>
          <w:p>
            <w:pPr>
              <w:pStyle w:val="TableParagraph"/>
              <w:spacing w:before="14"/>
              <w:ind w:right="10"/>
              <w:rPr>
                <w:rFonts w:ascii="Calibri"/>
                <w:sz w:val="14"/>
              </w:rPr>
            </w:pPr>
            <w:r>
              <w:rPr>
                <w:rFonts w:ascii="Calibri"/>
                <w:w w:val="95"/>
                <w:sz w:val="14"/>
              </w:rPr>
              <w:t>3.4</w:t>
            </w:r>
          </w:p>
        </w:tc>
        <w:tc>
          <w:tcPr>
            <w:tcW w:w="728" w:type="dxa"/>
            <w:tcBorders>
              <w:left w:val="single" w:sz="4" w:space="0" w:color="000000"/>
              <w:right w:val="single" w:sz="4" w:space="0" w:color="000000"/>
            </w:tcBorders>
          </w:tcPr>
          <w:p>
            <w:pPr>
              <w:pStyle w:val="TableParagraph"/>
              <w:spacing w:before="14"/>
              <w:ind w:right="10"/>
              <w:rPr>
                <w:rFonts w:ascii="Calibri"/>
                <w:sz w:val="14"/>
              </w:rPr>
            </w:pPr>
            <w:r>
              <w:rPr>
                <w:rFonts w:ascii="Calibri"/>
                <w:w w:val="95"/>
                <w:sz w:val="14"/>
              </w:rPr>
              <w:t>5.0</w:t>
            </w:r>
          </w:p>
        </w:tc>
        <w:tc>
          <w:tcPr>
            <w:tcW w:w="728" w:type="dxa"/>
            <w:tcBorders>
              <w:left w:val="single" w:sz="4" w:space="0" w:color="000000"/>
              <w:right w:val="single" w:sz="4" w:space="0" w:color="000000"/>
            </w:tcBorders>
          </w:tcPr>
          <w:p>
            <w:pPr>
              <w:pStyle w:val="TableParagraph"/>
              <w:spacing w:before="14"/>
              <w:ind w:right="12"/>
              <w:rPr>
                <w:rFonts w:ascii="Calibri"/>
                <w:sz w:val="14"/>
              </w:rPr>
            </w:pPr>
            <w:r>
              <w:rPr>
                <w:rFonts w:ascii="Calibri"/>
                <w:w w:val="95"/>
                <w:sz w:val="14"/>
              </w:rPr>
              <w:t>4.7</w:t>
            </w:r>
          </w:p>
        </w:tc>
        <w:tc>
          <w:tcPr>
            <w:tcW w:w="728" w:type="dxa"/>
            <w:tcBorders>
              <w:left w:val="single" w:sz="4" w:space="0" w:color="000000"/>
              <w:right w:val="single" w:sz="4" w:space="0" w:color="000000"/>
            </w:tcBorders>
          </w:tcPr>
          <w:p>
            <w:pPr>
              <w:pStyle w:val="TableParagraph"/>
              <w:spacing w:before="14"/>
              <w:ind w:right="10"/>
              <w:rPr>
                <w:rFonts w:ascii="Calibri"/>
                <w:sz w:val="14"/>
              </w:rPr>
            </w:pPr>
            <w:r>
              <w:rPr>
                <w:rFonts w:ascii="Calibri"/>
                <w:w w:val="95"/>
                <w:sz w:val="14"/>
              </w:rPr>
              <w:t>25.9</w:t>
            </w:r>
          </w:p>
        </w:tc>
      </w:tr>
      <w:tr>
        <w:trPr>
          <w:trHeight w:val="196" w:hRule="exact"/>
        </w:trPr>
        <w:tc>
          <w:tcPr>
            <w:tcW w:w="728" w:type="dxa"/>
            <w:tcBorders>
              <w:left w:val="single" w:sz="4" w:space="0" w:color="000000"/>
              <w:right w:val="single" w:sz="4" w:space="0" w:color="000000"/>
            </w:tcBorders>
          </w:tcPr>
          <w:p>
            <w:pPr>
              <w:pStyle w:val="TableParagraph"/>
              <w:spacing w:before="13"/>
              <w:ind w:right="16"/>
              <w:rPr>
                <w:rFonts w:ascii="Calibri"/>
                <w:sz w:val="14"/>
              </w:rPr>
            </w:pPr>
            <w:r>
              <w:rPr>
                <w:rFonts w:ascii="Calibri"/>
                <w:w w:val="95"/>
                <w:sz w:val="14"/>
              </w:rPr>
              <w:t>2008</w:t>
            </w:r>
          </w:p>
        </w:tc>
        <w:tc>
          <w:tcPr>
            <w:tcW w:w="728"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66.2</w:t>
            </w:r>
          </w:p>
        </w:tc>
        <w:tc>
          <w:tcPr>
            <w:tcW w:w="728"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17.1</w:t>
            </w:r>
          </w:p>
        </w:tc>
        <w:tc>
          <w:tcPr>
            <w:tcW w:w="919"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5.1</w:t>
            </w:r>
          </w:p>
        </w:tc>
        <w:tc>
          <w:tcPr>
            <w:tcW w:w="728"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7.3</w:t>
            </w:r>
          </w:p>
        </w:tc>
        <w:tc>
          <w:tcPr>
            <w:tcW w:w="728" w:type="dxa"/>
            <w:tcBorders>
              <w:left w:val="single" w:sz="4" w:space="0" w:color="000000"/>
              <w:right w:val="single" w:sz="4" w:space="0" w:color="000000"/>
            </w:tcBorders>
          </w:tcPr>
          <w:p>
            <w:pPr>
              <w:pStyle w:val="TableParagraph"/>
              <w:spacing w:before="13"/>
              <w:ind w:right="12"/>
              <w:rPr>
                <w:rFonts w:ascii="Calibri"/>
                <w:sz w:val="14"/>
              </w:rPr>
            </w:pPr>
            <w:r>
              <w:rPr>
                <w:rFonts w:ascii="Calibri"/>
                <w:w w:val="95"/>
                <w:sz w:val="14"/>
              </w:rPr>
              <w:t>4.3</w:t>
            </w:r>
          </w:p>
        </w:tc>
        <w:tc>
          <w:tcPr>
            <w:tcW w:w="728" w:type="dxa"/>
            <w:tcBorders>
              <w:left w:val="single" w:sz="4" w:space="0" w:color="000000"/>
              <w:right w:val="single" w:sz="4" w:space="0" w:color="000000"/>
            </w:tcBorders>
          </w:tcPr>
          <w:p>
            <w:pPr>
              <w:pStyle w:val="TableParagraph"/>
              <w:spacing w:before="13"/>
              <w:ind w:right="10"/>
              <w:rPr>
                <w:rFonts w:ascii="Calibri"/>
                <w:sz w:val="14"/>
              </w:rPr>
            </w:pPr>
            <w:r>
              <w:rPr>
                <w:rFonts w:ascii="Calibri"/>
                <w:w w:val="95"/>
                <w:sz w:val="14"/>
              </w:rPr>
              <w:t>35.2</w:t>
            </w:r>
          </w:p>
        </w:tc>
      </w:tr>
    </w:tbl>
    <w:p>
      <w:pPr>
        <w:spacing w:before="13"/>
        <w:ind w:left="836" w:right="0" w:firstLine="0"/>
        <w:jc w:val="left"/>
        <w:rPr>
          <w:rFonts w:ascii="Calibri" w:hAnsi="Calibri"/>
          <w:sz w:val="14"/>
        </w:rPr>
      </w:pPr>
      <w:r>
        <w:rPr>
          <w:rFonts w:ascii="Arial" w:hAnsi="Arial"/>
          <w:sz w:val="12"/>
        </w:rPr>
        <w:t>Fuente: Elaboración </w:t>
      </w:r>
      <w:r>
        <w:rPr>
          <w:rFonts w:ascii="Arial" w:hAnsi="Arial"/>
          <w:spacing w:val="-3"/>
          <w:sz w:val="12"/>
        </w:rPr>
        <w:t>propia </w:t>
      </w:r>
      <w:r>
        <w:rPr>
          <w:rFonts w:ascii="Arial" w:hAnsi="Arial"/>
          <w:sz w:val="12"/>
        </w:rPr>
        <w:t>con base en los datos de </w:t>
      </w:r>
      <w:r>
        <w:rPr>
          <w:rFonts w:ascii="Arial" w:hAnsi="Arial"/>
          <w:spacing w:val="-3"/>
          <w:sz w:val="12"/>
        </w:rPr>
        <w:t>INEGI. </w:t>
      </w:r>
      <w:r>
        <w:rPr>
          <w:rFonts w:ascii="Arial" w:hAnsi="Arial"/>
          <w:i/>
          <w:sz w:val="12"/>
        </w:rPr>
        <w:t>Censos industriales y económicos </w:t>
      </w:r>
      <w:r>
        <w:rPr>
          <w:rFonts w:ascii="Calibri" w:hAnsi="Calibri"/>
          <w:sz w:val="14"/>
        </w:rPr>
        <w:t>. </w:t>
      </w:r>
      <w:r>
        <w:rPr>
          <w:rFonts w:ascii="Calibri" w:hAnsi="Calibri"/>
          <w:spacing w:val="-5"/>
          <w:sz w:val="14"/>
        </w:rPr>
        <w:t>1971, 1976, 1981, 1986, 1989, 1994, 1999, 2004 </w:t>
      </w:r>
      <w:r>
        <w:rPr>
          <w:rFonts w:ascii="Calibri" w:hAnsi="Calibri"/>
          <w:sz w:val="14"/>
        </w:rPr>
        <w:t>Y </w:t>
      </w:r>
      <w:r>
        <w:rPr>
          <w:rFonts w:ascii="Calibri" w:hAnsi="Calibri"/>
          <w:spacing w:val="-5"/>
          <w:sz w:val="14"/>
        </w:rPr>
        <w:t>2009.</w:t>
      </w:r>
    </w:p>
    <w:p>
      <w:pPr>
        <w:pStyle w:val="BodyText"/>
        <w:rPr>
          <w:rFonts w:ascii="Calibri"/>
          <w:sz w:val="20"/>
        </w:rPr>
      </w:pPr>
    </w:p>
    <w:p>
      <w:pPr>
        <w:pStyle w:val="BodyText"/>
        <w:spacing w:before="5"/>
        <w:rPr>
          <w:rFonts w:ascii="Calibri"/>
          <w:sz w:val="20"/>
        </w:rPr>
      </w:pPr>
    </w:p>
    <w:p>
      <w:pPr>
        <w:pStyle w:val="BodyText"/>
        <w:spacing w:line="360" w:lineRule="auto" w:before="69"/>
        <w:ind w:left="102" w:right="179" w:firstLine="707"/>
        <w:jc w:val="both"/>
      </w:pPr>
      <w:r>
        <w:rPr/>
        <w:t>Los municipios ubicados en la zona metropolitana del Valle de México, se les ha llamado región Valle de México, y comprende: Tlalnepantla de Baz, Naucalpan de Juárez, Cuautitlán Izcalli, Ecatepec de Morelos, Tultitlán, La Paz, Cuautitlán, Tepotzotlán, Nezahualcoyótl y Atizapán de Zaragoza. La participación para cada uno de  estos municipios se aprecia en el Cuadro 3.3. Destaca la participación de Tlalnepantla, la cual ha disminuido de 32.3% que tenía en 1970 a 20.3% en 2008. </w:t>
      </w:r>
      <w:r>
        <w:rPr>
          <w:spacing w:val="-3"/>
        </w:rPr>
        <w:t>Le </w:t>
      </w:r>
      <w:r>
        <w:rPr/>
        <w:t>sigue en importancia Naucalpan, el cual también ha visto disminuida su participación a través de los años. Por el contrario, destacan Ecatepec y Tultitlán, los cuales en 2008 recuperaron la participación  que tenían en 1970 y que habían perdido a través de los años. Los municipios que también ganaron participación durante el periodo de estudio son </w:t>
      </w:r>
      <w:r>
        <w:rPr>
          <w:spacing w:val="-3"/>
        </w:rPr>
        <w:t>La </w:t>
      </w:r>
      <w:r>
        <w:rPr/>
        <w:t>Paz y</w:t>
      </w:r>
      <w:r>
        <w:rPr>
          <w:spacing w:val="-6"/>
        </w:rPr>
        <w:t> </w:t>
      </w:r>
      <w:r>
        <w:rPr/>
        <w:t>Tepotzotlán.</w:t>
      </w:r>
    </w:p>
    <w:p>
      <w:pPr>
        <w:pStyle w:val="BodyText"/>
        <w:rPr>
          <w:sz w:val="20"/>
        </w:rPr>
      </w:pPr>
    </w:p>
    <w:p>
      <w:pPr>
        <w:pStyle w:val="BodyText"/>
        <w:rPr>
          <w:sz w:val="12"/>
        </w:rPr>
      </w:pPr>
    </w:p>
    <w:p>
      <w:pPr>
        <w:spacing w:before="96"/>
        <w:ind w:left="835" w:right="5150" w:firstLine="0"/>
        <w:jc w:val="left"/>
        <w:rPr>
          <w:rFonts w:ascii="Arial"/>
          <w:b/>
          <w:sz w:val="11"/>
        </w:rPr>
      </w:pPr>
      <w:r>
        <w:rPr>
          <w:rFonts w:ascii="Arial"/>
          <w:b/>
          <w:sz w:val="11"/>
        </w:rPr>
        <w:t>Cuadro 3.3</w:t>
      </w:r>
    </w:p>
    <w:p>
      <w:pPr>
        <w:spacing w:before="55"/>
        <w:ind w:left="835" w:right="5150" w:firstLine="0"/>
        <w:jc w:val="left"/>
        <w:rPr>
          <w:rFonts w:ascii="Arial" w:hAnsi="Arial"/>
          <w:b/>
          <w:sz w:val="11"/>
        </w:rPr>
      </w:pPr>
      <w:r>
        <w:rPr>
          <w:rFonts w:ascii="Arial" w:hAnsi="Arial"/>
          <w:b/>
          <w:sz w:val="11"/>
        </w:rPr>
        <w:t>Región Valle de México</w:t>
      </w:r>
    </w:p>
    <w:p>
      <w:pPr>
        <w:spacing w:line="343" w:lineRule="auto" w:before="55"/>
        <w:ind w:left="835" w:right="5150" w:firstLine="0"/>
        <w:jc w:val="left"/>
        <w:rPr>
          <w:rFonts w:ascii="Arial" w:hAnsi="Arial"/>
          <w:b/>
          <w:sz w:val="11"/>
        </w:rPr>
      </w:pPr>
      <w:r>
        <w:rPr>
          <w:rFonts w:ascii="Arial" w:hAnsi="Arial"/>
          <w:b/>
          <w:sz w:val="11"/>
        </w:rPr>
        <w:t>Valor Agregado Censal Bruto. Industria manufacturera Participación porcentual</w:t>
      </w:r>
    </w:p>
    <w:p>
      <w:pPr>
        <w:pStyle w:val="BodyText"/>
        <w:spacing w:before="3"/>
        <w:rPr>
          <w:rFonts w:ascii="Arial"/>
          <w:b/>
          <w:sz w:val="12"/>
        </w:rPr>
      </w:pPr>
    </w:p>
    <w:tbl>
      <w:tblPr>
        <w:tblW w:w="0" w:type="auto"/>
        <w:jc w:val="left"/>
        <w:tblInd w:w="8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8"/>
        <w:gridCol w:w="700"/>
        <w:gridCol w:w="675"/>
        <w:gridCol w:w="674"/>
        <w:gridCol w:w="675"/>
        <w:gridCol w:w="674"/>
        <w:gridCol w:w="675"/>
        <w:gridCol w:w="674"/>
        <w:gridCol w:w="675"/>
        <w:gridCol w:w="928"/>
        <w:gridCol w:w="675"/>
        <w:gridCol w:w="674"/>
      </w:tblGrid>
      <w:tr>
        <w:trPr>
          <w:trHeight w:val="362" w:hRule="exact"/>
        </w:trPr>
        <w:tc>
          <w:tcPr>
            <w:tcW w:w="498" w:type="dxa"/>
            <w:tcBorders>
              <w:left w:val="single" w:sz="3" w:space="0" w:color="000000"/>
              <w:right w:val="single" w:sz="3" w:space="0" w:color="000000"/>
            </w:tcBorders>
            <w:shd w:val="clear" w:color="auto" w:fill="D9D9D9"/>
          </w:tcPr>
          <w:p>
            <w:pPr>
              <w:pStyle w:val="TableParagraph"/>
              <w:spacing w:before="9"/>
              <w:jc w:val="left"/>
              <w:rPr>
                <w:b/>
                <w:sz w:val="16"/>
              </w:rPr>
            </w:pPr>
          </w:p>
          <w:p>
            <w:pPr>
              <w:pStyle w:val="TableParagraph"/>
              <w:ind w:left="135"/>
              <w:jc w:val="left"/>
              <w:rPr>
                <w:rFonts w:ascii="Calibri" w:hAnsi="Calibri"/>
                <w:b/>
                <w:sz w:val="13"/>
              </w:rPr>
            </w:pPr>
            <w:r>
              <w:rPr>
                <w:rFonts w:ascii="Calibri" w:hAnsi="Calibri"/>
                <w:b/>
                <w:sz w:val="13"/>
              </w:rPr>
              <w:t>Año</w:t>
            </w:r>
          </w:p>
        </w:tc>
        <w:tc>
          <w:tcPr>
            <w:tcW w:w="700" w:type="dxa"/>
            <w:tcBorders>
              <w:left w:val="single" w:sz="3" w:space="0" w:color="000000"/>
              <w:right w:val="single" w:sz="3" w:space="0" w:color="000000"/>
            </w:tcBorders>
            <w:shd w:val="clear" w:color="auto" w:fill="D9D9D9"/>
          </w:tcPr>
          <w:p>
            <w:pPr>
              <w:pStyle w:val="TableParagraph"/>
              <w:spacing w:before="9"/>
              <w:jc w:val="left"/>
              <w:rPr>
                <w:b/>
                <w:sz w:val="16"/>
              </w:rPr>
            </w:pPr>
          </w:p>
          <w:p>
            <w:pPr>
              <w:pStyle w:val="TableParagraph"/>
              <w:ind w:right="20"/>
              <w:rPr>
                <w:rFonts w:ascii="Calibri"/>
                <w:b/>
                <w:sz w:val="13"/>
              </w:rPr>
            </w:pPr>
            <w:r>
              <w:rPr>
                <w:rFonts w:ascii="Calibri"/>
                <w:b/>
                <w:w w:val="95"/>
                <w:sz w:val="13"/>
              </w:rPr>
              <w:t>Tlalnepantla</w:t>
            </w:r>
          </w:p>
        </w:tc>
        <w:tc>
          <w:tcPr>
            <w:tcW w:w="675" w:type="dxa"/>
            <w:tcBorders>
              <w:left w:val="single" w:sz="3" w:space="0" w:color="000000"/>
              <w:right w:val="single" w:sz="3" w:space="0" w:color="000000"/>
            </w:tcBorders>
            <w:shd w:val="clear" w:color="auto" w:fill="D9D9D9"/>
          </w:tcPr>
          <w:p>
            <w:pPr>
              <w:pStyle w:val="TableParagraph"/>
              <w:spacing w:before="9"/>
              <w:jc w:val="left"/>
              <w:rPr>
                <w:b/>
                <w:sz w:val="16"/>
              </w:rPr>
            </w:pPr>
          </w:p>
          <w:p>
            <w:pPr>
              <w:pStyle w:val="TableParagraph"/>
              <w:ind w:right="57"/>
              <w:rPr>
                <w:rFonts w:ascii="Calibri"/>
                <w:b/>
                <w:sz w:val="13"/>
              </w:rPr>
            </w:pPr>
            <w:r>
              <w:rPr>
                <w:rFonts w:ascii="Calibri"/>
                <w:b/>
                <w:w w:val="95"/>
                <w:sz w:val="13"/>
              </w:rPr>
              <w:t>Naucalpan</w:t>
            </w:r>
          </w:p>
        </w:tc>
        <w:tc>
          <w:tcPr>
            <w:tcW w:w="674" w:type="dxa"/>
            <w:tcBorders>
              <w:left w:val="single" w:sz="3" w:space="0" w:color="000000"/>
              <w:right w:val="single" w:sz="3" w:space="0" w:color="000000"/>
            </w:tcBorders>
            <w:shd w:val="clear" w:color="auto" w:fill="D9D9D9"/>
          </w:tcPr>
          <w:p>
            <w:pPr>
              <w:pStyle w:val="TableParagraph"/>
              <w:spacing w:line="273" w:lineRule="auto" w:before="12"/>
              <w:ind w:left="185" w:right="87" w:hanging="93"/>
              <w:jc w:val="left"/>
              <w:rPr>
                <w:rFonts w:ascii="Calibri" w:hAnsi="Calibri"/>
                <w:b/>
                <w:sz w:val="13"/>
              </w:rPr>
            </w:pPr>
            <w:r>
              <w:rPr>
                <w:rFonts w:ascii="Calibri" w:hAnsi="Calibri"/>
                <w:b/>
                <w:w w:val="95"/>
                <w:sz w:val="13"/>
              </w:rPr>
              <w:t>Cuatitlán </w:t>
            </w:r>
            <w:r>
              <w:rPr>
                <w:rFonts w:ascii="Calibri" w:hAnsi="Calibri"/>
                <w:b/>
                <w:sz w:val="13"/>
              </w:rPr>
              <w:t>Izcalli</w:t>
            </w:r>
          </w:p>
        </w:tc>
        <w:tc>
          <w:tcPr>
            <w:tcW w:w="675" w:type="dxa"/>
            <w:tcBorders>
              <w:left w:val="single" w:sz="3" w:space="0" w:color="000000"/>
              <w:right w:val="single" w:sz="3" w:space="0" w:color="000000"/>
            </w:tcBorders>
            <w:shd w:val="clear" w:color="auto" w:fill="D9D9D9"/>
          </w:tcPr>
          <w:p>
            <w:pPr>
              <w:pStyle w:val="TableParagraph"/>
              <w:spacing w:before="9"/>
              <w:jc w:val="left"/>
              <w:rPr>
                <w:b/>
                <w:sz w:val="16"/>
              </w:rPr>
            </w:pPr>
          </w:p>
          <w:p>
            <w:pPr>
              <w:pStyle w:val="TableParagraph"/>
              <w:ind w:left="101" w:right="14"/>
              <w:jc w:val="left"/>
              <w:rPr>
                <w:rFonts w:ascii="Calibri"/>
                <w:b/>
                <w:sz w:val="13"/>
              </w:rPr>
            </w:pPr>
            <w:r>
              <w:rPr>
                <w:rFonts w:ascii="Calibri"/>
                <w:b/>
                <w:sz w:val="13"/>
              </w:rPr>
              <w:t>Ecatepec</w:t>
            </w:r>
          </w:p>
        </w:tc>
        <w:tc>
          <w:tcPr>
            <w:tcW w:w="674" w:type="dxa"/>
            <w:tcBorders>
              <w:left w:val="single" w:sz="3" w:space="0" w:color="000000"/>
              <w:right w:val="single" w:sz="3" w:space="0" w:color="000000"/>
            </w:tcBorders>
            <w:shd w:val="clear" w:color="auto" w:fill="D9D9D9"/>
          </w:tcPr>
          <w:p>
            <w:pPr>
              <w:pStyle w:val="TableParagraph"/>
              <w:spacing w:before="9"/>
              <w:jc w:val="left"/>
              <w:rPr>
                <w:b/>
                <w:sz w:val="16"/>
              </w:rPr>
            </w:pPr>
          </w:p>
          <w:p>
            <w:pPr>
              <w:pStyle w:val="TableParagraph"/>
              <w:ind w:left="109"/>
              <w:jc w:val="left"/>
              <w:rPr>
                <w:rFonts w:ascii="Calibri" w:hAnsi="Calibri"/>
                <w:b/>
                <w:sz w:val="13"/>
              </w:rPr>
            </w:pPr>
            <w:r>
              <w:rPr>
                <w:rFonts w:ascii="Calibri" w:hAnsi="Calibri"/>
                <w:b/>
                <w:sz w:val="13"/>
              </w:rPr>
              <w:t>Tultitlán</w:t>
            </w:r>
          </w:p>
        </w:tc>
        <w:tc>
          <w:tcPr>
            <w:tcW w:w="675" w:type="dxa"/>
            <w:tcBorders>
              <w:left w:val="single" w:sz="3" w:space="0" w:color="000000"/>
              <w:right w:val="single" w:sz="3" w:space="0" w:color="000000"/>
            </w:tcBorders>
            <w:shd w:val="clear" w:color="auto" w:fill="D9D9D9"/>
          </w:tcPr>
          <w:p>
            <w:pPr>
              <w:pStyle w:val="TableParagraph"/>
              <w:spacing w:before="9"/>
              <w:jc w:val="left"/>
              <w:rPr>
                <w:b/>
                <w:sz w:val="16"/>
              </w:rPr>
            </w:pPr>
          </w:p>
          <w:p>
            <w:pPr>
              <w:pStyle w:val="TableParagraph"/>
              <w:ind w:left="177" w:right="14"/>
              <w:jc w:val="left"/>
              <w:rPr>
                <w:rFonts w:ascii="Calibri"/>
                <w:b/>
                <w:sz w:val="13"/>
              </w:rPr>
            </w:pPr>
            <w:r>
              <w:rPr>
                <w:rFonts w:ascii="Calibri"/>
                <w:b/>
                <w:w w:val="95"/>
                <w:sz w:val="13"/>
              </w:rPr>
              <w:t>La Paz</w:t>
            </w:r>
          </w:p>
        </w:tc>
        <w:tc>
          <w:tcPr>
            <w:tcW w:w="674" w:type="dxa"/>
            <w:tcBorders>
              <w:left w:val="single" w:sz="3" w:space="0" w:color="000000"/>
              <w:right w:val="single" w:sz="3" w:space="0" w:color="000000"/>
            </w:tcBorders>
            <w:shd w:val="clear" w:color="auto" w:fill="D9D9D9"/>
          </w:tcPr>
          <w:p>
            <w:pPr>
              <w:pStyle w:val="TableParagraph"/>
              <w:spacing w:before="9"/>
              <w:jc w:val="left"/>
              <w:rPr>
                <w:b/>
                <w:sz w:val="16"/>
              </w:rPr>
            </w:pPr>
          </w:p>
          <w:p>
            <w:pPr>
              <w:pStyle w:val="TableParagraph"/>
              <w:ind w:left="92"/>
              <w:jc w:val="left"/>
              <w:rPr>
                <w:rFonts w:ascii="Calibri" w:hAnsi="Calibri"/>
                <w:b/>
                <w:sz w:val="13"/>
              </w:rPr>
            </w:pPr>
            <w:r>
              <w:rPr>
                <w:rFonts w:ascii="Calibri" w:hAnsi="Calibri"/>
                <w:b/>
                <w:sz w:val="13"/>
              </w:rPr>
              <w:t>Cuatitlán</w:t>
            </w:r>
          </w:p>
        </w:tc>
        <w:tc>
          <w:tcPr>
            <w:tcW w:w="675" w:type="dxa"/>
            <w:tcBorders>
              <w:left w:val="single" w:sz="3" w:space="0" w:color="000000"/>
              <w:right w:val="single" w:sz="3" w:space="0" w:color="000000"/>
            </w:tcBorders>
            <w:shd w:val="clear" w:color="auto" w:fill="D9D9D9"/>
          </w:tcPr>
          <w:p>
            <w:pPr>
              <w:pStyle w:val="TableParagraph"/>
              <w:spacing w:before="9"/>
              <w:jc w:val="left"/>
              <w:rPr>
                <w:b/>
                <w:sz w:val="16"/>
              </w:rPr>
            </w:pPr>
          </w:p>
          <w:p>
            <w:pPr>
              <w:pStyle w:val="TableParagraph"/>
              <w:ind w:right="23"/>
              <w:rPr>
                <w:rFonts w:ascii="Calibri" w:hAnsi="Calibri"/>
                <w:b/>
                <w:sz w:val="13"/>
              </w:rPr>
            </w:pPr>
            <w:r>
              <w:rPr>
                <w:rFonts w:ascii="Calibri" w:hAnsi="Calibri"/>
                <w:b/>
                <w:w w:val="95"/>
                <w:sz w:val="13"/>
              </w:rPr>
              <w:t>Tepotzotlán</w:t>
            </w:r>
          </w:p>
        </w:tc>
        <w:tc>
          <w:tcPr>
            <w:tcW w:w="928" w:type="dxa"/>
            <w:tcBorders>
              <w:left w:val="single" w:sz="3" w:space="0" w:color="000000"/>
              <w:right w:val="single" w:sz="3" w:space="0" w:color="000000"/>
            </w:tcBorders>
            <w:shd w:val="clear" w:color="auto" w:fill="D9D9D9"/>
          </w:tcPr>
          <w:p>
            <w:pPr>
              <w:pStyle w:val="TableParagraph"/>
              <w:spacing w:before="9"/>
              <w:jc w:val="left"/>
              <w:rPr>
                <w:b/>
                <w:sz w:val="16"/>
              </w:rPr>
            </w:pPr>
          </w:p>
          <w:p>
            <w:pPr>
              <w:pStyle w:val="TableParagraph"/>
              <w:ind w:left="50"/>
              <w:jc w:val="left"/>
              <w:rPr>
                <w:rFonts w:ascii="Calibri" w:hAnsi="Calibri"/>
                <w:b/>
                <w:sz w:val="13"/>
              </w:rPr>
            </w:pPr>
            <w:r>
              <w:rPr>
                <w:rFonts w:ascii="Calibri" w:hAnsi="Calibri"/>
                <w:b/>
                <w:sz w:val="13"/>
              </w:rPr>
              <w:t>Nezahualcóyotl</w:t>
            </w:r>
          </w:p>
        </w:tc>
        <w:tc>
          <w:tcPr>
            <w:tcW w:w="675" w:type="dxa"/>
            <w:tcBorders>
              <w:left w:val="single" w:sz="3" w:space="0" w:color="000000"/>
              <w:right w:val="single" w:sz="3" w:space="0" w:color="000000"/>
            </w:tcBorders>
            <w:shd w:val="clear" w:color="auto" w:fill="D9D9D9"/>
          </w:tcPr>
          <w:p>
            <w:pPr>
              <w:pStyle w:val="TableParagraph"/>
              <w:spacing w:line="273" w:lineRule="auto" w:before="12"/>
              <w:ind w:left="109" w:right="14" w:hanging="85"/>
              <w:jc w:val="left"/>
              <w:rPr>
                <w:rFonts w:ascii="Calibri" w:hAnsi="Calibri"/>
                <w:b/>
                <w:sz w:val="13"/>
              </w:rPr>
            </w:pPr>
            <w:r>
              <w:rPr>
                <w:rFonts w:ascii="Calibri" w:hAnsi="Calibri"/>
                <w:b/>
                <w:w w:val="95"/>
                <w:sz w:val="13"/>
              </w:rPr>
              <w:t>Atizapán de </w:t>
            </w:r>
            <w:r>
              <w:rPr>
                <w:rFonts w:ascii="Calibri" w:hAnsi="Calibri"/>
                <w:b/>
                <w:sz w:val="13"/>
              </w:rPr>
              <w:t>Zaragoza</w:t>
            </w:r>
          </w:p>
        </w:tc>
        <w:tc>
          <w:tcPr>
            <w:tcW w:w="674" w:type="dxa"/>
            <w:tcBorders>
              <w:left w:val="single" w:sz="3" w:space="0" w:color="000000"/>
              <w:right w:val="single" w:sz="3" w:space="0" w:color="000000"/>
            </w:tcBorders>
            <w:shd w:val="clear" w:color="auto" w:fill="D9D9D9"/>
          </w:tcPr>
          <w:p>
            <w:pPr>
              <w:pStyle w:val="TableParagraph"/>
              <w:spacing w:before="9"/>
              <w:jc w:val="left"/>
              <w:rPr>
                <w:b/>
                <w:sz w:val="16"/>
              </w:rPr>
            </w:pPr>
          </w:p>
          <w:p>
            <w:pPr>
              <w:pStyle w:val="TableParagraph"/>
              <w:ind w:right="23"/>
              <w:rPr>
                <w:rFonts w:ascii="Calibri" w:hAnsi="Calibri"/>
                <w:b/>
                <w:sz w:val="13"/>
              </w:rPr>
            </w:pPr>
            <w:r>
              <w:rPr>
                <w:rFonts w:ascii="Calibri" w:hAnsi="Calibri"/>
                <w:b/>
                <w:spacing w:val="-3"/>
                <w:sz w:val="13"/>
              </w:rPr>
              <w:t>Total </w:t>
            </w:r>
            <w:r>
              <w:rPr>
                <w:rFonts w:ascii="Calibri" w:hAnsi="Calibri"/>
                <w:b/>
                <w:sz w:val="13"/>
              </w:rPr>
              <w:t>región</w:t>
            </w:r>
          </w:p>
        </w:tc>
      </w:tr>
      <w:tr>
        <w:trPr>
          <w:trHeight w:val="181" w:hRule="exact"/>
        </w:trPr>
        <w:tc>
          <w:tcPr>
            <w:tcW w:w="498" w:type="dxa"/>
            <w:tcBorders>
              <w:left w:val="single" w:sz="3" w:space="0" w:color="000000"/>
              <w:right w:val="single" w:sz="3" w:space="0" w:color="000000"/>
            </w:tcBorders>
          </w:tcPr>
          <w:p>
            <w:pPr>
              <w:pStyle w:val="TableParagraph"/>
              <w:spacing w:before="12"/>
              <w:ind w:right="15"/>
              <w:rPr>
                <w:rFonts w:ascii="Calibri"/>
                <w:sz w:val="13"/>
              </w:rPr>
            </w:pPr>
            <w:r>
              <w:rPr>
                <w:rFonts w:ascii="Calibri"/>
                <w:w w:val="95"/>
                <w:sz w:val="13"/>
              </w:rPr>
              <w:t>1970</w:t>
            </w:r>
          </w:p>
        </w:tc>
        <w:tc>
          <w:tcPr>
            <w:tcW w:w="700"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32.3</w:t>
            </w:r>
          </w:p>
        </w:tc>
        <w:tc>
          <w:tcPr>
            <w:tcW w:w="675" w:type="dxa"/>
            <w:tcBorders>
              <w:left w:val="single" w:sz="3" w:space="0" w:color="000000"/>
              <w:right w:val="single" w:sz="3" w:space="0" w:color="000000"/>
            </w:tcBorders>
          </w:tcPr>
          <w:p>
            <w:pPr>
              <w:pStyle w:val="TableParagraph"/>
              <w:spacing w:before="12"/>
              <w:ind w:right="11"/>
              <w:rPr>
                <w:rFonts w:ascii="Calibri"/>
                <w:sz w:val="13"/>
              </w:rPr>
            </w:pPr>
            <w:r>
              <w:rPr>
                <w:rFonts w:ascii="Calibri"/>
                <w:w w:val="95"/>
                <w:sz w:val="13"/>
              </w:rPr>
              <w:t>31.0</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0.0</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21.1</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9.4</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1.0</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5.1</w:t>
            </w:r>
          </w:p>
        </w:tc>
        <w:tc>
          <w:tcPr>
            <w:tcW w:w="675"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0.0</w:t>
            </w:r>
          </w:p>
        </w:tc>
        <w:tc>
          <w:tcPr>
            <w:tcW w:w="928"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0.0</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0.0</w:t>
            </w:r>
          </w:p>
        </w:tc>
        <w:tc>
          <w:tcPr>
            <w:tcW w:w="674"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77.7</w:t>
            </w:r>
          </w:p>
        </w:tc>
      </w:tr>
      <w:tr>
        <w:trPr>
          <w:trHeight w:val="181" w:hRule="exact"/>
        </w:trPr>
        <w:tc>
          <w:tcPr>
            <w:tcW w:w="498" w:type="dxa"/>
            <w:tcBorders>
              <w:left w:val="single" w:sz="3" w:space="0" w:color="000000"/>
              <w:right w:val="single" w:sz="3" w:space="0" w:color="000000"/>
            </w:tcBorders>
          </w:tcPr>
          <w:p>
            <w:pPr>
              <w:pStyle w:val="TableParagraph"/>
              <w:spacing w:before="12"/>
              <w:ind w:right="15"/>
              <w:rPr>
                <w:rFonts w:ascii="Calibri"/>
                <w:sz w:val="13"/>
              </w:rPr>
            </w:pPr>
            <w:r>
              <w:rPr>
                <w:rFonts w:ascii="Calibri"/>
                <w:w w:val="95"/>
                <w:sz w:val="13"/>
              </w:rPr>
              <w:t>1975</w:t>
            </w:r>
          </w:p>
        </w:tc>
        <w:tc>
          <w:tcPr>
            <w:tcW w:w="700"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36.3</w:t>
            </w:r>
          </w:p>
        </w:tc>
        <w:tc>
          <w:tcPr>
            <w:tcW w:w="675" w:type="dxa"/>
            <w:tcBorders>
              <w:left w:val="single" w:sz="3" w:space="0" w:color="000000"/>
              <w:right w:val="single" w:sz="3" w:space="0" w:color="000000"/>
            </w:tcBorders>
          </w:tcPr>
          <w:p>
            <w:pPr>
              <w:pStyle w:val="TableParagraph"/>
              <w:spacing w:before="12"/>
              <w:ind w:right="11"/>
              <w:rPr>
                <w:rFonts w:ascii="Calibri"/>
                <w:sz w:val="13"/>
              </w:rPr>
            </w:pPr>
            <w:r>
              <w:rPr>
                <w:rFonts w:ascii="Calibri"/>
                <w:w w:val="95"/>
                <w:sz w:val="13"/>
              </w:rPr>
              <w:t>27.9</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2.6</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17.8</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9.4</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1.1</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2.6</w:t>
            </w:r>
          </w:p>
        </w:tc>
        <w:tc>
          <w:tcPr>
            <w:tcW w:w="675"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0.1</w:t>
            </w:r>
          </w:p>
        </w:tc>
        <w:tc>
          <w:tcPr>
            <w:tcW w:w="928"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0.5</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1.6</w:t>
            </w:r>
          </w:p>
        </w:tc>
        <w:tc>
          <w:tcPr>
            <w:tcW w:w="674"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79.8</w:t>
            </w:r>
          </w:p>
        </w:tc>
      </w:tr>
      <w:tr>
        <w:trPr>
          <w:trHeight w:val="181" w:hRule="exact"/>
        </w:trPr>
        <w:tc>
          <w:tcPr>
            <w:tcW w:w="498" w:type="dxa"/>
            <w:tcBorders>
              <w:left w:val="single" w:sz="3" w:space="0" w:color="000000"/>
              <w:right w:val="single" w:sz="3" w:space="0" w:color="000000"/>
            </w:tcBorders>
          </w:tcPr>
          <w:p>
            <w:pPr>
              <w:pStyle w:val="TableParagraph"/>
              <w:spacing w:before="12"/>
              <w:ind w:right="15"/>
              <w:rPr>
                <w:rFonts w:ascii="Calibri"/>
                <w:sz w:val="13"/>
              </w:rPr>
            </w:pPr>
            <w:r>
              <w:rPr>
                <w:rFonts w:ascii="Calibri"/>
                <w:w w:val="95"/>
                <w:sz w:val="13"/>
              </w:rPr>
              <w:t>1980</w:t>
            </w:r>
          </w:p>
        </w:tc>
        <w:tc>
          <w:tcPr>
            <w:tcW w:w="700"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32.0</w:t>
            </w:r>
          </w:p>
        </w:tc>
        <w:tc>
          <w:tcPr>
            <w:tcW w:w="675" w:type="dxa"/>
            <w:tcBorders>
              <w:left w:val="single" w:sz="3" w:space="0" w:color="000000"/>
              <w:right w:val="single" w:sz="3" w:space="0" w:color="000000"/>
            </w:tcBorders>
          </w:tcPr>
          <w:p>
            <w:pPr>
              <w:pStyle w:val="TableParagraph"/>
              <w:spacing w:before="12"/>
              <w:ind w:right="11"/>
              <w:rPr>
                <w:rFonts w:ascii="Calibri"/>
                <w:sz w:val="13"/>
              </w:rPr>
            </w:pPr>
            <w:r>
              <w:rPr>
                <w:rFonts w:ascii="Calibri"/>
                <w:w w:val="95"/>
                <w:sz w:val="13"/>
              </w:rPr>
              <w:t>23.9</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8.5</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19.6</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8.8</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3.0</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1.3</w:t>
            </w:r>
          </w:p>
        </w:tc>
        <w:tc>
          <w:tcPr>
            <w:tcW w:w="675"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0.7</w:t>
            </w:r>
          </w:p>
        </w:tc>
        <w:tc>
          <w:tcPr>
            <w:tcW w:w="928"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0.7</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1.4</w:t>
            </w:r>
          </w:p>
        </w:tc>
        <w:tc>
          <w:tcPr>
            <w:tcW w:w="674"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62.7</w:t>
            </w:r>
          </w:p>
        </w:tc>
      </w:tr>
      <w:tr>
        <w:trPr>
          <w:trHeight w:val="181" w:hRule="exact"/>
        </w:trPr>
        <w:tc>
          <w:tcPr>
            <w:tcW w:w="498" w:type="dxa"/>
            <w:tcBorders>
              <w:left w:val="single" w:sz="3" w:space="0" w:color="000000"/>
              <w:right w:val="single" w:sz="3" w:space="0" w:color="000000"/>
            </w:tcBorders>
          </w:tcPr>
          <w:p>
            <w:pPr>
              <w:pStyle w:val="TableParagraph"/>
              <w:spacing w:before="12"/>
              <w:ind w:right="15"/>
              <w:rPr>
                <w:rFonts w:ascii="Calibri"/>
                <w:sz w:val="13"/>
              </w:rPr>
            </w:pPr>
            <w:r>
              <w:rPr>
                <w:rFonts w:ascii="Calibri"/>
                <w:w w:val="95"/>
                <w:sz w:val="13"/>
              </w:rPr>
              <w:t>1985</w:t>
            </w:r>
          </w:p>
        </w:tc>
        <w:tc>
          <w:tcPr>
            <w:tcW w:w="700"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36.3</w:t>
            </w:r>
          </w:p>
        </w:tc>
        <w:tc>
          <w:tcPr>
            <w:tcW w:w="675" w:type="dxa"/>
            <w:tcBorders>
              <w:left w:val="single" w:sz="3" w:space="0" w:color="000000"/>
              <w:right w:val="single" w:sz="3" w:space="0" w:color="000000"/>
            </w:tcBorders>
          </w:tcPr>
          <w:p>
            <w:pPr>
              <w:pStyle w:val="TableParagraph"/>
              <w:spacing w:before="12"/>
              <w:ind w:right="11"/>
              <w:rPr>
                <w:rFonts w:ascii="Calibri"/>
                <w:sz w:val="13"/>
              </w:rPr>
            </w:pPr>
            <w:r>
              <w:rPr>
                <w:rFonts w:ascii="Calibri"/>
                <w:w w:val="95"/>
                <w:sz w:val="13"/>
              </w:rPr>
              <w:t>23.8</w:t>
            </w:r>
          </w:p>
        </w:tc>
        <w:tc>
          <w:tcPr>
            <w:tcW w:w="674" w:type="dxa"/>
            <w:tcBorders>
              <w:left w:val="single" w:sz="3" w:space="0" w:color="000000"/>
              <w:right w:val="single" w:sz="3" w:space="0" w:color="000000"/>
            </w:tcBorders>
          </w:tcPr>
          <w:p>
            <w:pPr>
              <w:pStyle w:val="TableParagraph"/>
              <w:spacing w:before="12"/>
              <w:ind w:right="11"/>
              <w:rPr>
                <w:rFonts w:ascii="Calibri"/>
                <w:sz w:val="13"/>
              </w:rPr>
            </w:pPr>
            <w:r>
              <w:rPr>
                <w:rFonts w:ascii="Calibri"/>
                <w:w w:val="95"/>
                <w:sz w:val="13"/>
              </w:rPr>
              <w:t>18.3</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13.2</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0.0</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2.1</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1.6</w:t>
            </w:r>
          </w:p>
        </w:tc>
        <w:tc>
          <w:tcPr>
            <w:tcW w:w="675"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1.7</w:t>
            </w:r>
          </w:p>
        </w:tc>
        <w:tc>
          <w:tcPr>
            <w:tcW w:w="928"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0.9</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2.2</w:t>
            </w:r>
          </w:p>
        </w:tc>
        <w:tc>
          <w:tcPr>
            <w:tcW w:w="674"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74.8</w:t>
            </w:r>
          </w:p>
        </w:tc>
      </w:tr>
      <w:tr>
        <w:trPr>
          <w:trHeight w:val="181" w:hRule="exact"/>
        </w:trPr>
        <w:tc>
          <w:tcPr>
            <w:tcW w:w="498" w:type="dxa"/>
            <w:tcBorders>
              <w:left w:val="single" w:sz="3" w:space="0" w:color="000000"/>
              <w:right w:val="single" w:sz="3" w:space="0" w:color="000000"/>
            </w:tcBorders>
          </w:tcPr>
          <w:p>
            <w:pPr>
              <w:pStyle w:val="TableParagraph"/>
              <w:spacing w:before="12"/>
              <w:ind w:right="15"/>
              <w:rPr>
                <w:rFonts w:ascii="Calibri"/>
                <w:sz w:val="13"/>
              </w:rPr>
            </w:pPr>
            <w:r>
              <w:rPr>
                <w:rFonts w:ascii="Calibri"/>
                <w:w w:val="95"/>
                <w:sz w:val="13"/>
              </w:rPr>
              <w:t>1988</w:t>
            </w:r>
          </w:p>
        </w:tc>
        <w:tc>
          <w:tcPr>
            <w:tcW w:w="700"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32.7</w:t>
            </w:r>
          </w:p>
        </w:tc>
        <w:tc>
          <w:tcPr>
            <w:tcW w:w="675" w:type="dxa"/>
            <w:tcBorders>
              <w:left w:val="single" w:sz="3" w:space="0" w:color="000000"/>
              <w:right w:val="single" w:sz="3" w:space="0" w:color="000000"/>
            </w:tcBorders>
          </w:tcPr>
          <w:p>
            <w:pPr>
              <w:pStyle w:val="TableParagraph"/>
              <w:spacing w:before="12"/>
              <w:ind w:right="11"/>
              <w:rPr>
                <w:rFonts w:ascii="Calibri"/>
                <w:sz w:val="13"/>
              </w:rPr>
            </w:pPr>
            <w:r>
              <w:rPr>
                <w:rFonts w:ascii="Calibri"/>
                <w:w w:val="95"/>
                <w:sz w:val="13"/>
              </w:rPr>
              <w:t>21.6</w:t>
            </w:r>
          </w:p>
        </w:tc>
        <w:tc>
          <w:tcPr>
            <w:tcW w:w="674" w:type="dxa"/>
            <w:tcBorders>
              <w:left w:val="single" w:sz="3" w:space="0" w:color="000000"/>
              <w:right w:val="single" w:sz="3" w:space="0" w:color="000000"/>
            </w:tcBorders>
          </w:tcPr>
          <w:p>
            <w:pPr>
              <w:pStyle w:val="TableParagraph"/>
              <w:spacing w:before="12"/>
              <w:ind w:right="11"/>
              <w:rPr>
                <w:rFonts w:ascii="Calibri"/>
                <w:sz w:val="13"/>
              </w:rPr>
            </w:pPr>
            <w:r>
              <w:rPr>
                <w:rFonts w:ascii="Calibri"/>
                <w:w w:val="95"/>
                <w:sz w:val="13"/>
              </w:rPr>
              <w:t>14.6</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17.7</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1.6</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6.2</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2.9</w:t>
            </w:r>
          </w:p>
        </w:tc>
        <w:tc>
          <w:tcPr>
            <w:tcW w:w="675"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0.9</w:t>
            </w:r>
          </w:p>
        </w:tc>
        <w:tc>
          <w:tcPr>
            <w:tcW w:w="928"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0.7</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1.2</w:t>
            </w:r>
          </w:p>
        </w:tc>
        <w:tc>
          <w:tcPr>
            <w:tcW w:w="674"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77.7</w:t>
            </w:r>
          </w:p>
        </w:tc>
      </w:tr>
      <w:tr>
        <w:trPr>
          <w:trHeight w:val="181" w:hRule="exact"/>
        </w:trPr>
        <w:tc>
          <w:tcPr>
            <w:tcW w:w="498" w:type="dxa"/>
            <w:tcBorders>
              <w:left w:val="single" w:sz="3" w:space="0" w:color="000000"/>
              <w:right w:val="single" w:sz="3" w:space="0" w:color="000000"/>
            </w:tcBorders>
          </w:tcPr>
          <w:p>
            <w:pPr>
              <w:pStyle w:val="TableParagraph"/>
              <w:spacing w:before="12"/>
              <w:ind w:right="15"/>
              <w:rPr>
                <w:rFonts w:ascii="Calibri"/>
                <w:sz w:val="13"/>
              </w:rPr>
            </w:pPr>
            <w:r>
              <w:rPr>
                <w:rFonts w:ascii="Calibri"/>
                <w:w w:val="95"/>
                <w:sz w:val="13"/>
              </w:rPr>
              <w:t>1993</w:t>
            </w:r>
          </w:p>
        </w:tc>
        <w:tc>
          <w:tcPr>
            <w:tcW w:w="700"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29.6</w:t>
            </w:r>
          </w:p>
        </w:tc>
        <w:tc>
          <w:tcPr>
            <w:tcW w:w="675" w:type="dxa"/>
            <w:tcBorders>
              <w:left w:val="single" w:sz="3" w:space="0" w:color="000000"/>
              <w:right w:val="single" w:sz="3" w:space="0" w:color="000000"/>
            </w:tcBorders>
          </w:tcPr>
          <w:p>
            <w:pPr>
              <w:pStyle w:val="TableParagraph"/>
              <w:spacing w:before="12"/>
              <w:ind w:right="11"/>
              <w:rPr>
                <w:rFonts w:ascii="Calibri"/>
                <w:sz w:val="13"/>
              </w:rPr>
            </w:pPr>
            <w:r>
              <w:rPr>
                <w:rFonts w:ascii="Calibri"/>
                <w:w w:val="95"/>
                <w:sz w:val="13"/>
              </w:rPr>
              <w:t>27.8</w:t>
            </w:r>
          </w:p>
        </w:tc>
        <w:tc>
          <w:tcPr>
            <w:tcW w:w="674" w:type="dxa"/>
            <w:tcBorders>
              <w:left w:val="single" w:sz="3" w:space="0" w:color="000000"/>
              <w:right w:val="single" w:sz="3" w:space="0" w:color="000000"/>
            </w:tcBorders>
          </w:tcPr>
          <w:p>
            <w:pPr>
              <w:pStyle w:val="TableParagraph"/>
              <w:spacing w:before="12"/>
              <w:ind w:right="11"/>
              <w:rPr>
                <w:rFonts w:ascii="Calibri"/>
                <w:sz w:val="13"/>
              </w:rPr>
            </w:pPr>
            <w:r>
              <w:rPr>
                <w:rFonts w:ascii="Calibri"/>
                <w:w w:val="95"/>
                <w:sz w:val="13"/>
              </w:rPr>
              <w:t>11.3</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15.9</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3.5</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3.6</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2.7</w:t>
            </w:r>
          </w:p>
        </w:tc>
        <w:tc>
          <w:tcPr>
            <w:tcW w:w="675"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2.4</w:t>
            </w:r>
          </w:p>
        </w:tc>
        <w:tc>
          <w:tcPr>
            <w:tcW w:w="928"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1.2</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2.1</w:t>
            </w:r>
          </w:p>
        </w:tc>
        <w:tc>
          <w:tcPr>
            <w:tcW w:w="674"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66.7</w:t>
            </w:r>
          </w:p>
        </w:tc>
      </w:tr>
      <w:tr>
        <w:trPr>
          <w:trHeight w:val="181" w:hRule="exact"/>
        </w:trPr>
        <w:tc>
          <w:tcPr>
            <w:tcW w:w="498" w:type="dxa"/>
            <w:tcBorders>
              <w:left w:val="single" w:sz="3" w:space="0" w:color="000000"/>
              <w:right w:val="single" w:sz="3" w:space="0" w:color="000000"/>
            </w:tcBorders>
          </w:tcPr>
          <w:p>
            <w:pPr>
              <w:pStyle w:val="TableParagraph"/>
              <w:spacing w:before="12"/>
              <w:ind w:right="15"/>
              <w:rPr>
                <w:rFonts w:ascii="Calibri"/>
                <w:sz w:val="13"/>
              </w:rPr>
            </w:pPr>
            <w:r>
              <w:rPr>
                <w:rFonts w:ascii="Calibri"/>
                <w:w w:val="95"/>
                <w:sz w:val="13"/>
              </w:rPr>
              <w:t>1998</w:t>
            </w:r>
          </w:p>
        </w:tc>
        <w:tc>
          <w:tcPr>
            <w:tcW w:w="700"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34.0</w:t>
            </w:r>
          </w:p>
        </w:tc>
        <w:tc>
          <w:tcPr>
            <w:tcW w:w="675" w:type="dxa"/>
            <w:tcBorders>
              <w:left w:val="single" w:sz="3" w:space="0" w:color="000000"/>
              <w:right w:val="single" w:sz="3" w:space="0" w:color="000000"/>
            </w:tcBorders>
          </w:tcPr>
          <w:p>
            <w:pPr>
              <w:pStyle w:val="TableParagraph"/>
              <w:spacing w:before="12"/>
              <w:ind w:right="11"/>
              <w:rPr>
                <w:rFonts w:ascii="Calibri"/>
                <w:sz w:val="13"/>
              </w:rPr>
            </w:pPr>
            <w:r>
              <w:rPr>
                <w:rFonts w:ascii="Calibri"/>
                <w:w w:val="95"/>
                <w:sz w:val="13"/>
              </w:rPr>
              <w:t>17.7</w:t>
            </w:r>
          </w:p>
        </w:tc>
        <w:tc>
          <w:tcPr>
            <w:tcW w:w="674" w:type="dxa"/>
            <w:tcBorders>
              <w:left w:val="single" w:sz="3" w:space="0" w:color="000000"/>
              <w:right w:val="single" w:sz="3" w:space="0" w:color="000000"/>
            </w:tcBorders>
          </w:tcPr>
          <w:p>
            <w:pPr>
              <w:pStyle w:val="TableParagraph"/>
              <w:spacing w:before="12"/>
              <w:ind w:right="11"/>
              <w:rPr>
                <w:rFonts w:ascii="Calibri"/>
                <w:sz w:val="13"/>
              </w:rPr>
            </w:pPr>
            <w:r>
              <w:rPr>
                <w:rFonts w:ascii="Calibri"/>
                <w:w w:val="95"/>
                <w:sz w:val="13"/>
              </w:rPr>
              <w:t>13.3</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16.6</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4.8</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2.3</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5.1</w:t>
            </w:r>
          </w:p>
        </w:tc>
        <w:tc>
          <w:tcPr>
            <w:tcW w:w="675"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2.1</w:t>
            </w:r>
          </w:p>
        </w:tc>
        <w:tc>
          <w:tcPr>
            <w:tcW w:w="928"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1.5</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2.5</w:t>
            </w:r>
          </w:p>
        </w:tc>
        <w:tc>
          <w:tcPr>
            <w:tcW w:w="674"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71.4</w:t>
            </w:r>
          </w:p>
        </w:tc>
      </w:tr>
      <w:tr>
        <w:trPr>
          <w:trHeight w:val="181" w:hRule="exact"/>
        </w:trPr>
        <w:tc>
          <w:tcPr>
            <w:tcW w:w="498" w:type="dxa"/>
            <w:tcBorders>
              <w:left w:val="single" w:sz="3" w:space="0" w:color="000000"/>
              <w:right w:val="single" w:sz="3" w:space="0" w:color="000000"/>
            </w:tcBorders>
          </w:tcPr>
          <w:p>
            <w:pPr>
              <w:pStyle w:val="TableParagraph"/>
              <w:spacing w:before="12"/>
              <w:ind w:right="15"/>
              <w:rPr>
                <w:rFonts w:ascii="Calibri"/>
                <w:sz w:val="13"/>
              </w:rPr>
            </w:pPr>
            <w:r>
              <w:rPr>
                <w:rFonts w:ascii="Calibri"/>
                <w:w w:val="95"/>
                <w:sz w:val="13"/>
              </w:rPr>
              <w:t>2003</w:t>
            </w:r>
          </w:p>
        </w:tc>
        <w:tc>
          <w:tcPr>
            <w:tcW w:w="700"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23.9</w:t>
            </w:r>
          </w:p>
        </w:tc>
        <w:tc>
          <w:tcPr>
            <w:tcW w:w="675" w:type="dxa"/>
            <w:tcBorders>
              <w:left w:val="single" w:sz="3" w:space="0" w:color="000000"/>
              <w:right w:val="single" w:sz="3" w:space="0" w:color="000000"/>
            </w:tcBorders>
          </w:tcPr>
          <w:p>
            <w:pPr>
              <w:pStyle w:val="TableParagraph"/>
              <w:spacing w:before="12"/>
              <w:ind w:right="11"/>
              <w:rPr>
                <w:rFonts w:ascii="Calibri"/>
                <w:sz w:val="13"/>
              </w:rPr>
            </w:pPr>
            <w:r>
              <w:rPr>
                <w:rFonts w:ascii="Calibri"/>
                <w:w w:val="95"/>
                <w:sz w:val="13"/>
              </w:rPr>
              <w:t>22.2</w:t>
            </w:r>
          </w:p>
        </w:tc>
        <w:tc>
          <w:tcPr>
            <w:tcW w:w="674" w:type="dxa"/>
            <w:tcBorders>
              <w:left w:val="single" w:sz="3" w:space="0" w:color="000000"/>
              <w:right w:val="single" w:sz="3" w:space="0" w:color="000000"/>
            </w:tcBorders>
          </w:tcPr>
          <w:p>
            <w:pPr>
              <w:pStyle w:val="TableParagraph"/>
              <w:spacing w:before="12"/>
              <w:ind w:right="11"/>
              <w:rPr>
                <w:rFonts w:ascii="Calibri"/>
                <w:sz w:val="13"/>
              </w:rPr>
            </w:pPr>
            <w:r>
              <w:rPr>
                <w:rFonts w:ascii="Calibri"/>
                <w:w w:val="95"/>
                <w:sz w:val="13"/>
              </w:rPr>
              <w:t>17.6</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15.6</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7.3</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3.5</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1.9</w:t>
            </w:r>
          </w:p>
        </w:tc>
        <w:tc>
          <w:tcPr>
            <w:tcW w:w="675"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3.7</w:t>
            </w:r>
          </w:p>
        </w:tc>
        <w:tc>
          <w:tcPr>
            <w:tcW w:w="928"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1.6</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2.7</w:t>
            </w:r>
          </w:p>
        </w:tc>
        <w:tc>
          <w:tcPr>
            <w:tcW w:w="674"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58.8</w:t>
            </w:r>
          </w:p>
        </w:tc>
      </w:tr>
      <w:tr>
        <w:trPr>
          <w:trHeight w:val="181" w:hRule="exact"/>
        </w:trPr>
        <w:tc>
          <w:tcPr>
            <w:tcW w:w="498" w:type="dxa"/>
            <w:tcBorders>
              <w:left w:val="single" w:sz="3" w:space="0" w:color="000000"/>
              <w:right w:val="single" w:sz="3" w:space="0" w:color="000000"/>
            </w:tcBorders>
          </w:tcPr>
          <w:p>
            <w:pPr>
              <w:pStyle w:val="TableParagraph"/>
              <w:spacing w:before="12"/>
              <w:ind w:right="15"/>
              <w:rPr>
                <w:rFonts w:ascii="Calibri"/>
                <w:sz w:val="13"/>
              </w:rPr>
            </w:pPr>
            <w:r>
              <w:rPr>
                <w:rFonts w:ascii="Calibri"/>
                <w:w w:val="95"/>
                <w:sz w:val="13"/>
              </w:rPr>
              <w:t>2008</w:t>
            </w:r>
          </w:p>
        </w:tc>
        <w:tc>
          <w:tcPr>
            <w:tcW w:w="700"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20.3</w:t>
            </w:r>
          </w:p>
        </w:tc>
        <w:tc>
          <w:tcPr>
            <w:tcW w:w="675" w:type="dxa"/>
            <w:tcBorders>
              <w:left w:val="single" w:sz="3" w:space="0" w:color="000000"/>
              <w:right w:val="single" w:sz="3" w:space="0" w:color="000000"/>
            </w:tcBorders>
          </w:tcPr>
          <w:p>
            <w:pPr>
              <w:pStyle w:val="TableParagraph"/>
              <w:spacing w:before="12"/>
              <w:ind w:right="11"/>
              <w:rPr>
                <w:rFonts w:ascii="Calibri"/>
                <w:sz w:val="13"/>
              </w:rPr>
            </w:pPr>
            <w:r>
              <w:rPr>
                <w:rFonts w:ascii="Calibri"/>
                <w:w w:val="95"/>
                <w:sz w:val="13"/>
              </w:rPr>
              <w:t>18.5</w:t>
            </w:r>
          </w:p>
        </w:tc>
        <w:tc>
          <w:tcPr>
            <w:tcW w:w="674" w:type="dxa"/>
            <w:tcBorders>
              <w:left w:val="single" w:sz="3" w:space="0" w:color="000000"/>
              <w:right w:val="single" w:sz="3" w:space="0" w:color="000000"/>
            </w:tcBorders>
          </w:tcPr>
          <w:p>
            <w:pPr>
              <w:pStyle w:val="TableParagraph"/>
              <w:spacing w:before="12"/>
              <w:ind w:right="11"/>
              <w:rPr>
                <w:rFonts w:ascii="Calibri"/>
                <w:sz w:val="13"/>
              </w:rPr>
            </w:pPr>
            <w:r>
              <w:rPr>
                <w:rFonts w:ascii="Calibri"/>
                <w:w w:val="95"/>
                <w:sz w:val="13"/>
              </w:rPr>
              <w:t>14.2</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21.2</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9.4</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4.7</w:t>
            </w:r>
          </w:p>
        </w:tc>
        <w:tc>
          <w:tcPr>
            <w:tcW w:w="674"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4.0</w:t>
            </w:r>
          </w:p>
        </w:tc>
        <w:tc>
          <w:tcPr>
            <w:tcW w:w="675" w:type="dxa"/>
            <w:tcBorders>
              <w:left w:val="single" w:sz="3" w:space="0" w:color="000000"/>
              <w:right w:val="single" w:sz="3" w:space="0" w:color="000000"/>
            </w:tcBorders>
          </w:tcPr>
          <w:p>
            <w:pPr>
              <w:pStyle w:val="TableParagraph"/>
              <w:spacing w:before="12"/>
              <w:ind w:right="9"/>
              <w:rPr>
                <w:rFonts w:ascii="Calibri"/>
                <w:sz w:val="13"/>
              </w:rPr>
            </w:pPr>
            <w:r>
              <w:rPr>
                <w:rFonts w:ascii="Calibri"/>
                <w:w w:val="95"/>
                <w:sz w:val="13"/>
              </w:rPr>
              <w:t>4.0</w:t>
            </w:r>
          </w:p>
        </w:tc>
        <w:tc>
          <w:tcPr>
            <w:tcW w:w="928"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1.5</w:t>
            </w:r>
          </w:p>
        </w:tc>
        <w:tc>
          <w:tcPr>
            <w:tcW w:w="675"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2.3</w:t>
            </w:r>
          </w:p>
        </w:tc>
        <w:tc>
          <w:tcPr>
            <w:tcW w:w="674" w:type="dxa"/>
            <w:tcBorders>
              <w:left w:val="single" w:sz="3" w:space="0" w:color="000000"/>
              <w:right w:val="single" w:sz="3" w:space="0" w:color="000000"/>
            </w:tcBorders>
          </w:tcPr>
          <w:p>
            <w:pPr>
              <w:pStyle w:val="TableParagraph"/>
              <w:spacing w:before="12"/>
              <w:ind w:right="10"/>
              <w:rPr>
                <w:rFonts w:ascii="Calibri"/>
                <w:sz w:val="13"/>
              </w:rPr>
            </w:pPr>
            <w:r>
              <w:rPr>
                <w:rFonts w:ascii="Calibri"/>
                <w:w w:val="95"/>
                <w:sz w:val="13"/>
              </w:rPr>
              <w:t>51.0</w:t>
            </w:r>
          </w:p>
        </w:tc>
      </w:tr>
    </w:tbl>
    <w:p>
      <w:pPr>
        <w:spacing w:before="12"/>
        <w:ind w:left="835" w:right="0" w:firstLine="0"/>
        <w:jc w:val="left"/>
        <w:rPr>
          <w:rFonts w:ascii="Calibri" w:hAnsi="Calibri"/>
          <w:sz w:val="13"/>
        </w:rPr>
      </w:pPr>
      <w:r>
        <w:rPr>
          <w:rFonts w:ascii="Arial" w:hAnsi="Arial"/>
          <w:sz w:val="11"/>
        </w:rPr>
        <w:t>Fuente: Elaboración propia con base en los datos de INEGI. </w:t>
      </w:r>
      <w:r>
        <w:rPr>
          <w:rFonts w:ascii="Arial" w:hAnsi="Arial"/>
          <w:i/>
          <w:sz w:val="11"/>
        </w:rPr>
        <w:t>Censos industriales y económicos </w:t>
      </w:r>
      <w:r>
        <w:rPr>
          <w:rFonts w:ascii="Calibri" w:hAnsi="Calibri"/>
          <w:sz w:val="13"/>
        </w:rPr>
        <w:t>. 1971, 1976, 1981, 1986, 1989, 1994, 1999, 2004 Y 2009.</w:t>
      </w:r>
    </w:p>
    <w:p>
      <w:pPr>
        <w:pStyle w:val="BodyText"/>
        <w:spacing w:before="11"/>
        <w:rPr>
          <w:rFonts w:ascii="Calibri"/>
          <w:sz w:val="11"/>
        </w:rPr>
      </w:pPr>
    </w:p>
    <w:p>
      <w:pPr>
        <w:pStyle w:val="BodyText"/>
        <w:spacing w:line="360" w:lineRule="auto"/>
        <w:ind w:left="102" w:right="176" w:firstLine="707"/>
        <w:jc w:val="both"/>
      </w:pPr>
      <w:r>
        <w:rPr/>
        <w:t>Es importante señalar que el comportamiento de la producción en las dos regiones ha sido significativamente distinto. En la gráfica 3.1 y 3.2 se observa que la región Valle de México</w:t>
      </w:r>
      <w:r>
        <w:rPr>
          <w:spacing w:val="19"/>
        </w:rPr>
        <w:t> </w:t>
      </w:r>
      <w:r>
        <w:rPr/>
        <w:t>ha</w:t>
      </w:r>
      <w:r>
        <w:rPr>
          <w:spacing w:val="19"/>
        </w:rPr>
        <w:t> </w:t>
      </w:r>
      <w:r>
        <w:rPr/>
        <w:t>condicionado</w:t>
      </w:r>
      <w:r>
        <w:rPr>
          <w:spacing w:val="20"/>
        </w:rPr>
        <w:t> </w:t>
      </w:r>
      <w:r>
        <w:rPr/>
        <w:t>significativamente</w:t>
      </w:r>
      <w:r>
        <w:rPr>
          <w:spacing w:val="19"/>
        </w:rPr>
        <w:t> </w:t>
      </w:r>
      <w:r>
        <w:rPr/>
        <w:t>la</w:t>
      </w:r>
      <w:r>
        <w:rPr>
          <w:spacing w:val="19"/>
        </w:rPr>
        <w:t> </w:t>
      </w:r>
      <w:r>
        <w:rPr/>
        <w:t>dinámica</w:t>
      </w:r>
      <w:r>
        <w:rPr>
          <w:spacing w:val="19"/>
        </w:rPr>
        <w:t> </w:t>
      </w:r>
      <w:r>
        <w:rPr/>
        <w:t>del</w:t>
      </w:r>
      <w:r>
        <w:rPr>
          <w:spacing w:val="20"/>
        </w:rPr>
        <w:t> </w:t>
      </w:r>
      <w:r>
        <w:rPr/>
        <w:t>total</w:t>
      </w:r>
      <w:r>
        <w:rPr>
          <w:spacing w:val="20"/>
        </w:rPr>
        <w:t> </w:t>
      </w:r>
      <w:r>
        <w:rPr/>
        <w:t>estatal.</w:t>
      </w:r>
      <w:r>
        <w:rPr>
          <w:spacing w:val="24"/>
        </w:rPr>
        <w:t> </w:t>
      </w:r>
      <w:r>
        <w:rPr/>
        <w:t>En</w:t>
      </w:r>
      <w:r>
        <w:rPr>
          <w:spacing w:val="20"/>
        </w:rPr>
        <w:t> </w:t>
      </w:r>
      <w:r>
        <w:rPr/>
        <w:t>el</w:t>
      </w:r>
      <w:r>
        <w:rPr>
          <w:spacing w:val="20"/>
        </w:rPr>
        <w:t> </w:t>
      </w:r>
      <w:r>
        <w:rPr/>
        <w:t>periodo</w:t>
      </w:r>
      <w:r>
        <w:rPr>
          <w:spacing w:val="20"/>
        </w:rPr>
        <w:t> </w:t>
      </w:r>
      <w:r>
        <w:rPr/>
        <w:t>de</w:t>
      </w:r>
    </w:p>
    <w:p>
      <w:pPr>
        <w:spacing w:after="0" w:line="360" w:lineRule="auto"/>
        <w:jc w:val="both"/>
        <w:sectPr>
          <w:pgSz w:w="12240" w:h="15840"/>
          <w:pgMar w:header="0" w:footer="1003" w:top="1400" w:bottom="1200" w:left="1600" w:right="1520"/>
        </w:sectPr>
      </w:pPr>
    </w:p>
    <w:p>
      <w:pPr>
        <w:pStyle w:val="BodyText"/>
        <w:spacing w:line="360" w:lineRule="auto" w:before="50"/>
        <w:ind w:left="102" w:right="114"/>
        <w:jc w:val="both"/>
      </w:pPr>
      <w:r>
        <w:rPr/>
        <w:t>1970 a 1980 las dos regiones consideradas y el total estatal crecieron a tasas elevadas y similares. Este destacado desempeño de la economía mexiquense puede asociarse a la estrategia de crecimiento basado en la sustitución de importaciones que siguió el país a partir de los años cuarenta y que se extendió en cierta forma hasta principios de los años ochenta (Egurrola, 2003). Cabe mencionar que en 1970 entre el D.F. y el Estado de México generaban 36.2% del PIB nacional y cerca de 50% del PIB manufacturero. Posteriormente, la aportación de ambas entidades tanto al PIB total como al PIB manufacturero nacional, aunque siguió siendo importante, ha sido cada vez menor; la pérdida de peso relativo está cargada totalmente al D.F., en donde dejaron de localizarse prioritariamente las actividades económicas (Rodríguez, 2010).</w:t>
      </w:r>
    </w:p>
    <w:p>
      <w:pPr>
        <w:pStyle w:val="BodyText"/>
        <w:spacing w:before="4"/>
        <w:rPr>
          <w:sz w:val="9"/>
        </w:rPr>
      </w:pPr>
    </w:p>
    <w:p>
      <w:pPr>
        <w:spacing w:before="88"/>
        <w:ind w:left="544" w:right="597" w:firstLine="0"/>
        <w:jc w:val="center"/>
        <w:rPr>
          <w:rFonts w:ascii="Arial" w:hAnsi="Arial"/>
          <w:sz w:val="12"/>
        </w:rPr>
      </w:pPr>
      <w:r>
        <w:rPr>
          <w:rFonts w:ascii="Arial" w:hAnsi="Arial"/>
          <w:sz w:val="12"/>
        </w:rPr>
        <w:t>Gráfica 3.1</w:t>
      </w:r>
    </w:p>
    <w:p>
      <w:pPr>
        <w:spacing w:line="247" w:lineRule="auto" w:before="4"/>
        <w:ind w:left="3717" w:right="3771" w:firstLine="0"/>
        <w:jc w:val="center"/>
        <w:rPr>
          <w:rFonts w:ascii="Arial" w:hAnsi="Arial"/>
          <w:sz w:val="12"/>
        </w:rPr>
      </w:pPr>
      <w:r>
        <w:rPr>
          <w:rFonts w:ascii="Arial" w:hAnsi="Arial"/>
          <w:sz w:val="12"/>
        </w:rPr>
        <w:t>Valor Agregado Censal Bruto Industria manufacturera Estado de México</w:t>
      </w:r>
    </w:p>
    <w:p>
      <w:pPr>
        <w:spacing w:before="0"/>
        <w:ind w:left="545" w:right="597" w:firstLine="0"/>
        <w:jc w:val="center"/>
        <w:rPr>
          <w:rFonts w:ascii="Arial"/>
          <w:sz w:val="12"/>
        </w:rPr>
      </w:pPr>
      <w:r>
        <w:rPr>
          <w:rFonts w:ascii="Arial"/>
          <w:sz w:val="12"/>
        </w:rPr>
        <w:t>Miles de pesos de 1993</w:t>
      </w:r>
    </w:p>
    <w:p>
      <w:pPr>
        <w:pStyle w:val="BodyText"/>
        <w:rPr>
          <w:rFonts w:ascii="Arial"/>
          <w:sz w:val="8"/>
        </w:rPr>
      </w:pPr>
    </w:p>
    <w:p>
      <w:pPr>
        <w:spacing w:before="66"/>
        <w:ind w:left="1187" w:right="121" w:firstLine="0"/>
        <w:jc w:val="left"/>
        <w:rPr>
          <w:rFonts w:ascii="Arial"/>
          <w:sz w:val="8"/>
        </w:rPr>
      </w:pPr>
      <w:r>
        <w:rPr/>
        <w:pict>
          <v:group style="position:absolute;margin-left:168.626648pt;margin-top:5.654017pt;width:290.350pt;height:187.3pt;mso-position-horizontal-relative:page;mso-position-vertical-relative:paragraph;z-index:2248" coordorigin="3373,113" coordsize="5807,3746">
            <v:shape style="position:absolute;left:1898;top:1498;width:11429;height:7270" coordorigin="1898,1498" coordsize="11429,7270" path="m3398,3442l9178,3442m3398,3025l9178,3025m3398,2610l9178,2610m3398,2194l9178,2194m3398,1779l9178,1779m3398,1362l9178,1362m3398,946l9178,946m3398,531l9178,531m3398,115l9178,115m3398,3857l3398,115m3374,3857l3398,3857m3374,3442l3398,3442m3374,3025l3398,3025m3374,2610l3398,2610m3374,2194l3398,2194m3374,1779l3398,1779m3374,1362l3398,1362m3374,946l3398,946m3374,531l3398,531m3374,115l3398,115m3398,3857l9178,3857e" filled="false" stroked="true" strokeweight=".12271pt" strokecolor="#000000">
              <v:path arrowok="t"/>
            </v:shape>
            <v:shape style="position:absolute;left:3720;top:680;width:5138;height:1855" coordorigin="3720,680" coordsize="5138,1855" path="m3720,2535l4362,2097,5004,1481,5646,1988,6288,1821,6930,1109,7573,737,8215,1114,8857,680e" filled="false" stroked="true" strokeweight=".49341pt" strokecolor="#000080">
              <v:path arrowok="t"/>
            </v:shape>
            <v:shape style="position:absolute;left:3693;top:2509;width:52;height:52" coordorigin="3693,2509" coordsize="52,52" path="m3719,2509l3693,2535,3719,2561,3745,2535,3719,2509xe" filled="true" fillcolor="#000080" stroked="false">
              <v:path arrowok="t"/>
              <v:fill type="solid"/>
            </v:shape>
            <v:shape style="position:absolute;left:3693;top:2509;width:52;height:52" coordorigin="3693,2509" coordsize="52,52" path="m3719,2509l3745,2535,3719,2561,3693,2535,3719,2509xe" filled="false" stroked="true" strokeweight=".368096pt" strokecolor="#000080">
              <v:path arrowok="t"/>
            </v:shape>
            <v:shape style="position:absolute;left:4336;top:2070;width:52;height:52" coordorigin="4336,2070" coordsize="52,52" path="m4361,2070l4336,2096,4361,2122,4387,2096,4361,2070xe" filled="true" fillcolor="#000080" stroked="false">
              <v:path arrowok="t"/>
              <v:fill type="solid"/>
            </v:shape>
            <v:shape style="position:absolute;left:4336;top:2070;width:52;height:52" coordorigin="4336,2070" coordsize="52,52" path="m4361,2070l4387,2096,4361,2122,4336,2096,4361,2070xe" filled="false" stroked="true" strokeweight=".368096pt" strokecolor="#000080">
              <v:path arrowok="t"/>
            </v:shape>
            <v:shape style="position:absolute;left:4978;top:1455;width:52;height:52" coordorigin="4978,1455" coordsize="52,52" path="m5003,1455l4978,1481,5003,1507,5029,1481,5003,1455xe" filled="true" fillcolor="#000080" stroked="false">
              <v:path arrowok="t"/>
              <v:fill type="solid"/>
            </v:shape>
            <v:shape style="position:absolute;left:4978;top:1455;width:52;height:52" coordorigin="4978,1455" coordsize="52,52" path="m5003,1455l5029,1481,5003,1507,4978,1481,5003,1455xe" filled="false" stroked="true" strokeweight=".368096pt" strokecolor="#000080">
              <v:path arrowok="t"/>
            </v:shape>
            <v:shape style="position:absolute;left:5620;top:1960;width:52;height:52" coordorigin="5620,1960" coordsize="52,52" path="m5646,1960l5620,1986,5646,2012,5671,1986,5646,1960xe" filled="true" fillcolor="#000080" stroked="false">
              <v:path arrowok="t"/>
              <v:fill type="solid"/>
            </v:shape>
            <v:shape style="position:absolute;left:5620;top:1960;width:52;height:52" coordorigin="5620,1960" coordsize="52,52" path="m5646,1960l5671,1986,5646,2012,5620,1986,5646,1960xe" filled="false" stroked="true" strokeweight=".368096pt" strokecolor="#000080">
              <v:path arrowok="t"/>
            </v:shape>
            <v:shape style="position:absolute;left:6262;top:1794;width:52;height:52" coordorigin="6262,1794" coordsize="52,52" path="m6288,1794l6262,1819,6288,1845,6314,1819,6288,1794xe" filled="true" fillcolor="#000080" stroked="false">
              <v:path arrowok="t"/>
              <v:fill type="solid"/>
            </v:shape>
            <v:shape style="position:absolute;left:6262;top:1794;width:52;height:52" coordorigin="6262,1794" coordsize="52,52" path="m6288,1794l6314,1819,6288,1845,6262,1819,6288,1794xe" filled="false" stroked="true" strokeweight=".368096pt" strokecolor="#000080">
              <v:path arrowok="t"/>
            </v:shape>
            <v:shape style="position:absolute;left:6905;top:1082;width:52;height:52" coordorigin="6905,1082" coordsize="52,52" path="m6930,1082l6905,1108,6930,1134,6956,1108,6930,1082xe" filled="true" fillcolor="#000080" stroked="false">
              <v:path arrowok="t"/>
              <v:fill type="solid"/>
            </v:shape>
            <v:shape style="position:absolute;left:6905;top:1082;width:52;height:52" coordorigin="6905,1082" coordsize="52,52" path="m6930,1082l6956,1108,6930,1134,6905,1108,6930,1082xe" filled="false" stroked="true" strokeweight=".368096pt" strokecolor="#000080">
              <v:path arrowok="t"/>
            </v:shape>
            <v:shape style="position:absolute;left:7546;top:710;width:52;height:52" coordorigin="7546,710" coordsize="52,52" path="m7571,710l7546,736,7571,762,7597,736,7571,710xe" filled="true" fillcolor="#000080" stroked="false">
              <v:path arrowok="t"/>
              <v:fill type="solid"/>
            </v:shape>
            <v:shape style="position:absolute;left:7546;top:710;width:52;height:52" coordorigin="7546,710" coordsize="52,52" path="m7571,710l7597,736,7571,762,7546,736,7571,710xe" filled="false" stroked="true" strokeweight=".368096pt" strokecolor="#000080">
              <v:path arrowok="t"/>
            </v:shape>
            <v:shape style="position:absolute;left:8188;top:1087;width:52;height:52" coordorigin="8188,1087" coordsize="52,52" path="m8213,1087l8188,1113,8213,1139,8239,1113,8213,1087xe" filled="true" fillcolor="#000080" stroked="false">
              <v:path arrowok="t"/>
              <v:fill type="solid"/>
            </v:shape>
            <v:shape style="position:absolute;left:8188;top:1087;width:52;height:52" coordorigin="8188,1087" coordsize="52,52" path="m8213,1087l8239,1113,8213,1139,8188,1113,8213,1087xe" filled="false" stroked="true" strokeweight=".368096pt" strokecolor="#000080">
              <v:path arrowok="t"/>
            </v:shape>
            <v:shape style="position:absolute;left:8830;top:654;width:52;height:52" coordorigin="8830,654" coordsize="52,52" path="m8856,654l8830,680,8856,706,8882,680,8856,654xe" filled="true" fillcolor="#000080" stroked="false">
              <v:path arrowok="t"/>
              <v:fill type="solid"/>
            </v:shape>
            <v:shape style="position:absolute;left:8830;top:654;width:52;height:52" coordorigin="8830,654" coordsize="52,52" path="m8856,654l8882,680,8856,706,8830,680,8856,654xe" filled="false" stroked="true" strokeweight=".368096pt" strokecolor="#000080">
              <v:path arrowok="t"/>
            </v:shape>
            <v:shape style="position:absolute;left:7000;top:732;width:143;height:114" type="#_x0000_t202" filled="false" stroked="false">
              <v:textbox inset="0,0,0,0">
                <w:txbxContent>
                  <w:p>
                    <w:pPr>
                      <w:spacing w:line="114" w:lineRule="exact" w:before="0"/>
                      <w:ind w:left="0" w:right="-17" w:firstLine="0"/>
                      <w:jc w:val="left"/>
                      <w:rPr>
                        <w:rFonts w:ascii="Calibri"/>
                        <w:sz w:val="11"/>
                      </w:rPr>
                    </w:pPr>
                    <w:r>
                      <w:rPr>
                        <w:rFonts w:ascii="Calibri"/>
                        <w:sz w:val="11"/>
                      </w:rPr>
                      <w:t>2.6</w:t>
                    </w:r>
                  </w:p>
                </w:txbxContent>
              </v:textbox>
              <w10:wrap type="none"/>
            </v:shape>
            <v:shape style="position:absolute;left:7934;top:669;width:177;height:114" type="#_x0000_t202" filled="false" stroked="false">
              <v:textbox inset="0,0,0,0">
                <w:txbxContent>
                  <w:p>
                    <w:pPr>
                      <w:spacing w:line="114" w:lineRule="exact" w:before="0"/>
                      <w:ind w:left="0" w:right="-16" w:firstLine="0"/>
                      <w:jc w:val="left"/>
                      <w:rPr>
                        <w:rFonts w:ascii="Calibri"/>
                        <w:sz w:val="11"/>
                      </w:rPr>
                    </w:pPr>
                    <w:r>
                      <w:rPr>
                        <w:rFonts w:ascii="Calibri"/>
                        <w:sz w:val="11"/>
                      </w:rPr>
                      <w:t>-2.5</w:t>
                    </w:r>
                  </w:p>
                </w:txbxContent>
              </v:textbox>
              <w10:wrap type="none"/>
            </v:shape>
            <v:shape style="position:absolute;left:8656;top:923;width:143;height:114" type="#_x0000_t202" filled="false" stroked="false">
              <v:textbox inset="0,0,0,0">
                <w:txbxContent>
                  <w:p>
                    <w:pPr>
                      <w:spacing w:line="114" w:lineRule="exact" w:before="0"/>
                      <w:ind w:left="0" w:right="-17" w:firstLine="0"/>
                      <w:jc w:val="left"/>
                      <w:rPr>
                        <w:rFonts w:ascii="Calibri"/>
                        <w:sz w:val="11"/>
                      </w:rPr>
                    </w:pPr>
                    <w:r>
                      <w:rPr>
                        <w:rFonts w:ascii="Calibri"/>
                        <w:sz w:val="11"/>
                      </w:rPr>
                      <w:t>3.0</w:t>
                    </w:r>
                  </w:p>
                </w:txbxContent>
              </v:textbox>
              <w10:wrap type="none"/>
            </v:shape>
            <v:shape style="position:absolute;left:6264;top:1227;width:143;height:114" type="#_x0000_t202" filled="false" stroked="false">
              <v:textbox inset="0,0,0,0">
                <w:txbxContent>
                  <w:p>
                    <w:pPr>
                      <w:spacing w:line="114" w:lineRule="exact" w:before="0"/>
                      <w:ind w:left="0" w:right="-17" w:firstLine="0"/>
                      <w:jc w:val="left"/>
                      <w:rPr>
                        <w:rFonts w:ascii="Calibri"/>
                        <w:sz w:val="11"/>
                      </w:rPr>
                    </w:pPr>
                    <w:r>
                      <w:rPr>
                        <w:rFonts w:ascii="Calibri"/>
                        <w:sz w:val="11"/>
                      </w:rPr>
                      <w:t>6.2</w:t>
                    </w:r>
                  </w:p>
                </w:txbxContent>
              </v:textbox>
              <w10:wrap type="none"/>
            </v:shape>
            <v:shape style="position:absolute;left:4528;top:1415;width:143;height:114" type="#_x0000_t202" filled="false" stroked="false">
              <v:textbox inset="0,0,0,0">
                <w:txbxContent>
                  <w:p>
                    <w:pPr>
                      <w:spacing w:line="114" w:lineRule="exact" w:before="0"/>
                      <w:ind w:left="0" w:right="-17" w:firstLine="0"/>
                      <w:jc w:val="left"/>
                      <w:rPr>
                        <w:rFonts w:ascii="Calibri"/>
                        <w:sz w:val="11"/>
                      </w:rPr>
                    </w:pPr>
                    <w:r>
                      <w:rPr>
                        <w:rFonts w:ascii="Calibri"/>
                        <w:sz w:val="11"/>
                      </w:rPr>
                      <w:t>6.2</w:t>
                    </w:r>
                  </w:p>
                </w:txbxContent>
              </v:textbox>
              <w10:wrap type="none"/>
            </v:shape>
            <v:shape style="position:absolute;left:5266;top:1498;width:177;height:114" type="#_x0000_t202" filled="false" stroked="false">
              <v:textbox inset="0,0,0,0">
                <w:txbxContent>
                  <w:p>
                    <w:pPr>
                      <w:spacing w:line="114" w:lineRule="exact" w:before="0"/>
                      <w:ind w:left="0" w:right="-16" w:firstLine="0"/>
                      <w:jc w:val="left"/>
                      <w:rPr>
                        <w:rFonts w:ascii="Calibri"/>
                        <w:sz w:val="11"/>
                      </w:rPr>
                    </w:pPr>
                    <w:r>
                      <w:rPr>
                        <w:rFonts w:ascii="Calibri"/>
                        <w:sz w:val="11"/>
                      </w:rPr>
                      <w:t>-4.7</w:t>
                    </w:r>
                  </w:p>
                </w:txbxContent>
              </v:textbox>
              <w10:wrap type="none"/>
            </v:shape>
            <v:shape style="position:absolute;left:5811;top:1687;width:143;height:114" type="#_x0000_t202" filled="false" stroked="false">
              <v:textbox inset="0,0,0,0">
                <w:txbxContent>
                  <w:p>
                    <w:pPr>
                      <w:spacing w:line="114" w:lineRule="exact" w:before="0"/>
                      <w:ind w:left="0" w:right="-17" w:firstLine="0"/>
                      <w:jc w:val="left"/>
                      <w:rPr>
                        <w:rFonts w:ascii="Calibri"/>
                        <w:sz w:val="11"/>
                      </w:rPr>
                    </w:pPr>
                    <w:r>
                      <w:rPr>
                        <w:rFonts w:ascii="Calibri"/>
                        <w:sz w:val="11"/>
                      </w:rPr>
                      <w:t>2.9</w:t>
                    </w:r>
                  </w:p>
                </w:txbxContent>
              </v:textbox>
              <w10:wrap type="none"/>
            </v:shape>
            <v:shape style="position:absolute;left:3932;top:1942;width:143;height:114" type="#_x0000_t202" filled="false" stroked="false">
              <v:textbox inset="0,0,0,0">
                <w:txbxContent>
                  <w:p>
                    <w:pPr>
                      <w:spacing w:line="114" w:lineRule="exact" w:before="0"/>
                      <w:ind w:left="0" w:right="-17" w:firstLine="0"/>
                      <w:jc w:val="left"/>
                      <w:rPr>
                        <w:rFonts w:ascii="Calibri"/>
                        <w:sz w:val="11"/>
                      </w:rPr>
                    </w:pPr>
                    <w:r>
                      <w:rPr>
                        <w:rFonts w:ascii="Calibri"/>
                        <w:sz w:val="11"/>
                      </w:rPr>
                      <w:t>5.9</w:t>
                    </w:r>
                  </w:p>
                </w:txbxContent>
              </v:textbox>
              <w10:wrap type="none"/>
            </v:shape>
            <w10:wrap type="none"/>
          </v:group>
        </w:pict>
      </w:r>
      <w:r>
        <w:rPr>
          <w:rFonts w:ascii="Arial"/>
          <w:sz w:val="8"/>
        </w:rPr>
        <w:t>45,000,000.00</w:t>
      </w:r>
    </w:p>
    <w:p>
      <w:pPr>
        <w:pStyle w:val="BodyText"/>
        <w:spacing w:before="1"/>
        <w:rPr>
          <w:rFonts w:ascii="Arial"/>
          <w:sz w:val="20"/>
        </w:rPr>
      </w:pPr>
    </w:p>
    <w:p>
      <w:pPr>
        <w:pStyle w:val="BodyText"/>
        <w:rPr>
          <w:rFonts w:ascii="Arial"/>
          <w:sz w:val="8"/>
        </w:rPr>
      </w:pPr>
    </w:p>
    <w:p>
      <w:pPr>
        <w:spacing w:before="1"/>
        <w:ind w:left="1187" w:right="121" w:firstLine="0"/>
        <w:jc w:val="left"/>
        <w:rPr>
          <w:rFonts w:ascii="Arial"/>
          <w:sz w:val="8"/>
        </w:rPr>
      </w:pPr>
      <w:r>
        <w:rPr>
          <w:rFonts w:ascii="Arial"/>
          <w:sz w:val="8"/>
        </w:rPr>
        <w:t>40,000,000.00</w:t>
      </w:r>
    </w:p>
    <w:p>
      <w:pPr>
        <w:pStyle w:val="BodyText"/>
        <w:spacing w:before="1"/>
        <w:rPr>
          <w:rFonts w:ascii="Arial"/>
          <w:sz w:val="20"/>
        </w:rPr>
      </w:pPr>
    </w:p>
    <w:p>
      <w:pPr>
        <w:pStyle w:val="BodyText"/>
        <w:rPr>
          <w:rFonts w:ascii="Arial"/>
          <w:sz w:val="8"/>
        </w:rPr>
      </w:pPr>
    </w:p>
    <w:p>
      <w:pPr>
        <w:spacing w:before="1"/>
        <w:ind w:left="1187" w:right="121" w:firstLine="0"/>
        <w:jc w:val="left"/>
        <w:rPr>
          <w:rFonts w:ascii="Arial"/>
          <w:sz w:val="8"/>
        </w:rPr>
      </w:pPr>
      <w:r>
        <w:rPr>
          <w:rFonts w:ascii="Arial"/>
          <w:sz w:val="8"/>
        </w:rPr>
        <w:t>35,000,000.00</w:t>
      </w:r>
    </w:p>
    <w:p>
      <w:pPr>
        <w:pStyle w:val="BodyText"/>
        <w:spacing w:before="1"/>
        <w:rPr>
          <w:rFonts w:ascii="Arial"/>
          <w:sz w:val="20"/>
        </w:rPr>
      </w:pPr>
    </w:p>
    <w:p>
      <w:pPr>
        <w:pStyle w:val="BodyText"/>
        <w:rPr>
          <w:rFonts w:ascii="Arial"/>
          <w:sz w:val="8"/>
        </w:rPr>
      </w:pPr>
    </w:p>
    <w:p>
      <w:pPr>
        <w:spacing w:before="1"/>
        <w:ind w:left="1187" w:right="121" w:firstLine="0"/>
        <w:jc w:val="left"/>
        <w:rPr>
          <w:rFonts w:ascii="Arial"/>
          <w:sz w:val="8"/>
        </w:rPr>
      </w:pPr>
      <w:r>
        <w:rPr>
          <w:rFonts w:ascii="Arial"/>
          <w:sz w:val="8"/>
        </w:rPr>
        <w:t>30,000,000.00</w:t>
      </w:r>
    </w:p>
    <w:p>
      <w:pPr>
        <w:pStyle w:val="BodyText"/>
        <w:spacing w:before="1"/>
        <w:rPr>
          <w:rFonts w:ascii="Arial"/>
          <w:sz w:val="20"/>
        </w:rPr>
      </w:pPr>
    </w:p>
    <w:p>
      <w:pPr>
        <w:pStyle w:val="BodyText"/>
        <w:rPr>
          <w:rFonts w:ascii="Arial"/>
          <w:sz w:val="8"/>
        </w:rPr>
      </w:pPr>
    </w:p>
    <w:p>
      <w:pPr>
        <w:spacing w:before="1"/>
        <w:ind w:left="1187" w:right="121" w:firstLine="0"/>
        <w:jc w:val="left"/>
        <w:rPr>
          <w:rFonts w:ascii="Arial"/>
          <w:sz w:val="8"/>
        </w:rPr>
      </w:pPr>
      <w:r>
        <w:rPr>
          <w:rFonts w:ascii="Arial"/>
          <w:sz w:val="8"/>
        </w:rPr>
        <w:t>25,000,000.00</w:t>
      </w:r>
    </w:p>
    <w:p>
      <w:pPr>
        <w:pStyle w:val="BodyText"/>
        <w:spacing w:before="2"/>
        <w:rPr>
          <w:rFonts w:ascii="Arial"/>
          <w:sz w:val="20"/>
        </w:rPr>
      </w:pPr>
    </w:p>
    <w:p>
      <w:pPr>
        <w:pStyle w:val="BodyText"/>
        <w:rPr>
          <w:rFonts w:ascii="Arial"/>
          <w:sz w:val="8"/>
        </w:rPr>
      </w:pPr>
    </w:p>
    <w:p>
      <w:pPr>
        <w:spacing w:before="0"/>
        <w:ind w:left="1187" w:right="121" w:firstLine="0"/>
        <w:jc w:val="left"/>
        <w:rPr>
          <w:rFonts w:ascii="Arial"/>
          <w:sz w:val="8"/>
        </w:rPr>
      </w:pPr>
      <w:r>
        <w:rPr>
          <w:rFonts w:ascii="Arial"/>
          <w:sz w:val="8"/>
        </w:rPr>
        <w:t>20,000,000.00</w:t>
      </w:r>
    </w:p>
    <w:p>
      <w:pPr>
        <w:pStyle w:val="BodyText"/>
        <w:spacing w:before="1"/>
        <w:rPr>
          <w:rFonts w:ascii="Arial"/>
          <w:sz w:val="20"/>
        </w:rPr>
      </w:pPr>
    </w:p>
    <w:p>
      <w:pPr>
        <w:pStyle w:val="BodyText"/>
        <w:rPr>
          <w:rFonts w:ascii="Arial"/>
          <w:sz w:val="8"/>
        </w:rPr>
      </w:pPr>
    </w:p>
    <w:p>
      <w:pPr>
        <w:spacing w:before="1"/>
        <w:ind w:left="1187" w:right="121" w:firstLine="0"/>
        <w:jc w:val="left"/>
        <w:rPr>
          <w:rFonts w:ascii="Arial"/>
          <w:sz w:val="8"/>
        </w:rPr>
      </w:pPr>
      <w:r>
        <w:rPr>
          <w:rFonts w:ascii="Arial"/>
          <w:sz w:val="8"/>
        </w:rPr>
        <w:t>15,000,000.00</w:t>
      </w:r>
    </w:p>
    <w:p>
      <w:pPr>
        <w:pStyle w:val="BodyText"/>
        <w:spacing w:before="1"/>
        <w:rPr>
          <w:rFonts w:ascii="Arial"/>
          <w:sz w:val="20"/>
        </w:rPr>
      </w:pPr>
    </w:p>
    <w:p>
      <w:pPr>
        <w:pStyle w:val="BodyText"/>
        <w:rPr>
          <w:rFonts w:ascii="Arial"/>
          <w:sz w:val="8"/>
        </w:rPr>
      </w:pPr>
    </w:p>
    <w:p>
      <w:pPr>
        <w:spacing w:before="1"/>
        <w:ind w:left="1187" w:right="121" w:firstLine="0"/>
        <w:jc w:val="left"/>
        <w:rPr>
          <w:rFonts w:ascii="Arial"/>
          <w:sz w:val="8"/>
        </w:rPr>
      </w:pPr>
      <w:r>
        <w:rPr>
          <w:rFonts w:ascii="Arial"/>
          <w:sz w:val="8"/>
        </w:rPr>
        <w:t>10,000,000.00</w:t>
      </w:r>
    </w:p>
    <w:p>
      <w:pPr>
        <w:pStyle w:val="BodyText"/>
        <w:spacing w:before="1"/>
        <w:rPr>
          <w:rFonts w:ascii="Arial"/>
          <w:sz w:val="20"/>
        </w:rPr>
      </w:pPr>
    </w:p>
    <w:p>
      <w:pPr>
        <w:pStyle w:val="BodyText"/>
        <w:rPr>
          <w:rFonts w:ascii="Arial"/>
          <w:sz w:val="8"/>
        </w:rPr>
      </w:pPr>
    </w:p>
    <w:p>
      <w:pPr>
        <w:spacing w:before="1"/>
        <w:ind w:left="1232" w:right="121" w:firstLine="0"/>
        <w:jc w:val="left"/>
        <w:rPr>
          <w:rFonts w:ascii="Arial"/>
          <w:sz w:val="8"/>
        </w:rPr>
      </w:pPr>
      <w:r>
        <w:rPr>
          <w:rFonts w:ascii="Arial"/>
          <w:sz w:val="8"/>
        </w:rPr>
        <w:t>5,000,000.00</w:t>
      </w:r>
    </w:p>
    <w:p>
      <w:pPr>
        <w:pStyle w:val="BodyText"/>
        <w:spacing w:before="1"/>
        <w:rPr>
          <w:rFonts w:ascii="Arial"/>
          <w:sz w:val="20"/>
        </w:rPr>
      </w:pPr>
    </w:p>
    <w:p>
      <w:pPr>
        <w:pStyle w:val="BodyText"/>
        <w:rPr>
          <w:rFonts w:ascii="Arial"/>
          <w:sz w:val="8"/>
        </w:rPr>
      </w:pPr>
    </w:p>
    <w:p>
      <w:pPr>
        <w:spacing w:before="1"/>
        <w:ind w:left="1634" w:right="0" w:firstLine="0"/>
        <w:jc w:val="left"/>
        <w:rPr>
          <w:rFonts w:ascii="Arial"/>
          <w:sz w:val="8"/>
        </w:rPr>
      </w:pPr>
      <w:r>
        <w:rPr>
          <w:rFonts w:ascii="Arial"/>
          <w:w w:val="102"/>
          <w:sz w:val="8"/>
        </w:rPr>
        <w:t>-</w:t>
      </w:r>
    </w:p>
    <w:p>
      <w:pPr>
        <w:tabs>
          <w:tab w:pos="2671" w:val="left" w:leader="none"/>
          <w:tab w:pos="3313" w:val="left" w:leader="none"/>
          <w:tab w:pos="3956" w:val="left" w:leader="none"/>
          <w:tab w:pos="4598" w:val="left" w:leader="none"/>
          <w:tab w:pos="5240" w:val="left" w:leader="none"/>
          <w:tab w:pos="5882" w:val="left" w:leader="none"/>
          <w:tab w:pos="6525" w:val="left" w:leader="none"/>
          <w:tab w:pos="7167" w:val="left" w:leader="none"/>
        </w:tabs>
        <w:spacing w:before="6"/>
        <w:ind w:left="2029" w:right="121" w:firstLine="0"/>
        <w:jc w:val="left"/>
        <w:rPr>
          <w:rFonts w:ascii="Arial"/>
          <w:sz w:val="8"/>
        </w:rPr>
      </w:pPr>
      <w:r>
        <w:rPr>
          <w:rFonts w:ascii="Arial"/>
          <w:sz w:val="8"/>
        </w:rPr>
        <w:t>1970</w:t>
        <w:tab/>
        <w:t>1975</w:t>
        <w:tab/>
        <w:t>1980</w:t>
        <w:tab/>
        <w:t>1985</w:t>
        <w:tab/>
        <w:t>1988</w:t>
        <w:tab/>
        <w:t>1993</w:t>
        <w:tab/>
        <w:t>1998</w:t>
        <w:tab/>
        <w:t>2003</w:t>
        <w:tab/>
        <w:t>2008</w:t>
      </w:r>
    </w:p>
    <w:p>
      <w:pPr>
        <w:spacing w:before="17"/>
        <w:ind w:left="2079" w:right="121" w:firstLine="0"/>
        <w:jc w:val="left"/>
        <w:rPr>
          <w:rFonts w:ascii="Calibri" w:hAnsi="Calibri"/>
          <w:sz w:val="11"/>
        </w:rPr>
      </w:pPr>
      <w:r>
        <w:rPr>
          <w:rFonts w:ascii="Calibri" w:hAnsi="Calibri"/>
          <w:sz w:val="8"/>
        </w:rPr>
        <w:t>Fuente: INEGI Censos industriales, varios años</w:t>
      </w:r>
      <w:r>
        <w:rPr>
          <w:rFonts w:ascii="Calibri" w:hAnsi="Calibri"/>
          <w:sz w:val="11"/>
        </w:rPr>
        <w:t>.</w:t>
      </w:r>
    </w:p>
    <w:p>
      <w:pPr>
        <w:spacing w:after="0"/>
        <w:jc w:val="left"/>
        <w:rPr>
          <w:rFonts w:ascii="Calibri" w:hAnsi="Calibri"/>
          <w:sz w:val="11"/>
        </w:rPr>
        <w:sectPr>
          <w:pgSz w:w="12240" w:h="15840"/>
          <w:pgMar w:header="0" w:footer="1003" w:top="1360" w:bottom="1200" w:left="1600" w:right="1580"/>
        </w:sectPr>
      </w:pPr>
    </w:p>
    <w:p>
      <w:pPr>
        <w:pStyle w:val="BodyText"/>
        <w:spacing w:before="6"/>
        <w:rPr>
          <w:rFonts w:ascii="Calibri"/>
          <w:sz w:val="14"/>
        </w:rPr>
      </w:pPr>
    </w:p>
    <w:p>
      <w:pPr>
        <w:spacing w:before="86"/>
        <w:ind w:left="3794" w:right="3368" w:firstLine="0"/>
        <w:jc w:val="center"/>
        <w:rPr>
          <w:rFonts w:ascii="Arial" w:hAnsi="Arial"/>
          <w:b/>
          <w:sz w:val="13"/>
        </w:rPr>
      </w:pPr>
      <w:r>
        <w:rPr>
          <w:rFonts w:ascii="Arial" w:hAnsi="Arial"/>
          <w:b/>
          <w:w w:val="95"/>
          <w:sz w:val="13"/>
        </w:rPr>
        <w:t>Gráfica 3.2</w:t>
      </w:r>
    </w:p>
    <w:p>
      <w:pPr>
        <w:spacing w:line="247" w:lineRule="auto" w:before="4"/>
        <w:ind w:left="3797" w:right="3368" w:firstLine="0"/>
        <w:jc w:val="center"/>
        <w:rPr>
          <w:rFonts w:ascii="Arial" w:hAnsi="Arial"/>
          <w:b/>
          <w:sz w:val="13"/>
        </w:rPr>
      </w:pPr>
      <w:r>
        <w:rPr>
          <w:rFonts w:ascii="Arial" w:hAnsi="Arial"/>
          <w:b/>
          <w:w w:val="95"/>
          <w:sz w:val="13"/>
        </w:rPr>
        <w:t>Valor Agragado Censal Bruto </w:t>
      </w:r>
      <w:r>
        <w:rPr>
          <w:rFonts w:ascii="Arial" w:hAnsi="Arial"/>
          <w:b/>
          <w:sz w:val="13"/>
        </w:rPr>
        <w:t>Valle de México</w:t>
      </w:r>
    </w:p>
    <w:p>
      <w:pPr>
        <w:spacing w:line="247" w:lineRule="auto" w:before="0"/>
        <w:ind w:left="4017" w:right="3589" w:firstLine="0"/>
        <w:jc w:val="center"/>
        <w:rPr>
          <w:rFonts w:ascii="Arial"/>
          <w:b/>
          <w:sz w:val="13"/>
        </w:rPr>
      </w:pPr>
      <w:r>
        <w:rPr>
          <w:rFonts w:ascii="Arial"/>
          <w:b/>
          <w:w w:val="95"/>
          <w:sz w:val="13"/>
        </w:rPr>
        <w:t>Industria manufacturera </w:t>
      </w:r>
      <w:r>
        <w:rPr>
          <w:rFonts w:ascii="Arial"/>
          <w:b/>
          <w:sz w:val="13"/>
        </w:rPr>
        <w:t>Miles de pesos de 1993</w:t>
      </w:r>
    </w:p>
    <w:p>
      <w:pPr>
        <w:pStyle w:val="BodyText"/>
        <w:rPr>
          <w:rFonts w:ascii="Arial"/>
          <w:b/>
          <w:sz w:val="8"/>
        </w:rPr>
      </w:pPr>
    </w:p>
    <w:p>
      <w:pPr>
        <w:pStyle w:val="BodyText"/>
        <w:spacing w:before="2"/>
        <w:rPr>
          <w:rFonts w:ascii="Arial"/>
          <w:b/>
          <w:sz w:val="7"/>
        </w:rPr>
      </w:pPr>
    </w:p>
    <w:p>
      <w:pPr>
        <w:spacing w:before="0"/>
        <w:ind w:left="1435" w:right="243" w:firstLine="0"/>
        <w:jc w:val="left"/>
        <w:rPr>
          <w:rFonts w:ascii="Arial"/>
          <w:sz w:val="9"/>
        </w:rPr>
      </w:pPr>
      <w:r>
        <w:rPr/>
        <w:pict>
          <v:group style="position:absolute;margin-left:172.128494pt;margin-top:2.471519pt;width:297.05pt;height:166.45pt;mso-position-horizontal-relative:page;mso-position-vertical-relative:paragraph;z-index:2488" coordorigin="3443,49" coordsize="5941,3329">
            <v:shape style="position:absolute;left:2045;top:6737;width:11393;height:4913" coordorigin="2045,6737" coordsize="11393,4913" path="m3470,2799l9377,2799m3470,2249l9377,2249m3470,1701l9377,1701m3470,1153l9377,1153m3470,604l9377,604m3470,55l9377,55e" filled="false" stroked="true" strokeweight=".129239pt" strokecolor="#000000">
              <v:path arrowok="t"/>
            </v:shape>
            <v:rect style="position:absolute;left:3470;top:55;width:5907;height:3292" filled="false" stroked="true" strokeweight=".52706pt" strokecolor="#808080"/>
            <v:shape style="position:absolute;left:1994;top:6737;width:11444;height:5945" coordorigin="1994,6737" coordsize="11444,5945" path="m3470,3347l3470,55m3444,3347l3470,3347m3444,2799l3470,2799m3444,2249l3470,2249m3444,1701l3470,1701m3444,1153l3470,1153m3444,604l3470,604m3444,55l3470,55m3470,3347l9377,3347m3470,3347l3470,3375m4126,3347l4126,3375m4783,3347l4783,3375m5439,3347l5439,3375m6096,3347l6096,3375m6752,3347l6752,3375m7409,3347l7409,3375m8064,3347l8064,3375m8720,3347l8720,3375m9377,3347l9377,3375e" filled="false" stroked="true" strokeweight=".129239pt" strokecolor="#000000">
              <v:path arrowok="t"/>
            </v:shape>
            <v:shape style="position:absolute;left:3797;top:3347;width:5252;height:2" coordorigin="3797,3347" coordsize="5252,0" path="m3797,3347l3797,3347,8393,3347,9049,3347e" filled="false" stroked="true" strokeweight=".536164pt" strokecolor="#000080">
              <v:path arrowok="t"/>
            </v:shape>
            <v:shape style="position:absolute;left:3771;top:3317;width:53;height:57" coordorigin="3771,3317" coordsize="53,57" path="m3797,3317l3771,3345,3797,3374,3824,3345,3797,3317xe" filled="true" fillcolor="#000080" stroked="false">
              <v:path arrowok="t"/>
              <v:fill type="solid"/>
            </v:shape>
            <v:shape style="position:absolute;left:3771;top:3317;width:53;height:57" coordorigin="3771,3317" coordsize="53,57" path="m3797,3317l3824,3345,3797,3374,3771,3345,3797,3317xe" filled="false" stroked="true" strokeweight=".386648pt" strokecolor="#000080">
              <v:path arrowok="t"/>
            </v:shape>
            <v:shape style="position:absolute;left:4427;top:3317;width:53;height:57" coordorigin="4427,3317" coordsize="53,57" path="m4453,3317l4427,3345,4453,3374,4479,3345,4453,3317xe" filled="true" fillcolor="#000080" stroked="false">
              <v:path arrowok="t"/>
              <v:fill type="solid"/>
            </v:shape>
            <v:shape style="position:absolute;left:4427;top:3317;width:53;height:57" coordorigin="4427,3317" coordsize="53,57" path="m4453,3317l4479,3345,4453,3374,4427,3345,4453,3317xe" filled="false" stroked="true" strokeweight=".386648pt" strokecolor="#000080">
              <v:path arrowok="t"/>
            </v:shape>
            <v:shape style="position:absolute;left:5084;top:3317;width:53;height:57" coordorigin="5084,3317" coordsize="53,57" path="m5110,3317l5084,3345,5110,3374,5136,3345,5110,3317xe" filled="true" fillcolor="#000080" stroked="false">
              <v:path arrowok="t"/>
              <v:fill type="solid"/>
            </v:shape>
            <v:shape style="position:absolute;left:5084;top:3317;width:53;height:57" coordorigin="5084,3317" coordsize="53,57" path="m5110,3317l5136,3345,5110,3374,5084,3345,5110,3317xe" filled="false" stroked="true" strokeweight=".386648pt" strokecolor="#000080">
              <v:path arrowok="t"/>
            </v:shape>
            <v:shape style="position:absolute;left:5740;top:3317;width:53;height:57" coordorigin="5740,3317" coordsize="53,57" path="m5766,3317l5740,3345,5766,3374,5792,3345,5766,3317xe" filled="true" fillcolor="#000080" stroked="false">
              <v:path arrowok="t"/>
              <v:fill type="solid"/>
            </v:shape>
            <v:shape style="position:absolute;left:5740;top:3317;width:53;height:57" coordorigin="5740,3317" coordsize="53,57" path="m5766,3317l5792,3345,5766,3374,5740,3345,5766,3317xe" filled="false" stroked="true" strokeweight=".386648pt" strokecolor="#000080">
              <v:path arrowok="t"/>
            </v:shape>
            <v:shape style="position:absolute;left:6397;top:3317;width:53;height:57" coordorigin="6397,3317" coordsize="53,57" path="m6423,3317l6397,3345,6423,3374,6449,3345,6423,3317xe" filled="true" fillcolor="#000080" stroked="false">
              <v:path arrowok="t"/>
              <v:fill type="solid"/>
            </v:shape>
            <v:shape style="position:absolute;left:6397;top:3317;width:53;height:57" coordorigin="6397,3317" coordsize="53,57" path="m6423,3317l6449,3345,6423,3374,6397,3345,6423,3317xe" filled="false" stroked="true" strokeweight=".386648pt" strokecolor="#000080">
              <v:path arrowok="t"/>
            </v:shape>
            <v:shape style="position:absolute;left:7053;top:3317;width:53;height:57" coordorigin="7053,3317" coordsize="53,57" path="m7079,3317l7053,3345,7079,3374,7105,3345,7079,3317xe" filled="true" fillcolor="#000080" stroked="false">
              <v:path arrowok="t"/>
              <v:fill type="solid"/>
            </v:shape>
            <v:shape style="position:absolute;left:7053;top:3317;width:53;height:57" coordorigin="7053,3317" coordsize="53,57" path="m7079,3317l7105,3345,7079,3374,7053,3345,7079,3317xe" filled="false" stroked="true" strokeweight=".386648pt" strokecolor="#000080">
              <v:path arrowok="t"/>
            </v:shape>
            <v:shape style="position:absolute;left:7710;top:3317;width:53;height:57" coordorigin="7710,3317" coordsize="53,57" path="m7736,3317l7710,3345,7736,3374,7762,3345,7736,3317xe" filled="true" fillcolor="#000080" stroked="false">
              <v:path arrowok="t"/>
              <v:fill type="solid"/>
            </v:shape>
            <v:shape style="position:absolute;left:7710;top:3317;width:53;height:57" coordorigin="7710,3317" coordsize="53,57" path="m7736,3317l7762,3345,7736,3374,7710,3345,7736,3317xe" filled="false" stroked="true" strokeweight=".386648pt" strokecolor="#000080">
              <v:path arrowok="t"/>
            </v:shape>
            <v:shape style="position:absolute;left:8366;top:3317;width:53;height:57" coordorigin="8366,3317" coordsize="53,57" path="m8391,3317l8366,3345,8391,3374,8418,3345,8391,3317xe" filled="true" fillcolor="#000080" stroked="false">
              <v:path arrowok="t"/>
              <v:fill type="solid"/>
            </v:shape>
            <v:shape style="position:absolute;left:8366;top:3317;width:53;height:57" coordorigin="8366,3317" coordsize="53,57" path="m8391,3317l8418,3345,8391,3374,8366,3345,8391,3317xe" filled="false" stroked="true" strokeweight=".386648pt" strokecolor="#000080">
              <v:path arrowok="t"/>
            </v:shape>
            <v:shape style="position:absolute;left:9023;top:3317;width:53;height:57" coordorigin="9023,3317" coordsize="53,57" path="m9048,3317l9023,3345,9048,3374,9075,3345,9048,3317xe" filled="true" fillcolor="#000080" stroked="false">
              <v:path arrowok="t"/>
              <v:fill type="solid"/>
            </v:shape>
            <v:shape style="position:absolute;left:9023;top:3317;width:53;height:57" coordorigin="9023,3317" coordsize="53,57" path="m9048,3317l9075,3345,9048,3374,9023,3345,9048,3317xe" filled="false" stroked="true" strokeweight=".386648pt" strokecolor="#000080">
              <v:path arrowok="t"/>
            </v:shape>
            <v:shape style="position:absolute;left:3797;top:606;width:5252;height:1386" coordorigin="3797,606" coordsize="5252,1386" path="m3797,1992l4454,1464,5110,802,5767,1520,6423,1477,7080,932,7736,606,8393,1184,9049,1209e" filled="false" stroked="true" strokeweight="1.200740pt" strokecolor="#bd4a47">
              <v:path arrowok="t"/>
            </v:shape>
            <v:line style="position:absolute" from="3761,1992" to="3834,1992" stroked="true" strokeweight="3.887188pt" strokecolor="#c0504d"/>
            <v:rect style="position:absolute;left:3761;top:1953;width:72;height:78" filled="false" stroked="true" strokeweight=".386648pt" strokecolor="#bd4a47"/>
            <v:line style="position:absolute" from="4417,1462" to="4489,1462" stroked="true" strokeweight="3.887188pt" strokecolor="#c0504d"/>
            <v:rect style="position:absolute;left:4417;top:1423;width:72;height:78" filled="false" stroked="true" strokeweight=".386648pt" strokecolor="#bd4a47"/>
            <v:line style="position:absolute" from="5074,802" to="5146,802" stroked="true" strokeweight="3.887188pt" strokecolor="#c0504d"/>
            <v:rect style="position:absolute;left:5074;top:763;width:72;height:78" filled="false" stroked="true" strokeweight=".386648pt" strokecolor="#bd4a47"/>
            <v:line style="position:absolute" from="5730,1519" to="5802,1519" stroked="true" strokeweight="3.887188pt" strokecolor="#c0504d"/>
            <v:rect style="position:absolute;left:5730;top:1480;width:72;height:78" filled="false" stroked="true" strokeweight=".386648pt" strokecolor="#bd4a47"/>
            <v:line style="position:absolute" from="6387,1476" to="6459,1476" stroked="true" strokeweight="3.887188pt" strokecolor="#c0504d"/>
            <v:rect style="position:absolute;left:6387;top:1437;width:72;height:78" filled="false" stroked="true" strokeweight=".386648pt" strokecolor="#bd4a47"/>
            <v:line style="position:absolute" from="7043,932" to="7115,932" stroked="true" strokeweight="3.887188pt" strokecolor="#c0504d"/>
            <v:rect style="position:absolute;left:7043;top:893;width:72;height:78" filled="false" stroked="true" strokeweight=".386648pt" strokecolor="#bd4a47"/>
            <v:line style="position:absolute" from="7700,606" to="7772,606" stroked="true" strokeweight="3.887188pt" strokecolor="#c0504d"/>
            <v:rect style="position:absolute;left:7700;top:567;width:72;height:78" filled="false" stroked="true" strokeweight=".386648pt" strokecolor="#bd4a47"/>
            <v:line style="position:absolute" from="8356,1184" to="8428,1184" stroked="true" strokeweight="3.887188pt" strokecolor="#c0504d"/>
            <v:rect style="position:absolute;left:8356;top:1145;width:72;height:78" filled="false" stroked="true" strokeweight=".386648pt" strokecolor="#bd4a47"/>
            <v:line style="position:absolute" from="9013,1208" to="9085,1208" stroked="true" strokeweight="3.887188pt" strokecolor="#c0504d"/>
            <v:rect style="position:absolute;left:9013;top:1169;width:72;height:78" filled="false" stroked="true" strokeweight=".386648pt" strokecolor="#bd4a47"/>
            <v:shape style="position:absolute;left:7182;top:629;width:146;height:124" type="#_x0000_t202" filled="false" stroked="false">
              <v:textbox inset="0,0,0,0">
                <w:txbxContent>
                  <w:p>
                    <w:pPr>
                      <w:spacing w:line="123" w:lineRule="exact" w:before="0"/>
                      <w:ind w:left="0" w:right="-19" w:firstLine="0"/>
                      <w:jc w:val="left"/>
                      <w:rPr>
                        <w:rFonts w:ascii="Calibri"/>
                        <w:sz w:val="12"/>
                      </w:rPr>
                    </w:pPr>
                    <w:r>
                      <w:rPr>
                        <w:rFonts w:ascii="Calibri"/>
                        <w:w w:val="95"/>
                        <w:sz w:val="12"/>
                      </w:rPr>
                      <w:t>2.6</w:t>
                    </w:r>
                  </w:p>
                </w:txbxContent>
              </v:textbox>
              <w10:wrap type="none"/>
            </v:shape>
            <v:shape style="position:absolute;left:5360;top:738;width:181;height:124" type="#_x0000_t202" filled="false" stroked="false">
              <v:textbox inset="0,0,0,0">
                <w:txbxContent>
                  <w:p>
                    <w:pPr>
                      <w:spacing w:line="123" w:lineRule="exact" w:before="0"/>
                      <w:ind w:left="0" w:right="-19" w:firstLine="0"/>
                      <w:jc w:val="left"/>
                      <w:rPr>
                        <w:rFonts w:ascii="Calibri"/>
                        <w:sz w:val="12"/>
                      </w:rPr>
                    </w:pPr>
                    <w:r>
                      <w:rPr>
                        <w:rFonts w:ascii="Calibri"/>
                        <w:w w:val="95"/>
                        <w:sz w:val="12"/>
                      </w:rPr>
                      <w:t>-6.4</w:t>
                    </w:r>
                  </w:p>
                </w:txbxContent>
              </v:textbox>
              <w10:wrap type="none"/>
            </v:shape>
            <v:shape style="position:absolute;left:4626;top:845;width:146;height:124" type="#_x0000_t202" filled="false" stroked="false">
              <v:textbox inset="0,0,0,0">
                <w:txbxContent>
                  <w:p>
                    <w:pPr>
                      <w:spacing w:line="123" w:lineRule="exact" w:before="0"/>
                      <w:ind w:left="0" w:right="-19" w:firstLine="0"/>
                      <w:jc w:val="left"/>
                      <w:rPr>
                        <w:rFonts w:ascii="Calibri"/>
                        <w:sz w:val="12"/>
                      </w:rPr>
                    </w:pPr>
                    <w:r>
                      <w:rPr>
                        <w:rFonts w:ascii="Calibri"/>
                        <w:w w:val="95"/>
                        <w:sz w:val="12"/>
                      </w:rPr>
                      <w:t>6.2</w:t>
                    </w:r>
                  </w:p>
                </w:txbxContent>
              </v:textbox>
              <w10:wrap type="none"/>
            </v:shape>
            <v:shape style="position:absolute;left:8068;top:745;width:181;height:124" type="#_x0000_t202" filled="false" stroked="false">
              <v:textbox inset="0,0,0,0">
                <w:txbxContent>
                  <w:p>
                    <w:pPr>
                      <w:spacing w:line="123" w:lineRule="exact" w:before="0"/>
                      <w:ind w:left="0" w:right="-19" w:firstLine="0"/>
                      <w:jc w:val="left"/>
                      <w:rPr>
                        <w:rFonts w:ascii="Calibri"/>
                        <w:sz w:val="12"/>
                      </w:rPr>
                    </w:pPr>
                    <w:r>
                      <w:rPr>
                        <w:rFonts w:ascii="Calibri"/>
                        <w:w w:val="95"/>
                        <w:sz w:val="12"/>
                      </w:rPr>
                      <w:t>-4.6</w:t>
                    </w:r>
                  </w:p>
                </w:txbxContent>
              </v:textbox>
              <w10:wrap type="none"/>
            </v:shape>
            <v:shape style="position:absolute;left:6543;top:1035;width:146;height:124" type="#_x0000_t202" filled="false" stroked="false">
              <v:textbox inset="0,0,0,0">
                <w:txbxContent>
                  <w:p>
                    <w:pPr>
                      <w:spacing w:line="123" w:lineRule="exact" w:before="0"/>
                      <w:ind w:left="0" w:right="-19" w:firstLine="0"/>
                      <w:jc w:val="left"/>
                      <w:rPr>
                        <w:rFonts w:ascii="Calibri"/>
                        <w:sz w:val="12"/>
                      </w:rPr>
                    </w:pPr>
                    <w:r>
                      <w:rPr>
                        <w:rFonts w:ascii="Calibri"/>
                        <w:w w:val="95"/>
                        <w:sz w:val="12"/>
                      </w:rPr>
                      <w:t>5.2</w:t>
                    </w:r>
                  </w:p>
                </w:txbxContent>
              </v:textbox>
              <w10:wrap type="none"/>
            </v:shape>
            <v:shape style="position:absolute;left:8595;top:1018;width:181;height:124" type="#_x0000_t202" filled="false" stroked="false">
              <v:textbox inset="0,0,0,0">
                <w:txbxContent>
                  <w:p>
                    <w:pPr>
                      <w:spacing w:line="123" w:lineRule="exact" w:before="0"/>
                      <w:ind w:left="0" w:right="-19" w:firstLine="0"/>
                      <w:jc w:val="left"/>
                      <w:rPr>
                        <w:rFonts w:ascii="Calibri"/>
                        <w:sz w:val="12"/>
                      </w:rPr>
                    </w:pPr>
                    <w:r>
                      <w:rPr>
                        <w:rFonts w:ascii="Calibri"/>
                        <w:w w:val="95"/>
                        <w:sz w:val="12"/>
                      </w:rPr>
                      <w:t>-0.2</w:t>
                    </w:r>
                  </w:p>
                </w:txbxContent>
              </v:textbox>
              <w10:wrap type="none"/>
            </v:shape>
            <v:shape style="position:absolute;left:6009;top:1341;width:146;height:124" type="#_x0000_t202" filled="false" stroked="false">
              <v:textbox inset="0,0,0,0">
                <w:txbxContent>
                  <w:p>
                    <w:pPr>
                      <w:spacing w:line="123" w:lineRule="exact" w:before="0"/>
                      <w:ind w:left="0" w:right="-19" w:firstLine="0"/>
                      <w:jc w:val="left"/>
                      <w:rPr>
                        <w:rFonts w:ascii="Calibri"/>
                        <w:sz w:val="12"/>
                      </w:rPr>
                    </w:pPr>
                    <w:r>
                      <w:rPr>
                        <w:rFonts w:ascii="Calibri"/>
                        <w:w w:val="95"/>
                        <w:sz w:val="12"/>
                      </w:rPr>
                      <w:t>0.8</w:t>
                    </w:r>
                  </w:p>
                </w:txbxContent>
              </v:textbox>
              <w10:wrap type="none"/>
            </v:shape>
            <v:shape style="position:absolute;left:3936;top:1465;width:146;height:124" type="#_x0000_t202" filled="false" stroked="false">
              <v:textbox inset="0,0,0,0">
                <w:txbxContent>
                  <w:p>
                    <w:pPr>
                      <w:spacing w:line="124" w:lineRule="exact" w:before="0"/>
                      <w:ind w:left="0" w:right="-19" w:firstLine="0"/>
                      <w:jc w:val="left"/>
                      <w:rPr>
                        <w:rFonts w:ascii="Calibri"/>
                        <w:sz w:val="12"/>
                      </w:rPr>
                    </w:pPr>
                    <w:r>
                      <w:rPr>
                        <w:rFonts w:ascii="Calibri"/>
                        <w:w w:val="95"/>
                        <w:sz w:val="12"/>
                      </w:rPr>
                      <w:t>6.8</w:t>
                    </w:r>
                  </w:p>
                </w:txbxContent>
              </v:textbox>
              <w10:wrap type="none"/>
            </v:shape>
            <w10:wrap type="none"/>
          </v:group>
        </w:pict>
      </w:r>
      <w:r>
        <w:rPr>
          <w:rFonts w:ascii="Arial"/>
          <w:sz w:val="9"/>
        </w:rPr>
        <w:t>30000000</w:t>
      </w:r>
    </w:p>
    <w:p>
      <w:pPr>
        <w:pStyle w:val="BodyText"/>
        <w:rPr>
          <w:rFonts w:ascii="Arial"/>
          <w:sz w:val="20"/>
        </w:rPr>
      </w:pPr>
    </w:p>
    <w:p>
      <w:pPr>
        <w:pStyle w:val="BodyText"/>
        <w:rPr>
          <w:rFonts w:ascii="Arial"/>
          <w:sz w:val="8"/>
        </w:rPr>
      </w:pPr>
    </w:p>
    <w:p>
      <w:pPr>
        <w:pStyle w:val="BodyText"/>
        <w:spacing w:before="8"/>
        <w:rPr>
          <w:rFonts w:ascii="Arial"/>
          <w:sz w:val="10"/>
        </w:rPr>
      </w:pPr>
    </w:p>
    <w:p>
      <w:pPr>
        <w:spacing w:before="0"/>
        <w:ind w:left="1435" w:right="243" w:firstLine="0"/>
        <w:jc w:val="left"/>
        <w:rPr>
          <w:rFonts w:ascii="Arial"/>
          <w:sz w:val="9"/>
        </w:rPr>
      </w:pPr>
      <w:r>
        <w:rPr>
          <w:rFonts w:ascii="Arial"/>
          <w:sz w:val="9"/>
        </w:rPr>
        <w:t>25000000</w:t>
      </w:r>
    </w:p>
    <w:p>
      <w:pPr>
        <w:pStyle w:val="BodyText"/>
        <w:rPr>
          <w:rFonts w:ascii="Arial"/>
          <w:sz w:val="20"/>
        </w:rPr>
      </w:pPr>
    </w:p>
    <w:p>
      <w:pPr>
        <w:pStyle w:val="BodyText"/>
        <w:rPr>
          <w:rFonts w:ascii="Arial"/>
          <w:sz w:val="8"/>
        </w:rPr>
      </w:pPr>
    </w:p>
    <w:p>
      <w:pPr>
        <w:pStyle w:val="BodyText"/>
        <w:spacing w:before="8"/>
        <w:rPr>
          <w:rFonts w:ascii="Arial"/>
          <w:sz w:val="10"/>
        </w:rPr>
      </w:pPr>
    </w:p>
    <w:p>
      <w:pPr>
        <w:spacing w:before="0"/>
        <w:ind w:left="1435" w:right="243" w:firstLine="0"/>
        <w:jc w:val="left"/>
        <w:rPr>
          <w:rFonts w:ascii="Arial"/>
          <w:sz w:val="9"/>
        </w:rPr>
      </w:pPr>
      <w:r>
        <w:rPr>
          <w:rFonts w:ascii="Arial"/>
          <w:sz w:val="9"/>
        </w:rPr>
        <w:t>20000000</w:t>
      </w:r>
    </w:p>
    <w:p>
      <w:pPr>
        <w:pStyle w:val="BodyText"/>
        <w:rPr>
          <w:rFonts w:ascii="Arial"/>
          <w:sz w:val="20"/>
        </w:rPr>
      </w:pPr>
    </w:p>
    <w:p>
      <w:pPr>
        <w:pStyle w:val="BodyText"/>
        <w:rPr>
          <w:rFonts w:ascii="Arial"/>
          <w:sz w:val="8"/>
        </w:rPr>
      </w:pPr>
    </w:p>
    <w:p>
      <w:pPr>
        <w:pStyle w:val="BodyText"/>
        <w:spacing w:before="8"/>
        <w:rPr>
          <w:rFonts w:ascii="Arial"/>
          <w:sz w:val="10"/>
        </w:rPr>
      </w:pPr>
    </w:p>
    <w:p>
      <w:pPr>
        <w:spacing w:before="0"/>
        <w:ind w:left="1435" w:right="243" w:firstLine="0"/>
        <w:jc w:val="left"/>
        <w:rPr>
          <w:rFonts w:ascii="Arial"/>
          <w:sz w:val="9"/>
        </w:rPr>
      </w:pPr>
      <w:r>
        <w:rPr>
          <w:rFonts w:ascii="Arial"/>
          <w:sz w:val="9"/>
        </w:rPr>
        <w:t>15000000</w:t>
      </w:r>
    </w:p>
    <w:p>
      <w:pPr>
        <w:pStyle w:val="BodyText"/>
        <w:rPr>
          <w:rFonts w:ascii="Arial"/>
          <w:sz w:val="20"/>
        </w:rPr>
      </w:pPr>
    </w:p>
    <w:p>
      <w:pPr>
        <w:pStyle w:val="BodyText"/>
        <w:rPr>
          <w:rFonts w:ascii="Arial"/>
          <w:sz w:val="8"/>
        </w:rPr>
      </w:pPr>
    </w:p>
    <w:p>
      <w:pPr>
        <w:pStyle w:val="BodyText"/>
        <w:spacing w:before="8"/>
        <w:rPr>
          <w:rFonts w:ascii="Arial"/>
          <w:sz w:val="10"/>
        </w:rPr>
      </w:pPr>
    </w:p>
    <w:p>
      <w:pPr>
        <w:spacing w:before="0"/>
        <w:ind w:left="1435" w:right="243" w:firstLine="0"/>
        <w:jc w:val="left"/>
        <w:rPr>
          <w:rFonts w:ascii="Arial"/>
          <w:sz w:val="9"/>
        </w:rPr>
      </w:pPr>
      <w:r>
        <w:rPr>
          <w:rFonts w:ascii="Arial"/>
          <w:sz w:val="9"/>
        </w:rPr>
        <w:t>10000000</w:t>
      </w:r>
    </w:p>
    <w:p>
      <w:pPr>
        <w:pStyle w:val="BodyText"/>
        <w:rPr>
          <w:rFonts w:ascii="Arial"/>
          <w:sz w:val="20"/>
        </w:rPr>
      </w:pPr>
    </w:p>
    <w:p>
      <w:pPr>
        <w:pStyle w:val="BodyText"/>
        <w:rPr>
          <w:rFonts w:ascii="Arial"/>
          <w:sz w:val="8"/>
        </w:rPr>
      </w:pPr>
    </w:p>
    <w:p>
      <w:pPr>
        <w:pStyle w:val="BodyText"/>
        <w:spacing w:before="8"/>
        <w:rPr>
          <w:rFonts w:ascii="Arial"/>
          <w:sz w:val="10"/>
        </w:rPr>
      </w:pPr>
    </w:p>
    <w:p>
      <w:pPr>
        <w:spacing w:before="0"/>
        <w:ind w:left="1483" w:right="243" w:firstLine="0"/>
        <w:jc w:val="left"/>
        <w:rPr>
          <w:rFonts w:ascii="Arial"/>
          <w:sz w:val="9"/>
        </w:rPr>
      </w:pPr>
      <w:r>
        <w:rPr>
          <w:rFonts w:ascii="Arial"/>
          <w:sz w:val="9"/>
        </w:rPr>
        <w:t>5000000</w:t>
      </w:r>
    </w:p>
    <w:p>
      <w:pPr>
        <w:pStyle w:val="BodyText"/>
        <w:rPr>
          <w:rFonts w:ascii="Arial"/>
          <w:sz w:val="20"/>
        </w:rPr>
      </w:pPr>
    </w:p>
    <w:p>
      <w:pPr>
        <w:pStyle w:val="BodyText"/>
        <w:rPr>
          <w:rFonts w:ascii="Arial"/>
          <w:sz w:val="8"/>
        </w:rPr>
      </w:pPr>
    </w:p>
    <w:p>
      <w:pPr>
        <w:pStyle w:val="BodyText"/>
        <w:spacing w:before="8"/>
        <w:rPr>
          <w:rFonts w:ascii="Arial"/>
          <w:sz w:val="10"/>
        </w:rPr>
      </w:pPr>
    </w:p>
    <w:p>
      <w:pPr>
        <w:spacing w:before="0"/>
        <w:ind w:left="1768" w:right="0" w:firstLine="0"/>
        <w:jc w:val="left"/>
        <w:rPr>
          <w:rFonts w:ascii="Arial"/>
          <w:sz w:val="9"/>
        </w:rPr>
      </w:pPr>
      <w:r>
        <w:rPr>
          <w:rFonts w:ascii="Arial"/>
          <w:w w:val="95"/>
          <w:sz w:val="9"/>
        </w:rPr>
        <w:t>0</w:t>
      </w:r>
    </w:p>
    <w:p>
      <w:pPr>
        <w:tabs>
          <w:tab w:pos="2779" w:val="left" w:leader="none"/>
          <w:tab w:pos="3435" w:val="left" w:leader="none"/>
          <w:tab w:pos="4092" w:val="left" w:leader="none"/>
          <w:tab w:pos="4748" w:val="left" w:leader="none"/>
          <w:tab w:pos="5405" w:val="left" w:leader="none"/>
          <w:tab w:pos="6061" w:val="left" w:leader="none"/>
          <w:tab w:pos="6718" w:val="left" w:leader="none"/>
          <w:tab w:pos="7374" w:val="left" w:leader="none"/>
        </w:tabs>
        <w:spacing w:before="6"/>
        <w:ind w:left="2122" w:right="243" w:firstLine="0"/>
        <w:jc w:val="left"/>
        <w:rPr>
          <w:rFonts w:ascii="Arial"/>
          <w:sz w:val="9"/>
        </w:rPr>
      </w:pPr>
      <w:r>
        <w:rPr>
          <w:rFonts w:ascii="Arial"/>
          <w:sz w:val="9"/>
        </w:rPr>
        <w:t>1970</w:t>
        <w:tab/>
        <w:t>1975</w:t>
        <w:tab/>
        <w:t>1980</w:t>
        <w:tab/>
        <w:t>1985</w:t>
        <w:tab/>
        <w:t>1988</w:t>
        <w:tab/>
        <w:t>1993</w:t>
        <w:tab/>
        <w:t>1998</w:t>
        <w:tab/>
        <w:t>2003</w:t>
        <w:tab/>
        <w:t>2008</w:t>
      </w:r>
    </w:p>
    <w:p>
      <w:pPr>
        <w:spacing w:before="10"/>
        <w:ind w:left="1702" w:right="243" w:firstLine="0"/>
        <w:jc w:val="left"/>
        <w:rPr>
          <w:rFonts w:ascii="Calibri" w:hAnsi="Calibri"/>
          <w:sz w:val="12"/>
        </w:rPr>
      </w:pPr>
      <w:r>
        <w:rPr>
          <w:rFonts w:ascii="Calibri" w:hAnsi="Calibri"/>
          <w:w w:val="95"/>
          <w:sz w:val="9"/>
        </w:rPr>
        <w:t>Fuente: INEGI Censos industriales, varios años</w:t>
      </w:r>
      <w:r>
        <w:rPr>
          <w:rFonts w:ascii="Calibri" w:hAnsi="Calibri"/>
          <w:w w:val="95"/>
          <w:sz w:val="12"/>
        </w:rPr>
        <w:t>.</w:t>
      </w:r>
    </w:p>
    <w:p>
      <w:pPr>
        <w:pStyle w:val="BodyText"/>
        <w:rPr>
          <w:rFonts w:ascii="Calibri"/>
          <w:sz w:val="20"/>
        </w:rPr>
      </w:pPr>
    </w:p>
    <w:p>
      <w:pPr>
        <w:pStyle w:val="BodyText"/>
        <w:spacing w:before="3"/>
        <w:rPr>
          <w:rFonts w:ascii="Calibri"/>
          <w:sz w:val="16"/>
        </w:rPr>
      </w:pPr>
    </w:p>
    <w:p>
      <w:pPr>
        <w:pStyle w:val="BodyText"/>
        <w:spacing w:line="352" w:lineRule="auto" w:before="69"/>
        <w:ind w:left="122" w:right="122" w:firstLine="707"/>
        <w:jc w:val="both"/>
      </w:pPr>
      <w:r>
        <w:rPr/>
        <w:t>Como se aprecia en la gráfica 3.2 y 3.3, en 1985 se da una abrupta caída de la producción con tasas de crecimiento negativas para ambas regiones, siendo la más perjudicada la región Valle de México (-6.4). Esta caída fue consecuencia de la crisis de la deuda iniciada en agosto de 1982, la cual generó un crecimiento muy bajo en la economía nacional entre 1982 y 1987</w:t>
      </w:r>
      <w:r>
        <w:rPr>
          <w:position w:val="11"/>
          <w:sz w:val="16"/>
        </w:rPr>
        <w:t>55</w:t>
      </w:r>
      <w:r>
        <w:rPr/>
        <w:t>.</w:t>
      </w:r>
    </w:p>
    <w:p>
      <w:pPr>
        <w:pStyle w:val="BodyText"/>
        <w:spacing w:line="360" w:lineRule="auto"/>
        <w:ind w:left="122" w:right="117" w:firstLine="707"/>
        <w:jc w:val="both"/>
      </w:pPr>
      <w:r>
        <w:rPr/>
        <w:t>Para el Estado de México entre 1981-1987 se planteó en el terreno de la política industrial ampliar la planta productiva y desconcentrar los municipios pertenecientes al área metropolitana de la Ciudad de México. La política industrial en esta nueva etapa tuvo como propósito fomentar las industrias cuya producción estuviera destinada a los mercados externos, además de promover la incorporación de tecnología de punta a los procesos productivos e impulsar la generación de empleos. Se buscó aumentar el número de empresas ubicadas en la entidad a través de la promoción de los parques industriales (Rodríguez,</w:t>
      </w:r>
      <w:r>
        <w:rPr>
          <w:spacing w:val="-2"/>
        </w:rPr>
        <w:t> </w:t>
      </w:r>
      <w:r>
        <w:rPr/>
        <w:t>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2272;mso-wrap-distance-left:0;mso-wrap-distance-right:0" from="85.103996pt,10.681602pt" to="229.123996pt,10.681602pt" stroked="true" strokeweight=".72003pt" strokecolor="#000000">
            <w10:wrap type="topAndBottom"/>
          </v:line>
        </w:pict>
      </w:r>
    </w:p>
    <w:p>
      <w:pPr>
        <w:spacing w:before="42"/>
        <w:ind w:left="122" w:right="243" w:firstLine="0"/>
        <w:jc w:val="left"/>
        <w:rPr>
          <w:sz w:val="20"/>
        </w:rPr>
      </w:pPr>
      <w:r>
        <w:rPr>
          <w:position w:val="9"/>
          <w:sz w:val="13"/>
        </w:rPr>
        <w:t>55 </w:t>
      </w:r>
      <w:r>
        <w:rPr>
          <w:sz w:val="20"/>
        </w:rPr>
        <w:t>Más específicamente, la economía nacional experimentó dos recesiones entre 1982-1983 y durante 1986- 1987 (Mejía </w:t>
      </w:r>
      <w:r>
        <w:rPr>
          <w:i/>
          <w:sz w:val="20"/>
        </w:rPr>
        <w:t>et al</w:t>
      </w:r>
      <w:r>
        <w:rPr>
          <w:sz w:val="20"/>
        </w:rPr>
        <w:t>., 2006).</w:t>
      </w:r>
    </w:p>
    <w:p>
      <w:pPr>
        <w:spacing w:after="0"/>
        <w:jc w:val="left"/>
        <w:rPr>
          <w:sz w:val="20"/>
        </w:rPr>
        <w:sectPr>
          <w:footerReference w:type="default" r:id="rId32"/>
          <w:pgSz w:w="12240" w:h="15840"/>
          <w:pgMar w:footer="1003" w:header="0" w:top="1500" w:bottom="1200" w:left="1580" w:right="1580"/>
        </w:sectPr>
      </w:pPr>
    </w:p>
    <w:p>
      <w:pPr>
        <w:pStyle w:val="BodyText"/>
        <w:spacing w:before="2"/>
        <w:rPr>
          <w:sz w:val="10"/>
        </w:rPr>
      </w:pPr>
    </w:p>
    <w:p>
      <w:pPr>
        <w:spacing w:after="0"/>
        <w:rPr>
          <w:sz w:val="10"/>
        </w:rPr>
        <w:sectPr>
          <w:footerReference w:type="default" r:id="rId33"/>
          <w:pgSz w:w="12240" w:h="15840"/>
          <w:pgMar w:footer="1003" w:header="0" w:top="1500" w:bottom="1200" w:left="1600" w:right="1580"/>
          <w:pgNumType w:start="91"/>
        </w:sectPr>
      </w:pPr>
    </w:p>
    <w:p>
      <w:pPr>
        <w:pStyle w:val="BodyText"/>
        <w:rPr>
          <w:sz w:val="10"/>
        </w:rPr>
      </w:pPr>
    </w:p>
    <w:p>
      <w:pPr>
        <w:pStyle w:val="BodyText"/>
        <w:rPr>
          <w:sz w:val="10"/>
        </w:rPr>
      </w:pPr>
    </w:p>
    <w:p>
      <w:pPr>
        <w:pStyle w:val="BodyText"/>
        <w:rPr>
          <w:sz w:val="10"/>
        </w:rPr>
      </w:pPr>
    </w:p>
    <w:p>
      <w:pPr>
        <w:pStyle w:val="BodyText"/>
        <w:rPr>
          <w:sz w:val="10"/>
        </w:rPr>
      </w:pPr>
    </w:p>
    <w:p>
      <w:pPr>
        <w:pStyle w:val="BodyText"/>
        <w:rPr>
          <w:sz w:val="10"/>
        </w:rPr>
      </w:pPr>
    </w:p>
    <w:p>
      <w:pPr>
        <w:pStyle w:val="BodyText"/>
        <w:rPr>
          <w:sz w:val="10"/>
        </w:rPr>
      </w:pPr>
    </w:p>
    <w:p>
      <w:pPr>
        <w:pStyle w:val="BodyText"/>
        <w:rPr>
          <w:sz w:val="10"/>
        </w:rPr>
      </w:pPr>
    </w:p>
    <w:p>
      <w:pPr>
        <w:pStyle w:val="BodyText"/>
        <w:rPr>
          <w:sz w:val="10"/>
        </w:rPr>
      </w:pPr>
    </w:p>
    <w:p>
      <w:pPr>
        <w:spacing w:before="89"/>
        <w:ind w:left="0" w:right="0" w:firstLine="0"/>
        <w:jc w:val="right"/>
        <w:rPr>
          <w:rFonts w:ascii="Arial"/>
          <w:sz w:val="10"/>
        </w:rPr>
      </w:pPr>
      <w:r>
        <w:rPr>
          <w:rFonts w:ascii="Arial"/>
          <w:sz w:val="10"/>
        </w:rPr>
        <w:t>16000000</w:t>
      </w:r>
    </w:p>
    <w:p>
      <w:pPr>
        <w:spacing w:line="172" w:lineRule="exact" w:before="81"/>
        <w:ind w:left="1206" w:right="2949" w:firstLine="0"/>
        <w:jc w:val="center"/>
        <w:rPr>
          <w:rFonts w:ascii="Arial" w:hAnsi="Arial"/>
          <w:b/>
          <w:sz w:val="15"/>
        </w:rPr>
      </w:pPr>
      <w:r>
        <w:rPr/>
        <w:br w:type="column"/>
      </w:r>
      <w:r>
        <w:rPr>
          <w:rFonts w:ascii="Arial" w:hAnsi="Arial"/>
          <w:b/>
          <w:sz w:val="15"/>
        </w:rPr>
        <w:t>Gráfica 3.3</w:t>
      </w:r>
    </w:p>
    <w:p>
      <w:pPr>
        <w:spacing w:before="0"/>
        <w:ind w:left="1206" w:right="2949" w:firstLine="0"/>
        <w:jc w:val="center"/>
        <w:rPr>
          <w:rFonts w:ascii="Arial"/>
          <w:b/>
          <w:sz w:val="15"/>
        </w:rPr>
      </w:pPr>
      <w:r>
        <w:rPr>
          <w:rFonts w:ascii="Arial"/>
          <w:b/>
          <w:sz w:val="15"/>
        </w:rPr>
        <w:t>Valor AGregado Censal Bruto</w:t>
      </w:r>
      <w:r>
        <w:rPr>
          <w:rFonts w:ascii="Arial"/>
          <w:b/>
          <w:w w:val="97"/>
          <w:sz w:val="15"/>
        </w:rPr>
        <w:t> </w:t>
      </w:r>
      <w:r>
        <w:rPr>
          <w:rFonts w:ascii="Arial"/>
          <w:b/>
          <w:sz w:val="15"/>
        </w:rPr>
        <w:t>Toluca-Lerma</w:t>
      </w:r>
    </w:p>
    <w:p>
      <w:pPr>
        <w:spacing w:before="0"/>
        <w:ind w:left="1435" w:right="3178" w:firstLine="0"/>
        <w:jc w:val="center"/>
        <w:rPr>
          <w:rFonts w:ascii="Arial"/>
          <w:b/>
          <w:sz w:val="15"/>
        </w:rPr>
      </w:pPr>
      <w:r>
        <w:rPr>
          <w:rFonts w:ascii="Arial"/>
          <w:b/>
          <w:w w:val="95"/>
          <w:sz w:val="15"/>
        </w:rPr>
        <w:t>Industria manufacturera </w:t>
      </w:r>
      <w:r>
        <w:rPr>
          <w:rFonts w:ascii="Arial"/>
          <w:b/>
          <w:sz w:val="15"/>
        </w:rPr>
        <w:t>Miles de pesos de 1993</w:t>
      </w:r>
    </w:p>
    <w:p>
      <w:pPr>
        <w:spacing w:after="0"/>
        <w:jc w:val="center"/>
        <w:rPr>
          <w:rFonts w:ascii="Arial"/>
          <w:sz w:val="15"/>
        </w:rPr>
        <w:sectPr>
          <w:type w:val="continuous"/>
          <w:pgSz w:w="12240" w:h="15840"/>
          <w:pgMar w:top="500" w:bottom="1200" w:left="1600" w:right="1580"/>
          <w:cols w:num="2" w:equalWidth="0">
            <w:col w:w="1689" w:space="1088"/>
            <w:col w:w="6283"/>
          </w:cols>
        </w:sectPr>
      </w:pPr>
    </w:p>
    <w:p>
      <w:pPr>
        <w:pStyle w:val="BodyText"/>
        <w:spacing w:before="1"/>
        <w:rPr>
          <w:rFonts w:ascii="Arial"/>
          <w:b/>
          <w:sz w:val="26"/>
        </w:rPr>
      </w:pPr>
    </w:p>
    <w:p>
      <w:pPr>
        <w:pStyle w:val="BodyText"/>
        <w:spacing w:before="10"/>
        <w:rPr>
          <w:rFonts w:ascii="Arial"/>
          <w:b/>
          <w:sz w:val="7"/>
        </w:rPr>
      </w:pPr>
    </w:p>
    <w:p>
      <w:pPr>
        <w:spacing w:before="0"/>
        <w:ind w:left="1242" w:right="121" w:firstLine="0"/>
        <w:jc w:val="left"/>
        <w:rPr>
          <w:rFonts w:ascii="Arial"/>
          <w:sz w:val="10"/>
        </w:rPr>
      </w:pPr>
      <w:r>
        <w:rPr/>
        <w:pict>
          <v:group style="position:absolute;margin-left:167.09465pt;margin-top:-22.497398pt;width:308.45pt;height:204.25pt;mso-position-horizontal-relative:page;mso-position-vertical-relative:paragraph;z-index:2704" coordorigin="3342,-450" coordsize="6169,4085">
            <v:shape style="position:absolute;left:1589;top:5570;width:10104;height:5672" coordorigin="1589,5570" coordsize="10104,5672" path="m3374,3094l9504,3094m3374,2589l9504,2589m3374,2083l9504,2083m3374,1577l9504,1577m3374,1073l9504,1073m3374,567l9504,567m3374,61l9504,61m3374,-444l9504,-444e" filled="false" stroked="true" strokeweight=".147668pt" strokecolor="#000000">
              <v:path arrowok="t"/>
            </v:shape>
            <v:rect style="position:absolute;left:3374;top:-444;width:6130;height:4044" filled="false" stroked="true" strokeweight=".593904pt" strokecolor="#808080"/>
            <v:shape style="position:absolute;left:1538;top:5570;width:10155;height:6533" coordorigin="1538,5570" coordsize="10155,6533" path="m3374,3600l3374,-444m3343,3600l3374,3600m3343,3094l3374,3094m3343,2589l3374,2589m3343,2083l3374,2083m3343,1577l3374,1577m3343,1073l3374,1073m3343,567l3374,567m3343,61l3374,61m3343,-444l3374,-444m3374,3600l9504,3600m3374,3600l3374,3631m4055,3600l4055,3631m4737,3600l4737,3631m5417,3600l5417,3631m6098,3600l6098,3631m6780,3600l6780,3631m7461,3600l7461,3631m8143,3600l8143,3631m8823,3600l8823,3631m9504,3600l9504,3631e" filled="false" stroked="true" strokeweight=".147668pt" strokecolor="#000000">
              <v:path arrowok="t"/>
            </v:shape>
            <v:shape style="position:absolute;left:3715;top:3600;width:5449;height:2" coordorigin="3715,3600" coordsize="5449,0" path="m3715,3600l3715,3600,8482,3600,9164,3600e" filled="false" stroked="true" strokeweight=".598883pt" strokecolor="#000080">
              <v:path arrowok="t"/>
            </v:shape>
            <v:shape style="position:absolute;left:3683;top:3567;width:62;height:63" coordorigin="3683,3567" coordsize="62,63" path="m3713,3567l3683,3598,3713,3630,3744,3598,3713,3567xe" filled="true" fillcolor="#000080" stroked="false">
              <v:path arrowok="t"/>
              <v:fill type="solid"/>
            </v:shape>
            <v:shape style="position:absolute;left:3683;top:3567;width:62;height:63" coordorigin="3683,3567" coordsize="62,63" path="m3713,3567l3744,3598,3713,3630,3683,3598,3713,3567xe" filled="false" stroked="true" strokeweight=".442833pt" strokecolor="#000080">
              <v:path arrowok="t"/>
            </v:shape>
            <v:shape style="position:absolute;left:4364;top:3567;width:62;height:63" coordorigin="4364,3567" coordsize="62,63" path="m4394,3567l4364,3598,4394,3630,4425,3598,4394,3567xe" filled="true" fillcolor="#000080" stroked="false">
              <v:path arrowok="t"/>
              <v:fill type="solid"/>
            </v:shape>
            <v:shape style="position:absolute;left:4364;top:3567;width:62;height:63" coordorigin="4364,3567" coordsize="62,63" path="m4394,3567l4425,3598,4394,3630,4364,3598,4394,3567xe" filled="false" stroked="true" strokeweight=".442833pt" strokecolor="#000080">
              <v:path arrowok="t"/>
            </v:shape>
            <v:shape style="position:absolute;left:5046;top:3567;width:62;height:63" coordorigin="5046,3567" coordsize="62,63" path="m5076,3567l5046,3598,5076,3630,5107,3598,5076,3567xe" filled="true" fillcolor="#000080" stroked="false">
              <v:path arrowok="t"/>
              <v:fill type="solid"/>
            </v:shape>
            <v:shape style="position:absolute;left:5046;top:3567;width:62;height:63" coordorigin="5046,3567" coordsize="62,63" path="m5076,3567l5107,3598,5076,3630,5046,3598,5076,3567xe" filled="false" stroked="true" strokeweight=".442833pt" strokecolor="#000080">
              <v:path arrowok="t"/>
            </v:shape>
            <v:shape style="position:absolute;left:5727;top:3567;width:62;height:63" coordorigin="5727,3567" coordsize="62,63" path="m5757,3567l5727,3598,5757,3630,5788,3598,5757,3567xe" filled="true" fillcolor="#000080" stroked="false">
              <v:path arrowok="t"/>
              <v:fill type="solid"/>
            </v:shape>
            <v:shape style="position:absolute;left:5727;top:3567;width:62;height:63" coordorigin="5727,3567" coordsize="62,63" path="m5757,3567l5788,3598,5757,3630,5727,3598,5757,3567xe" filled="false" stroked="true" strokeweight=".442833pt" strokecolor="#000080">
              <v:path arrowok="t"/>
            </v:shape>
            <v:shape style="position:absolute;left:6409;top:3567;width:62;height:63" coordorigin="6409,3567" coordsize="62,63" path="m6439,3567l6409,3598,6439,3630,6470,3598,6439,3567xe" filled="true" fillcolor="#000080" stroked="false">
              <v:path arrowok="t"/>
              <v:fill type="solid"/>
            </v:shape>
            <v:shape style="position:absolute;left:6409;top:3567;width:62;height:63" coordorigin="6409,3567" coordsize="62,63" path="m6439,3567l6470,3598,6439,3630,6409,3598,6439,3567xe" filled="false" stroked="true" strokeweight=".442833pt" strokecolor="#000080">
              <v:path arrowok="t"/>
            </v:shape>
            <v:shape style="position:absolute;left:7089;top:3567;width:62;height:63" coordorigin="7089,3567" coordsize="62,63" path="m7119,3567l7089,3598,7119,3630,7150,3598,7119,3567xe" filled="true" fillcolor="#000080" stroked="false">
              <v:path arrowok="t"/>
              <v:fill type="solid"/>
            </v:shape>
            <v:shape style="position:absolute;left:7089;top:3567;width:62;height:63" coordorigin="7089,3567" coordsize="62,63" path="m7119,3567l7150,3598,7119,3630,7089,3598,7119,3567xe" filled="false" stroked="true" strokeweight=".442833pt" strokecolor="#000080">
              <v:path arrowok="t"/>
            </v:shape>
            <v:shape style="position:absolute;left:7770;top:3567;width:62;height:63" coordorigin="7770,3567" coordsize="62,63" path="m7800,3567l7770,3598,7800,3630,7831,3598,7800,3567xe" filled="true" fillcolor="#000080" stroked="false">
              <v:path arrowok="t"/>
              <v:fill type="solid"/>
            </v:shape>
            <v:shape style="position:absolute;left:7770;top:3567;width:62;height:63" coordorigin="7770,3567" coordsize="62,63" path="m7800,3567l7831,3598,7800,3630,7770,3598,7800,3567xe" filled="false" stroked="true" strokeweight=".442833pt" strokecolor="#000080">
              <v:path arrowok="t"/>
            </v:shape>
            <v:shape style="position:absolute;left:8452;top:3567;width:62;height:63" coordorigin="8452,3567" coordsize="62,63" path="m8482,3567l8452,3598,8482,3630,8513,3598,8482,3567xe" filled="true" fillcolor="#000080" stroked="false">
              <v:path arrowok="t"/>
              <v:fill type="solid"/>
            </v:shape>
            <v:shape style="position:absolute;left:8452;top:3567;width:62;height:63" coordorigin="8452,3567" coordsize="62,63" path="m8482,3567l8513,3598,8482,3630,8452,3598,8482,3567xe" filled="false" stroked="true" strokeweight=".442833pt" strokecolor="#000080">
              <v:path arrowok="t"/>
            </v:shape>
            <v:shape style="position:absolute;left:9133;top:3567;width:62;height:63" coordorigin="9133,3567" coordsize="62,63" path="m9163,3567l9133,3598,9163,3630,9194,3598,9163,3567xe" filled="true" fillcolor="#000080" stroked="false">
              <v:path arrowok="t"/>
              <v:fill type="solid"/>
            </v:shape>
            <v:shape style="position:absolute;left:9133;top:3567;width:62;height:63" coordorigin="9133,3567" coordsize="62,63" path="m9163,3567l9194,3598,9163,3630,9133,3598,9163,3567xe" filled="false" stroked="true" strokeweight=".442833pt" strokecolor="#000080">
              <v:path arrowok="t"/>
            </v:shape>
            <v:shape style="position:absolute;left:3715;top:203;width:5449;height:2913" coordorigin="3715,203" coordsize="5449,2913" path="m3715,3115l4396,2944,5076,2691,5758,2774,6439,2658,7121,1866,7802,1502,8482,1438,9164,203e" filled="false" stroked="true" strokeweight="1.339278pt" strokecolor="#bd4a47">
              <v:path arrowok="t"/>
            </v:shape>
            <v:line style="position:absolute" from="3671,3115" to="3755,3115" stroked="true" strokeweight="4.341902pt" strokecolor="#c0504d"/>
            <v:rect style="position:absolute;left:3671;top:3071;width:84;height:87" filled="false" stroked="true" strokeweight=".442833pt" strokecolor="#bd4a47"/>
            <v:line style="position:absolute" from="4353,2943" to="4437,2943" stroked="true" strokeweight="4.341902pt" strokecolor="#c0504d"/>
            <v:rect style="position:absolute;left:4353;top:2899;width:84;height:87" filled="false" stroked="true" strokeweight=".442833pt" strokecolor="#bd4a47"/>
            <v:line style="position:absolute" from="5034,2690" to="5118,2690" stroked="true" strokeweight="4.341902pt" strokecolor="#c0504d"/>
            <v:rect style="position:absolute;left:5034;top:2646;width:84;height:87" filled="false" stroked="true" strokeweight=".442833pt" strokecolor="#bd4a47"/>
            <v:line style="position:absolute" from="5715,2774" to="5800,2774" stroked="true" strokeweight="4.341902pt" strokecolor="#c0504d"/>
            <v:rect style="position:absolute;left:5715;top:2730;width:84;height:87" filled="false" stroked="true" strokeweight=".442833pt" strokecolor="#bd4a47"/>
            <v:line style="position:absolute" from="6397,2657" to="6481,2657" stroked="true" strokeweight="4.341902pt" strokecolor="#c0504d"/>
            <v:rect style="position:absolute;left:6397;top:2613;width:84;height:87" filled="false" stroked="true" strokeweight=".442833pt" strokecolor="#bd4a47"/>
            <v:line style="position:absolute" from="7077,1865" to="7161,1865" stroked="true" strokeweight="4.341902pt" strokecolor="#c0504d"/>
            <v:rect style="position:absolute;left:7077;top:1821;width:84;height:87" filled="false" stroked="true" strokeweight=".442833pt" strokecolor="#bd4a47"/>
            <v:line style="position:absolute" from="7758,1502" to="7843,1502" stroked="true" strokeweight="4.341902pt" strokecolor="#c0504d"/>
            <v:rect style="position:absolute;left:7758;top:1459;width:84;height:87" filled="false" stroked="true" strokeweight=".442833pt" strokecolor="#bd4a47"/>
            <v:line style="position:absolute" from="8440,1438" to="8524,1438" stroked="true" strokeweight="4.341902pt" strokecolor="#c0504d"/>
            <v:rect style="position:absolute;left:8440;top:1395;width:84;height:87" filled="false" stroked="true" strokeweight=".442833pt" strokecolor="#bd4a47"/>
            <v:line style="position:absolute" from="9121,201" to="9206,201" stroked="true" strokeweight="4.341902pt" strokecolor="#c0504d"/>
            <v:rect style="position:absolute;left:9121;top:158;width:84;height:87" filled="false" stroked="true" strokeweight=".442833pt" strokecolor="#bd4a47"/>
            <v:shape style="position:absolute;left:8503;top:655;width:170;height:138" type="#_x0000_t202" filled="false" stroked="false">
              <v:textbox inset="0,0,0,0">
                <w:txbxContent>
                  <w:p>
                    <w:pPr>
                      <w:spacing w:line="138" w:lineRule="exact" w:before="0"/>
                      <w:ind w:left="0" w:right="-15" w:firstLine="0"/>
                      <w:jc w:val="left"/>
                      <w:rPr>
                        <w:rFonts w:ascii="Calibri"/>
                        <w:sz w:val="13"/>
                      </w:rPr>
                    </w:pPr>
                    <w:r>
                      <w:rPr>
                        <w:rFonts w:ascii="Calibri"/>
                        <w:sz w:val="13"/>
                      </w:rPr>
                      <w:t>9.5</w:t>
                    </w:r>
                  </w:p>
                </w:txbxContent>
              </v:textbox>
              <w10:wrap type="none"/>
            </v:shape>
            <v:shape style="position:absolute;left:8104;top:1229;width:170;height:138" type="#_x0000_t202" filled="false" stroked="false">
              <v:textbox inset="0,0,0,0">
                <w:txbxContent>
                  <w:p>
                    <w:pPr>
                      <w:spacing w:line="138" w:lineRule="exact" w:before="0"/>
                      <w:ind w:left="0" w:right="-15" w:firstLine="0"/>
                      <w:jc w:val="left"/>
                      <w:rPr>
                        <w:rFonts w:ascii="Calibri"/>
                        <w:sz w:val="13"/>
                      </w:rPr>
                    </w:pPr>
                    <w:r>
                      <w:rPr>
                        <w:rFonts w:ascii="Calibri"/>
                        <w:sz w:val="13"/>
                      </w:rPr>
                      <w:t>0.6</w:t>
                    </w:r>
                  </w:p>
                </w:txbxContent>
              </v:textbox>
              <w10:wrap type="none"/>
            </v:shape>
            <v:shape style="position:absolute;left:7116;top:1555;width:170;height:138" type="#_x0000_t202" filled="false" stroked="false">
              <v:textbox inset="0,0,0,0">
                <w:txbxContent>
                  <w:p>
                    <w:pPr>
                      <w:spacing w:line="138" w:lineRule="exact" w:before="0"/>
                      <w:ind w:left="0" w:right="-15" w:firstLine="0"/>
                      <w:jc w:val="left"/>
                      <w:rPr>
                        <w:rFonts w:ascii="Calibri"/>
                        <w:sz w:val="13"/>
                      </w:rPr>
                    </w:pPr>
                    <w:r>
                      <w:rPr>
                        <w:rFonts w:ascii="Calibri"/>
                        <w:sz w:val="13"/>
                      </w:rPr>
                      <w:t>3.9</w:t>
                    </w:r>
                  </w:p>
                </w:txbxContent>
              </v:textbox>
              <w10:wrap type="none"/>
            </v:shape>
            <v:shape style="position:absolute;left:6443;top:2177;width:239;height:138" type="#_x0000_t202" filled="false" stroked="false">
              <v:textbox inset="0,0,0,0">
                <w:txbxContent>
                  <w:p>
                    <w:pPr>
                      <w:spacing w:line="138" w:lineRule="exact" w:before="0"/>
                      <w:ind w:left="0" w:right="-12" w:firstLine="0"/>
                      <w:jc w:val="left"/>
                      <w:rPr>
                        <w:rFonts w:ascii="Calibri"/>
                        <w:sz w:val="13"/>
                      </w:rPr>
                    </w:pPr>
                    <w:r>
                      <w:rPr>
                        <w:rFonts w:ascii="Calibri"/>
                        <w:sz w:val="13"/>
                      </w:rPr>
                      <w:t>13.0</w:t>
                    </w:r>
                  </w:p>
                </w:txbxContent>
              </v:textbox>
              <w10:wrap type="none"/>
            </v:shape>
            <v:shape style="position:absolute;left:4564;top:2595;width:170;height:138" type="#_x0000_t202" filled="false" stroked="false">
              <v:textbox inset="0,0,0,0">
                <w:txbxContent>
                  <w:p>
                    <w:pPr>
                      <w:spacing w:line="138" w:lineRule="exact" w:before="0"/>
                      <w:ind w:left="0" w:right="-15" w:firstLine="0"/>
                      <w:jc w:val="left"/>
                      <w:rPr>
                        <w:rFonts w:ascii="Calibri"/>
                        <w:sz w:val="13"/>
                      </w:rPr>
                    </w:pPr>
                    <w:r>
                      <w:rPr>
                        <w:rFonts w:ascii="Calibri"/>
                        <w:sz w:val="13"/>
                      </w:rPr>
                      <w:t>6.7</w:t>
                    </w:r>
                  </w:p>
                </w:txbxContent>
              </v:textbox>
              <w10:wrap type="none"/>
            </v:shape>
            <v:shape style="position:absolute;left:5311;top:2525;width:211;height:138" type="#_x0000_t202" filled="false" stroked="false">
              <v:textbox inset="0,0,0,0">
                <w:txbxContent>
                  <w:p>
                    <w:pPr>
                      <w:spacing w:line="138" w:lineRule="exact" w:before="0"/>
                      <w:ind w:left="0" w:right="-14" w:firstLine="0"/>
                      <w:jc w:val="left"/>
                      <w:rPr>
                        <w:rFonts w:ascii="Calibri"/>
                        <w:sz w:val="13"/>
                      </w:rPr>
                    </w:pPr>
                    <w:r>
                      <w:rPr>
                        <w:rFonts w:ascii="Calibri"/>
                        <w:sz w:val="13"/>
                      </w:rPr>
                      <w:t>-1.9</w:t>
                    </w:r>
                  </w:p>
                </w:txbxContent>
              </v:textbox>
              <w10:wrap type="none"/>
            </v:shape>
            <v:shape style="position:absolute;left:5951;top:2535;width:170;height:138" type="#_x0000_t202" filled="false" stroked="false">
              <v:textbox inset="0,0,0,0">
                <w:txbxContent>
                  <w:p>
                    <w:pPr>
                      <w:spacing w:line="138" w:lineRule="exact" w:before="0"/>
                      <w:ind w:left="0" w:right="-15" w:firstLine="0"/>
                      <w:jc w:val="left"/>
                      <w:rPr>
                        <w:rFonts w:ascii="Calibri"/>
                        <w:sz w:val="13"/>
                      </w:rPr>
                    </w:pPr>
                    <w:r>
                      <w:rPr>
                        <w:rFonts w:ascii="Calibri"/>
                        <w:sz w:val="13"/>
                      </w:rPr>
                      <w:t>4.5</w:t>
                    </w:r>
                  </w:p>
                </w:txbxContent>
              </v:textbox>
              <w10:wrap type="none"/>
            </v:shape>
            <v:shape style="position:absolute;left:3945;top:2773;width:170;height:138" type="#_x0000_t202" filled="false" stroked="false">
              <v:textbox inset="0,0,0,0">
                <w:txbxContent>
                  <w:p>
                    <w:pPr>
                      <w:spacing w:line="138" w:lineRule="exact" w:before="0"/>
                      <w:ind w:left="0" w:right="-15" w:firstLine="0"/>
                      <w:jc w:val="left"/>
                      <w:rPr>
                        <w:rFonts w:ascii="Calibri"/>
                        <w:sz w:val="13"/>
                      </w:rPr>
                    </w:pPr>
                    <w:r>
                      <w:rPr>
                        <w:rFonts w:ascii="Calibri"/>
                        <w:sz w:val="13"/>
                      </w:rPr>
                      <w:t>6.3</w:t>
                    </w:r>
                  </w:p>
                </w:txbxContent>
              </v:textbox>
              <w10:wrap type="none"/>
            </v:shape>
            <w10:wrap type="none"/>
          </v:group>
        </w:pict>
      </w:r>
      <w:r>
        <w:rPr>
          <w:rFonts w:ascii="Arial"/>
          <w:sz w:val="10"/>
        </w:rPr>
        <w:t>14000000</w:t>
      </w:r>
    </w:p>
    <w:p>
      <w:pPr>
        <w:pStyle w:val="BodyText"/>
        <w:spacing w:before="1"/>
        <w:rPr>
          <w:rFonts w:ascii="Arial"/>
          <w:sz w:val="26"/>
        </w:rPr>
      </w:pPr>
    </w:p>
    <w:p>
      <w:pPr>
        <w:pStyle w:val="BodyText"/>
        <w:spacing w:before="10"/>
        <w:rPr>
          <w:rFonts w:ascii="Arial"/>
          <w:sz w:val="7"/>
        </w:rPr>
      </w:pPr>
    </w:p>
    <w:p>
      <w:pPr>
        <w:spacing w:before="0"/>
        <w:ind w:left="1242" w:right="121" w:firstLine="0"/>
        <w:jc w:val="left"/>
        <w:rPr>
          <w:rFonts w:ascii="Arial"/>
          <w:sz w:val="10"/>
        </w:rPr>
      </w:pPr>
      <w:r>
        <w:rPr>
          <w:rFonts w:ascii="Arial"/>
          <w:sz w:val="10"/>
        </w:rPr>
        <w:t>12000000</w:t>
      </w:r>
    </w:p>
    <w:p>
      <w:pPr>
        <w:pStyle w:val="BodyText"/>
        <w:spacing w:before="1"/>
        <w:rPr>
          <w:rFonts w:ascii="Arial"/>
          <w:sz w:val="26"/>
        </w:rPr>
      </w:pPr>
    </w:p>
    <w:p>
      <w:pPr>
        <w:pStyle w:val="BodyText"/>
        <w:spacing w:before="9"/>
        <w:rPr>
          <w:rFonts w:ascii="Arial"/>
          <w:sz w:val="7"/>
        </w:rPr>
      </w:pPr>
    </w:p>
    <w:p>
      <w:pPr>
        <w:spacing w:before="1"/>
        <w:ind w:left="1242" w:right="121" w:firstLine="0"/>
        <w:jc w:val="left"/>
        <w:rPr>
          <w:rFonts w:ascii="Arial"/>
          <w:sz w:val="10"/>
        </w:rPr>
      </w:pPr>
      <w:r>
        <w:rPr>
          <w:rFonts w:ascii="Arial"/>
          <w:sz w:val="10"/>
        </w:rPr>
        <w:t>10000000</w:t>
      </w:r>
    </w:p>
    <w:p>
      <w:pPr>
        <w:pStyle w:val="BodyText"/>
        <w:spacing w:before="1"/>
        <w:rPr>
          <w:rFonts w:ascii="Arial"/>
          <w:sz w:val="26"/>
        </w:rPr>
      </w:pPr>
    </w:p>
    <w:p>
      <w:pPr>
        <w:pStyle w:val="BodyText"/>
        <w:spacing w:before="10"/>
        <w:rPr>
          <w:rFonts w:ascii="Arial"/>
          <w:sz w:val="7"/>
        </w:rPr>
      </w:pPr>
    </w:p>
    <w:p>
      <w:pPr>
        <w:spacing w:before="0"/>
        <w:ind w:left="1298" w:right="121" w:firstLine="0"/>
        <w:jc w:val="left"/>
        <w:rPr>
          <w:rFonts w:ascii="Arial"/>
          <w:sz w:val="10"/>
        </w:rPr>
      </w:pPr>
      <w:r>
        <w:rPr>
          <w:rFonts w:ascii="Arial"/>
          <w:sz w:val="10"/>
        </w:rPr>
        <w:t>8000000</w:t>
      </w:r>
    </w:p>
    <w:p>
      <w:pPr>
        <w:pStyle w:val="BodyText"/>
        <w:spacing w:before="1"/>
        <w:rPr>
          <w:rFonts w:ascii="Arial"/>
          <w:sz w:val="26"/>
        </w:rPr>
      </w:pPr>
    </w:p>
    <w:p>
      <w:pPr>
        <w:pStyle w:val="BodyText"/>
        <w:spacing w:before="10"/>
        <w:rPr>
          <w:rFonts w:ascii="Arial"/>
          <w:sz w:val="7"/>
        </w:rPr>
      </w:pPr>
    </w:p>
    <w:p>
      <w:pPr>
        <w:spacing w:before="0"/>
        <w:ind w:left="1298" w:right="121" w:firstLine="0"/>
        <w:jc w:val="left"/>
        <w:rPr>
          <w:rFonts w:ascii="Arial"/>
          <w:sz w:val="10"/>
        </w:rPr>
      </w:pPr>
      <w:r>
        <w:rPr>
          <w:rFonts w:ascii="Arial"/>
          <w:sz w:val="10"/>
        </w:rPr>
        <w:t>6000000</w:t>
      </w:r>
    </w:p>
    <w:p>
      <w:pPr>
        <w:pStyle w:val="BodyText"/>
        <w:spacing w:before="1"/>
        <w:rPr>
          <w:rFonts w:ascii="Arial"/>
          <w:sz w:val="26"/>
        </w:rPr>
      </w:pPr>
    </w:p>
    <w:p>
      <w:pPr>
        <w:pStyle w:val="BodyText"/>
        <w:spacing w:before="10"/>
        <w:rPr>
          <w:rFonts w:ascii="Arial"/>
          <w:sz w:val="7"/>
        </w:rPr>
      </w:pPr>
    </w:p>
    <w:p>
      <w:pPr>
        <w:spacing w:before="0"/>
        <w:ind w:left="1298" w:right="121" w:firstLine="0"/>
        <w:jc w:val="left"/>
        <w:rPr>
          <w:rFonts w:ascii="Arial"/>
          <w:sz w:val="10"/>
        </w:rPr>
      </w:pPr>
      <w:r>
        <w:rPr>
          <w:rFonts w:ascii="Arial"/>
          <w:sz w:val="10"/>
        </w:rPr>
        <w:t>4000000</w:t>
      </w:r>
    </w:p>
    <w:p>
      <w:pPr>
        <w:pStyle w:val="BodyText"/>
        <w:spacing w:before="1"/>
        <w:rPr>
          <w:rFonts w:ascii="Arial"/>
          <w:sz w:val="26"/>
        </w:rPr>
      </w:pPr>
    </w:p>
    <w:p>
      <w:pPr>
        <w:pStyle w:val="BodyText"/>
        <w:spacing w:before="10"/>
        <w:rPr>
          <w:rFonts w:ascii="Arial"/>
          <w:sz w:val="7"/>
        </w:rPr>
      </w:pPr>
    </w:p>
    <w:p>
      <w:pPr>
        <w:spacing w:before="0"/>
        <w:ind w:left="1298" w:right="121" w:firstLine="0"/>
        <w:jc w:val="left"/>
        <w:rPr>
          <w:rFonts w:ascii="Arial"/>
          <w:sz w:val="10"/>
        </w:rPr>
      </w:pPr>
      <w:r>
        <w:rPr>
          <w:rFonts w:ascii="Arial"/>
          <w:sz w:val="10"/>
        </w:rPr>
        <w:t>2000000</w:t>
      </w:r>
    </w:p>
    <w:p>
      <w:pPr>
        <w:pStyle w:val="BodyText"/>
        <w:spacing w:before="1"/>
        <w:rPr>
          <w:rFonts w:ascii="Arial"/>
          <w:sz w:val="26"/>
        </w:rPr>
      </w:pPr>
    </w:p>
    <w:p>
      <w:pPr>
        <w:pStyle w:val="BodyText"/>
        <w:spacing w:before="10"/>
        <w:rPr>
          <w:rFonts w:ascii="Arial"/>
          <w:sz w:val="7"/>
        </w:rPr>
      </w:pPr>
    </w:p>
    <w:p>
      <w:pPr>
        <w:spacing w:before="0"/>
        <w:ind w:left="1632" w:right="0" w:firstLine="0"/>
        <w:jc w:val="left"/>
        <w:rPr>
          <w:rFonts w:ascii="Arial"/>
          <w:sz w:val="10"/>
        </w:rPr>
      </w:pPr>
      <w:r>
        <w:rPr>
          <w:rFonts w:ascii="Arial"/>
          <w:w w:val="100"/>
          <w:sz w:val="10"/>
        </w:rPr>
        <w:t>0</w:t>
      </w:r>
    </w:p>
    <w:p>
      <w:pPr>
        <w:tabs>
          <w:tab w:pos="2684" w:val="left" w:leader="none"/>
          <w:tab w:pos="3365" w:val="left" w:leader="none"/>
          <w:tab w:pos="4047" w:val="left" w:leader="none"/>
          <w:tab w:pos="4728" w:val="left" w:leader="none"/>
          <w:tab w:pos="5409" w:val="left" w:leader="none"/>
          <w:tab w:pos="6091" w:val="left" w:leader="none"/>
          <w:tab w:pos="6772" w:val="left" w:leader="none"/>
          <w:tab w:pos="7453" w:val="left" w:leader="none"/>
        </w:tabs>
        <w:spacing w:before="7"/>
        <w:ind w:left="2003" w:right="121" w:firstLine="0"/>
        <w:jc w:val="left"/>
        <w:rPr>
          <w:rFonts w:ascii="Arial"/>
          <w:sz w:val="10"/>
        </w:rPr>
      </w:pPr>
      <w:r>
        <w:rPr>
          <w:rFonts w:ascii="Arial"/>
          <w:sz w:val="10"/>
        </w:rPr>
        <w:t>1970</w:t>
        <w:tab/>
        <w:t>1975</w:t>
        <w:tab/>
        <w:t>1980</w:t>
        <w:tab/>
        <w:t>1985</w:t>
        <w:tab/>
        <w:t>1988</w:t>
        <w:tab/>
        <w:t>1993</w:t>
        <w:tab/>
        <w:t>1998</w:t>
        <w:tab/>
        <w:t>2003</w:t>
        <w:tab/>
        <w:t>2008</w:t>
      </w:r>
    </w:p>
    <w:p>
      <w:pPr>
        <w:pStyle w:val="BodyText"/>
        <w:spacing w:before="5"/>
        <w:rPr>
          <w:rFonts w:ascii="Arial"/>
          <w:sz w:val="9"/>
        </w:rPr>
      </w:pPr>
    </w:p>
    <w:p>
      <w:pPr>
        <w:spacing w:before="0"/>
        <w:ind w:left="1778" w:right="121" w:firstLine="0"/>
        <w:jc w:val="left"/>
        <w:rPr>
          <w:rFonts w:ascii="Calibri" w:hAnsi="Calibri"/>
          <w:sz w:val="13"/>
        </w:rPr>
      </w:pPr>
      <w:r>
        <w:rPr>
          <w:rFonts w:ascii="Calibri" w:hAnsi="Calibri"/>
          <w:sz w:val="10"/>
        </w:rPr>
        <w:t>Fuente: INEGI Censos industriales, varios años</w:t>
      </w:r>
      <w:r>
        <w:rPr>
          <w:rFonts w:ascii="Calibri" w:hAnsi="Calibri"/>
          <w:sz w:val="13"/>
        </w:rPr>
        <w:t>.</w:t>
      </w:r>
    </w:p>
    <w:p>
      <w:pPr>
        <w:pStyle w:val="BodyText"/>
        <w:rPr>
          <w:rFonts w:ascii="Calibri"/>
          <w:sz w:val="20"/>
        </w:rPr>
      </w:pPr>
    </w:p>
    <w:p>
      <w:pPr>
        <w:pStyle w:val="BodyText"/>
        <w:spacing w:before="8"/>
        <w:rPr>
          <w:rFonts w:ascii="Calibri"/>
          <w:sz w:val="16"/>
        </w:rPr>
      </w:pPr>
    </w:p>
    <w:p>
      <w:pPr>
        <w:pStyle w:val="BodyText"/>
        <w:spacing w:line="360" w:lineRule="auto" w:before="69"/>
        <w:ind w:left="102" w:right="116" w:firstLine="707"/>
        <w:jc w:val="both"/>
      </w:pPr>
      <w:r>
        <w:rPr/>
        <w:t>Empero, la política industrial propuesta para el periodo 1981-1987, no tuvo los resultados esperados, los parques no ofrecieron una solución a la concentración de las empresas en parques industriales de la Zona Metropolitana de la Ciudad de México, estas empresas sólo se relocalizaron pero no se crearon nuevas.</w:t>
      </w:r>
    </w:p>
    <w:p>
      <w:pPr>
        <w:pStyle w:val="BodyText"/>
        <w:spacing w:line="360" w:lineRule="auto" w:before="6"/>
        <w:ind w:left="102" w:right="117" w:firstLine="707"/>
        <w:jc w:val="both"/>
      </w:pPr>
      <w:r>
        <w:rPr/>
        <w:t>Entre 1988 y 1993 se presentaron tasas de crecimiento positivas para ambas regiones destacando el mayor dinamismo de la región Toluca-Lerma, que alcanzó la tasa de crecimiento anual más grande del periodo de estudio, 13.0%. El repunte de la actividad productiva puede verse como resultado de la estabilización de la economía nacional, y de la inserción exitosa al mercado externo de la planta productiva mexiquense, aumentando las exportaciones de</w:t>
      </w:r>
      <w:r>
        <w:rPr>
          <w:spacing w:val="-7"/>
        </w:rPr>
        <w:t> </w:t>
      </w:r>
      <w:r>
        <w:rPr/>
        <w:t>bienes.</w:t>
      </w:r>
    </w:p>
    <w:p>
      <w:pPr>
        <w:pStyle w:val="BodyText"/>
        <w:spacing w:line="360" w:lineRule="auto" w:before="7"/>
        <w:ind w:left="102" w:right="119" w:firstLine="707"/>
        <w:jc w:val="both"/>
      </w:pPr>
      <w:r>
        <w:rPr/>
        <w:t>Cabe mencionar que en el Estado de México la inversión pública ha presentado una reducción permanente, acompañada de un crecimiento del gasto público. Con el TLCAN se han incrementado las exportaciones y a su vez ha aumentado la entrada de recursos externos, sin embargo, éstos no han sido suficientes. La Inversión Extranjera Directa (IED), no  ha  podido  llenar  el  vacío  que  ha  dejado  la  inversión  pública,  puesto  que  las</w:t>
      </w:r>
    </w:p>
    <w:p>
      <w:pPr>
        <w:spacing w:after="0" w:line="360" w:lineRule="auto"/>
        <w:jc w:val="both"/>
        <w:sectPr>
          <w:type w:val="continuous"/>
          <w:pgSz w:w="12240" w:h="15840"/>
          <w:pgMar w:top="500" w:bottom="1200" w:left="1600" w:right="1580"/>
        </w:sectPr>
      </w:pPr>
    </w:p>
    <w:p>
      <w:pPr>
        <w:pStyle w:val="BodyText"/>
        <w:spacing w:line="331" w:lineRule="auto" w:before="50"/>
        <w:ind w:left="122" w:right="118"/>
      </w:pPr>
      <w:r>
        <w:rPr/>
        <w:t>exportaciones no han tenido efectos multiplicadores en la economía estatal que permitan un desarrollo sostenido y generalizado</w:t>
      </w:r>
      <w:r>
        <w:rPr>
          <w:position w:val="11"/>
          <w:sz w:val="16"/>
        </w:rPr>
        <w:t>56</w:t>
      </w:r>
      <w:r>
        <w:rPr/>
        <w:t>.</w:t>
      </w:r>
    </w:p>
    <w:p>
      <w:pPr>
        <w:pStyle w:val="BodyText"/>
        <w:spacing w:line="350" w:lineRule="auto" w:before="21"/>
        <w:ind w:left="122" w:right="122" w:firstLine="707"/>
        <w:jc w:val="both"/>
      </w:pPr>
      <w:r>
        <w:rPr/>
        <w:t>Mendoza y Villeda (2006) sostienen que las entidades del norte del país fueron las más beneficiadas con la entrada en vigor del TLCAN, ya que aumentaron sus exportaciones a un ritmo más acelerado que los estados del centro y que la inversión extranjera directa se concentró también en esos estados para la creación de empresas maquiladoras</w:t>
      </w:r>
      <w:r>
        <w:rPr>
          <w:position w:val="11"/>
          <w:sz w:val="16"/>
        </w:rPr>
        <w:t>57</w:t>
      </w:r>
      <w:r>
        <w:rPr/>
        <w:t>.</w:t>
      </w:r>
    </w:p>
    <w:p>
      <w:pPr>
        <w:pStyle w:val="BodyText"/>
        <w:spacing w:line="360" w:lineRule="auto"/>
        <w:ind w:left="122" w:right="118" w:firstLine="707"/>
        <w:jc w:val="both"/>
      </w:pPr>
      <w:r>
        <w:rPr/>
        <w:t>Entre 1993 y 1998, existió una gran caída de la producción, principalmente en la región Toluca-Lerma. La región Valle de México y el Estado de México, por su parte presentaron una tasa de crecimiento igual de 2.6%. Llama la atención este menor crecimiento que se da en el marco del TLCAN, con una economía de los Estados Unidos creciendo a tasas elevadas. Al respecto, Millán (2007) sostiene que por el lado de las exportaciones, la economía estatal ha mostrado una insuficiente adaptación al modelo de desarrollo. En el rubro de las importaciones de insumos reposan las principales consecuencias de la alta dependencia del mercado interno, al pasar de 9.2% en 1985 a 23.1% en 1993.</w:t>
      </w:r>
    </w:p>
    <w:p>
      <w:pPr>
        <w:pStyle w:val="BodyText"/>
        <w:spacing w:line="360" w:lineRule="auto" w:before="6"/>
        <w:ind w:left="122" w:right="116" w:firstLine="707"/>
        <w:jc w:val="both"/>
      </w:pPr>
      <w:r>
        <w:rPr/>
        <w:t>La caída entre 1998 y 2003, asociada a la recesión de los Estados Unidos de 2001,  se prolongó más en México, siendo más profunda para la región Valle de México, con una tasa de crecimiento media anual de -4.6%. El crecimiento de las dos regiones cae a partir de entonces hasta 2003, este periodo presenta tasas de crecimiento negativas para la región Valle de México (-4.6%) y en el total estatal (-2.5%), en tanto que para la región Toluca- Lerma el crecimiento fue muy bajo (0.6%). Esto pone de manifiesto las secuelas de la recesión de Estados Unidos (la cual tuvo sus mayores efectos en México) y el desplazamiento de México del mercado estadounidense por China, luego de su entrada a la OMC en noviembre de 2001, con precios muy difíciles de igualar. El país perdió dinamismo en sus exportaciones por la menor competitividad de la industria</w:t>
      </w:r>
      <w:r>
        <w:rPr>
          <w:spacing w:val="-12"/>
        </w:rPr>
        <w:t> </w:t>
      </w:r>
      <w:r>
        <w:rPr/>
        <w:t>mexicana.</w:t>
      </w:r>
    </w:p>
    <w:p>
      <w:pPr>
        <w:pStyle w:val="BodyText"/>
        <w:spacing w:line="360" w:lineRule="auto" w:before="7"/>
        <w:ind w:left="122" w:right="115" w:firstLine="707"/>
        <w:jc w:val="both"/>
      </w:pPr>
      <w:r>
        <w:rPr/>
        <w:pict>
          <v:line style="position:absolute;mso-position-horizontal-relative:page;mso-position-vertical-relative:paragraph;z-index:-464224" from="267.649994pt,54.573132pt" to="270.649994pt,54.573132pt" stroked="true" strokeweight=".599980pt" strokecolor="#000000">
            <w10:wrap type="none"/>
          </v:line>
        </w:pict>
      </w:r>
      <w:r>
        <w:rPr/>
        <w:t>Sin embargo, para 2008, la industria manufacturera nuevamente se recuperó, alcanzando una tasa de 3% a nivel estatal; la región Valle de México, se ha mantenido estancada (-0.2%). Por el contrario, de manera opuesta, la región Toluca-Lerma, ha mantenido  un  crecimiento  positivo prácticamente durante todo  el  periodo de  estudio, en</w:t>
      </w:r>
    </w:p>
    <w:p>
      <w:pPr>
        <w:pStyle w:val="BodyText"/>
        <w:spacing w:before="3"/>
        <w:rPr>
          <w:sz w:val="14"/>
        </w:rPr>
      </w:pPr>
      <w:r>
        <w:rPr/>
        <w:pict>
          <v:line style="position:absolute;mso-position-horizontal-relative:page;mso-position-vertical-relative:paragraph;z-index:2728;mso-wrap-distance-left:0;mso-wrap-distance-right:0" from="85.103996pt,10.559782pt" to="229.123996pt,10.559782pt" stroked="true" strokeweight=".71997pt" strokecolor="#000000">
            <w10:wrap type="topAndBottom"/>
          </v:line>
        </w:pict>
      </w:r>
    </w:p>
    <w:p>
      <w:pPr>
        <w:spacing w:line="243" w:lineRule="exact" w:before="42"/>
        <w:ind w:left="122" w:right="243" w:firstLine="0"/>
        <w:jc w:val="left"/>
        <w:rPr>
          <w:sz w:val="20"/>
        </w:rPr>
      </w:pPr>
      <w:r>
        <w:rPr>
          <w:position w:val="9"/>
          <w:sz w:val="13"/>
        </w:rPr>
        <w:t>56  </w:t>
      </w:r>
      <w:r>
        <w:rPr>
          <w:sz w:val="20"/>
        </w:rPr>
        <w:t>Para un análisis más detallado al respecto, véase Mejía y Rendón (2011).</w:t>
      </w:r>
    </w:p>
    <w:p>
      <w:pPr>
        <w:spacing w:line="230" w:lineRule="exact" w:before="15"/>
        <w:ind w:left="122" w:right="243" w:firstLine="0"/>
        <w:jc w:val="left"/>
        <w:rPr>
          <w:sz w:val="20"/>
        </w:rPr>
      </w:pPr>
      <w:r>
        <w:rPr>
          <w:position w:val="9"/>
          <w:sz w:val="13"/>
        </w:rPr>
        <w:t>57 </w:t>
      </w:r>
      <w:r>
        <w:rPr>
          <w:sz w:val="20"/>
        </w:rPr>
        <w:t>Por ejemplo, Nuevo León fue uno de los estados más beneficiados, pues en 1989 representaba 3.8% del  total de la IED, en 1996, 4.3% y para 2001, 6.2% (Mejía,</w:t>
      </w:r>
      <w:r>
        <w:rPr>
          <w:spacing w:val="-20"/>
          <w:sz w:val="20"/>
        </w:rPr>
        <w:t> </w:t>
      </w:r>
      <w:r>
        <w:rPr>
          <w:sz w:val="20"/>
        </w:rPr>
        <w:t>2005).</w:t>
      </w:r>
    </w:p>
    <w:p>
      <w:pPr>
        <w:spacing w:after="0" w:line="230" w:lineRule="exact"/>
        <w:jc w:val="left"/>
        <w:rPr>
          <w:sz w:val="20"/>
        </w:rPr>
        <w:sectPr>
          <w:pgSz w:w="12240" w:h="15840"/>
          <w:pgMar w:header="0" w:footer="1003" w:top="1360" w:bottom="1200" w:left="1580" w:right="1580"/>
        </w:sectPr>
      </w:pPr>
    </w:p>
    <w:p>
      <w:pPr>
        <w:pStyle w:val="BodyText"/>
        <w:spacing w:line="362" w:lineRule="auto" w:before="50"/>
        <w:ind w:left="102" w:right="119"/>
        <w:jc w:val="both"/>
      </w:pPr>
      <w:r>
        <w:rPr/>
        <w:t>2008 con una tasa de crecimiento de 9.5%, lo que podría reflejar una mejor inserción de  esta región al</w:t>
      </w:r>
      <w:r>
        <w:rPr>
          <w:spacing w:val="-9"/>
        </w:rPr>
        <w:t> </w:t>
      </w:r>
      <w:r>
        <w:rPr/>
        <w:t>TLCAN.</w:t>
      </w:r>
    </w:p>
    <w:p>
      <w:pPr>
        <w:pStyle w:val="BodyText"/>
        <w:spacing w:line="360" w:lineRule="auto" w:before="1"/>
        <w:ind w:left="102" w:right="119" w:firstLine="707"/>
        <w:jc w:val="both"/>
      </w:pPr>
      <w:r>
        <w:rPr/>
        <w:t>Ante este contexto, y dada la disminución del dinamismo en el crecimiento del producto manufacturero del Estado de México, y el crecimiento diferenciado de sus dos regiones industrializadas más importantes, es necesario profundizar en su estudio, para  estar en posibilidad de compararlas. A continuación se presenta un análisis con indicadores regionales.</w:t>
      </w:r>
    </w:p>
    <w:p>
      <w:pPr>
        <w:pStyle w:val="BodyText"/>
      </w:pPr>
    </w:p>
    <w:p>
      <w:pPr>
        <w:pStyle w:val="Heading2"/>
        <w:numPr>
          <w:ilvl w:val="1"/>
          <w:numId w:val="15"/>
        </w:numPr>
        <w:tabs>
          <w:tab w:pos="523" w:val="left" w:leader="none"/>
        </w:tabs>
        <w:spacing w:line="240" w:lineRule="auto" w:before="148" w:after="0"/>
        <w:ind w:left="522" w:right="0" w:hanging="420"/>
        <w:jc w:val="both"/>
      </w:pPr>
      <w:r>
        <w:rPr/>
        <w:t>Especialización productiva</w:t>
      </w:r>
      <w:r>
        <w:rPr>
          <w:spacing w:val="-8"/>
        </w:rPr>
        <w:t> </w:t>
      </w:r>
      <w:r>
        <w:rPr/>
        <w:t>regional</w:t>
      </w:r>
    </w:p>
    <w:p>
      <w:pPr>
        <w:pStyle w:val="BodyText"/>
        <w:spacing w:line="360" w:lineRule="auto" w:before="135"/>
        <w:ind w:left="102" w:right="121"/>
        <w:jc w:val="both"/>
      </w:pPr>
      <w:r>
        <w:rPr/>
        <w:t>Para conocer en qué subsectores se especializan las regiones de estudio es necesario en primer lugar llevar a cabo un análisis de especialización absoluta, esta es una de las dos acepciones de especialización regional. De esta manera estaremos en posibilidades de poder analizar y comparar los datos presentados y establecer qué subsector presenta la mayor participación porcentual en la región de estudio. Por otro lado, la segunda acepción de especialización es el coeficiente de localización, el cual compara el tamaño relativo de un sector en una región con el tamaño relativo del mismo sector a nivel estatal.</w:t>
      </w:r>
    </w:p>
    <w:p>
      <w:pPr>
        <w:pStyle w:val="BodyText"/>
      </w:pPr>
    </w:p>
    <w:p>
      <w:pPr>
        <w:pStyle w:val="Heading2"/>
        <w:numPr>
          <w:ilvl w:val="2"/>
          <w:numId w:val="15"/>
        </w:numPr>
        <w:tabs>
          <w:tab w:pos="643" w:val="left" w:leader="none"/>
        </w:tabs>
        <w:spacing w:line="240" w:lineRule="auto" w:before="148" w:after="0"/>
        <w:ind w:left="642" w:right="0" w:hanging="540"/>
        <w:jc w:val="both"/>
      </w:pPr>
      <w:r>
        <w:rPr/>
        <w:t>Especialización</w:t>
      </w:r>
      <w:r>
        <w:rPr>
          <w:spacing w:val="-5"/>
        </w:rPr>
        <w:t> </w:t>
      </w:r>
      <w:r>
        <w:rPr/>
        <w:t>absoluta</w:t>
      </w:r>
    </w:p>
    <w:p>
      <w:pPr>
        <w:pStyle w:val="BodyText"/>
        <w:spacing w:line="360" w:lineRule="auto" w:before="132"/>
        <w:ind w:left="102" w:right="117"/>
        <w:jc w:val="both"/>
      </w:pPr>
      <w:r>
        <w:rPr/>
        <w:t>De acuerdo con Boisier (1980) si la especialización se asocia al tamaño de las actividades regionales, decimos que es especialización absoluta o intraregional, de tal forma se obtiene que una región esté especializada simplemente en él, o los sectores de mayor tamaño dentro de la región.</w:t>
      </w:r>
    </w:p>
    <w:p>
      <w:pPr>
        <w:pStyle w:val="BodyText"/>
        <w:spacing w:line="360" w:lineRule="auto" w:before="4"/>
        <w:ind w:left="102" w:right="117" w:firstLine="707"/>
        <w:jc w:val="both"/>
      </w:pPr>
      <w:r>
        <w:rPr/>
        <w:t>Con base en el análisis realizado por subsector para las dos regiones de estudio, se obtuvo que en el caso de la región Toluca- Lerma, el subsector 38 Productos metálicos, maquinaria y equipo es el que más aporta (ver Cuadro 3.4) para todos los años de estudio, sin embargo, su participación presenta algunas diferencias.</w:t>
      </w:r>
    </w:p>
    <w:p>
      <w:pPr>
        <w:pStyle w:val="BodyText"/>
        <w:spacing w:line="360" w:lineRule="auto" w:before="4"/>
        <w:ind w:left="102" w:right="120" w:firstLine="707"/>
        <w:jc w:val="both"/>
      </w:pPr>
      <w:r>
        <w:rPr/>
        <w:t>Las cifras muestran que el subsector que más se ha visto afectado por la apertura es el 38, pues generó más de 40%, entre 1970 y 1998, pero para 2008 sólo produjo 26.7%.   El</w:t>
      </w:r>
    </w:p>
    <w:p>
      <w:pPr>
        <w:spacing w:after="0" w:line="360" w:lineRule="auto"/>
        <w:jc w:val="both"/>
        <w:sectPr>
          <w:pgSz w:w="12240" w:h="15840"/>
          <w:pgMar w:header="0" w:footer="1003" w:top="1360" w:bottom="1200" w:left="1600" w:right="1580"/>
        </w:sectPr>
      </w:pPr>
    </w:p>
    <w:p>
      <w:pPr>
        <w:pStyle w:val="BodyText"/>
        <w:spacing w:line="331" w:lineRule="auto" w:before="50"/>
        <w:ind w:left="122" w:right="123"/>
        <w:jc w:val="both"/>
        <w:rPr>
          <w:sz w:val="16"/>
        </w:rPr>
      </w:pPr>
      <w:r>
        <w:rPr/>
        <w:t>subsector que adquiere importancia es el 31 Productos alimenticios, bebidas y tabaco pues en 1970 sólo producía el 28.6% y en 2008, 34.8%.</w:t>
      </w:r>
      <w:r>
        <w:rPr>
          <w:position w:val="11"/>
          <w:sz w:val="16"/>
        </w:rPr>
        <w:t>58</w:t>
      </w:r>
    </w:p>
    <w:p>
      <w:pPr>
        <w:pStyle w:val="BodyText"/>
        <w:spacing w:line="360" w:lineRule="auto" w:before="21"/>
        <w:ind w:left="122" w:right="117" w:firstLine="707"/>
        <w:jc w:val="both"/>
      </w:pPr>
      <w:r>
        <w:rPr/>
        <w:t>Por su parte, en la región Valle de México también se aprecia la aportación mayoritaria del subsector 38 Productos metálicos, maquinaria y equipo en todos los años de estudio, la cual se ha mantenido fluctuante alrededor del 30%, sin embargo, a partir de 1993 su participación disminuyó a 20.4% en 2008. El segundo subsector que más participaba era el 35 Sustancias químicas, productos derivados del petróleo y del carbón, hule y de plástico con participación fluctuante alrededor de 23% todo el periodo.</w:t>
      </w:r>
    </w:p>
    <w:p>
      <w:pPr>
        <w:pStyle w:val="BodyText"/>
        <w:spacing w:line="360" w:lineRule="auto" w:before="4"/>
        <w:ind w:left="122" w:right="119" w:firstLine="707"/>
        <w:jc w:val="both"/>
      </w:pPr>
      <w:r>
        <w:rPr/>
        <w:t>El subsector que sí ha tenido un buen desempeño es el subsector 31. A su vez la explicación de la reducción de la participación del subsector 38 Productos metálicos, maquinaria  y  equipo  en  ambas  regiones  de  estudio  se  asocia  principalmente  a  la</w:t>
      </w:r>
    </w:p>
    <w:p>
      <w:pPr>
        <w:pStyle w:val="BodyText"/>
        <w:spacing w:line="345" w:lineRule="auto" w:before="6"/>
        <w:ind w:left="122" w:right="121"/>
        <w:jc w:val="both"/>
      </w:pPr>
      <w:r>
        <w:rPr/>
        <w:t>relocalización de esta producción hacia otras entidades federativas ubicadas en el norte del país</w:t>
      </w:r>
      <w:r>
        <w:rPr>
          <w:position w:val="11"/>
          <w:sz w:val="16"/>
        </w:rPr>
        <w:t>59</w:t>
      </w:r>
      <w:r>
        <w:rPr/>
        <w:t>, además de verse afectado por las recesiones de 1995 de México y 2002 de Estados Unidos.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2776;mso-wrap-distance-left:0;mso-wrap-distance-right:0" from="85.103996pt,11.451546pt" to="229.123996pt,11.451546pt" stroked="true" strokeweight=".71997pt" strokecolor="#000000">
            <w10:wrap type="topAndBottom"/>
          </v:line>
        </w:pict>
      </w:r>
    </w:p>
    <w:p>
      <w:pPr>
        <w:spacing w:before="40"/>
        <w:ind w:left="122" w:right="126" w:firstLine="0"/>
        <w:jc w:val="both"/>
        <w:rPr>
          <w:sz w:val="20"/>
        </w:rPr>
      </w:pPr>
      <w:r>
        <w:rPr>
          <w:position w:val="9"/>
          <w:sz w:val="13"/>
        </w:rPr>
        <w:t>58 </w:t>
      </w:r>
      <w:r>
        <w:rPr>
          <w:sz w:val="20"/>
        </w:rPr>
        <w:t>En cuanto a personal ocupado se ha visto disminuida, ya que en 1970 empleaba 47.7% del total de trabajadores, en 1980; 44.0%, en 1993; 37.42%, en 2003; 31.0%, y finalmente en 2008; 29.5%. Notándose una clara disminución de la participación porcentual, lo cual es una evidencia del lento dinamismo del subsector.</w:t>
      </w:r>
    </w:p>
    <w:p>
      <w:pPr>
        <w:spacing w:line="230" w:lineRule="exact" w:before="0"/>
        <w:ind w:left="122" w:right="0" w:firstLine="0"/>
        <w:jc w:val="both"/>
        <w:rPr>
          <w:sz w:val="20"/>
        </w:rPr>
      </w:pPr>
      <w:r>
        <w:rPr>
          <w:position w:val="9"/>
          <w:sz w:val="13"/>
        </w:rPr>
        <w:t>59 </w:t>
      </w:r>
      <w:r>
        <w:rPr>
          <w:sz w:val="20"/>
        </w:rPr>
        <w:t>Véanse Egurrola </w:t>
      </w:r>
      <w:r>
        <w:rPr>
          <w:i/>
          <w:sz w:val="20"/>
        </w:rPr>
        <w:t>et al., </w:t>
      </w:r>
      <w:r>
        <w:rPr>
          <w:sz w:val="20"/>
        </w:rPr>
        <w:t>(2007), Mendoza y Villeda (2006), y Celaya y Díaz (2002).</w:t>
      </w:r>
    </w:p>
    <w:p>
      <w:pPr>
        <w:spacing w:after="0" w:line="230" w:lineRule="exact"/>
        <w:jc w:val="both"/>
        <w:rPr>
          <w:sz w:val="20"/>
        </w:rPr>
        <w:sectPr>
          <w:pgSz w:w="12240" w:h="15840"/>
          <w:pgMar w:header="0" w:footer="1003" w:top="1360" w:bottom="1200" w:left="1580" w:right="1580"/>
        </w:sectPr>
      </w:pPr>
    </w:p>
    <w:p>
      <w:pPr>
        <w:pStyle w:val="BodyText"/>
        <w:rPr>
          <w:sz w:val="20"/>
        </w:rPr>
      </w:pPr>
      <w:r>
        <w:rPr/>
        <w:pict>
          <v:shape style="position:absolute;margin-left:48.104pt;margin-top:514.859985pt;width:13.05pt;height:13.3pt;mso-position-horizontal-relative:page;mso-position-vertical-relative:page;z-index:2800" type="#_x0000_t202" filled="false" stroked="false">
            <v:textbox inset="0,0,0,0" style="layout-flow:vertical">
              <w:txbxContent>
                <w:p>
                  <w:pPr>
                    <w:spacing w:line="245" w:lineRule="exact" w:before="0"/>
                    <w:ind w:left="20" w:right="-3" w:firstLine="0"/>
                    <w:jc w:val="left"/>
                    <w:rPr>
                      <w:rFonts w:ascii="Calibri"/>
                      <w:sz w:val="22"/>
                    </w:rPr>
                  </w:pPr>
                  <w:r>
                    <w:rPr>
                      <w:rFonts w:ascii="Calibri"/>
                      <w:w w:val="100"/>
                      <w:sz w:val="22"/>
                    </w:rPr>
                    <w:t>95</w:t>
                  </w:r>
                </w:p>
              </w:txbxContent>
            </v:textbox>
            <w10:wrap type="none"/>
          </v:shape>
        </w:pict>
      </w:r>
    </w:p>
    <w:p>
      <w:pPr>
        <w:pStyle w:val="BodyText"/>
        <w:spacing w:before="1"/>
      </w:pPr>
    </w:p>
    <w:p>
      <w:pPr>
        <w:spacing w:line="280" w:lineRule="auto" w:before="79"/>
        <w:ind w:left="737" w:right="10434" w:firstLine="0"/>
        <w:jc w:val="left"/>
        <w:rPr>
          <w:rFonts w:ascii="Arial"/>
          <w:b/>
          <w:sz w:val="18"/>
        </w:rPr>
      </w:pPr>
      <w:r>
        <w:rPr>
          <w:rFonts w:ascii="Arial"/>
          <w:b/>
          <w:w w:val="85"/>
          <w:sz w:val="18"/>
        </w:rPr>
        <w:t>Cuadro 3.4 </w:t>
      </w:r>
      <w:r>
        <w:rPr>
          <w:rFonts w:ascii="Arial"/>
          <w:b/>
          <w:w w:val="75"/>
          <w:sz w:val="18"/>
        </w:rPr>
        <w:t>Valor Agregado</w:t>
      </w:r>
    </w:p>
    <w:p>
      <w:pPr>
        <w:spacing w:before="2"/>
        <w:ind w:left="737" w:right="8977" w:firstLine="0"/>
        <w:jc w:val="left"/>
        <w:rPr>
          <w:rFonts w:ascii="Arial" w:hAnsi="Arial"/>
          <w:b/>
          <w:sz w:val="18"/>
        </w:rPr>
      </w:pPr>
      <w:r>
        <w:rPr>
          <w:rFonts w:ascii="Arial" w:hAnsi="Arial"/>
          <w:b/>
          <w:w w:val="75"/>
          <w:sz w:val="18"/>
        </w:rPr>
        <w:t>Participación porcentual</w:t>
      </w:r>
    </w:p>
    <w:p>
      <w:pPr>
        <w:spacing w:line="280" w:lineRule="auto" w:before="36"/>
        <w:ind w:left="737" w:right="8977" w:firstLine="0"/>
        <w:jc w:val="left"/>
        <w:rPr>
          <w:rFonts w:ascii="Arial" w:hAnsi="Arial"/>
          <w:b/>
          <w:sz w:val="18"/>
        </w:rPr>
      </w:pPr>
      <w:r>
        <w:rPr>
          <w:rFonts w:ascii="Arial" w:hAnsi="Arial"/>
          <w:b/>
          <w:w w:val="75"/>
          <w:sz w:val="18"/>
        </w:rPr>
        <w:t>Región Toluca-Lerma y Valle de México </w:t>
      </w:r>
      <w:r>
        <w:rPr>
          <w:rFonts w:ascii="Arial" w:hAnsi="Arial"/>
          <w:b/>
          <w:w w:val="85"/>
          <w:sz w:val="18"/>
        </w:rPr>
        <w:t>1970-2008</w:t>
      </w:r>
    </w:p>
    <w:p>
      <w:pPr>
        <w:pStyle w:val="BodyText"/>
        <w:spacing w:before="1"/>
        <w:rPr>
          <w:rFonts w:ascii="Arial"/>
          <w:b/>
          <w:sz w:val="19"/>
        </w:rPr>
      </w:pPr>
    </w:p>
    <w:tbl>
      <w:tblPr>
        <w:tblW w:w="0" w:type="auto"/>
        <w:jc w:val="left"/>
        <w:tblInd w:w="709" w:type="dxa"/>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CellMar>
          <w:top w:w="0" w:type="dxa"/>
          <w:left w:w="0" w:type="dxa"/>
          <w:bottom w:w="0" w:type="dxa"/>
          <w:right w:w="0" w:type="dxa"/>
        </w:tblCellMar>
        <w:tblLook w:val="01E0"/>
      </w:tblPr>
      <w:tblGrid>
        <w:gridCol w:w="696"/>
        <w:gridCol w:w="398"/>
        <w:gridCol w:w="398"/>
        <w:gridCol w:w="398"/>
        <w:gridCol w:w="398"/>
        <w:gridCol w:w="398"/>
        <w:gridCol w:w="398"/>
        <w:gridCol w:w="398"/>
        <w:gridCol w:w="398"/>
        <w:gridCol w:w="398"/>
        <w:gridCol w:w="398"/>
        <w:gridCol w:w="398"/>
        <w:gridCol w:w="398"/>
        <w:gridCol w:w="398"/>
        <w:gridCol w:w="398"/>
        <w:gridCol w:w="398"/>
        <w:gridCol w:w="398"/>
        <w:gridCol w:w="398"/>
        <w:gridCol w:w="398"/>
        <w:gridCol w:w="398"/>
        <w:gridCol w:w="398"/>
        <w:gridCol w:w="398"/>
        <w:gridCol w:w="398"/>
        <w:gridCol w:w="398"/>
        <w:gridCol w:w="398"/>
        <w:gridCol w:w="398"/>
        <w:gridCol w:w="398"/>
        <w:gridCol w:w="393"/>
      </w:tblGrid>
      <w:tr>
        <w:trPr>
          <w:trHeight w:val="261" w:hRule="exact"/>
        </w:trPr>
        <w:tc>
          <w:tcPr>
            <w:tcW w:w="696" w:type="dxa"/>
            <w:vMerge w:val="restart"/>
            <w:tcBorders>
              <w:left w:val="single" w:sz="4" w:space="0" w:color="000000"/>
              <w:right w:val="single" w:sz="4" w:space="0" w:color="000000"/>
            </w:tcBorders>
            <w:shd w:val="clear" w:color="auto" w:fill="D7D7D7"/>
          </w:tcPr>
          <w:p>
            <w:pPr>
              <w:pStyle w:val="TableParagraph"/>
              <w:spacing w:before="23"/>
              <w:ind w:left="126" w:right="-4"/>
              <w:jc w:val="left"/>
              <w:rPr>
                <w:rFonts w:ascii="Calibri"/>
                <w:b/>
                <w:sz w:val="18"/>
              </w:rPr>
            </w:pPr>
            <w:r>
              <w:rPr>
                <w:rFonts w:ascii="Calibri"/>
                <w:b/>
                <w:w w:val="85"/>
                <w:sz w:val="18"/>
              </w:rPr>
              <w:t>REGION</w:t>
            </w:r>
          </w:p>
        </w:tc>
        <w:tc>
          <w:tcPr>
            <w:tcW w:w="1194" w:type="dxa"/>
            <w:gridSpan w:val="3"/>
            <w:tcBorders>
              <w:left w:val="single" w:sz="4" w:space="0" w:color="000000"/>
              <w:bottom w:val="single" w:sz="5" w:space="0" w:color="000000"/>
              <w:right w:val="single" w:sz="4" w:space="0" w:color="000000"/>
            </w:tcBorders>
            <w:shd w:val="clear" w:color="auto" w:fill="D7D7D7"/>
          </w:tcPr>
          <w:p>
            <w:pPr>
              <w:pStyle w:val="TableParagraph"/>
              <w:spacing w:before="13"/>
              <w:ind w:left="412" w:right="404"/>
              <w:jc w:val="center"/>
              <w:rPr>
                <w:rFonts w:ascii="Calibri"/>
                <w:b/>
                <w:sz w:val="19"/>
              </w:rPr>
            </w:pPr>
            <w:r>
              <w:rPr>
                <w:rFonts w:ascii="Calibri"/>
                <w:b/>
                <w:w w:val="85"/>
                <w:sz w:val="19"/>
              </w:rPr>
              <w:t>1970</w:t>
            </w:r>
          </w:p>
        </w:tc>
        <w:tc>
          <w:tcPr>
            <w:tcW w:w="1193" w:type="dxa"/>
            <w:gridSpan w:val="3"/>
            <w:tcBorders>
              <w:left w:val="single" w:sz="4" w:space="0" w:color="000000"/>
              <w:bottom w:val="single" w:sz="5" w:space="0" w:color="000000"/>
              <w:right w:val="single" w:sz="4" w:space="0" w:color="000000"/>
            </w:tcBorders>
            <w:shd w:val="clear" w:color="auto" w:fill="D7D7D7"/>
          </w:tcPr>
          <w:p>
            <w:pPr>
              <w:pStyle w:val="TableParagraph"/>
              <w:spacing w:before="13"/>
              <w:ind w:left="412" w:right="404"/>
              <w:jc w:val="center"/>
              <w:rPr>
                <w:rFonts w:ascii="Calibri"/>
                <w:b/>
                <w:sz w:val="19"/>
              </w:rPr>
            </w:pPr>
            <w:r>
              <w:rPr>
                <w:rFonts w:ascii="Calibri"/>
                <w:b/>
                <w:w w:val="85"/>
                <w:sz w:val="19"/>
              </w:rPr>
              <w:t>1975</w:t>
            </w:r>
          </w:p>
        </w:tc>
        <w:tc>
          <w:tcPr>
            <w:tcW w:w="1193" w:type="dxa"/>
            <w:gridSpan w:val="3"/>
            <w:tcBorders>
              <w:left w:val="single" w:sz="4" w:space="0" w:color="000000"/>
              <w:bottom w:val="single" w:sz="5" w:space="0" w:color="000000"/>
              <w:right w:val="single" w:sz="4" w:space="0" w:color="000000"/>
            </w:tcBorders>
            <w:shd w:val="clear" w:color="auto" w:fill="D7D7D7"/>
          </w:tcPr>
          <w:p>
            <w:pPr>
              <w:pStyle w:val="TableParagraph"/>
              <w:spacing w:before="13"/>
              <w:ind w:left="412" w:right="404"/>
              <w:jc w:val="center"/>
              <w:rPr>
                <w:rFonts w:ascii="Calibri"/>
                <w:b/>
                <w:sz w:val="19"/>
              </w:rPr>
            </w:pPr>
            <w:r>
              <w:rPr>
                <w:rFonts w:ascii="Calibri"/>
                <w:b/>
                <w:w w:val="85"/>
                <w:sz w:val="19"/>
              </w:rPr>
              <w:t>1980</w:t>
            </w:r>
          </w:p>
        </w:tc>
        <w:tc>
          <w:tcPr>
            <w:tcW w:w="1194" w:type="dxa"/>
            <w:gridSpan w:val="3"/>
            <w:tcBorders>
              <w:left w:val="single" w:sz="4" w:space="0" w:color="000000"/>
              <w:bottom w:val="single" w:sz="5" w:space="0" w:color="000000"/>
              <w:right w:val="single" w:sz="4" w:space="0" w:color="000000"/>
            </w:tcBorders>
            <w:shd w:val="clear" w:color="auto" w:fill="D7D7D7"/>
          </w:tcPr>
          <w:p>
            <w:pPr>
              <w:pStyle w:val="TableParagraph"/>
              <w:spacing w:before="13"/>
              <w:ind w:left="412" w:right="403"/>
              <w:jc w:val="center"/>
              <w:rPr>
                <w:rFonts w:ascii="Calibri"/>
                <w:b/>
                <w:sz w:val="19"/>
              </w:rPr>
            </w:pPr>
            <w:r>
              <w:rPr>
                <w:rFonts w:ascii="Calibri"/>
                <w:b/>
                <w:w w:val="85"/>
                <w:sz w:val="19"/>
              </w:rPr>
              <w:t>1985</w:t>
            </w:r>
          </w:p>
        </w:tc>
        <w:tc>
          <w:tcPr>
            <w:tcW w:w="1194" w:type="dxa"/>
            <w:gridSpan w:val="3"/>
            <w:tcBorders>
              <w:left w:val="single" w:sz="4" w:space="0" w:color="000000"/>
              <w:bottom w:val="single" w:sz="5" w:space="0" w:color="000000"/>
              <w:right w:val="single" w:sz="4" w:space="0" w:color="000000"/>
            </w:tcBorders>
            <w:shd w:val="clear" w:color="auto" w:fill="D7D7D7"/>
          </w:tcPr>
          <w:p>
            <w:pPr>
              <w:pStyle w:val="TableParagraph"/>
              <w:spacing w:before="13"/>
              <w:ind w:left="412" w:right="404"/>
              <w:jc w:val="center"/>
              <w:rPr>
                <w:rFonts w:ascii="Calibri"/>
                <w:b/>
                <w:sz w:val="19"/>
              </w:rPr>
            </w:pPr>
            <w:r>
              <w:rPr>
                <w:rFonts w:ascii="Calibri"/>
                <w:b/>
                <w:w w:val="85"/>
                <w:sz w:val="19"/>
              </w:rPr>
              <w:t>1988</w:t>
            </w:r>
          </w:p>
        </w:tc>
        <w:tc>
          <w:tcPr>
            <w:tcW w:w="1193" w:type="dxa"/>
            <w:gridSpan w:val="3"/>
            <w:tcBorders>
              <w:left w:val="single" w:sz="4" w:space="0" w:color="000000"/>
              <w:bottom w:val="single" w:sz="5" w:space="0" w:color="000000"/>
              <w:right w:val="single" w:sz="4" w:space="0" w:color="000000"/>
            </w:tcBorders>
            <w:shd w:val="clear" w:color="auto" w:fill="D7D7D7"/>
          </w:tcPr>
          <w:p>
            <w:pPr>
              <w:pStyle w:val="TableParagraph"/>
              <w:spacing w:before="13"/>
              <w:ind w:left="412" w:right="404"/>
              <w:jc w:val="center"/>
              <w:rPr>
                <w:rFonts w:ascii="Calibri"/>
                <w:b/>
                <w:sz w:val="19"/>
              </w:rPr>
            </w:pPr>
            <w:r>
              <w:rPr>
                <w:rFonts w:ascii="Calibri"/>
                <w:b/>
                <w:w w:val="85"/>
                <w:sz w:val="19"/>
              </w:rPr>
              <w:t>1993</w:t>
            </w:r>
          </w:p>
        </w:tc>
        <w:tc>
          <w:tcPr>
            <w:tcW w:w="1193" w:type="dxa"/>
            <w:gridSpan w:val="3"/>
            <w:tcBorders>
              <w:left w:val="single" w:sz="4" w:space="0" w:color="000000"/>
              <w:bottom w:val="single" w:sz="5" w:space="0" w:color="000000"/>
              <w:right w:val="single" w:sz="4" w:space="0" w:color="000000"/>
            </w:tcBorders>
            <w:shd w:val="clear" w:color="auto" w:fill="D7D7D7"/>
          </w:tcPr>
          <w:p>
            <w:pPr>
              <w:pStyle w:val="TableParagraph"/>
              <w:spacing w:before="13"/>
              <w:ind w:left="412" w:right="404"/>
              <w:jc w:val="center"/>
              <w:rPr>
                <w:rFonts w:ascii="Calibri"/>
                <w:b/>
                <w:sz w:val="19"/>
              </w:rPr>
            </w:pPr>
            <w:r>
              <w:rPr>
                <w:rFonts w:ascii="Calibri"/>
                <w:b/>
                <w:w w:val="85"/>
                <w:sz w:val="19"/>
              </w:rPr>
              <w:t>1998</w:t>
            </w:r>
          </w:p>
        </w:tc>
        <w:tc>
          <w:tcPr>
            <w:tcW w:w="1193" w:type="dxa"/>
            <w:gridSpan w:val="3"/>
            <w:tcBorders>
              <w:left w:val="single" w:sz="4" w:space="0" w:color="000000"/>
              <w:bottom w:val="single" w:sz="5" w:space="0" w:color="000000"/>
              <w:right w:val="single" w:sz="4" w:space="0" w:color="000000"/>
            </w:tcBorders>
            <w:shd w:val="clear" w:color="auto" w:fill="D7D7D7"/>
          </w:tcPr>
          <w:p>
            <w:pPr>
              <w:pStyle w:val="TableParagraph"/>
              <w:spacing w:before="13"/>
              <w:ind w:left="412" w:right="404"/>
              <w:jc w:val="center"/>
              <w:rPr>
                <w:rFonts w:ascii="Calibri"/>
                <w:b/>
                <w:sz w:val="19"/>
              </w:rPr>
            </w:pPr>
            <w:r>
              <w:rPr>
                <w:rFonts w:ascii="Calibri"/>
                <w:b/>
                <w:w w:val="85"/>
                <w:sz w:val="19"/>
              </w:rPr>
              <w:t>2003</w:t>
            </w:r>
          </w:p>
        </w:tc>
        <w:tc>
          <w:tcPr>
            <w:tcW w:w="1189" w:type="dxa"/>
            <w:gridSpan w:val="3"/>
            <w:tcBorders>
              <w:left w:val="single" w:sz="4" w:space="0" w:color="000000"/>
              <w:bottom w:val="single" w:sz="5" w:space="0" w:color="000000"/>
              <w:right w:val="single" w:sz="7" w:space="0" w:color="000000"/>
            </w:tcBorders>
            <w:shd w:val="clear" w:color="auto" w:fill="D7D7D7"/>
          </w:tcPr>
          <w:p>
            <w:pPr>
              <w:pStyle w:val="TableParagraph"/>
              <w:spacing w:before="13"/>
              <w:ind w:left="412" w:right="395"/>
              <w:jc w:val="center"/>
              <w:rPr>
                <w:rFonts w:ascii="Calibri"/>
                <w:b/>
                <w:sz w:val="19"/>
              </w:rPr>
            </w:pPr>
            <w:r>
              <w:rPr>
                <w:rFonts w:ascii="Calibri"/>
                <w:b/>
                <w:w w:val="85"/>
                <w:sz w:val="19"/>
              </w:rPr>
              <w:t>2008</w:t>
            </w:r>
          </w:p>
        </w:tc>
      </w:tr>
      <w:tr>
        <w:trPr>
          <w:trHeight w:val="243" w:hRule="exact"/>
        </w:trPr>
        <w:tc>
          <w:tcPr>
            <w:tcW w:w="696" w:type="dxa"/>
            <w:vMerge/>
            <w:tcBorders>
              <w:left w:val="single" w:sz="4" w:space="0" w:color="000000"/>
              <w:bottom w:val="single" w:sz="5" w:space="0" w:color="000000"/>
              <w:right w:val="single" w:sz="4" w:space="0" w:color="000000"/>
            </w:tcBorders>
            <w:shd w:val="clear" w:color="auto" w:fill="D7D7D7"/>
          </w:tcPr>
          <w:p>
            <w:pP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left="126" w:right="-3"/>
              <w:jc w:val="left"/>
              <w:rPr>
                <w:rFonts w:ascii="Calibri"/>
                <w:b/>
                <w:sz w:val="14"/>
              </w:rPr>
            </w:pPr>
            <w:r>
              <w:rPr>
                <w:rFonts w:ascii="Calibri"/>
                <w:b/>
                <w:w w:val="90"/>
                <w:sz w:val="14"/>
              </w:rPr>
              <w:t>T-L</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29"/>
              <w:rPr>
                <w:rFonts w:ascii="Calibri"/>
                <w:b/>
                <w:sz w:val="14"/>
              </w:rPr>
            </w:pPr>
            <w:r>
              <w:rPr>
                <w:rFonts w:ascii="Calibri"/>
                <w:b/>
                <w:w w:val="85"/>
                <w:sz w:val="14"/>
              </w:rPr>
              <w:t>V de M</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11"/>
              <w:rPr>
                <w:rFonts w:ascii="Calibri"/>
                <w:b/>
                <w:sz w:val="14"/>
              </w:rPr>
            </w:pPr>
            <w:r>
              <w:rPr>
                <w:rFonts w:ascii="Calibri"/>
                <w:b/>
                <w:w w:val="75"/>
                <w:sz w:val="14"/>
              </w:rPr>
              <w:t>Edomex</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left="126" w:right="-3"/>
              <w:jc w:val="left"/>
              <w:rPr>
                <w:rFonts w:ascii="Calibri"/>
                <w:b/>
                <w:sz w:val="14"/>
              </w:rPr>
            </w:pPr>
            <w:r>
              <w:rPr>
                <w:rFonts w:ascii="Calibri"/>
                <w:b/>
                <w:w w:val="90"/>
                <w:sz w:val="14"/>
              </w:rPr>
              <w:t>T-L</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29"/>
              <w:rPr>
                <w:rFonts w:ascii="Calibri"/>
                <w:b/>
                <w:sz w:val="14"/>
              </w:rPr>
            </w:pPr>
            <w:r>
              <w:rPr>
                <w:rFonts w:ascii="Calibri"/>
                <w:b/>
                <w:w w:val="85"/>
                <w:sz w:val="14"/>
              </w:rPr>
              <w:t>V de M</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11"/>
              <w:rPr>
                <w:rFonts w:ascii="Calibri"/>
                <w:b/>
                <w:sz w:val="14"/>
              </w:rPr>
            </w:pPr>
            <w:r>
              <w:rPr>
                <w:rFonts w:ascii="Calibri"/>
                <w:b/>
                <w:w w:val="75"/>
                <w:sz w:val="14"/>
              </w:rPr>
              <w:t>Edomex</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left="126" w:right="-3"/>
              <w:jc w:val="left"/>
              <w:rPr>
                <w:rFonts w:ascii="Calibri"/>
                <w:b/>
                <w:sz w:val="14"/>
              </w:rPr>
            </w:pPr>
            <w:r>
              <w:rPr>
                <w:rFonts w:ascii="Calibri"/>
                <w:b/>
                <w:w w:val="90"/>
                <w:sz w:val="14"/>
              </w:rPr>
              <w:t>T-L</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29"/>
              <w:rPr>
                <w:rFonts w:ascii="Calibri"/>
                <w:b/>
                <w:sz w:val="14"/>
              </w:rPr>
            </w:pPr>
            <w:r>
              <w:rPr>
                <w:rFonts w:ascii="Calibri"/>
                <w:b/>
                <w:w w:val="85"/>
                <w:sz w:val="14"/>
              </w:rPr>
              <w:t>V de M</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11"/>
              <w:rPr>
                <w:rFonts w:ascii="Calibri"/>
                <w:b/>
                <w:sz w:val="14"/>
              </w:rPr>
            </w:pPr>
            <w:r>
              <w:rPr>
                <w:rFonts w:ascii="Calibri"/>
                <w:b/>
                <w:w w:val="75"/>
                <w:sz w:val="14"/>
              </w:rPr>
              <w:t>Edomex</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left="126" w:right="-2"/>
              <w:jc w:val="left"/>
              <w:rPr>
                <w:rFonts w:ascii="Calibri"/>
                <w:b/>
                <w:sz w:val="14"/>
              </w:rPr>
            </w:pPr>
            <w:r>
              <w:rPr>
                <w:rFonts w:ascii="Calibri"/>
                <w:b/>
                <w:w w:val="90"/>
                <w:sz w:val="14"/>
              </w:rPr>
              <w:t>T-L</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29"/>
              <w:rPr>
                <w:rFonts w:ascii="Calibri"/>
                <w:b/>
                <w:sz w:val="14"/>
              </w:rPr>
            </w:pPr>
            <w:r>
              <w:rPr>
                <w:rFonts w:ascii="Calibri"/>
                <w:b/>
                <w:w w:val="85"/>
                <w:sz w:val="14"/>
              </w:rPr>
              <w:t>V de M</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11"/>
              <w:rPr>
                <w:rFonts w:ascii="Calibri"/>
                <w:b/>
                <w:sz w:val="14"/>
              </w:rPr>
            </w:pPr>
            <w:r>
              <w:rPr>
                <w:rFonts w:ascii="Calibri"/>
                <w:b/>
                <w:w w:val="75"/>
                <w:sz w:val="14"/>
              </w:rPr>
              <w:t>Edomex</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left="126" w:right="-2"/>
              <w:jc w:val="left"/>
              <w:rPr>
                <w:rFonts w:ascii="Calibri"/>
                <w:b/>
                <w:sz w:val="14"/>
              </w:rPr>
            </w:pPr>
            <w:r>
              <w:rPr>
                <w:rFonts w:ascii="Calibri"/>
                <w:b/>
                <w:w w:val="90"/>
                <w:sz w:val="14"/>
              </w:rPr>
              <w:t>T-L</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29"/>
              <w:rPr>
                <w:rFonts w:ascii="Calibri"/>
                <w:b/>
                <w:sz w:val="14"/>
              </w:rPr>
            </w:pPr>
            <w:r>
              <w:rPr>
                <w:rFonts w:ascii="Calibri"/>
                <w:b/>
                <w:w w:val="85"/>
                <w:sz w:val="14"/>
              </w:rPr>
              <w:t>V de M</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11"/>
              <w:rPr>
                <w:rFonts w:ascii="Calibri"/>
                <w:b/>
                <w:sz w:val="14"/>
              </w:rPr>
            </w:pPr>
            <w:r>
              <w:rPr>
                <w:rFonts w:ascii="Calibri"/>
                <w:b/>
                <w:w w:val="75"/>
                <w:sz w:val="14"/>
              </w:rPr>
              <w:t>Edomex</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left="126" w:right="-3"/>
              <w:jc w:val="left"/>
              <w:rPr>
                <w:rFonts w:ascii="Calibri"/>
                <w:b/>
                <w:sz w:val="14"/>
              </w:rPr>
            </w:pPr>
            <w:r>
              <w:rPr>
                <w:rFonts w:ascii="Calibri"/>
                <w:b/>
                <w:w w:val="90"/>
                <w:sz w:val="14"/>
              </w:rPr>
              <w:t>T-L</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30"/>
              <w:rPr>
                <w:rFonts w:ascii="Calibri"/>
                <w:b/>
                <w:sz w:val="14"/>
              </w:rPr>
            </w:pPr>
            <w:r>
              <w:rPr>
                <w:rFonts w:ascii="Calibri"/>
                <w:b/>
                <w:w w:val="85"/>
                <w:sz w:val="14"/>
              </w:rPr>
              <w:t>V de M</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11"/>
              <w:rPr>
                <w:rFonts w:ascii="Calibri"/>
                <w:b/>
                <w:sz w:val="14"/>
              </w:rPr>
            </w:pPr>
            <w:r>
              <w:rPr>
                <w:rFonts w:ascii="Calibri"/>
                <w:b/>
                <w:w w:val="75"/>
                <w:sz w:val="14"/>
              </w:rPr>
              <w:t>Edomex</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left="126"/>
              <w:jc w:val="left"/>
              <w:rPr>
                <w:rFonts w:ascii="Calibri"/>
                <w:b/>
                <w:sz w:val="14"/>
              </w:rPr>
            </w:pPr>
            <w:r>
              <w:rPr>
                <w:rFonts w:ascii="Calibri"/>
                <w:b/>
                <w:w w:val="90"/>
                <w:sz w:val="14"/>
              </w:rPr>
              <w:t>T-L</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29"/>
              <w:rPr>
                <w:rFonts w:ascii="Calibri"/>
                <w:b/>
                <w:sz w:val="14"/>
              </w:rPr>
            </w:pPr>
            <w:r>
              <w:rPr>
                <w:rFonts w:ascii="Calibri"/>
                <w:b/>
                <w:w w:val="85"/>
                <w:sz w:val="14"/>
              </w:rPr>
              <w:t>V de M</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11"/>
              <w:rPr>
                <w:rFonts w:ascii="Calibri"/>
                <w:b/>
                <w:sz w:val="14"/>
              </w:rPr>
            </w:pPr>
            <w:r>
              <w:rPr>
                <w:rFonts w:ascii="Calibri"/>
                <w:b/>
                <w:w w:val="75"/>
                <w:sz w:val="14"/>
              </w:rPr>
              <w:t>Edomex</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left="126" w:right="-3"/>
              <w:jc w:val="left"/>
              <w:rPr>
                <w:rFonts w:ascii="Calibri"/>
                <w:b/>
                <w:sz w:val="14"/>
              </w:rPr>
            </w:pPr>
            <w:r>
              <w:rPr>
                <w:rFonts w:ascii="Calibri"/>
                <w:b/>
                <w:w w:val="90"/>
                <w:sz w:val="14"/>
              </w:rPr>
              <w:t>T-L</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29"/>
              <w:rPr>
                <w:rFonts w:ascii="Calibri"/>
                <w:b/>
                <w:sz w:val="14"/>
              </w:rPr>
            </w:pPr>
            <w:r>
              <w:rPr>
                <w:rFonts w:ascii="Calibri"/>
                <w:b/>
                <w:w w:val="85"/>
                <w:sz w:val="14"/>
              </w:rPr>
              <w:t>V de M</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11"/>
              <w:rPr>
                <w:rFonts w:ascii="Calibri"/>
                <w:b/>
                <w:sz w:val="14"/>
              </w:rPr>
            </w:pPr>
            <w:r>
              <w:rPr>
                <w:rFonts w:ascii="Calibri"/>
                <w:b/>
                <w:w w:val="75"/>
                <w:sz w:val="14"/>
              </w:rPr>
              <w:t>Edomex</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left="126" w:right="-2"/>
              <w:jc w:val="left"/>
              <w:rPr>
                <w:rFonts w:ascii="Calibri"/>
                <w:b/>
                <w:sz w:val="14"/>
              </w:rPr>
            </w:pPr>
            <w:r>
              <w:rPr>
                <w:rFonts w:ascii="Calibri"/>
                <w:b/>
                <w:w w:val="90"/>
                <w:sz w:val="14"/>
              </w:rPr>
              <w:t>T-L</w:t>
            </w:r>
          </w:p>
        </w:tc>
        <w:tc>
          <w:tcPr>
            <w:tcW w:w="398"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49"/>
              <w:ind w:right="29"/>
              <w:rPr>
                <w:rFonts w:ascii="Calibri"/>
                <w:b/>
                <w:sz w:val="14"/>
              </w:rPr>
            </w:pPr>
            <w:r>
              <w:rPr>
                <w:rFonts w:ascii="Calibri"/>
                <w:b/>
                <w:w w:val="85"/>
                <w:sz w:val="14"/>
              </w:rPr>
              <w:t>V de M</w:t>
            </w:r>
          </w:p>
        </w:tc>
        <w:tc>
          <w:tcPr>
            <w:tcW w:w="393" w:type="dxa"/>
            <w:tcBorders>
              <w:top w:val="single" w:sz="5" w:space="0" w:color="000000"/>
              <w:left w:val="single" w:sz="4" w:space="0" w:color="000000"/>
              <w:bottom w:val="single" w:sz="5" w:space="0" w:color="000000"/>
              <w:right w:val="single" w:sz="7" w:space="0" w:color="000000"/>
            </w:tcBorders>
            <w:shd w:val="clear" w:color="auto" w:fill="D7D7D7"/>
          </w:tcPr>
          <w:p>
            <w:pPr>
              <w:pStyle w:val="TableParagraph"/>
              <w:spacing w:before="49"/>
              <w:ind w:left="13"/>
              <w:jc w:val="center"/>
              <w:rPr>
                <w:rFonts w:ascii="Calibri"/>
                <w:b/>
                <w:sz w:val="14"/>
              </w:rPr>
            </w:pPr>
            <w:r>
              <w:rPr>
                <w:rFonts w:ascii="Calibri"/>
                <w:b/>
                <w:w w:val="75"/>
                <w:sz w:val="14"/>
              </w:rPr>
              <w:t>Edomex</w:t>
            </w:r>
          </w:p>
        </w:tc>
      </w:tr>
      <w:tr>
        <w:trPr>
          <w:trHeight w:val="243" w:hRule="exact"/>
        </w:trPr>
        <w:tc>
          <w:tcPr>
            <w:tcW w:w="696" w:type="dxa"/>
            <w:tcBorders>
              <w:top w:val="single" w:sz="5" w:space="0" w:color="000000"/>
              <w:left w:val="single" w:sz="4" w:space="0" w:color="000000"/>
              <w:bottom w:val="single" w:sz="5" w:space="0" w:color="000000"/>
              <w:right w:val="single" w:sz="4" w:space="0" w:color="000000"/>
            </w:tcBorders>
          </w:tcPr>
          <w:p>
            <w:pPr>
              <w:pStyle w:val="TableParagraph"/>
              <w:spacing w:before="60"/>
              <w:ind w:left="18" w:right="-4"/>
              <w:jc w:val="left"/>
              <w:rPr>
                <w:b/>
                <w:sz w:val="13"/>
              </w:rPr>
            </w:pPr>
            <w:r>
              <w:rPr>
                <w:b/>
                <w:w w:val="80"/>
                <w:sz w:val="13"/>
              </w:rPr>
              <w:t>Subsector 31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28.6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5.0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10.7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left="153" w:right="-3"/>
              <w:jc w:val="left"/>
              <w:rPr>
                <w:b/>
                <w:sz w:val="14"/>
              </w:rPr>
            </w:pPr>
            <w:r>
              <w:rPr>
                <w:b/>
                <w:w w:val="80"/>
                <w:sz w:val="14"/>
              </w:rPr>
              <w:t>22.7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8"/>
              <w:rPr>
                <w:b/>
                <w:sz w:val="14"/>
              </w:rPr>
            </w:pPr>
            <w:r>
              <w:rPr>
                <w:b/>
                <w:w w:val="75"/>
                <w:sz w:val="14"/>
              </w:rPr>
              <w:t>5.7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9.4</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22.4</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10.5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11.8</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15.8</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14.8</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14.8</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17.2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14.8</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15.6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23.9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15.4</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20.2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21.7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19.7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19.9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32.3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23.7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28.7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34.8</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0"/>
              <w:ind w:right="19"/>
              <w:rPr>
                <w:b/>
                <w:sz w:val="14"/>
              </w:rPr>
            </w:pPr>
            <w:r>
              <w:rPr>
                <w:b/>
                <w:w w:val="75"/>
                <w:sz w:val="14"/>
              </w:rPr>
              <w:t>28.1</w:t>
            </w:r>
          </w:p>
        </w:tc>
        <w:tc>
          <w:tcPr>
            <w:tcW w:w="393" w:type="dxa"/>
            <w:tcBorders>
              <w:top w:val="single" w:sz="5" w:space="0" w:color="000000"/>
              <w:left w:val="single" w:sz="4" w:space="0" w:color="000000"/>
              <w:bottom w:val="single" w:sz="5" w:space="0" w:color="000000"/>
              <w:right w:val="single" w:sz="7" w:space="0" w:color="000000"/>
            </w:tcBorders>
          </w:tcPr>
          <w:p>
            <w:pPr>
              <w:pStyle w:val="TableParagraph"/>
              <w:spacing w:before="50"/>
              <w:ind w:left="141"/>
              <w:jc w:val="center"/>
              <w:rPr>
                <w:b/>
                <w:sz w:val="14"/>
              </w:rPr>
            </w:pPr>
            <w:r>
              <w:rPr>
                <w:b/>
                <w:w w:val="80"/>
                <w:sz w:val="14"/>
              </w:rPr>
              <w:t>30.3</w:t>
            </w:r>
          </w:p>
        </w:tc>
      </w:tr>
      <w:tr>
        <w:trPr>
          <w:trHeight w:val="243" w:hRule="exact"/>
        </w:trPr>
        <w:tc>
          <w:tcPr>
            <w:tcW w:w="696" w:type="dxa"/>
            <w:tcBorders>
              <w:top w:val="single" w:sz="5" w:space="0" w:color="000000"/>
              <w:left w:val="single" w:sz="4" w:space="0" w:color="000000"/>
              <w:bottom w:val="single" w:sz="5" w:space="0" w:color="000000"/>
              <w:right w:val="single" w:sz="4" w:space="0" w:color="000000"/>
            </w:tcBorders>
          </w:tcPr>
          <w:p>
            <w:pPr>
              <w:pStyle w:val="TableParagraph"/>
              <w:spacing w:before="60"/>
              <w:ind w:left="18" w:right="-4"/>
              <w:jc w:val="left"/>
              <w:rPr>
                <w:b/>
                <w:sz w:val="13"/>
              </w:rPr>
            </w:pPr>
            <w:r>
              <w:rPr>
                <w:b/>
                <w:w w:val="80"/>
                <w:sz w:val="13"/>
              </w:rPr>
              <w:t>Subsector 32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5.5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11.6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12.0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5.5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10.1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11.0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4.6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8.2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9.3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9.6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10.5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12.1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5.2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8.4</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8.2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4.7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13.9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11.1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5.4</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7.6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7.2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4.6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6.1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5.9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4.3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6.6</w:t>
            </w:r>
          </w:p>
        </w:tc>
        <w:tc>
          <w:tcPr>
            <w:tcW w:w="393" w:type="dxa"/>
            <w:tcBorders>
              <w:top w:val="single" w:sz="5" w:space="0" w:color="000000"/>
              <w:left w:val="single" w:sz="4" w:space="0" w:color="000000"/>
              <w:bottom w:val="single" w:sz="5" w:space="0" w:color="000000"/>
              <w:right w:val="single" w:sz="7" w:space="0" w:color="000000"/>
            </w:tcBorders>
          </w:tcPr>
          <w:p>
            <w:pPr>
              <w:pStyle w:val="TableParagraph"/>
              <w:spacing w:before="51"/>
              <w:ind w:left="205"/>
              <w:jc w:val="center"/>
              <w:rPr>
                <w:sz w:val="14"/>
              </w:rPr>
            </w:pPr>
            <w:r>
              <w:rPr>
                <w:w w:val="80"/>
                <w:sz w:val="14"/>
              </w:rPr>
              <w:t>6.1</w:t>
            </w:r>
          </w:p>
        </w:tc>
      </w:tr>
      <w:tr>
        <w:trPr>
          <w:trHeight w:val="243" w:hRule="exact"/>
        </w:trPr>
        <w:tc>
          <w:tcPr>
            <w:tcW w:w="696" w:type="dxa"/>
            <w:tcBorders>
              <w:top w:val="single" w:sz="5" w:space="0" w:color="000000"/>
              <w:left w:val="single" w:sz="4" w:space="0" w:color="000000"/>
              <w:bottom w:val="single" w:sz="5" w:space="0" w:color="000000"/>
              <w:right w:val="single" w:sz="4" w:space="0" w:color="000000"/>
            </w:tcBorders>
          </w:tcPr>
          <w:p>
            <w:pPr>
              <w:pStyle w:val="TableParagraph"/>
              <w:spacing w:before="60"/>
              <w:ind w:left="18" w:right="-4"/>
              <w:jc w:val="left"/>
              <w:rPr>
                <w:b/>
                <w:sz w:val="13"/>
              </w:rPr>
            </w:pPr>
            <w:r>
              <w:rPr>
                <w:b/>
                <w:w w:val="80"/>
                <w:sz w:val="13"/>
              </w:rPr>
              <w:t>Subsector 33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1.8</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1.6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0.4</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2.9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0.2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1.8</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1.4</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1.5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1.4</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0.2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0.4</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0.3</w:t>
            </w:r>
          </w:p>
        </w:tc>
        <w:tc>
          <w:tcPr>
            <w:tcW w:w="393" w:type="dxa"/>
            <w:tcBorders>
              <w:top w:val="single" w:sz="5" w:space="0" w:color="000000"/>
              <w:left w:val="single" w:sz="4" w:space="0" w:color="000000"/>
              <w:bottom w:val="single" w:sz="5" w:space="0" w:color="000000"/>
              <w:right w:val="single" w:sz="7" w:space="0" w:color="000000"/>
            </w:tcBorders>
          </w:tcPr>
          <w:p>
            <w:pPr>
              <w:pStyle w:val="TableParagraph"/>
              <w:spacing w:before="51"/>
              <w:ind w:left="205"/>
              <w:jc w:val="center"/>
              <w:rPr>
                <w:sz w:val="14"/>
              </w:rPr>
            </w:pPr>
            <w:r>
              <w:rPr>
                <w:w w:val="80"/>
                <w:sz w:val="14"/>
              </w:rPr>
              <w:t>0.2</w:t>
            </w:r>
          </w:p>
        </w:tc>
      </w:tr>
      <w:tr>
        <w:trPr>
          <w:trHeight w:val="243" w:hRule="exact"/>
        </w:trPr>
        <w:tc>
          <w:tcPr>
            <w:tcW w:w="696" w:type="dxa"/>
            <w:tcBorders>
              <w:top w:val="single" w:sz="5" w:space="0" w:color="000000"/>
              <w:left w:val="single" w:sz="4" w:space="0" w:color="000000"/>
              <w:bottom w:val="single" w:sz="5" w:space="0" w:color="000000"/>
              <w:right w:val="single" w:sz="4" w:space="0" w:color="000000"/>
            </w:tcBorders>
          </w:tcPr>
          <w:p>
            <w:pPr>
              <w:pStyle w:val="TableParagraph"/>
              <w:spacing w:before="60"/>
              <w:ind w:left="18" w:right="-4"/>
              <w:jc w:val="left"/>
              <w:rPr>
                <w:b/>
                <w:sz w:val="13"/>
              </w:rPr>
            </w:pPr>
            <w:r>
              <w:rPr>
                <w:b/>
                <w:w w:val="80"/>
                <w:sz w:val="13"/>
              </w:rPr>
              <w:t>Subsector 34</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7.1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8.2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5.9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6.8</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6.3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7.0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6.5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4.7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5.3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9.3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7.7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2.1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6.2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5.0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6.5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5.2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0.9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10.6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7.0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7.9</w:t>
            </w:r>
          </w:p>
        </w:tc>
        <w:tc>
          <w:tcPr>
            <w:tcW w:w="393" w:type="dxa"/>
            <w:tcBorders>
              <w:top w:val="single" w:sz="5" w:space="0" w:color="000000"/>
              <w:left w:val="single" w:sz="4" w:space="0" w:color="000000"/>
              <w:bottom w:val="single" w:sz="5" w:space="0" w:color="000000"/>
              <w:right w:val="single" w:sz="7" w:space="0" w:color="000000"/>
            </w:tcBorders>
          </w:tcPr>
          <w:p>
            <w:pPr>
              <w:pStyle w:val="TableParagraph"/>
              <w:spacing w:before="51"/>
              <w:ind w:left="205"/>
              <w:jc w:val="center"/>
              <w:rPr>
                <w:sz w:val="14"/>
              </w:rPr>
            </w:pPr>
            <w:r>
              <w:rPr>
                <w:w w:val="80"/>
                <w:sz w:val="14"/>
              </w:rPr>
              <w:t>5.2</w:t>
            </w:r>
          </w:p>
        </w:tc>
      </w:tr>
      <w:tr>
        <w:trPr>
          <w:trHeight w:val="243" w:hRule="exact"/>
        </w:trPr>
        <w:tc>
          <w:tcPr>
            <w:tcW w:w="696" w:type="dxa"/>
            <w:tcBorders>
              <w:top w:val="single" w:sz="5" w:space="0" w:color="000000"/>
              <w:left w:val="single" w:sz="4" w:space="0" w:color="000000"/>
              <w:bottom w:val="single" w:sz="5" w:space="0" w:color="000000"/>
              <w:right w:val="single" w:sz="4" w:space="0" w:color="000000"/>
            </w:tcBorders>
          </w:tcPr>
          <w:p>
            <w:pPr>
              <w:pStyle w:val="TableParagraph"/>
              <w:spacing w:before="60"/>
              <w:ind w:left="18" w:right="-4"/>
              <w:jc w:val="left"/>
              <w:rPr>
                <w:b/>
                <w:sz w:val="13"/>
              </w:rPr>
            </w:pPr>
            <w:r>
              <w:rPr>
                <w:b/>
                <w:w w:val="80"/>
                <w:sz w:val="13"/>
              </w:rPr>
              <w:t>Subsector 35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22.5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21.8</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20.3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left="153" w:right="-3"/>
              <w:jc w:val="left"/>
              <w:rPr>
                <w:b/>
                <w:sz w:val="14"/>
              </w:rPr>
            </w:pPr>
            <w:r>
              <w:rPr>
                <w:b/>
                <w:w w:val="80"/>
                <w:sz w:val="14"/>
              </w:rPr>
              <w:t>23.2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24.3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23.0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16.7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18.7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18.3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25.6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21.9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21.3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27.2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22.9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23.1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18.8</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23.7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20.8</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26.9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25.9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24.5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27.5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25.3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24.2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28.9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26.4</w:t>
            </w:r>
          </w:p>
        </w:tc>
        <w:tc>
          <w:tcPr>
            <w:tcW w:w="393" w:type="dxa"/>
            <w:tcBorders>
              <w:top w:val="single" w:sz="5" w:space="0" w:color="000000"/>
              <w:left w:val="single" w:sz="4" w:space="0" w:color="000000"/>
              <w:bottom w:val="single" w:sz="5" w:space="0" w:color="000000"/>
              <w:right w:val="single" w:sz="7" w:space="0" w:color="000000"/>
            </w:tcBorders>
          </w:tcPr>
          <w:p>
            <w:pPr>
              <w:pStyle w:val="TableParagraph"/>
              <w:spacing w:before="51"/>
              <w:ind w:left="141"/>
              <w:jc w:val="center"/>
              <w:rPr>
                <w:b/>
                <w:sz w:val="14"/>
              </w:rPr>
            </w:pPr>
            <w:r>
              <w:rPr>
                <w:b/>
                <w:w w:val="80"/>
                <w:sz w:val="14"/>
              </w:rPr>
              <w:t>25.6</w:t>
            </w:r>
          </w:p>
        </w:tc>
      </w:tr>
      <w:tr>
        <w:trPr>
          <w:trHeight w:val="243" w:hRule="exact"/>
        </w:trPr>
        <w:tc>
          <w:tcPr>
            <w:tcW w:w="696" w:type="dxa"/>
            <w:tcBorders>
              <w:top w:val="single" w:sz="5" w:space="0" w:color="000000"/>
              <w:left w:val="single" w:sz="4" w:space="0" w:color="000000"/>
              <w:bottom w:val="single" w:sz="5" w:space="0" w:color="000000"/>
              <w:right w:val="single" w:sz="4" w:space="0" w:color="000000"/>
            </w:tcBorders>
          </w:tcPr>
          <w:p>
            <w:pPr>
              <w:pStyle w:val="TableParagraph"/>
              <w:spacing w:before="60"/>
              <w:ind w:left="18" w:right="-4"/>
              <w:jc w:val="left"/>
              <w:rPr>
                <w:b/>
                <w:sz w:val="13"/>
              </w:rPr>
            </w:pPr>
            <w:r>
              <w:rPr>
                <w:b/>
                <w:w w:val="80"/>
                <w:sz w:val="13"/>
              </w:rPr>
              <w:t>Subsector 36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7.0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6.4</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6.6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6.7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3.1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5.6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5.6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5.1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9.0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8.6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3.3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6.6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6.7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2.6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9.6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8.2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5.7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5.3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1.0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8.7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6.9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3.1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4.5</w:t>
            </w:r>
          </w:p>
        </w:tc>
        <w:tc>
          <w:tcPr>
            <w:tcW w:w="393" w:type="dxa"/>
            <w:tcBorders>
              <w:top w:val="single" w:sz="5" w:space="0" w:color="000000"/>
              <w:left w:val="single" w:sz="4" w:space="0" w:color="000000"/>
              <w:bottom w:val="single" w:sz="5" w:space="0" w:color="000000"/>
              <w:right w:val="single" w:sz="7" w:space="0" w:color="000000"/>
            </w:tcBorders>
          </w:tcPr>
          <w:p>
            <w:pPr>
              <w:pStyle w:val="TableParagraph"/>
              <w:spacing w:before="51"/>
              <w:ind w:left="205"/>
              <w:jc w:val="center"/>
              <w:rPr>
                <w:sz w:val="14"/>
              </w:rPr>
            </w:pPr>
            <w:r>
              <w:rPr>
                <w:w w:val="80"/>
                <w:sz w:val="14"/>
              </w:rPr>
              <w:t>4.3</w:t>
            </w:r>
          </w:p>
        </w:tc>
      </w:tr>
      <w:tr>
        <w:trPr>
          <w:trHeight w:val="243" w:hRule="exact"/>
        </w:trPr>
        <w:tc>
          <w:tcPr>
            <w:tcW w:w="696" w:type="dxa"/>
            <w:tcBorders>
              <w:top w:val="single" w:sz="5" w:space="0" w:color="000000"/>
              <w:left w:val="single" w:sz="4" w:space="0" w:color="000000"/>
              <w:bottom w:val="single" w:sz="5" w:space="0" w:color="000000"/>
              <w:right w:val="single" w:sz="4" w:space="0" w:color="000000"/>
            </w:tcBorders>
          </w:tcPr>
          <w:p>
            <w:pPr>
              <w:pStyle w:val="TableParagraph"/>
              <w:spacing w:before="60"/>
              <w:ind w:left="18" w:right="-4"/>
              <w:jc w:val="left"/>
              <w:rPr>
                <w:b/>
                <w:sz w:val="13"/>
              </w:rPr>
            </w:pPr>
            <w:r>
              <w:rPr>
                <w:b/>
                <w:w w:val="80"/>
                <w:sz w:val="13"/>
              </w:rPr>
              <w:t>Subsector 37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7.0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6.5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8.2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6.8</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3.1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8.0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6.7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4.6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3.7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5.1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4.3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2.0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2.3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0.2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1.8</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2.6</w:t>
            </w:r>
          </w:p>
        </w:tc>
        <w:tc>
          <w:tcPr>
            <w:tcW w:w="393" w:type="dxa"/>
            <w:tcBorders>
              <w:top w:val="single" w:sz="5" w:space="0" w:color="000000"/>
              <w:left w:val="single" w:sz="4" w:space="0" w:color="000000"/>
              <w:bottom w:val="single" w:sz="5" w:space="0" w:color="000000"/>
              <w:right w:val="single" w:sz="7" w:space="0" w:color="000000"/>
            </w:tcBorders>
          </w:tcPr>
          <w:p>
            <w:pPr>
              <w:pStyle w:val="TableParagraph"/>
              <w:spacing w:before="51"/>
              <w:ind w:left="205"/>
              <w:jc w:val="center"/>
              <w:rPr>
                <w:sz w:val="14"/>
              </w:rPr>
            </w:pPr>
            <w:r>
              <w:rPr>
                <w:w w:val="80"/>
                <w:sz w:val="14"/>
              </w:rPr>
              <w:t>2.4</w:t>
            </w:r>
          </w:p>
        </w:tc>
      </w:tr>
      <w:tr>
        <w:trPr>
          <w:trHeight w:val="243" w:hRule="exact"/>
        </w:trPr>
        <w:tc>
          <w:tcPr>
            <w:tcW w:w="696" w:type="dxa"/>
            <w:tcBorders>
              <w:top w:val="single" w:sz="5" w:space="0" w:color="000000"/>
              <w:left w:val="single" w:sz="4" w:space="0" w:color="000000"/>
              <w:bottom w:val="single" w:sz="5" w:space="0" w:color="000000"/>
              <w:right w:val="single" w:sz="4" w:space="0" w:color="000000"/>
            </w:tcBorders>
          </w:tcPr>
          <w:p>
            <w:pPr>
              <w:pStyle w:val="TableParagraph"/>
              <w:spacing w:before="60"/>
              <w:ind w:left="18" w:right="-4"/>
              <w:jc w:val="left"/>
              <w:rPr>
                <w:b/>
                <w:sz w:val="13"/>
              </w:rPr>
            </w:pPr>
            <w:r>
              <w:rPr>
                <w:b/>
                <w:w w:val="80"/>
                <w:sz w:val="13"/>
              </w:rPr>
              <w:t>Subsector 38</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40.1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34.6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32.2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left="153" w:right="-3"/>
              <w:jc w:val="left"/>
              <w:rPr>
                <w:b/>
                <w:sz w:val="14"/>
              </w:rPr>
            </w:pPr>
            <w:r>
              <w:rPr>
                <w:b/>
                <w:w w:val="80"/>
                <w:sz w:val="14"/>
              </w:rPr>
              <w:t>43.0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32.9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33.1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43.6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37.9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38.4</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39.6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31.5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31.2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44.1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30.9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32.5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46.5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26.4</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30.7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42.9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30.5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33.3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32.9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20.2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23.3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26.7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b/>
                <w:sz w:val="14"/>
              </w:rPr>
            </w:pPr>
            <w:r>
              <w:rPr>
                <w:b/>
                <w:w w:val="75"/>
                <w:sz w:val="14"/>
              </w:rPr>
              <w:t>20.4</w:t>
            </w:r>
          </w:p>
        </w:tc>
        <w:tc>
          <w:tcPr>
            <w:tcW w:w="393" w:type="dxa"/>
            <w:tcBorders>
              <w:top w:val="single" w:sz="5" w:space="0" w:color="000000"/>
              <w:left w:val="single" w:sz="4" w:space="0" w:color="000000"/>
              <w:bottom w:val="single" w:sz="5" w:space="0" w:color="000000"/>
              <w:right w:val="single" w:sz="7" w:space="0" w:color="000000"/>
            </w:tcBorders>
          </w:tcPr>
          <w:p>
            <w:pPr>
              <w:pStyle w:val="TableParagraph"/>
              <w:spacing w:before="51"/>
              <w:ind w:left="141"/>
              <w:jc w:val="center"/>
              <w:rPr>
                <w:b/>
                <w:sz w:val="14"/>
              </w:rPr>
            </w:pPr>
            <w:r>
              <w:rPr>
                <w:b/>
                <w:w w:val="80"/>
                <w:sz w:val="14"/>
              </w:rPr>
              <w:t>23.9</w:t>
            </w:r>
          </w:p>
        </w:tc>
      </w:tr>
      <w:tr>
        <w:trPr>
          <w:trHeight w:val="243" w:hRule="exact"/>
        </w:trPr>
        <w:tc>
          <w:tcPr>
            <w:tcW w:w="696" w:type="dxa"/>
            <w:tcBorders>
              <w:top w:val="single" w:sz="5" w:space="0" w:color="000000"/>
              <w:left w:val="single" w:sz="4" w:space="0" w:color="000000"/>
              <w:bottom w:val="single" w:sz="5" w:space="0" w:color="000000"/>
              <w:right w:val="single" w:sz="4" w:space="0" w:color="000000"/>
            </w:tcBorders>
          </w:tcPr>
          <w:p>
            <w:pPr>
              <w:pStyle w:val="TableParagraph"/>
              <w:spacing w:before="60"/>
              <w:ind w:left="18" w:right="-4"/>
              <w:jc w:val="left"/>
              <w:rPr>
                <w:b/>
                <w:sz w:val="13"/>
              </w:rPr>
            </w:pPr>
            <w:r>
              <w:rPr>
                <w:b/>
                <w:w w:val="80"/>
                <w:sz w:val="13"/>
              </w:rPr>
              <w:t>Subsector 39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4.2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2.1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3.4</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3.5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2.1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0.0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2.3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1.9</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1.4</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1.6</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1.7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0.2</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0.7</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1.1</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1.0</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8"/>
              <w:rPr>
                <w:sz w:val="14"/>
              </w:rPr>
            </w:pPr>
            <w:r>
              <w:rPr>
                <w:w w:val="75"/>
                <w:sz w:val="14"/>
              </w:rPr>
              <w:t>0.5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3.3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2.3</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0.5</w:t>
            </w:r>
          </w:p>
        </w:tc>
        <w:tc>
          <w:tcPr>
            <w:tcW w:w="398" w:type="dxa"/>
            <w:tcBorders>
              <w:top w:val="single" w:sz="5" w:space="0" w:color="000000"/>
              <w:left w:val="single" w:sz="4" w:space="0" w:color="000000"/>
              <w:bottom w:val="single" w:sz="5" w:space="0" w:color="000000"/>
              <w:right w:val="single" w:sz="4" w:space="0" w:color="000000"/>
            </w:tcBorders>
          </w:tcPr>
          <w:p>
            <w:pPr>
              <w:pStyle w:val="TableParagraph"/>
              <w:spacing w:before="51"/>
              <w:ind w:right="19"/>
              <w:rPr>
                <w:sz w:val="14"/>
              </w:rPr>
            </w:pPr>
            <w:r>
              <w:rPr>
                <w:w w:val="75"/>
                <w:sz w:val="14"/>
              </w:rPr>
              <w:t>3.3</w:t>
            </w:r>
          </w:p>
        </w:tc>
        <w:tc>
          <w:tcPr>
            <w:tcW w:w="393" w:type="dxa"/>
            <w:tcBorders>
              <w:top w:val="single" w:sz="5" w:space="0" w:color="000000"/>
              <w:left w:val="single" w:sz="4" w:space="0" w:color="000000"/>
              <w:bottom w:val="single" w:sz="5" w:space="0" w:color="000000"/>
              <w:right w:val="single" w:sz="7" w:space="0" w:color="000000"/>
            </w:tcBorders>
          </w:tcPr>
          <w:p>
            <w:pPr>
              <w:pStyle w:val="TableParagraph"/>
              <w:spacing w:before="51"/>
              <w:ind w:left="205"/>
              <w:jc w:val="center"/>
              <w:rPr>
                <w:sz w:val="14"/>
              </w:rPr>
            </w:pPr>
            <w:r>
              <w:rPr>
                <w:w w:val="80"/>
                <w:sz w:val="14"/>
              </w:rPr>
              <w:t>2.0</w:t>
            </w:r>
          </w:p>
        </w:tc>
      </w:tr>
      <w:tr>
        <w:trPr>
          <w:trHeight w:val="249" w:hRule="exact"/>
        </w:trPr>
        <w:tc>
          <w:tcPr>
            <w:tcW w:w="696" w:type="dxa"/>
            <w:tcBorders>
              <w:top w:val="single" w:sz="5" w:space="0" w:color="000000"/>
              <w:left w:val="single" w:sz="4" w:space="0" w:color="000000"/>
              <w:right w:val="single" w:sz="4" w:space="0" w:color="000000"/>
            </w:tcBorders>
          </w:tcPr>
          <w:p>
            <w:pPr>
              <w:pStyle w:val="TableParagraph"/>
              <w:spacing w:before="60"/>
              <w:ind w:left="18" w:right="-4"/>
              <w:jc w:val="left"/>
              <w:rPr>
                <w:b/>
                <w:sz w:val="13"/>
              </w:rPr>
            </w:pPr>
            <w:r>
              <w:rPr>
                <w:b/>
                <w:w w:val="85"/>
                <w:sz w:val="13"/>
              </w:rPr>
              <w:t>TOTAL</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left="90" w:right="-2"/>
              <w:jc w:val="left"/>
              <w:rPr>
                <w:sz w:val="14"/>
              </w:rPr>
            </w:pPr>
            <w:r>
              <w:rPr>
                <w:w w:val="80"/>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left="90" w:right="-2"/>
              <w:jc w:val="left"/>
              <w:rPr>
                <w:sz w:val="14"/>
              </w:rPr>
            </w:pPr>
            <w:r>
              <w:rPr>
                <w:w w:val="80"/>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left="90" w:right="-2"/>
              <w:jc w:val="left"/>
              <w:rPr>
                <w:sz w:val="14"/>
              </w:rPr>
            </w:pPr>
            <w:r>
              <w:rPr>
                <w:w w:val="80"/>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left="90" w:right="-2"/>
              <w:jc w:val="left"/>
              <w:rPr>
                <w:sz w:val="14"/>
              </w:rPr>
            </w:pPr>
            <w:r>
              <w:rPr>
                <w:w w:val="80"/>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8" w:type="dxa"/>
            <w:tcBorders>
              <w:top w:val="single" w:sz="5" w:space="0" w:color="000000"/>
              <w:left w:val="single" w:sz="4" w:space="0" w:color="000000"/>
              <w:right w:val="single" w:sz="4" w:space="0" w:color="000000"/>
            </w:tcBorders>
          </w:tcPr>
          <w:p>
            <w:pPr>
              <w:pStyle w:val="TableParagraph"/>
              <w:spacing w:before="51"/>
              <w:ind w:right="19"/>
              <w:rPr>
                <w:sz w:val="14"/>
              </w:rPr>
            </w:pPr>
            <w:r>
              <w:rPr>
                <w:w w:val="75"/>
                <w:sz w:val="14"/>
              </w:rPr>
              <w:t>100.0</w:t>
            </w:r>
          </w:p>
        </w:tc>
        <w:tc>
          <w:tcPr>
            <w:tcW w:w="393" w:type="dxa"/>
            <w:tcBorders>
              <w:top w:val="single" w:sz="5" w:space="0" w:color="000000"/>
              <w:left w:val="single" w:sz="4" w:space="0" w:color="000000"/>
              <w:right w:val="single" w:sz="7" w:space="0" w:color="000000"/>
            </w:tcBorders>
          </w:tcPr>
          <w:p>
            <w:pPr>
              <w:pStyle w:val="TableParagraph"/>
              <w:spacing w:before="51"/>
              <w:ind w:left="77"/>
              <w:jc w:val="center"/>
              <w:rPr>
                <w:sz w:val="14"/>
              </w:rPr>
            </w:pPr>
            <w:r>
              <w:rPr>
                <w:w w:val="80"/>
                <w:sz w:val="14"/>
              </w:rPr>
              <w:t>100.0</w:t>
            </w:r>
          </w:p>
        </w:tc>
      </w:tr>
    </w:tbl>
    <w:p>
      <w:pPr>
        <w:pStyle w:val="BodyText"/>
        <w:spacing w:before="10"/>
        <w:rPr>
          <w:rFonts w:ascii="Arial"/>
          <w:b/>
          <w:sz w:val="18"/>
        </w:rPr>
      </w:pPr>
    </w:p>
    <w:p>
      <w:pPr>
        <w:spacing w:before="86"/>
        <w:ind w:left="737" w:right="8977" w:firstLine="0"/>
        <w:jc w:val="left"/>
        <w:rPr>
          <w:rFonts w:ascii="Arial" w:hAnsi="Arial"/>
          <w:sz w:val="13"/>
        </w:rPr>
      </w:pPr>
      <w:r>
        <w:rPr>
          <w:rFonts w:ascii="Arial" w:hAnsi="Arial"/>
          <w:w w:val="80"/>
          <w:sz w:val="13"/>
        </w:rPr>
        <w:t>T-L : Región Toluca-Lerma</w:t>
      </w:r>
    </w:p>
    <w:p>
      <w:pPr>
        <w:spacing w:line="391" w:lineRule="auto" w:before="93"/>
        <w:ind w:left="737" w:right="10014" w:firstLine="0"/>
        <w:jc w:val="left"/>
        <w:rPr>
          <w:rFonts w:ascii="Arial" w:hAnsi="Arial"/>
          <w:sz w:val="13"/>
        </w:rPr>
      </w:pPr>
      <w:r>
        <w:rPr>
          <w:rFonts w:ascii="Arial" w:hAnsi="Arial"/>
          <w:w w:val="80"/>
          <w:sz w:val="13"/>
        </w:rPr>
        <w:t>V de M : Región Valle de México </w:t>
      </w:r>
      <w:r>
        <w:rPr>
          <w:rFonts w:ascii="Arial" w:hAnsi="Arial"/>
          <w:w w:val="75"/>
          <w:sz w:val="13"/>
        </w:rPr>
        <w:t>Edomex: Estado de México</w:t>
      </w:r>
    </w:p>
    <w:p>
      <w:pPr>
        <w:spacing w:line="140" w:lineRule="exact" w:before="0"/>
        <w:ind w:left="737" w:right="0" w:firstLine="0"/>
        <w:jc w:val="left"/>
        <w:rPr>
          <w:rFonts w:ascii="Arial" w:hAnsi="Arial"/>
          <w:sz w:val="13"/>
        </w:rPr>
      </w:pPr>
      <w:r>
        <w:rPr>
          <w:rFonts w:ascii="Arial" w:hAnsi="Arial"/>
          <w:w w:val="80"/>
          <w:sz w:val="13"/>
        </w:rPr>
        <w:t>Fuente: Elaboración propia con base en los datos de INEGI. </w:t>
      </w:r>
      <w:r>
        <w:rPr>
          <w:rFonts w:ascii="Arial" w:hAnsi="Arial"/>
          <w:i/>
          <w:w w:val="80"/>
          <w:sz w:val="13"/>
        </w:rPr>
        <w:t>Censos industriales y económicos </w:t>
      </w:r>
      <w:r>
        <w:rPr>
          <w:rFonts w:ascii="Arial" w:hAnsi="Arial"/>
          <w:w w:val="80"/>
          <w:sz w:val="13"/>
        </w:rPr>
        <w:t>. 1971, 1976, 1981, 1986, 1989, 1994, 1999, 2004 y 2009.</w:t>
      </w:r>
    </w:p>
    <w:p>
      <w:pPr>
        <w:spacing w:after="0" w:line="140" w:lineRule="exact"/>
        <w:jc w:val="left"/>
        <w:rPr>
          <w:rFonts w:ascii="Arial" w:hAnsi="Arial"/>
          <w:sz w:val="13"/>
        </w:rPr>
        <w:sectPr>
          <w:footerReference w:type="default" r:id="rId34"/>
          <w:pgSz w:w="15840" w:h="12240" w:orient="landscape"/>
          <w:pgMar w:footer="0" w:header="0" w:top="1140" w:bottom="280" w:left="2260" w:right="1300"/>
        </w:sectPr>
      </w:pPr>
    </w:p>
    <w:p>
      <w:pPr>
        <w:pStyle w:val="BodyText"/>
        <w:spacing w:line="360" w:lineRule="auto" w:before="50"/>
        <w:ind w:left="122" w:right="116" w:firstLine="707"/>
        <w:jc w:val="right"/>
      </w:pPr>
      <w:r>
        <w:rPr/>
        <w:t>Con la entrada de México al Tratado de Libre Comercio de América del Norte (TLCAN) en 1994 y luego de la entrada de China a la OMC en noviembre de 2001, el país</w:t>
      </w:r>
      <w:r>
        <w:rPr>
          <w:w w:val="99"/>
        </w:rPr>
        <w:t> </w:t>
      </w:r>
      <w:r>
        <w:rPr/>
        <w:t>perdió dinamismo en las exportaciones petroleras, así como su participación en el mercado estadounidense, afectando los sectores textil, de la confección, calzado,</w:t>
      </w:r>
      <w:r>
        <w:rPr>
          <w:spacing w:val="56"/>
        </w:rPr>
        <w:t> </w:t>
      </w:r>
      <w:r>
        <w:rPr/>
        <w:t>juguetes,</w:t>
      </w:r>
      <w:r>
        <w:rPr>
          <w:w w:val="99"/>
        </w:rPr>
        <w:t> </w:t>
      </w:r>
      <w:r>
        <w:rPr/>
        <w:t>herramientas, electrodomésticos, máquinas, aparatos eléctricos y plásticos. En este aspecto tenemos que se ha visto perjudicado el subsector 32 Textiles, prendas de vestir e industrias</w:t>
      </w:r>
      <w:r>
        <w:rPr>
          <w:w w:val="99"/>
        </w:rPr>
        <w:t> </w:t>
      </w:r>
      <w:r>
        <w:rPr/>
        <w:t>del cuero en la región Valle de México, porque existen cambios en su estructura productiva. En 1970 este subsector aportaba 11.62% del VA, en 1985; 10.46%, en 1993; 13.86%, para 2003 sólo 6.11% y en 2008 existe una ligera recuperación, participando con 6.6%  (ver  Cuadro  3.4).  En  la  región  Toluca-Lerma  su  participación  se  ha  mantenido</w:t>
      </w:r>
    </w:p>
    <w:p>
      <w:pPr>
        <w:pStyle w:val="BodyText"/>
        <w:spacing w:before="4"/>
        <w:ind w:left="122" w:right="243"/>
      </w:pPr>
      <w:r>
        <w:rPr/>
        <w:t>constante a lo largo de todo el periodo de estudio en alrededor de 5%.</w:t>
      </w:r>
    </w:p>
    <w:p>
      <w:pPr>
        <w:pStyle w:val="BodyText"/>
        <w:spacing w:line="350" w:lineRule="auto" w:before="139"/>
        <w:ind w:left="122" w:right="113" w:firstLine="707"/>
        <w:jc w:val="both"/>
      </w:pPr>
      <w:r>
        <w:rPr/>
        <w:t>En cuanto al subsector 31 Productos alimenticios, bebidas y tabaco, en la región Toluca-Lerma, en 1970, participaba con 28.5%, en 1995 pierde importancia (15.7%) y nuevamente se recupera en 2003 y en 2008, produciendo en éste último censo 34.8% del VA del total de la región</w:t>
      </w:r>
      <w:r>
        <w:rPr>
          <w:position w:val="11"/>
          <w:sz w:val="16"/>
        </w:rPr>
        <w:t>60</w:t>
      </w:r>
      <w:r>
        <w:rPr/>
        <w:t>. En la región Valle de México este subsector ha ido aumentando</w:t>
      </w:r>
    </w:p>
    <w:p>
      <w:pPr>
        <w:pStyle w:val="BodyText"/>
        <w:spacing w:line="328" w:lineRule="auto"/>
        <w:ind w:left="122" w:right="113"/>
        <w:rPr>
          <w:sz w:val="16"/>
        </w:rPr>
      </w:pPr>
      <w:r>
        <w:rPr/>
        <w:t>su producción porque en 1970 sólo aportaba 4.9% del total de la región, en 1980; 10.5%, en 1993; 15.4% y en 2008; 28.1%.</w:t>
      </w:r>
      <w:r>
        <w:rPr>
          <w:position w:val="11"/>
          <w:sz w:val="16"/>
        </w:rPr>
        <w:t>61</w:t>
      </w:r>
    </w:p>
    <w:p>
      <w:pPr>
        <w:pStyle w:val="BodyText"/>
        <w:spacing w:line="352" w:lineRule="auto" w:before="27"/>
        <w:ind w:left="122" w:right="118" w:firstLine="707"/>
        <w:jc w:val="both"/>
      </w:pPr>
      <w:r>
        <w:rPr/>
        <w:t>En resumen podemos decir que la especialización absoluta o intraregional, de ambas regiones de estudio se da en el subsector 38 Productos metálicos, maquinaria y equipo. Es así este subsector es el que genera más empleo, mayor valor de producción y es el más dinámico. </w:t>
      </w:r>
      <w:r>
        <w:rPr>
          <w:spacing w:val="-3"/>
        </w:rPr>
        <w:t>Lo </w:t>
      </w:r>
      <w:r>
        <w:rPr/>
        <w:t>cual se debe, entre otras cosas, a la inversión que se realiza en este subsector</w:t>
      </w:r>
      <w:r>
        <w:rPr>
          <w:position w:val="11"/>
          <w:sz w:val="16"/>
        </w:rPr>
        <w:t>62</w:t>
      </w:r>
      <w:r>
        <w:rPr/>
        <w:t>. Los subsectores que tienen poco peso en la estructura productiva de las regiones Toluca-Lerma y Valle de México son el 33, 36, 37 y</w:t>
      </w:r>
      <w:r>
        <w:rPr>
          <w:spacing w:val="-10"/>
        </w:rPr>
        <w:t> </w:t>
      </w:r>
      <w:r>
        <w:rPr/>
        <w:t>39.</w:t>
      </w:r>
    </w:p>
    <w:p>
      <w:pPr>
        <w:pStyle w:val="BodyText"/>
      </w:pPr>
    </w:p>
    <w:p>
      <w:pPr>
        <w:pStyle w:val="Heading2"/>
        <w:numPr>
          <w:ilvl w:val="2"/>
          <w:numId w:val="15"/>
        </w:numPr>
        <w:tabs>
          <w:tab w:pos="663" w:val="left" w:leader="none"/>
        </w:tabs>
        <w:spacing w:line="240" w:lineRule="auto" w:before="156" w:after="0"/>
        <w:ind w:left="662" w:right="0" w:hanging="540"/>
        <w:jc w:val="left"/>
      </w:pPr>
      <w:r>
        <w:rPr/>
        <w:t>Especialización relativa o</w:t>
      </w:r>
      <w:r>
        <w:rPr>
          <w:spacing w:val="-11"/>
        </w:rPr>
        <w:t> </w:t>
      </w:r>
      <w:r>
        <w:rPr/>
        <w:t>interregional</w:t>
      </w:r>
    </w:p>
    <w:p>
      <w:pPr>
        <w:pStyle w:val="BodyText"/>
        <w:spacing w:line="360" w:lineRule="auto" w:before="135"/>
        <w:ind w:left="122" w:right="118"/>
      </w:pPr>
      <w:r>
        <w:rPr/>
        <w:t>La especialización relativa o interregional es la comparación entre regiones, según la cual una región está especializada en los sectores que los que se tiene un tamaño relativo  mayor</w:t>
      </w:r>
    </w:p>
    <w:p>
      <w:pPr>
        <w:pStyle w:val="BodyText"/>
        <w:spacing w:before="4"/>
        <w:rPr>
          <w:sz w:val="26"/>
        </w:rPr>
      </w:pPr>
      <w:r>
        <w:rPr/>
        <w:pict>
          <v:line style="position:absolute;mso-position-horizontal-relative:page;mso-position-vertical-relative:paragraph;z-index:2824;mso-wrap-distance-left:0;mso-wrap-distance-right:0" from="85.103996pt,17.519777pt" to="229.123996pt,17.519777pt" stroked="true" strokeweight=".71997pt" strokecolor="#000000">
            <w10:wrap type="topAndBottom"/>
          </v:line>
        </w:pict>
      </w:r>
    </w:p>
    <w:p>
      <w:pPr>
        <w:spacing w:line="241" w:lineRule="exact" w:before="42"/>
        <w:ind w:left="122" w:right="0" w:firstLine="0"/>
        <w:jc w:val="both"/>
        <w:rPr>
          <w:sz w:val="20"/>
        </w:rPr>
      </w:pPr>
      <w:r>
        <w:rPr>
          <w:position w:val="9"/>
          <w:sz w:val="13"/>
        </w:rPr>
        <w:t>60 </w:t>
      </w:r>
      <w:r>
        <w:rPr>
          <w:sz w:val="20"/>
        </w:rPr>
        <w:t>En este subsector se encuentra la rama 3117, la cual es una de la que más importa de Estados Unidos.</w:t>
      </w:r>
    </w:p>
    <w:p>
      <w:pPr>
        <w:spacing w:line="230" w:lineRule="exact" w:before="14"/>
        <w:ind w:left="122" w:right="128" w:firstLine="0"/>
        <w:jc w:val="both"/>
        <w:rPr>
          <w:sz w:val="20"/>
        </w:rPr>
      </w:pPr>
      <w:r>
        <w:rPr>
          <w:position w:val="9"/>
          <w:sz w:val="13"/>
        </w:rPr>
        <w:t>61 </w:t>
      </w:r>
      <w:r>
        <w:rPr>
          <w:sz w:val="20"/>
        </w:rPr>
        <w:t>Lo mismo sucede en cuanto a PO, en 1970 sólo mantenía ocupado al 5.52% del personal, en 1988; 10.95%  y en 2008;</w:t>
      </w:r>
      <w:r>
        <w:rPr>
          <w:spacing w:val="-2"/>
          <w:sz w:val="20"/>
        </w:rPr>
        <w:t> </w:t>
      </w:r>
      <w:r>
        <w:rPr>
          <w:sz w:val="20"/>
        </w:rPr>
        <w:t>20.7%.</w:t>
      </w:r>
    </w:p>
    <w:p>
      <w:pPr>
        <w:spacing w:line="230" w:lineRule="exact" w:before="0"/>
        <w:ind w:left="122" w:right="127" w:firstLine="0"/>
        <w:jc w:val="both"/>
        <w:rPr>
          <w:sz w:val="20"/>
        </w:rPr>
      </w:pPr>
      <w:r>
        <w:rPr>
          <w:position w:val="9"/>
          <w:sz w:val="13"/>
        </w:rPr>
        <w:t>62 </w:t>
      </w:r>
      <w:r>
        <w:rPr>
          <w:sz w:val="20"/>
        </w:rPr>
        <w:t>La IED captada entre enero de 1999 y septiembre de 2006 se canalizó a dos actividades importantes para el estado: la industria química y la producción de maquinaria y equipo, las cuales captaron 9.2 y 12.9% del total estatal, véase Mejía y Rendón (2011).</w:t>
      </w:r>
    </w:p>
    <w:p>
      <w:pPr>
        <w:spacing w:after="0" w:line="230" w:lineRule="exact"/>
        <w:jc w:val="both"/>
        <w:rPr>
          <w:sz w:val="20"/>
        </w:rPr>
        <w:sectPr>
          <w:footerReference w:type="default" r:id="rId35"/>
          <w:pgSz w:w="12240" w:h="15840"/>
          <w:pgMar w:footer="1003" w:header="0" w:top="1360" w:bottom="1200" w:left="1580" w:right="1580"/>
          <w:pgNumType w:start="96"/>
        </w:sectPr>
      </w:pPr>
    </w:p>
    <w:p>
      <w:pPr>
        <w:pStyle w:val="BodyText"/>
        <w:spacing w:line="360" w:lineRule="auto" w:before="50"/>
        <w:ind w:left="102" w:right="118"/>
        <w:jc w:val="both"/>
      </w:pPr>
      <w:r>
        <w:rPr/>
        <w:t>que en el estado o país. Ahora bien, para conocer en qué tipo de actividad se especializa la región y conocer: ¿cuál es el tamaño relativo de sus actividades? y ¿qué grado de diversificación presenta la economía regional?, se utiliza el cociente de localización. Este es uno de los instrumentos de análisis más simples y por ello el más utilizado en estudios regionales.</w:t>
      </w:r>
    </w:p>
    <w:p>
      <w:pPr>
        <w:pStyle w:val="BodyText"/>
        <w:spacing w:line="360" w:lineRule="auto" w:before="6"/>
        <w:ind w:left="102" w:right="119" w:firstLine="707"/>
        <w:jc w:val="both"/>
      </w:pPr>
      <w:r>
        <w:rPr/>
        <w:t>El cociente de localización compara el tamaño relativo de un sector en una región con el tamaño relativo del mismo sector a nivel estatal. Es una medida de la proporción que una actividad determinada representa en una región, comparada con la proporción de la misma actividad a nivel nacional (Boisier, 1980). En ese sentido, este indicador permite identificar las actividades en las que las regiones pueden tener ventajas comparativas de </w:t>
      </w:r>
      <w:r>
        <w:rPr>
          <w:i/>
        </w:rPr>
        <w:t>facto </w:t>
      </w:r>
      <w:r>
        <w:rPr/>
        <w:t>en virtud de que dadas las dotaciones de factores, cada país aprovecha sus ventajas comparativas y al mismo tiempo es alentado por sus políticas públicas a una mayor especialización en ciertos bienes (Carbajal </w:t>
      </w:r>
      <w:r>
        <w:rPr>
          <w:i/>
        </w:rPr>
        <w:t>et al</w:t>
      </w:r>
      <w:r>
        <w:rPr/>
        <w:t>., 2008).</w:t>
      </w:r>
    </w:p>
    <w:p>
      <w:pPr>
        <w:pStyle w:val="BodyText"/>
        <w:spacing w:line="360" w:lineRule="auto" w:before="6"/>
        <w:ind w:left="102" w:right="116" w:firstLine="707"/>
        <w:jc w:val="both"/>
      </w:pPr>
      <w:r>
        <w:rPr/>
        <w:t>Obsérvese que si el resultado del cociente es mayor a uno, la actividad analizada tiene mayor relevancia en el orden regional, y en el área de mercado de los bienes producidos es superior a la región misma, la actividad podría ser exportadora de tales bienes. Richardson (1975), supone que si una región está más especializada que la nación en la producción de un determinado artículo exporta ese artículo en función de su grado de especialización. En otras palabras, se parte del supuesto de que la especialización en la producción implica la exportación local del excedente de</w:t>
      </w:r>
      <w:r>
        <w:rPr>
          <w:spacing w:val="-15"/>
        </w:rPr>
        <w:t> </w:t>
      </w:r>
      <w:r>
        <w:rPr/>
        <w:t>producción.</w:t>
      </w:r>
    </w:p>
    <w:p>
      <w:pPr>
        <w:pStyle w:val="BodyText"/>
        <w:spacing w:line="360" w:lineRule="auto" w:before="4"/>
        <w:ind w:left="102" w:right="120" w:firstLine="707"/>
        <w:jc w:val="both"/>
      </w:pPr>
      <w:r>
        <w:rPr/>
        <w:t>Además, este cociente muestra las deficiencias relativas de una región, y es útil para la sustitución de importaciones o productos con potencial exportador e indica qué industrias requieren más análisis, de ahí la importancia de su utilización en este trabajo porque muestra que subsectores tienen la vocación exportadora y así aprovechar estas</w:t>
      </w:r>
      <w:r>
        <w:rPr>
          <w:spacing w:val="-16"/>
        </w:rPr>
        <w:t> </w:t>
      </w:r>
      <w:r>
        <w:rPr/>
        <w:t>ventajas.</w:t>
      </w:r>
    </w:p>
    <w:p>
      <w:pPr>
        <w:pStyle w:val="BodyText"/>
        <w:spacing w:line="360" w:lineRule="auto" w:before="4"/>
        <w:ind w:left="102" w:right="116" w:firstLine="707"/>
        <w:jc w:val="both"/>
      </w:pPr>
      <w:r>
        <w:rPr/>
        <w:t>Con base en el cálculo de este índice en las regiones de estudio se obtuvieron los resultados que se muestran en el Cuadro 3.5. En donde se puede apreciar que en todo el periodo de estudio la región Toluca-Lerma se especializa en el subsector 38 Productos metálicos, maquinaria y equipo pues sus valores son mayores a la unidad, y en el 31 Productos alimenticios, bebidas y tabaco. Para los años de 1970, 1985,1988, 1998, 2003 y 2008 en el subsector 35 Sustancias químicas, productos derivados del petróleo y del carbón, hule y de plástico.</w:t>
      </w:r>
    </w:p>
    <w:p>
      <w:pPr>
        <w:spacing w:after="0" w:line="360" w:lineRule="auto"/>
        <w:jc w:val="both"/>
        <w:sectPr>
          <w:pgSz w:w="12240" w:h="15840"/>
          <w:pgMar w:header="0" w:footer="1003" w:top="1360" w:bottom="1200" w:left="1600" w:right="1580"/>
        </w:sectPr>
      </w:pPr>
    </w:p>
    <w:p>
      <w:pPr>
        <w:pStyle w:val="BodyText"/>
        <w:spacing w:line="350" w:lineRule="auto" w:before="50"/>
        <w:ind w:left="122" w:right="114" w:firstLine="707"/>
        <w:jc w:val="both"/>
      </w:pPr>
      <w:r>
        <w:rPr/>
        <w:t>En el subsector 31 Productos alimenticios, bebidas y tabaco</w:t>
      </w:r>
      <w:r>
        <w:rPr>
          <w:i/>
        </w:rPr>
        <w:t>, </w:t>
      </w:r>
      <w:r>
        <w:rPr/>
        <w:t>sobresale desde 1970 a 2008 la especialización del municipio de Toluca en la industria de las bebidas,</w:t>
      </w:r>
      <w:r>
        <w:rPr>
          <w:position w:val="11"/>
          <w:sz w:val="16"/>
        </w:rPr>
        <w:t>63 </w:t>
      </w:r>
      <w:r>
        <w:rPr/>
        <w:t>en la fabricación de productos de panadería y tortillas desde 1980 y en la industria del tabaco desde 1985 a 2008.</w:t>
      </w:r>
    </w:p>
    <w:p>
      <w:pPr>
        <w:spacing w:before="41"/>
        <w:ind w:left="853" w:right="243" w:firstLine="0"/>
        <w:jc w:val="left"/>
        <w:rPr>
          <w:rFonts w:ascii="Arial"/>
          <w:b/>
          <w:sz w:val="14"/>
        </w:rPr>
      </w:pPr>
      <w:r>
        <w:rPr>
          <w:rFonts w:ascii="Arial"/>
          <w:b/>
          <w:w w:val="85"/>
          <w:sz w:val="14"/>
        </w:rPr>
        <w:t>Cuadro 3.5</w:t>
      </w:r>
    </w:p>
    <w:p>
      <w:pPr>
        <w:spacing w:line="283" w:lineRule="auto" w:before="29"/>
        <w:ind w:left="853" w:right="6567" w:firstLine="0"/>
        <w:jc w:val="left"/>
        <w:rPr>
          <w:rFonts w:ascii="Arial" w:hAnsi="Arial"/>
          <w:b/>
          <w:sz w:val="14"/>
        </w:rPr>
      </w:pPr>
      <w:r>
        <w:rPr>
          <w:rFonts w:ascii="Arial" w:hAnsi="Arial"/>
          <w:b/>
          <w:w w:val="85"/>
          <w:sz w:val="14"/>
        </w:rPr>
        <w:t>Cociente de localización Valor Agregado</w:t>
      </w:r>
    </w:p>
    <w:p>
      <w:pPr>
        <w:spacing w:line="283" w:lineRule="auto" w:before="0"/>
        <w:ind w:left="853" w:right="5962" w:firstLine="0"/>
        <w:jc w:val="left"/>
        <w:rPr>
          <w:rFonts w:ascii="Arial" w:hAnsi="Arial"/>
          <w:b/>
          <w:sz w:val="14"/>
        </w:rPr>
      </w:pPr>
      <w:r>
        <w:rPr>
          <w:rFonts w:ascii="Arial" w:hAnsi="Arial"/>
          <w:b/>
          <w:w w:val="85"/>
          <w:sz w:val="14"/>
        </w:rPr>
        <w:t>Región Toluca-Lerma y Valle de México </w:t>
      </w:r>
      <w:r>
        <w:rPr>
          <w:rFonts w:ascii="Arial" w:hAnsi="Arial"/>
          <w:b/>
          <w:w w:val="95"/>
          <w:sz w:val="14"/>
        </w:rPr>
        <w:t>1970-2008</w:t>
      </w:r>
    </w:p>
    <w:p>
      <w:pPr>
        <w:pStyle w:val="BodyText"/>
        <w:spacing w:before="7"/>
        <w:rPr>
          <w:rFonts w:ascii="Arial"/>
          <w:b/>
          <w:sz w:val="15"/>
        </w:rPr>
      </w:pPr>
    </w:p>
    <w:tbl>
      <w:tblPr>
        <w:tblW w:w="0" w:type="auto"/>
        <w:jc w:val="left"/>
        <w:tblInd w:w="8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36"/>
        <w:gridCol w:w="414"/>
        <w:gridCol w:w="413"/>
        <w:gridCol w:w="414"/>
        <w:gridCol w:w="414"/>
        <w:gridCol w:w="413"/>
        <w:gridCol w:w="414"/>
        <w:gridCol w:w="413"/>
        <w:gridCol w:w="414"/>
        <w:gridCol w:w="413"/>
        <w:gridCol w:w="414"/>
        <w:gridCol w:w="413"/>
        <w:gridCol w:w="414"/>
        <w:gridCol w:w="413"/>
        <w:gridCol w:w="414"/>
        <w:gridCol w:w="413"/>
        <w:gridCol w:w="414"/>
        <w:gridCol w:w="414"/>
        <w:gridCol w:w="413"/>
      </w:tblGrid>
      <w:tr>
        <w:trPr>
          <w:trHeight w:val="190" w:hRule="exact"/>
        </w:trPr>
        <w:tc>
          <w:tcPr>
            <w:tcW w:w="636" w:type="dxa"/>
            <w:vMerge w:val="restart"/>
            <w:tcBorders>
              <w:left w:val="single" w:sz="3" w:space="0" w:color="000000"/>
              <w:right w:val="single" w:sz="3" w:space="0" w:color="000000"/>
            </w:tcBorders>
            <w:shd w:val="clear" w:color="auto" w:fill="D7D7D7"/>
          </w:tcPr>
          <w:p>
            <w:pPr>
              <w:pStyle w:val="TableParagraph"/>
              <w:spacing w:before="3"/>
              <w:jc w:val="left"/>
              <w:rPr>
                <w:b/>
                <w:sz w:val="17"/>
              </w:rPr>
            </w:pPr>
          </w:p>
          <w:p>
            <w:pPr>
              <w:pStyle w:val="TableParagraph"/>
              <w:ind w:left="119"/>
              <w:jc w:val="left"/>
              <w:rPr>
                <w:rFonts w:ascii="Calibri"/>
                <w:b/>
                <w:sz w:val="14"/>
              </w:rPr>
            </w:pPr>
            <w:r>
              <w:rPr>
                <w:rFonts w:ascii="Calibri"/>
                <w:b/>
                <w:w w:val="95"/>
                <w:sz w:val="14"/>
              </w:rPr>
              <w:t>REGION</w:t>
            </w:r>
          </w:p>
        </w:tc>
        <w:tc>
          <w:tcPr>
            <w:tcW w:w="827" w:type="dxa"/>
            <w:gridSpan w:val="2"/>
            <w:tcBorders>
              <w:left w:val="single" w:sz="3" w:space="0" w:color="000000"/>
              <w:right w:val="single" w:sz="3" w:space="0" w:color="000000"/>
            </w:tcBorders>
            <w:shd w:val="clear" w:color="auto" w:fill="D7D7D7"/>
          </w:tcPr>
          <w:p>
            <w:pPr>
              <w:pStyle w:val="TableParagraph"/>
              <w:spacing w:before="9"/>
              <w:ind w:left="258" w:right="250"/>
              <w:jc w:val="center"/>
              <w:rPr>
                <w:rFonts w:ascii="Calibri"/>
                <w:sz w:val="14"/>
              </w:rPr>
            </w:pPr>
            <w:r>
              <w:rPr>
                <w:rFonts w:ascii="Calibri"/>
                <w:w w:val="95"/>
                <w:sz w:val="14"/>
              </w:rPr>
              <w:t>1970</w:t>
            </w:r>
          </w:p>
        </w:tc>
        <w:tc>
          <w:tcPr>
            <w:tcW w:w="827" w:type="dxa"/>
            <w:gridSpan w:val="2"/>
            <w:tcBorders>
              <w:left w:val="single" w:sz="3" w:space="0" w:color="000000"/>
              <w:right w:val="single" w:sz="3" w:space="0" w:color="000000"/>
            </w:tcBorders>
            <w:shd w:val="clear" w:color="auto" w:fill="D7D7D7"/>
          </w:tcPr>
          <w:p>
            <w:pPr>
              <w:pStyle w:val="TableParagraph"/>
              <w:spacing w:before="9"/>
              <w:ind w:left="258" w:right="250"/>
              <w:jc w:val="center"/>
              <w:rPr>
                <w:rFonts w:ascii="Calibri"/>
                <w:sz w:val="14"/>
              </w:rPr>
            </w:pPr>
            <w:r>
              <w:rPr>
                <w:rFonts w:ascii="Calibri"/>
                <w:w w:val="95"/>
                <w:sz w:val="14"/>
              </w:rPr>
              <w:t>1975</w:t>
            </w:r>
          </w:p>
        </w:tc>
        <w:tc>
          <w:tcPr>
            <w:tcW w:w="827" w:type="dxa"/>
            <w:gridSpan w:val="2"/>
            <w:tcBorders>
              <w:left w:val="single" w:sz="3" w:space="0" w:color="000000"/>
              <w:right w:val="single" w:sz="3" w:space="0" w:color="000000"/>
            </w:tcBorders>
            <w:shd w:val="clear" w:color="auto" w:fill="D7D7D7"/>
          </w:tcPr>
          <w:p>
            <w:pPr>
              <w:pStyle w:val="TableParagraph"/>
              <w:spacing w:before="9"/>
              <w:ind w:left="258" w:right="251"/>
              <w:jc w:val="center"/>
              <w:rPr>
                <w:rFonts w:ascii="Calibri"/>
                <w:sz w:val="14"/>
              </w:rPr>
            </w:pPr>
            <w:r>
              <w:rPr>
                <w:rFonts w:ascii="Calibri"/>
                <w:w w:val="95"/>
                <w:sz w:val="14"/>
              </w:rPr>
              <w:t>1980</w:t>
            </w:r>
          </w:p>
        </w:tc>
        <w:tc>
          <w:tcPr>
            <w:tcW w:w="827" w:type="dxa"/>
            <w:gridSpan w:val="2"/>
            <w:tcBorders>
              <w:left w:val="single" w:sz="3" w:space="0" w:color="000000"/>
              <w:right w:val="single" w:sz="3" w:space="0" w:color="000000"/>
            </w:tcBorders>
            <w:shd w:val="clear" w:color="auto" w:fill="D7D7D7"/>
          </w:tcPr>
          <w:p>
            <w:pPr>
              <w:pStyle w:val="TableParagraph"/>
              <w:spacing w:before="9"/>
              <w:ind w:left="258" w:right="251"/>
              <w:jc w:val="center"/>
              <w:rPr>
                <w:rFonts w:ascii="Calibri"/>
                <w:sz w:val="14"/>
              </w:rPr>
            </w:pPr>
            <w:r>
              <w:rPr>
                <w:rFonts w:ascii="Calibri"/>
                <w:w w:val="95"/>
                <w:sz w:val="14"/>
              </w:rPr>
              <w:t>1985</w:t>
            </w:r>
          </w:p>
        </w:tc>
        <w:tc>
          <w:tcPr>
            <w:tcW w:w="827" w:type="dxa"/>
            <w:gridSpan w:val="2"/>
            <w:tcBorders>
              <w:left w:val="single" w:sz="3" w:space="0" w:color="000000"/>
              <w:right w:val="single" w:sz="3" w:space="0" w:color="000000"/>
            </w:tcBorders>
            <w:shd w:val="clear" w:color="auto" w:fill="D7D7D7"/>
          </w:tcPr>
          <w:p>
            <w:pPr>
              <w:pStyle w:val="TableParagraph"/>
              <w:spacing w:before="9"/>
              <w:ind w:left="258" w:right="251"/>
              <w:jc w:val="center"/>
              <w:rPr>
                <w:rFonts w:ascii="Calibri"/>
                <w:sz w:val="14"/>
              </w:rPr>
            </w:pPr>
            <w:r>
              <w:rPr>
                <w:rFonts w:ascii="Calibri"/>
                <w:w w:val="95"/>
                <w:sz w:val="14"/>
              </w:rPr>
              <w:t>1988</w:t>
            </w:r>
          </w:p>
        </w:tc>
        <w:tc>
          <w:tcPr>
            <w:tcW w:w="827" w:type="dxa"/>
            <w:gridSpan w:val="2"/>
            <w:tcBorders>
              <w:left w:val="single" w:sz="3" w:space="0" w:color="000000"/>
              <w:right w:val="single" w:sz="3" w:space="0" w:color="000000"/>
            </w:tcBorders>
            <w:shd w:val="clear" w:color="auto" w:fill="D7D7D7"/>
          </w:tcPr>
          <w:p>
            <w:pPr>
              <w:pStyle w:val="TableParagraph"/>
              <w:spacing w:before="9"/>
              <w:ind w:left="258" w:right="251"/>
              <w:jc w:val="center"/>
              <w:rPr>
                <w:rFonts w:ascii="Calibri"/>
                <w:sz w:val="14"/>
              </w:rPr>
            </w:pPr>
            <w:r>
              <w:rPr>
                <w:rFonts w:ascii="Calibri"/>
                <w:w w:val="95"/>
                <w:sz w:val="14"/>
              </w:rPr>
              <w:t>1993</w:t>
            </w:r>
          </w:p>
        </w:tc>
        <w:tc>
          <w:tcPr>
            <w:tcW w:w="827" w:type="dxa"/>
            <w:gridSpan w:val="2"/>
            <w:tcBorders>
              <w:left w:val="single" w:sz="3" w:space="0" w:color="000000"/>
              <w:right w:val="single" w:sz="3" w:space="0" w:color="000000"/>
            </w:tcBorders>
            <w:shd w:val="clear" w:color="auto" w:fill="D7D7D7"/>
          </w:tcPr>
          <w:p>
            <w:pPr>
              <w:pStyle w:val="TableParagraph"/>
              <w:spacing w:before="9"/>
              <w:ind w:left="258" w:right="251"/>
              <w:jc w:val="center"/>
              <w:rPr>
                <w:rFonts w:ascii="Calibri"/>
                <w:sz w:val="14"/>
              </w:rPr>
            </w:pPr>
            <w:r>
              <w:rPr>
                <w:rFonts w:ascii="Calibri"/>
                <w:w w:val="95"/>
                <w:sz w:val="14"/>
              </w:rPr>
              <w:t>1998</w:t>
            </w:r>
          </w:p>
        </w:tc>
        <w:tc>
          <w:tcPr>
            <w:tcW w:w="827" w:type="dxa"/>
            <w:gridSpan w:val="2"/>
            <w:tcBorders>
              <w:left w:val="single" w:sz="3" w:space="0" w:color="000000"/>
              <w:right w:val="single" w:sz="3" w:space="0" w:color="000000"/>
            </w:tcBorders>
            <w:shd w:val="clear" w:color="auto" w:fill="D7D7D7"/>
          </w:tcPr>
          <w:p>
            <w:pPr>
              <w:pStyle w:val="TableParagraph"/>
              <w:spacing w:before="9"/>
              <w:ind w:left="258" w:right="251"/>
              <w:jc w:val="center"/>
              <w:rPr>
                <w:rFonts w:ascii="Calibri"/>
                <w:sz w:val="14"/>
              </w:rPr>
            </w:pPr>
            <w:r>
              <w:rPr>
                <w:rFonts w:ascii="Calibri"/>
                <w:w w:val="95"/>
                <w:sz w:val="14"/>
              </w:rPr>
              <w:t>2003</w:t>
            </w:r>
          </w:p>
        </w:tc>
        <w:tc>
          <w:tcPr>
            <w:tcW w:w="827" w:type="dxa"/>
            <w:gridSpan w:val="2"/>
            <w:tcBorders>
              <w:left w:val="single" w:sz="3" w:space="0" w:color="000000"/>
              <w:right w:val="single" w:sz="3" w:space="0" w:color="000000"/>
            </w:tcBorders>
            <w:shd w:val="clear" w:color="auto" w:fill="D7D7D7"/>
          </w:tcPr>
          <w:p>
            <w:pPr>
              <w:pStyle w:val="TableParagraph"/>
              <w:spacing w:before="9"/>
              <w:ind w:left="258" w:right="251"/>
              <w:jc w:val="center"/>
              <w:rPr>
                <w:rFonts w:ascii="Calibri"/>
                <w:sz w:val="14"/>
              </w:rPr>
            </w:pPr>
            <w:r>
              <w:rPr>
                <w:rFonts w:ascii="Calibri"/>
                <w:w w:val="95"/>
                <w:sz w:val="14"/>
              </w:rPr>
              <w:t>2008</w:t>
            </w:r>
          </w:p>
        </w:tc>
      </w:tr>
      <w:tr>
        <w:trPr>
          <w:trHeight w:val="190" w:hRule="exact"/>
        </w:trPr>
        <w:tc>
          <w:tcPr>
            <w:tcW w:w="636" w:type="dxa"/>
            <w:vMerge/>
            <w:tcBorders>
              <w:left w:val="single" w:sz="3" w:space="0" w:color="000000"/>
              <w:right w:val="single" w:sz="3" w:space="0" w:color="000000"/>
            </w:tcBorders>
            <w:shd w:val="clear" w:color="auto" w:fill="D7D7D7"/>
          </w:tcPr>
          <w:p>
            <w:pPr/>
          </w:p>
        </w:tc>
        <w:tc>
          <w:tcPr>
            <w:tcW w:w="414" w:type="dxa"/>
            <w:tcBorders>
              <w:left w:val="single" w:sz="3" w:space="0" w:color="000000"/>
              <w:right w:val="single" w:sz="3" w:space="0" w:color="000000"/>
            </w:tcBorders>
            <w:shd w:val="clear" w:color="auto" w:fill="D7D7D7"/>
          </w:tcPr>
          <w:p>
            <w:pPr>
              <w:pStyle w:val="TableParagraph"/>
              <w:spacing w:before="9"/>
              <w:ind w:left="135"/>
              <w:jc w:val="left"/>
              <w:rPr>
                <w:rFonts w:ascii="Calibri"/>
                <w:b/>
                <w:sz w:val="14"/>
              </w:rPr>
            </w:pPr>
            <w:r>
              <w:rPr>
                <w:rFonts w:ascii="Calibri"/>
                <w:b/>
                <w:w w:val="95"/>
                <w:sz w:val="14"/>
              </w:rPr>
              <w:t>T-L</w:t>
            </w:r>
          </w:p>
        </w:tc>
        <w:tc>
          <w:tcPr>
            <w:tcW w:w="413" w:type="dxa"/>
            <w:tcBorders>
              <w:left w:val="single" w:sz="3" w:space="0" w:color="000000"/>
              <w:right w:val="single" w:sz="3" w:space="0" w:color="000000"/>
            </w:tcBorders>
            <w:shd w:val="clear" w:color="auto" w:fill="D7D7D7"/>
          </w:tcPr>
          <w:p>
            <w:pPr>
              <w:pStyle w:val="TableParagraph"/>
              <w:spacing w:before="9"/>
              <w:ind w:right="20"/>
              <w:rPr>
                <w:rFonts w:ascii="Calibri"/>
                <w:b/>
                <w:sz w:val="14"/>
              </w:rPr>
            </w:pPr>
            <w:r>
              <w:rPr>
                <w:rFonts w:ascii="Calibri"/>
                <w:b/>
                <w:w w:val="90"/>
                <w:sz w:val="14"/>
              </w:rPr>
              <w:t>V DE M</w:t>
            </w:r>
          </w:p>
        </w:tc>
        <w:tc>
          <w:tcPr>
            <w:tcW w:w="414" w:type="dxa"/>
            <w:tcBorders>
              <w:left w:val="single" w:sz="3" w:space="0" w:color="000000"/>
              <w:right w:val="single" w:sz="3" w:space="0" w:color="000000"/>
            </w:tcBorders>
            <w:shd w:val="clear" w:color="auto" w:fill="D7D7D7"/>
          </w:tcPr>
          <w:p>
            <w:pPr>
              <w:pStyle w:val="TableParagraph"/>
              <w:spacing w:before="9"/>
              <w:ind w:left="135"/>
              <w:jc w:val="left"/>
              <w:rPr>
                <w:rFonts w:ascii="Calibri"/>
                <w:b/>
                <w:sz w:val="14"/>
              </w:rPr>
            </w:pPr>
            <w:r>
              <w:rPr>
                <w:rFonts w:ascii="Calibri"/>
                <w:b/>
                <w:w w:val="95"/>
                <w:sz w:val="14"/>
              </w:rPr>
              <w:t>T-L</w:t>
            </w:r>
          </w:p>
        </w:tc>
        <w:tc>
          <w:tcPr>
            <w:tcW w:w="414" w:type="dxa"/>
            <w:tcBorders>
              <w:left w:val="single" w:sz="3" w:space="0" w:color="000000"/>
              <w:right w:val="single" w:sz="3" w:space="0" w:color="000000"/>
            </w:tcBorders>
            <w:shd w:val="clear" w:color="auto" w:fill="D7D7D7"/>
          </w:tcPr>
          <w:p>
            <w:pPr>
              <w:pStyle w:val="TableParagraph"/>
              <w:spacing w:before="9"/>
              <w:ind w:right="21"/>
              <w:rPr>
                <w:rFonts w:ascii="Calibri"/>
                <w:b/>
                <w:sz w:val="14"/>
              </w:rPr>
            </w:pPr>
            <w:r>
              <w:rPr>
                <w:rFonts w:ascii="Calibri"/>
                <w:b/>
                <w:w w:val="90"/>
                <w:sz w:val="14"/>
              </w:rPr>
              <w:t>V DE M</w:t>
            </w:r>
          </w:p>
        </w:tc>
        <w:tc>
          <w:tcPr>
            <w:tcW w:w="413" w:type="dxa"/>
            <w:tcBorders>
              <w:left w:val="single" w:sz="3" w:space="0" w:color="000000"/>
              <w:right w:val="single" w:sz="3" w:space="0" w:color="000000"/>
            </w:tcBorders>
            <w:shd w:val="clear" w:color="auto" w:fill="D7D7D7"/>
          </w:tcPr>
          <w:p>
            <w:pPr>
              <w:pStyle w:val="TableParagraph"/>
              <w:spacing w:before="9"/>
              <w:ind w:left="135"/>
              <w:jc w:val="left"/>
              <w:rPr>
                <w:rFonts w:ascii="Calibri"/>
                <w:b/>
                <w:sz w:val="14"/>
              </w:rPr>
            </w:pPr>
            <w:r>
              <w:rPr>
                <w:rFonts w:ascii="Calibri"/>
                <w:b/>
                <w:w w:val="95"/>
                <w:sz w:val="14"/>
              </w:rPr>
              <w:t>T-L</w:t>
            </w:r>
          </w:p>
        </w:tc>
        <w:tc>
          <w:tcPr>
            <w:tcW w:w="414" w:type="dxa"/>
            <w:tcBorders>
              <w:left w:val="single" w:sz="3" w:space="0" w:color="000000"/>
              <w:right w:val="single" w:sz="3" w:space="0" w:color="000000"/>
            </w:tcBorders>
            <w:shd w:val="clear" w:color="auto" w:fill="D7D7D7"/>
          </w:tcPr>
          <w:p>
            <w:pPr>
              <w:pStyle w:val="TableParagraph"/>
              <w:spacing w:before="9"/>
              <w:ind w:right="21"/>
              <w:rPr>
                <w:rFonts w:ascii="Calibri"/>
                <w:b/>
                <w:sz w:val="14"/>
              </w:rPr>
            </w:pPr>
            <w:r>
              <w:rPr>
                <w:rFonts w:ascii="Calibri"/>
                <w:b/>
                <w:w w:val="90"/>
                <w:sz w:val="14"/>
              </w:rPr>
              <w:t>V DE M</w:t>
            </w:r>
          </w:p>
        </w:tc>
        <w:tc>
          <w:tcPr>
            <w:tcW w:w="413" w:type="dxa"/>
            <w:tcBorders>
              <w:left w:val="single" w:sz="3" w:space="0" w:color="000000"/>
              <w:right w:val="single" w:sz="3" w:space="0" w:color="000000"/>
            </w:tcBorders>
            <w:shd w:val="clear" w:color="auto" w:fill="D7D7D7"/>
          </w:tcPr>
          <w:p>
            <w:pPr>
              <w:pStyle w:val="TableParagraph"/>
              <w:spacing w:before="9"/>
              <w:ind w:left="135"/>
              <w:jc w:val="left"/>
              <w:rPr>
                <w:rFonts w:ascii="Calibri"/>
                <w:b/>
                <w:sz w:val="14"/>
              </w:rPr>
            </w:pPr>
            <w:r>
              <w:rPr>
                <w:rFonts w:ascii="Calibri"/>
                <w:b/>
                <w:w w:val="95"/>
                <w:sz w:val="14"/>
              </w:rPr>
              <w:t>T-L</w:t>
            </w:r>
          </w:p>
        </w:tc>
        <w:tc>
          <w:tcPr>
            <w:tcW w:w="414" w:type="dxa"/>
            <w:tcBorders>
              <w:left w:val="single" w:sz="3" w:space="0" w:color="000000"/>
              <w:right w:val="single" w:sz="3" w:space="0" w:color="000000"/>
            </w:tcBorders>
            <w:shd w:val="clear" w:color="auto" w:fill="D7D7D7"/>
          </w:tcPr>
          <w:p>
            <w:pPr>
              <w:pStyle w:val="TableParagraph"/>
              <w:spacing w:before="9"/>
              <w:ind w:right="21"/>
              <w:rPr>
                <w:rFonts w:ascii="Calibri"/>
                <w:b/>
                <w:sz w:val="14"/>
              </w:rPr>
            </w:pPr>
            <w:r>
              <w:rPr>
                <w:rFonts w:ascii="Calibri"/>
                <w:b/>
                <w:w w:val="90"/>
                <w:sz w:val="14"/>
              </w:rPr>
              <w:t>V DE M</w:t>
            </w:r>
          </w:p>
        </w:tc>
        <w:tc>
          <w:tcPr>
            <w:tcW w:w="413" w:type="dxa"/>
            <w:tcBorders>
              <w:left w:val="single" w:sz="3" w:space="0" w:color="000000"/>
              <w:right w:val="single" w:sz="3" w:space="0" w:color="000000"/>
            </w:tcBorders>
            <w:shd w:val="clear" w:color="auto" w:fill="D7D7D7"/>
          </w:tcPr>
          <w:p>
            <w:pPr>
              <w:pStyle w:val="TableParagraph"/>
              <w:spacing w:before="9"/>
              <w:ind w:left="135"/>
              <w:jc w:val="left"/>
              <w:rPr>
                <w:rFonts w:ascii="Calibri"/>
                <w:b/>
                <w:sz w:val="14"/>
              </w:rPr>
            </w:pPr>
            <w:r>
              <w:rPr>
                <w:rFonts w:ascii="Calibri"/>
                <w:b/>
                <w:w w:val="95"/>
                <w:sz w:val="14"/>
              </w:rPr>
              <w:t>T-L</w:t>
            </w:r>
          </w:p>
        </w:tc>
        <w:tc>
          <w:tcPr>
            <w:tcW w:w="414" w:type="dxa"/>
            <w:tcBorders>
              <w:left w:val="single" w:sz="3" w:space="0" w:color="000000"/>
              <w:right w:val="single" w:sz="3" w:space="0" w:color="000000"/>
            </w:tcBorders>
            <w:shd w:val="clear" w:color="auto" w:fill="D7D7D7"/>
          </w:tcPr>
          <w:p>
            <w:pPr>
              <w:pStyle w:val="TableParagraph"/>
              <w:spacing w:before="9"/>
              <w:ind w:right="21"/>
              <w:rPr>
                <w:rFonts w:ascii="Calibri"/>
                <w:b/>
                <w:sz w:val="14"/>
              </w:rPr>
            </w:pPr>
            <w:r>
              <w:rPr>
                <w:rFonts w:ascii="Calibri"/>
                <w:b/>
                <w:w w:val="90"/>
                <w:sz w:val="14"/>
              </w:rPr>
              <w:t>V DE M</w:t>
            </w:r>
          </w:p>
        </w:tc>
        <w:tc>
          <w:tcPr>
            <w:tcW w:w="413" w:type="dxa"/>
            <w:tcBorders>
              <w:left w:val="single" w:sz="3" w:space="0" w:color="000000"/>
              <w:right w:val="single" w:sz="3" w:space="0" w:color="000000"/>
            </w:tcBorders>
            <w:shd w:val="clear" w:color="auto" w:fill="D7D7D7"/>
          </w:tcPr>
          <w:p>
            <w:pPr>
              <w:pStyle w:val="TableParagraph"/>
              <w:spacing w:before="9"/>
              <w:ind w:left="135"/>
              <w:jc w:val="left"/>
              <w:rPr>
                <w:rFonts w:ascii="Calibri"/>
                <w:b/>
                <w:sz w:val="14"/>
              </w:rPr>
            </w:pPr>
            <w:r>
              <w:rPr>
                <w:rFonts w:ascii="Calibri"/>
                <w:b/>
                <w:w w:val="95"/>
                <w:sz w:val="14"/>
              </w:rPr>
              <w:t>T-L</w:t>
            </w:r>
          </w:p>
        </w:tc>
        <w:tc>
          <w:tcPr>
            <w:tcW w:w="414" w:type="dxa"/>
            <w:tcBorders>
              <w:left w:val="single" w:sz="3" w:space="0" w:color="000000"/>
              <w:right w:val="single" w:sz="3" w:space="0" w:color="000000"/>
            </w:tcBorders>
            <w:shd w:val="clear" w:color="auto" w:fill="D7D7D7"/>
          </w:tcPr>
          <w:p>
            <w:pPr>
              <w:pStyle w:val="TableParagraph"/>
              <w:spacing w:before="9"/>
              <w:ind w:right="21"/>
              <w:rPr>
                <w:rFonts w:ascii="Calibri"/>
                <w:b/>
                <w:sz w:val="14"/>
              </w:rPr>
            </w:pPr>
            <w:r>
              <w:rPr>
                <w:rFonts w:ascii="Calibri"/>
                <w:b/>
                <w:w w:val="90"/>
                <w:sz w:val="14"/>
              </w:rPr>
              <w:t>V DE M</w:t>
            </w:r>
          </w:p>
        </w:tc>
        <w:tc>
          <w:tcPr>
            <w:tcW w:w="413" w:type="dxa"/>
            <w:tcBorders>
              <w:left w:val="single" w:sz="3" w:space="0" w:color="000000"/>
              <w:right w:val="single" w:sz="3" w:space="0" w:color="000000"/>
            </w:tcBorders>
            <w:shd w:val="clear" w:color="auto" w:fill="D7D7D7"/>
          </w:tcPr>
          <w:p>
            <w:pPr>
              <w:pStyle w:val="TableParagraph"/>
              <w:spacing w:before="9"/>
              <w:ind w:left="135"/>
              <w:jc w:val="left"/>
              <w:rPr>
                <w:rFonts w:ascii="Calibri"/>
                <w:b/>
                <w:sz w:val="14"/>
              </w:rPr>
            </w:pPr>
            <w:r>
              <w:rPr>
                <w:rFonts w:ascii="Calibri"/>
                <w:b/>
                <w:w w:val="95"/>
                <w:sz w:val="14"/>
              </w:rPr>
              <w:t>T-L</w:t>
            </w:r>
          </w:p>
        </w:tc>
        <w:tc>
          <w:tcPr>
            <w:tcW w:w="414" w:type="dxa"/>
            <w:tcBorders>
              <w:left w:val="single" w:sz="3" w:space="0" w:color="000000"/>
              <w:right w:val="single" w:sz="3" w:space="0" w:color="000000"/>
            </w:tcBorders>
            <w:shd w:val="clear" w:color="auto" w:fill="D7D7D7"/>
          </w:tcPr>
          <w:p>
            <w:pPr>
              <w:pStyle w:val="TableParagraph"/>
              <w:spacing w:before="9"/>
              <w:ind w:right="20"/>
              <w:rPr>
                <w:rFonts w:ascii="Calibri"/>
                <w:b/>
                <w:sz w:val="14"/>
              </w:rPr>
            </w:pPr>
            <w:r>
              <w:rPr>
                <w:rFonts w:ascii="Calibri"/>
                <w:b/>
                <w:w w:val="90"/>
                <w:sz w:val="14"/>
              </w:rPr>
              <w:t>V DE M</w:t>
            </w:r>
          </w:p>
        </w:tc>
        <w:tc>
          <w:tcPr>
            <w:tcW w:w="413" w:type="dxa"/>
            <w:tcBorders>
              <w:left w:val="single" w:sz="3" w:space="0" w:color="000000"/>
              <w:right w:val="single" w:sz="3" w:space="0" w:color="000000"/>
            </w:tcBorders>
            <w:shd w:val="clear" w:color="auto" w:fill="D7D7D7"/>
          </w:tcPr>
          <w:p>
            <w:pPr>
              <w:pStyle w:val="TableParagraph"/>
              <w:spacing w:before="9"/>
              <w:ind w:left="135"/>
              <w:jc w:val="left"/>
              <w:rPr>
                <w:rFonts w:ascii="Calibri"/>
                <w:b/>
                <w:sz w:val="14"/>
              </w:rPr>
            </w:pPr>
            <w:r>
              <w:rPr>
                <w:rFonts w:ascii="Calibri"/>
                <w:b/>
                <w:w w:val="95"/>
                <w:sz w:val="14"/>
              </w:rPr>
              <w:t>T-L</w:t>
            </w:r>
          </w:p>
        </w:tc>
        <w:tc>
          <w:tcPr>
            <w:tcW w:w="414" w:type="dxa"/>
            <w:tcBorders>
              <w:left w:val="single" w:sz="3" w:space="0" w:color="000000"/>
              <w:right w:val="single" w:sz="3" w:space="0" w:color="000000"/>
            </w:tcBorders>
            <w:shd w:val="clear" w:color="auto" w:fill="D7D7D7"/>
          </w:tcPr>
          <w:p>
            <w:pPr>
              <w:pStyle w:val="TableParagraph"/>
              <w:spacing w:before="9"/>
              <w:ind w:right="20"/>
              <w:rPr>
                <w:rFonts w:ascii="Calibri"/>
                <w:b/>
                <w:sz w:val="14"/>
              </w:rPr>
            </w:pPr>
            <w:r>
              <w:rPr>
                <w:rFonts w:ascii="Calibri"/>
                <w:b/>
                <w:w w:val="90"/>
                <w:sz w:val="14"/>
              </w:rPr>
              <w:t>V DE M</w:t>
            </w:r>
          </w:p>
        </w:tc>
        <w:tc>
          <w:tcPr>
            <w:tcW w:w="414" w:type="dxa"/>
            <w:tcBorders>
              <w:left w:val="single" w:sz="3" w:space="0" w:color="000000"/>
              <w:right w:val="single" w:sz="3" w:space="0" w:color="000000"/>
            </w:tcBorders>
            <w:shd w:val="clear" w:color="auto" w:fill="D7D7D7"/>
          </w:tcPr>
          <w:p>
            <w:pPr>
              <w:pStyle w:val="TableParagraph"/>
              <w:spacing w:before="9"/>
              <w:ind w:left="135"/>
              <w:jc w:val="left"/>
              <w:rPr>
                <w:rFonts w:ascii="Calibri"/>
                <w:b/>
                <w:sz w:val="14"/>
              </w:rPr>
            </w:pPr>
            <w:r>
              <w:rPr>
                <w:rFonts w:ascii="Calibri"/>
                <w:b/>
                <w:w w:val="95"/>
                <w:sz w:val="14"/>
              </w:rPr>
              <w:t>T-L</w:t>
            </w:r>
          </w:p>
        </w:tc>
        <w:tc>
          <w:tcPr>
            <w:tcW w:w="413" w:type="dxa"/>
            <w:tcBorders>
              <w:left w:val="single" w:sz="3" w:space="0" w:color="000000"/>
              <w:right w:val="single" w:sz="3" w:space="0" w:color="000000"/>
            </w:tcBorders>
            <w:shd w:val="clear" w:color="auto" w:fill="D7D7D7"/>
          </w:tcPr>
          <w:p>
            <w:pPr>
              <w:pStyle w:val="TableParagraph"/>
              <w:spacing w:before="9"/>
              <w:ind w:right="20"/>
              <w:rPr>
                <w:rFonts w:ascii="Calibri"/>
                <w:b/>
                <w:sz w:val="14"/>
              </w:rPr>
            </w:pPr>
            <w:r>
              <w:rPr>
                <w:rFonts w:ascii="Calibri"/>
                <w:b/>
                <w:w w:val="90"/>
                <w:sz w:val="14"/>
              </w:rPr>
              <w:t>V DE M</w:t>
            </w:r>
          </w:p>
        </w:tc>
      </w:tr>
      <w:tr>
        <w:trPr>
          <w:trHeight w:val="190" w:hRule="exact"/>
        </w:trPr>
        <w:tc>
          <w:tcPr>
            <w:tcW w:w="636" w:type="dxa"/>
            <w:tcBorders>
              <w:left w:val="single" w:sz="3" w:space="0" w:color="000000"/>
              <w:right w:val="single" w:sz="3" w:space="0" w:color="000000"/>
            </w:tcBorders>
          </w:tcPr>
          <w:p>
            <w:pPr>
              <w:pStyle w:val="TableParagraph"/>
              <w:spacing w:before="39"/>
              <w:ind w:left="4"/>
              <w:jc w:val="center"/>
              <w:rPr>
                <w:b/>
                <w:sz w:val="11"/>
              </w:rPr>
            </w:pPr>
            <w:r>
              <w:rPr>
                <w:b/>
                <w:w w:val="85"/>
                <w:sz w:val="11"/>
              </w:rPr>
              <w:t>Subsector 31</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2.7</w:t>
            </w:r>
          </w:p>
        </w:tc>
        <w:tc>
          <w:tcPr>
            <w:tcW w:w="413"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0.5</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2.4</w:t>
            </w:r>
          </w:p>
        </w:tc>
        <w:tc>
          <w:tcPr>
            <w:tcW w:w="414"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0.6</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1.9</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0.9</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1.1</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1.0</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1.1</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1.0</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1.2</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0.8</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1.1</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1.0</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1.1</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0.8</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1.1</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0.9</w:t>
            </w:r>
          </w:p>
        </w:tc>
      </w:tr>
      <w:tr>
        <w:trPr>
          <w:trHeight w:val="190" w:hRule="exact"/>
        </w:trPr>
        <w:tc>
          <w:tcPr>
            <w:tcW w:w="636" w:type="dxa"/>
            <w:tcBorders>
              <w:left w:val="single" w:sz="3" w:space="0" w:color="000000"/>
              <w:right w:val="single" w:sz="3" w:space="0" w:color="000000"/>
            </w:tcBorders>
          </w:tcPr>
          <w:p>
            <w:pPr>
              <w:pStyle w:val="TableParagraph"/>
              <w:spacing w:before="39"/>
              <w:ind w:left="4"/>
              <w:jc w:val="center"/>
              <w:rPr>
                <w:b/>
                <w:sz w:val="11"/>
              </w:rPr>
            </w:pPr>
            <w:r>
              <w:rPr>
                <w:b/>
                <w:w w:val="85"/>
                <w:sz w:val="11"/>
              </w:rPr>
              <w:t>Subsector 32</w:t>
            </w:r>
          </w:p>
        </w:tc>
        <w:tc>
          <w:tcPr>
            <w:tcW w:w="414"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0.5</w:t>
            </w:r>
          </w:p>
        </w:tc>
        <w:tc>
          <w:tcPr>
            <w:tcW w:w="413"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1.0</w:t>
            </w:r>
          </w:p>
        </w:tc>
        <w:tc>
          <w:tcPr>
            <w:tcW w:w="414"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0.5</w:t>
            </w:r>
          </w:p>
        </w:tc>
        <w:tc>
          <w:tcPr>
            <w:tcW w:w="414"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0.9</w:t>
            </w:r>
          </w:p>
        </w:tc>
        <w:tc>
          <w:tcPr>
            <w:tcW w:w="413"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0.5</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0.9</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0.8</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0.9</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0.6</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1.0</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0.4</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1.2</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0.8</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1.1</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0.8</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1.0</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0.7</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1.1</w:t>
            </w:r>
          </w:p>
        </w:tc>
      </w:tr>
      <w:tr>
        <w:trPr>
          <w:trHeight w:val="190" w:hRule="exact"/>
        </w:trPr>
        <w:tc>
          <w:tcPr>
            <w:tcW w:w="636" w:type="dxa"/>
            <w:tcBorders>
              <w:left w:val="single" w:sz="3" w:space="0" w:color="000000"/>
              <w:right w:val="single" w:sz="3" w:space="0" w:color="000000"/>
            </w:tcBorders>
          </w:tcPr>
          <w:p>
            <w:pPr>
              <w:pStyle w:val="TableParagraph"/>
              <w:spacing w:before="39"/>
              <w:ind w:left="4"/>
              <w:jc w:val="center"/>
              <w:rPr>
                <w:b/>
                <w:sz w:val="11"/>
              </w:rPr>
            </w:pPr>
            <w:r>
              <w:rPr>
                <w:b/>
                <w:w w:val="85"/>
                <w:sz w:val="11"/>
              </w:rPr>
              <w:t>Subsector 33</w:t>
            </w:r>
          </w:p>
        </w:tc>
        <w:tc>
          <w:tcPr>
            <w:tcW w:w="414"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0.1</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1.0</w:t>
            </w:r>
          </w:p>
        </w:tc>
        <w:tc>
          <w:tcPr>
            <w:tcW w:w="414"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0.3</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2.3</w:t>
            </w:r>
          </w:p>
        </w:tc>
        <w:tc>
          <w:tcPr>
            <w:tcW w:w="413"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0.1</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1.3</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0.9</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1.1</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0.5</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1.0</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0.5</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1.2</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0.5</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1.2</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0.6</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0.7</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0.3</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1.3</w:t>
            </w:r>
          </w:p>
        </w:tc>
      </w:tr>
      <w:tr>
        <w:trPr>
          <w:trHeight w:val="190" w:hRule="exact"/>
        </w:trPr>
        <w:tc>
          <w:tcPr>
            <w:tcW w:w="636" w:type="dxa"/>
            <w:tcBorders>
              <w:left w:val="single" w:sz="3" w:space="0" w:color="000000"/>
              <w:right w:val="single" w:sz="3" w:space="0" w:color="000000"/>
            </w:tcBorders>
          </w:tcPr>
          <w:p>
            <w:pPr>
              <w:pStyle w:val="TableParagraph"/>
              <w:spacing w:before="39"/>
              <w:ind w:left="4"/>
              <w:jc w:val="center"/>
              <w:rPr>
                <w:b/>
                <w:sz w:val="11"/>
              </w:rPr>
            </w:pPr>
            <w:r>
              <w:rPr>
                <w:b/>
                <w:w w:val="85"/>
                <w:sz w:val="11"/>
              </w:rPr>
              <w:t>Subsector 34</w:t>
            </w:r>
          </w:p>
        </w:tc>
        <w:tc>
          <w:tcPr>
            <w:tcW w:w="414"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0.1</w:t>
            </w:r>
          </w:p>
        </w:tc>
        <w:tc>
          <w:tcPr>
            <w:tcW w:w="413"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0.9</w:t>
            </w:r>
          </w:p>
        </w:tc>
        <w:tc>
          <w:tcPr>
            <w:tcW w:w="414"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0.0</w:t>
            </w:r>
          </w:p>
        </w:tc>
        <w:tc>
          <w:tcPr>
            <w:tcW w:w="414"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0.9</w:t>
            </w:r>
          </w:p>
        </w:tc>
        <w:tc>
          <w:tcPr>
            <w:tcW w:w="413"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1.0</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1.1</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0.3</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0.9</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0.1</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1.2</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0.4</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1.2</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0.2</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1.2</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0.1</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1.5</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0.3</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1.5</w:t>
            </w:r>
          </w:p>
        </w:tc>
      </w:tr>
      <w:tr>
        <w:trPr>
          <w:trHeight w:val="190" w:hRule="exact"/>
        </w:trPr>
        <w:tc>
          <w:tcPr>
            <w:tcW w:w="636" w:type="dxa"/>
            <w:tcBorders>
              <w:left w:val="single" w:sz="3" w:space="0" w:color="000000"/>
              <w:bottom w:val="single" w:sz="4" w:space="0" w:color="000000"/>
              <w:right w:val="single" w:sz="3" w:space="0" w:color="000000"/>
            </w:tcBorders>
          </w:tcPr>
          <w:p>
            <w:pPr>
              <w:pStyle w:val="TableParagraph"/>
              <w:spacing w:before="39"/>
              <w:ind w:left="4"/>
              <w:jc w:val="center"/>
              <w:rPr>
                <w:b/>
                <w:sz w:val="11"/>
              </w:rPr>
            </w:pPr>
            <w:r>
              <w:rPr>
                <w:b/>
                <w:w w:val="85"/>
                <w:sz w:val="11"/>
              </w:rPr>
              <w:t>Subsector 35</w:t>
            </w:r>
          </w:p>
        </w:tc>
        <w:tc>
          <w:tcPr>
            <w:tcW w:w="414" w:type="dxa"/>
            <w:tcBorders>
              <w:left w:val="single" w:sz="3" w:space="0" w:color="000000"/>
              <w:bottom w:val="single" w:sz="4" w:space="0" w:color="000000"/>
              <w:right w:val="single" w:sz="3" w:space="0" w:color="000000"/>
            </w:tcBorders>
          </w:tcPr>
          <w:p>
            <w:pPr>
              <w:pStyle w:val="TableParagraph"/>
              <w:spacing w:before="30"/>
              <w:ind w:right="12"/>
              <w:rPr>
                <w:b/>
                <w:sz w:val="12"/>
              </w:rPr>
            </w:pPr>
            <w:r>
              <w:rPr>
                <w:b/>
                <w:w w:val="85"/>
                <w:sz w:val="12"/>
              </w:rPr>
              <w:t>1.1</w:t>
            </w:r>
          </w:p>
        </w:tc>
        <w:tc>
          <w:tcPr>
            <w:tcW w:w="413" w:type="dxa"/>
            <w:tcBorders>
              <w:left w:val="single" w:sz="3" w:space="0" w:color="000000"/>
              <w:bottom w:val="single" w:sz="4" w:space="0" w:color="000000"/>
              <w:right w:val="single" w:sz="3" w:space="0" w:color="000000"/>
            </w:tcBorders>
          </w:tcPr>
          <w:p>
            <w:pPr>
              <w:pStyle w:val="TableParagraph"/>
              <w:spacing w:before="30"/>
              <w:ind w:right="12"/>
              <w:rPr>
                <w:b/>
                <w:sz w:val="12"/>
              </w:rPr>
            </w:pPr>
            <w:r>
              <w:rPr>
                <w:b/>
                <w:w w:val="85"/>
                <w:sz w:val="12"/>
              </w:rPr>
              <w:t>1.1</w:t>
            </w:r>
          </w:p>
        </w:tc>
        <w:tc>
          <w:tcPr>
            <w:tcW w:w="414" w:type="dxa"/>
            <w:tcBorders>
              <w:left w:val="single" w:sz="3" w:space="0" w:color="000000"/>
              <w:bottom w:val="single" w:sz="4" w:space="0" w:color="000000"/>
              <w:right w:val="single" w:sz="3" w:space="0" w:color="000000"/>
            </w:tcBorders>
          </w:tcPr>
          <w:p>
            <w:pPr>
              <w:pStyle w:val="TableParagraph"/>
              <w:spacing w:before="9"/>
              <w:ind w:right="9"/>
              <w:rPr>
                <w:rFonts w:ascii="Calibri"/>
                <w:sz w:val="14"/>
              </w:rPr>
            </w:pPr>
            <w:r>
              <w:rPr>
                <w:rFonts w:ascii="Calibri"/>
                <w:w w:val="85"/>
                <w:sz w:val="14"/>
              </w:rPr>
              <w:t>1.0</w:t>
            </w:r>
          </w:p>
        </w:tc>
        <w:tc>
          <w:tcPr>
            <w:tcW w:w="414" w:type="dxa"/>
            <w:tcBorders>
              <w:left w:val="single" w:sz="3" w:space="0" w:color="000000"/>
              <w:bottom w:val="single" w:sz="4" w:space="0" w:color="000000"/>
              <w:right w:val="single" w:sz="3" w:space="0" w:color="000000"/>
            </w:tcBorders>
          </w:tcPr>
          <w:p>
            <w:pPr>
              <w:pStyle w:val="TableParagraph"/>
              <w:spacing w:before="30"/>
              <w:ind w:right="12"/>
              <w:rPr>
                <w:b/>
                <w:sz w:val="12"/>
              </w:rPr>
            </w:pPr>
            <w:r>
              <w:rPr>
                <w:b/>
                <w:w w:val="85"/>
                <w:sz w:val="12"/>
              </w:rPr>
              <w:t>1.1</w:t>
            </w:r>
          </w:p>
        </w:tc>
        <w:tc>
          <w:tcPr>
            <w:tcW w:w="413" w:type="dxa"/>
            <w:tcBorders>
              <w:left w:val="single" w:sz="3" w:space="0" w:color="000000"/>
              <w:bottom w:val="single" w:sz="4" w:space="0" w:color="000000"/>
              <w:right w:val="single" w:sz="3" w:space="0" w:color="000000"/>
            </w:tcBorders>
          </w:tcPr>
          <w:p>
            <w:pPr>
              <w:pStyle w:val="TableParagraph"/>
              <w:spacing w:before="9"/>
              <w:ind w:right="9"/>
              <w:rPr>
                <w:rFonts w:ascii="Calibri"/>
                <w:sz w:val="14"/>
              </w:rPr>
            </w:pPr>
            <w:r>
              <w:rPr>
                <w:rFonts w:ascii="Calibri"/>
                <w:w w:val="85"/>
                <w:sz w:val="14"/>
              </w:rPr>
              <w:t>0.9</w:t>
            </w:r>
          </w:p>
        </w:tc>
        <w:tc>
          <w:tcPr>
            <w:tcW w:w="414" w:type="dxa"/>
            <w:tcBorders>
              <w:left w:val="single" w:sz="3" w:space="0" w:color="000000"/>
              <w:bottom w:val="single" w:sz="4" w:space="0" w:color="000000"/>
              <w:right w:val="single" w:sz="3" w:space="0" w:color="000000"/>
            </w:tcBorders>
          </w:tcPr>
          <w:p>
            <w:pPr>
              <w:pStyle w:val="TableParagraph"/>
              <w:spacing w:before="30"/>
              <w:ind w:right="12"/>
              <w:rPr>
                <w:sz w:val="12"/>
              </w:rPr>
            </w:pPr>
            <w:r>
              <w:rPr>
                <w:w w:val="85"/>
                <w:sz w:val="12"/>
              </w:rPr>
              <w:t>1.0</w:t>
            </w:r>
          </w:p>
        </w:tc>
        <w:tc>
          <w:tcPr>
            <w:tcW w:w="413" w:type="dxa"/>
            <w:tcBorders>
              <w:left w:val="single" w:sz="3" w:space="0" w:color="000000"/>
              <w:bottom w:val="single" w:sz="4" w:space="0" w:color="000000"/>
              <w:right w:val="single" w:sz="3" w:space="0" w:color="000000"/>
            </w:tcBorders>
          </w:tcPr>
          <w:p>
            <w:pPr>
              <w:pStyle w:val="TableParagraph"/>
              <w:spacing w:before="30"/>
              <w:ind w:right="12"/>
              <w:rPr>
                <w:b/>
                <w:sz w:val="12"/>
              </w:rPr>
            </w:pPr>
            <w:r>
              <w:rPr>
                <w:b/>
                <w:w w:val="85"/>
                <w:sz w:val="12"/>
              </w:rPr>
              <w:t>1.2</w:t>
            </w:r>
          </w:p>
        </w:tc>
        <w:tc>
          <w:tcPr>
            <w:tcW w:w="414" w:type="dxa"/>
            <w:tcBorders>
              <w:left w:val="single" w:sz="3" w:space="0" w:color="000000"/>
              <w:bottom w:val="single" w:sz="4" w:space="0" w:color="000000"/>
              <w:right w:val="single" w:sz="3" w:space="0" w:color="000000"/>
            </w:tcBorders>
          </w:tcPr>
          <w:p>
            <w:pPr>
              <w:pStyle w:val="TableParagraph"/>
              <w:spacing w:before="30"/>
              <w:ind w:right="12"/>
              <w:rPr>
                <w:sz w:val="12"/>
              </w:rPr>
            </w:pPr>
            <w:r>
              <w:rPr>
                <w:w w:val="85"/>
                <w:sz w:val="12"/>
              </w:rPr>
              <w:t>1.0</w:t>
            </w:r>
          </w:p>
        </w:tc>
        <w:tc>
          <w:tcPr>
            <w:tcW w:w="413" w:type="dxa"/>
            <w:tcBorders>
              <w:left w:val="single" w:sz="3" w:space="0" w:color="000000"/>
              <w:bottom w:val="single" w:sz="4" w:space="0" w:color="000000"/>
              <w:right w:val="single" w:sz="3" w:space="0" w:color="000000"/>
            </w:tcBorders>
          </w:tcPr>
          <w:p>
            <w:pPr>
              <w:pStyle w:val="TableParagraph"/>
              <w:spacing w:before="30"/>
              <w:ind w:right="12"/>
              <w:rPr>
                <w:b/>
                <w:sz w:val="12"/>
              </w:rPr>
            </w:pPr>
            <w:r>
              <w:rPr>
                <w:b/>
                <w:w w:val="85"/>
                <w:sz w:val="12"/>
              </w:rPr>
              <w:t>1.2</w:t>
            </w:r>
          </w:p>
        </w:tc>
        <w:tc>
          <w:tcPr>
            <w:tcW w:w="414" w:type="dxa"/>
            <w:tcBorders>
              <w:left w:val="single" w:sz="3" w:space="0" w:color="000000"/>
              <w:bottom w:val="single" w:sz="4" w:space="0" w:color="000000"/>
              <w:right w:val="single" w:sz="3" w:space="0" w:color="000000"/>
            </w:tcBorders>
          </w:tcPr>
          <w:p>
            <w:pPr>
              <w:pStyle w:val="TableParagraph"/>
              <w:spacing w:before="30"/>
              <w:ind w:right="12"/>
              <w:rPr>
                <w:sz w:val="12"/>
              </w:rPr>
            </w:pPr>
            <w:r>
              <w:rPr>
                <w:w w:val="85"/>
                <w:sz w:val="12"/>
              </w:rPr>
              <w:t>1.0</w:t>
            </w:r>
          </w:p>
        </w:tc>
        <w:tc>
          <w:tcPr>
            <w:tcW w:w="413" w:type="dxa"/>
            <w:tcBorders>
              <w:left w:val="single" w:sz="3" w:space="0" w:color="000000"/>
              <w:bottom w:val="single" w:sz="4" w:space="0" w:color="000000"/>
              <w:right w:val="single" w:sz="3" w:space="0" w:color="000000"/>
            </w:tcBorders>
          </w:tcPr>
          <w:p>
            <w:pPr>
              <w:pStyle w:val="TableParagraph"/>
              <w:spacing w:before="30"/>
              <w:ind w:right="12"/>
              <w:rPr>
                <w:sz w:val="12"/>
              </w:rPr>
            </w:pPr>
            <w:r>
              <w:rPr>
                <w:w w:val="85"/>
                <w:sz w:val="12"/>
              </w:rPr>
              <w:t>0.9</w:t>
            </w:r>
          </w:p>
        </w:tc>
        <w:tc>
          <w:tcPr>
            <w:tcW w:w="414" w:type="dxa"/>
            <w:tcBorders>
              <w:left w:val="single" w:sz="3" w:space="0" w:color="000000"/>
              <w:bottom w:val="single" w:sz="4" w:space="0" w:color="000000"/>
              <w:right w:val="single" w:sz="3" w:space="0" w:color="000000"/>
            </w:tcBorders>
          </w:tcPr>
          <w:p>
            <w:pPr>
              <w:pStyle w:val="TableParagraph"/>
              <w:spacing w:before="30"/>
              <w:ind w:right="12"/>
              <w:rPr>
                <w:b/>
                <w:sz w:val="12"/>
              </w:rPr>
            </w:pPr>
            <w:r>
              <w:rPr>
                <w:b/>
                <w:w w:val="85"/>
                <w:sz w:val="12"/>
              </w:rPr>
              <w:t>1.1</w:t>
            </w:r>
          </w:p>
        </w:tc>
        <w:tc>
          <w:tcPr>
            <w:tcW w:w="413" w:type="dxa"/>
            <w:tcBorders>
              <w:left w:val="single" w:sz="3" w:space="0" w:color="000000"/>
              <w:bottom w:val="single" w:sz="4" w:space="0" w:color="000000"/>
              <w:right w:val="single" w:sz="3" w:space="0" w:color="000000"/>
            </w:tcBorders>
          </w:tcPr>
          <w:p>
            <w:pPr>
              <w:pStyle w:val="TableParagraph"/>
              <w:spacing w:before="30"/>
              <w:ind w:right="12"/>
              <w:rPr>
                <w:b/>
                <w:sz w:val="12"/>
              </w:rPr>
            </w:pPr>
            <w:r>
              <w:rPr>
                <w:b/>
                <w:w w:val="85"/>
                <w:sz w:val="12"/>
              </w:rPr>
              <w:t>1.1</w:t>
            </w:r>
          </w:p>
        </w:tc>
        <w:tc>
          <w:tcPr>
            <w:tcW w:w="414" w:type="dxa"/>
            <w:tcBorders>
              <w:left w:val="single" w:sz="3" w:space="0" w:color="000000"/>
              <w:bottom w:val="single" w:sz="4" w:space="0" w:color="000000"/>
              <w:right w:val="single" w:sz="3" w:space="0" w:color="000000"/>
            </w:tcBorders>
          </w:tcPr>
          <w:p>
            <w:pPr>
              <w:pStyle w:val="TableParagraph"/>
              <w:spacing w:before="30"/>
              <w:ind w:right="12"/>
              <w:rPr>
                <w:b/>
                <w:sz w:val="12"/>
              </w:rPr>
            </w:pPr>
            <w:r>
              <w:rPr>
                <w:b/>
                <w:w w:val="85"/>
                <w:sz w:val="12"/>
              </w:rPr>
              <w:t>1.1</w:t>
            </w:r>
          </w:p>
        </w:tc>
        <w:tc>
          <w:tcPr>
            <w:tcW w:w="413" w:type="dxa"/>
            <w:tcBorders>
              <w:left w:val="single" w:sz="3" w:space="0" w:color="000000"/>
              <w:bottom w:val="single" w:sz="4" w:space="0" w:color="000000"/>
              <w:right w:val="single" w:sz="3" w:space="0" w:color="000000"/>
            </w:tcBorders>
          </w:tcPr>
          <w:p>
            <w:pPr>
              <w:pStyle w:val="TableParagraph"/>
              <w:spacing w:before="30"/>
              <w:ind w:right="12"/>
              <w:rPr>
                <w:b/>
                <w:sz w:val="12"/>
              </w:rPr>
            </w:pPr>
            <w:r>
              <w:rPr>
                <w:b/>
                <w:w w:val="85"/>
                <w:sz w:val="12"/>
              </w:rPr>
              <w:t>1.1</w:t>
            </w:r>
          </w:p>
        </w:tc>
        <w:tc>
          <w:tcPr>
            <w:tcW w:w="414" w:type="dxa"/>
            <w:tcBorders>
              <w:left w:val="single" w:sz="3" w:space="0" w:color="000000"/>
              <w:bottom w:val="single" w:sz="4" w:space="0" w:color="000000"/>
              <w:right w:val="single" w:sz="3" w:space="0" w:color="000000"/>
            </w:tcBorders>
          </w:tcPr>
          <w:p>
            <w:pPr>
              <w:pStyle w:val="TableParagraph"/>
              <w:spacing w:before="30"/>
              <w:ind w:right="12"/>
              <w:rPr>
                <w:sz w:val="12"/>
              </w:rPr>
            </w:pPr>
            <w:r>
              <w:rPr>
                <w:w w:val="85"/>
                <w:sz w:val="12"/>
              </w:rPr>
              <w:t>1.0</w:t>
            </w:r>
          </w:p>
        </w:tc>
        <w:tc>
          <w:tcPr>
            <w:tcW w:w="414" w:type="dxa"/>
            <w:tcBorders>
              <w:left w:val="single" w:sz="3" w:space="0" w:color="000000"/>
              <w:bottom w:val="single" w:sz="4" w:space="0" w:color="000000"/>
              <w:right w:val="single" w:sz="3" w:space="0" w:color="000000"/>
            </w:tcBorders>
          </w:tcPr>
          <w:p>
            <w:pPr>
              <w:pStyle w:val="TableParagraph"/>
              <w:spacing w:before="30"/>
              <w:ind w:right="12"/>
              <w:rPr>
                <w:b/>
                <w:sz w:val="12"/>
              </w:rPr>
            </w:pPr>
            <w:r>
              <w:rPr>
                <w:b/>
                <w:w w:val="85"/>
                <w:sz w:val="12"/>
              </w:rPr>
              <w:t>1.1</w:t>
            </w:r>
          </w:p>
        </w:tc>
        <w:tc>
          <w:tcPr>
            <w:tcW w:w="413" w:type="dxa"/>
            <w:tcBorders>
              <w:left w:val="single" w:sz="3" w:space="0" w:color="000000"/>
              <w:bottom w:val="single" w:sz="4" w:space="0" w:color="000000"/>
              <w:right w:val="single" w:sz="3" w:space="0" w:color="000000"/>
            </w:tcBorders>
          </w:tcPr>
          <w:p>
            <w:pPr>
              <w:pStyle w:val="TableParagraph"/>
              <w:spacing w:before="30"/>
              <w:ind w:right="12"/>
              <w:rPr>
                <w:sz w:val="12"/>
              </w:rPr>
            </w:pPr>
            <w:r>
              <w:rPr>
                <w:w w:val="85"/>
                <w:sz w:val="12"/>
              </w:rPr>
              <w:t>1.0</w:t>
            </w:r>
          </w:p>
        </w:tc>
      </w:tr>
      <w:tr>
        <w:trPr>
          <w:trHeight w:val="190" w:hRule="exact"/>
        </w:trPr>
        <w:tc>
          <w:tcPr>
            <w:tcW w:w="636" w:type="dxa"/>
            <w:tcBorders>
              <w:top w:val="single" w:sz="4" w:space="0" w:color="000000"/>
              <w:left w:val="single" w:sz="3" w:space="0" w:color="000000"/>
              <w:right w:val="single" w:sz="3" w:space="0" w:color="000000"/>
            </w:tcBorders>
          </w:tcPr>
          <w:p>
            <w:pPr>
              <w:pStyle w:val="TableParagraph"/>
              <w:spacing w:before="39"/>
              <w:ind w:left="4"/>
              <w:jc w:val="center"/>
              <w:rPr>
                <w:b/>
                <w:sz w:val="11"/>
              </w:rPr>
            </w:pPr>
            <w:r>
              <w:rPr>
                <w:b/>
                <w:w w:val="85"/>
                <w:sz w:val="11"/>
              </w:rPr>
              <w:t>Subsector 36</w:t>
            </w:r>
          </w:p>
        </w:tc>
        <w:tc>
          <w:tcPr>
            <w:tcW w:w="414" w:type="dxa"/>
            <w:tcBorders>
              <w:top w:val="single" w:sz="4" w:space="0" w:color="000000"/>
              <w:left w:val="single" w:sz="3" w:space="0" w:color="000000"/>
              <w:right w:val="single" w:sz="3" w:space="0" w:color="000000"/>
            </w:tcBorders>
          </w:tcPr>
          <w:p>
            <w:pPr>
              <w:pStyle w:val="TableParagraph"/>
              <w:spacing w:before="9"/>
              <w:ind w:right="9"/>
              <w:rPr>
                <w:rFonts w:ascii="Calibri"/>
                <w:sz w:val="14"/>
              </w:rPr>
            </w:pPr>
            <w:r>
              <w:rPr>
                <w:rFonts w:ascii="Calibri"/>
                <w:w w:val="85"/>
                <w:sz w:val="14"/>
              </w:rPr>
              <w:t>0.2</w:t>
            </w:r>
          </w:p>
        </w:tc>
        <w:tc>
          <w:tcPr>
            <w:tcW w:w="413" w:type="dxa"/>
            <w:tcBorders>
              <w:top w:val="single" w:sz="4" w:space="0" w:color="000000"/>
              <w:left w:val="single" w:sz="3" w:space="0" w:color="000000"/>
              <w:right w:val="single" w:sz="3" w:space="0" w:color="000000"/>
            </w:tcBorders>
          </w:tcPr>
          <w:p>
            <w:pPr>
              <w:pStyle w:val="TableParagraph"/>
              <w:spacing w:before="30"/>
              <w:ind w:right="12"/>
              <w:rPr>
                <w:b/>
                <w:sz w:val="12"/>
              </w:rPr>
            </w:pPr>
            <w:r>
              <w:rPr>
                <w:b/>
                <w:w w:val="85"/>
                <w:sz w:val="12"/>
              </w:rPr>
              <w:t>1.1</w:t>
            </w:r>
          </w:p>
        </w:tc>
        <w:tc>
          <w:tcPr>
            <w:tcW w:w="414" w:type="dxa"/>
            <w:tcBorders>
              <w:top w:val="single" w:sz="4" w:space="0" w:color="000000"/>
              <w:left w:val="single" w:sz="3" w:space="0" w:color="000000"/>
              <w:right w:val="single" w:sz="3" w:space="0" w:color="000000"/>
            </w:tcBorders>
          </w:tcPr>
          <w:p>
            <w:pPr>
              <w:pStyle w:val="TableParagraph"/>
              <w:spacing w:before="9"/>
              <w:ind w:right="9"/>
              <w:rPr>
                <w:rFonts w:ascii="Calibri"/>
                <w:sz w:val="14"/>
              </w:rPr>
            </w:pPr>
            <w:r>
              <w:rPr>
                <w:rFonts w:ascii="Calibri"/>
                <w:w w:val="85"/>
                <w:sz w:val="14"/>
              </w:rPr>
              <w:t>0.2</w:t>
            </w:r>
          </w:p>
        </w:tc>
        <w:tc>
          <w:tcPr>
            <w:tcW w:w="414" w:type="dxa"/>
            <w:tcBorders>
              <w:top w:val="single" w:sz="4" w:space="0" w:color="000000"/>
              <w:left w:val="single" w:sz="3" w:space="0" w:color="000000"/>
              <w:right w:val="single" w:sz="3" w:space="0" w:color="000000"/>
            </w:tcBorders>
          </w:tcPr>
          <w:p>
            <w:pPr>
              <w:pStyle w:val="TableParagraph"/>
              <w:spacing w:before="9"/>
              <w:ind w:right="9"/>
              <w:rPr>
                <w:rFonts w:ascii="Calibri"/>
                <w:sz w:val="14"/>
              </w:rPr>
            </w:pPr>
            <w:r>
              <w:rPr>
                <w:rFonts w:ascii="Calibri"/>
                <w:w w:val="85"/>
                <w:sz w:val="14"/>
              </w:rPr>
              <w:t>1.0</w:t>
            </w:r>
          </w:p>
        </w:tc>
        <w:tc>
          <w:tcPr>
            <w:tcW w:w="413" w:type="dxa"/>
            <w:tcBorders>
              <w:top w:val="single" w:sz="4" w:space="0" w:color="000000"/>
              <w:left w:val="single" w:sz="3" w:space="0" w:color="000000"/>
              <w:right w:val="single" w:sz="3" w:space="0" w:color="000000"/>
            </w:tcBorders>
          </w:tcPr>
          <w:p>
            <w:pPr>
              <w:pStyle w:val="TableParagraph"/>
              <w:spacing w:before="9"/>
              <w:ind w:right="9"/>
              <w:rPr>
                <w:rFonts w:ascii="Calibri"/>
                <w:sz w:val="14"/>
              </w:rPr>
            </w:pPr>
            <w:r>
              <w:rPr>
                <w:rFonts w:ascii="Calibri"/>
                <w:w w:val="85"/>
                <w:sz w:val="14"/>
              </w:rPr>
              <w:t>0.6</w:t>
            </w:r>
          </w:p>
        </w:tc>
        <w:tc>
          <w:tcPr>
            <w:tcW w:w="414" w:type="dxa"/>
            <w:tcBorders>
              <w:top w:val="single" w:sz="4" w:space="0" w:color="000000"/>
              <w:left w:val="single" w:sz="3" w:space="0" w:color="000000"/>
              <w:right w:val="single" w:sz="3" w:space="0" w:color="000000"/>
            </w:tcBorders>
          </w:tcPr>
          <w:p>
            <w:pPr>
              <w:pStyle w:val="TableParagraph"/>
              <w:spacing w:before="30"/>
              <w:ind w:right="12"/>
              <w:rPr>
                <w:sz w:val="12"/>
              </w:rPr>
            </w:pPr>
            <w:r>
              <w:rPr>
                <w:w w:val="85"/>
                <w:sz w:val="12"/>
              </w:rPr>
              <w:t>1.0</w:t>
            </w:r>
          </w:p>
        </w:tc>
        <w:tc>
          <w:tcPr>
            <w:tcW w:w="413" w:type="dxa"/>
            <w:tcBorders>
              <w:top w:val="single" w:sz="4" w:space="0" w:color="000000"/>
              <w:left w:val="single" w:sz="3" w:space="0" w:color="000000"/>
              <w:right w:val="single" w:sz="3" w:space="0" w:color="000000"/>
            </w:tcBorders>
          </w:tcPr>
          <w:p>
            <w:pPr>
              <w:pStyle w:val="TableParagraph"/>
              <w:spacing w:before="30"/>
              <w:ind w:right="12"/>
              <w:rPr>
                <w:sz w:val="12"/>
              </w:rPr>
            </w:pPr>
            <w:r>
              <w:rPr>
                <w:w w:val="85"/>
                <w:sz w:val="12"/>
              </w:rPr>
              <w:t>0.6</w:t>
            </w:r>
          </w:p>
        </w:tc>
        <w:tc>
          <w:tcPr>
            <w:tcW w:w="414" w:type="dxa"/>
            <w:tcBorders>
              <w:top w:val="single" w:sz="4" w:space="0" w:color="000000"/>
              <w:left w:val="single" w:sz="3" w:space="0" w:color="000000"/>
              <w:right w:val="single" w:sz="3" w:space="0" w:color="000000"/>
            </w:tcBorders>
          </w:tcPr>
          <w:p>
            <w:pPr>
              <w:pStyle w:val="TableParagraph"/>
              <w:spacing w:before="30"/>
              <w:ind w:right="12"/>
              <w:rPr>
                <w:sz w:val="12"/>
              </w:rPr>
            </w:pPr>
            <w:r>
              <w:rPr>
                <w:w w:val="85"/>
                <w:sz w:val="12"/>
              </w:rPr>
              <w:t>1.0</w:t>
            </w:r>
          </w:p>
        </w:tc>
        <w:tc>
          <w:tcPr>
            <w:tcW w:w="413" w:type="dxa"/>
            <w:tcBorders>
              <w:top w:val="single" w:sz="4" w:space="0" w:color="000000"/>
              <w:left w:val="single" w:sz="3" w:space="0" w:color="000000"/>
              <w:right w:val="single" w:sz="3" w:space="0" w:color="000000"/>
            </w:tcBorders>
          </w:tcPr>
          <w:p>
            <w:pPr>
              <w:pStyle w:val="TableParagraph"/>
              <w:spacing w:before="30"/>
              <w:ind w:right="12"/>
              <w:rPr>
                <w:sz w:val="12"/>
              </w:rPr>
            </w:pPr>
            <w:r>
              <w:rPr>
                <w:w w:val="85"/>
                <w:sz w:val="12"/>
              </w:rPr>
              <w:t>0.5</w:t>
            </w:r>
          </w:p>
        </w:tc>
        <w:tc>
          <w:tcPr>
            <w:tcW w:w="414" w:type="dxa"/>
            <w:tcBorders>
              <w:top w:val="single" w:sz="4" w:space="0" w:color="000000"/>
              <w:left w:val="single" w:sz="3" w:space="0" w:color="000000"/>
              <w:right w:val="single" w:sz="3" w:space="0" w:color="000000"/>
            </w:tcBorders>
          </w:tcPr>
          <w:p>
            <w:pPr>
              <w:pStyle w:val="TableParagraph"/>
              <w:spacing w:before="30"/>
              <w:ind w:right="12"/>
              <w:rPr>
                <w:sz w:val="12"/>
              </w:rPr>
            </w:pPr>
            <w:r>
              <w:rPr>
                <w:w w:val="85"/>
                <w:sz w:val="12"/>
              </w:rPr>
              <w:t>1.0</w:t>
            </w:r>
          </w:p>
        </w:tc>
        <w:tc>
          <w:tcPr>
            <w:tcW w:w="413" w:type="dxa"/>
            <w:tcBorders>
              <w:top w:val="single" w:sz="4" w:space="0" w:color="000000"/>
              <w:left w:val="single" w:sz="3" w:space="0" w:color="000000"/>
              <w:right w:val="single" w:sz="3" w:space="0" w:color="000000"/>
            </w:tcBorders>
          </w:tcPr>
          <w:p>
            <w:pPr>
              <w:pStyle w:val="TableParagraph"/>
              <w:spacing w:before="30"/>
              <w:ind w:right="12"/>
              <w:rPr>
                <w:sz w:val="12"/>
              </w:rPr>
            </w:pPr>
            <w:r>
              <w:rPr>
                <w:w w:val="85"/>
                <w:sz w:val="12"/>
              </w:rPr>
              <w:t>0.3</w:t>
            </w:r>
          </w:p>
        </w:tc>
        <w:tc>
          <w:tcPr>
            <w:tcW w:w="414" w:type="dxa"/>
            <w:tcBorders>
              <w:top w:val="single" w:sz="4" w:space="0" w:color="000000"/>
              <w:left w:val="single" w:sz="3" w:space="0" w:color="000000"/>
              <w:right w:val="single" w:sz="3" w:space="0" w:color="000000"/>
            </w:tcBorders>
          </w:tcPr>
          <w:p>
            <w:pPr>
              <w:pStyle w:val="TableParagraph"/>
              <w:spacing w:before="30"/>
              <w:ind w:right="12"/>
              <w:rPr>
                <w:b/>
                <w:sz w:val="12"/>
              </w:rPr>
            </w:pPr>
            <w:r>
              <w:rPr>
                <w:b/>
                <w:w w:val="85"/>
                <w:sz w:val="12"/>
              </w:rPr>
              <w:t>1.2</w:t>
            </w:r>
          </w:p>
        </w:tc>
        <w:tc>
          <w:tcPr>
            <w:tcW w:w="413" w:type="dxa"/>
            <w:tcBorders>
              <w:top w:val="single" w:sz="4" w:space="0" w:color="000000"/>
              <w:left w:val="single" w:sz="3" w:space="0" w:color="000000"/>
              <w:right w:val="single" w:sz="3" w:space="0" w:color="000000"/>
            </w:tcBorders>
          </w:tcPr>
          <w:p>
            <w:pPr>
              <w:pStyle w:val="TableParagraph"/>
              <w:spacing w:before="30"/>
              <w:ind w:right="12"/>
              <w:rPr>
                <w:sz w:val="12"/>
              </w:rPr>
            </w:pPr>
            <w:r>
              <w:rPr>
                <w:w w:val="85"/>
                <w:sz w:val="12"/>
              </w:rPr>
              <w:t>0.2</w:t>
            </w:r>
          </w:p>
        </w:tc>
        <w:tc>
          <w:tcPr>
            <w:tcW w:w="414" w:type="dxa"/>
            <w:tcBorders>
              <w:top w:val="single" w:sz="4" w:space="0" w:color="000000"/>
              <w:left w:val="single" w:sz="3" w:space="0" w:color="000000"/>
              <w:right w:val="single" w:sz="3" w:space="0" w:color="000000"/>
            </w:tcBorders>
          </w:tcPr>
          <w:p>
            <w:pPr>
              <w:pStyle w:val="TableParagraph"/>
              <w:spacing w:before="30"/>
              <w:ind w:right="12"/>
              <w:rPr>
                <w:b/>
                <w:sz w:val="12"/>
              </w:rPr>
            </w:pPr>
            <w:r>
              <w:rPr>
                <w:b/>
                <w:w w:val="85"/>
                <w:sz w:val="12"/>
              </w:rPr>
              <w:t>1.1</w:t>
            </w:r>
          </w:p>
        </w:tc>
        <w:tc>
          <w:tcPr>
            <w:tcW w:w="413" w:type="dxa"/>
            <w:tcBorders>
              <w:top w:val="single" w:sz="4" w:space="0" w:color="000000"/>
              <w:left w:val="single" w:sz="3" w:space="0" w:color="000000"/>
              <w:right w:val="single" w:sz="3" w:space="0" w:color="000000"/>
            </w:tcBorders>
          </w:tcPr>
          <w:p>
            <w:pPr>
              <w:pStyle w:val="TableParagraph"/>
              <w:spacing w:before="30"/>
              <w:ind w:right="12"/>
              <w:rPr>
                <w:sz w:val="12"/>
              </w:rPr>
            </w:pPr>
            <w:r>
              <w:rPr>
                <w:w w:val="85"/>
                <w:sz w:val="12"/>
              </w:rPr>
              <w:t>0.1</w:t>
            </w:r>
          </w:p>
        </w:tc>
        <w:tc>
          <w:tcPr>
            <w:tcW w:w="414" w:type="dxa"/>
            <w:tcBorders>
              <w:top w:val="single" w:sz="4" w:space="0" w:color="000000"/>
              <w:left w:val="single" w:sz="3" w:space="0" w:color="000000"/>
              <w:right w:val="single" w:sz="3" w:space="0" w:color="000000"/>
            </w:tcBorders>
          </w:tcPr>
          <w:p>
            <w:pPr>
              <w:pStyle w:val="TableParagraph"/>
              <w:spacing w:before="30"/>
              <w:ind w:right="12"/>
              <w:rPr>
                <w:b/>
                <w:sz w:val="12"/>
              </w:rPr>
            </w:pPr>
            <w:r>
              <w:rPr>
                <w:b/>
                <w:w w:val="85"/>
                <w:sz w:val="12"/>
              </w:rPr>
              <w:t>1.3</w:t>
            </w:r>
          </w:p>
        </w:tc>
        <w:tc>
          <w:tcPr>
            <w:tcW w:w="414" w:type="dxa"/>
            <w:tcBorders>
              <w:top w:val="single" w:sz="4" w:space="0" w:color="000000"/>
              <w:left w:val="single" w:sz="3" w:space="0" w:color="000000"/>
              <w:right w:val="single" w:sz="3" w:space="0" w:color="000000"/>
            </w:tcBorders>
          </w:tcPr>
          <w:p>
            <w:pPr>
              <w:pStyle w:val="TableParagraph"/>
              <w:spacing w:before="30"/>
              <w:ind w:right="12"/>
              <w:rPr>
                <w:sz w:val="12"/>
              </w:rPr>
            </w:pPr>
            <w:r>
              <w:rPr>
                <w:w w:val="85"/>
                <w:sz w:val="12"/>
              </w:rPr>
              <w:t>0.7</w:t>
            </w:r>
          </w:p>
        </w:tc>
        <w:tc>
          <w:tcPr>
            <w:tcW w:w="413" w:type="dxa"/>
            <w:tcBorders>
              <w:top w:val="single" w:sz="4" w:space="0" w:color="000000"/>
              <w:left w:val="single" w:sz="3" w:space="0" w:color="000000"/>
              <w:right w:val="single" w:sz="3" w:space="0" w:color="000000"/>
            </w:tcBorders>
          </w:tcPr>
          <w:p>
            <w:pPr>
              <w:pStyle w:val="TableParagraph"/>
              <w:spacing w:before="30"/>
              <w:ind w:right="12"/>
              <w:rPr>
                <w:b/>
                <w:sz w:val="12"/>
              </w:rPr>
            </w:pPr>
            <w:r>
              <w:rPr>
                <w:b/>
                <w:w w:val="85"/>
                <w:sz w:val="12"/>
              </w:rPr>
              <w:t>1.1</w:t>
            </w:r>
          </w:p>
        </w:tc>
      </w:tr>
      <w:tr>
        <w:trPr>
          <w:trHeight w:val="190" w:hRule="exact"/>
        </w:trPr>
        <w:tc>
          <w:tcPr>
            <w:tcW w:w="636" w:type="dxa"/>
            <w:tcBorders>
              <w:left w:val="single" w:sz="3" w:space="0" w:color="000000"/>
              <w:right w:val="single" w:sz="3" w:space="0" w:color="000000"/>
            </w:tcBorders>
          </w:tcPr>
          <w:p>
            <w:pPr>
              <w:pStyle w:val="TableParagraph"/>
              <w:spacing w:before="39"/>
              <w:ind w:left="4"/>
              <w:jc w:val="center"/>
              <w:rPr>
                <w:b/>
                <w:sz w:val="11"/>
              </w:rPr>
            </w:pPr>
            <w:r>
              <w:rPr>
                <w:b/>
                <w:w w:val="85"/>
                <w:sz w:val="11"/>
              </w:rPr>
              <w:t>Subsector 37</w:t>
            </w:r>
          </w:p>
        </w:tc>
        <w:tc>
          <w:tcPr>
            <w:tcW w:w="414"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0.0</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1.1</w:t>
            </w:r>
          </w:p>
        </w:tc>
        <w:tc>
          <w:tcPr>
            <w:tcW w:w="414"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0.0</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1.2</w:t>
            </w:r>
          </w:p>
        </w:tc>
        <w:tc>
          <w:tcPr>
            <w:tcW w:w="413"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0.5</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1.2</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0.0</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1.2</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0.3</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1.2</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0.0</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1.2</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0.0</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0.7</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0.2</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1.4</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0.1</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1.0</w:t>
            </w:r>
          </w:p>
        </w:tc>
      </w:tr>
      <w:tr>
        <w:trPr>
          <w:trHeight w:val="190" w:hRule="exact"/>
        </w:trPr>
        <w:tc>
          <w:tcPr>
            <w:tcW w:w="636" w:type="dxa"/>
            <w:tcBorders>
              <w:left w:val="single" w:sz="3" w:space="0" w:color="000000"/>
              <w:right w:val="single" w:sz="3" w:space="0" w:color="000000"/>
            </w:tcBorders>
          </w:tcPr>
          <w:p>
            <w:pPr>
              <w:pStyle w:val="TableParagraph"/>
              <w:spacing w:before="39"/>
              <w:ind w:left="4"/>
              <w:jc w:val="center"/>
              <w:rPr>
                <w:b/>
                <w:sz w:val="11"/>
              </w:rPr>
            </w:pPr>
            <w:r>
              <w:rPr>
                <w:b/>
                <w:w w:val="85"/>
                <w:sz w:val="11"/>
              </w:rPr>
              <w:t>Subsector 38</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1.2</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1.1</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1.3</w:t>
            </w:r>
          </w:p>
        </w:tc>
        <w:tc>
          <w:tcPr>
            <w:tcW w:w="414"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1.0</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1.1</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1.0</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1.3</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1.0</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1.4</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1.0</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1.5</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0.9</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1.3</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0.9</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1.4</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0.9</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1.1</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0.9</w:t>
            </w:r>
          </w:p>
        </w:tc>
      </w:tr>
      <w:tr>
        <w:trPr>
          <w:trHeight w:val="190" w:hRule="exact"/>
        </w:trPr>
        <w:tc>
          <w:tcPr>
            <w:tcW w:w="636" w:type="dxa"/>
            <w:tcBorders>
              <w:left w:val="single" w:sz="3" w:space="0" w:color="000000"/>
              <w:right w:val="single" w:sz="3" w:space="0" w:color="000000"/>
            </w:tcBorders>
          </w:tcPr>
          <w:p>
            <w:pPr>
              <w:pStyle w:val="TableParagraph"/>
              <w:spacing w:before="39"/>
              <w:ind w:left="4"/>
              <w:jc w:val="center"/>
              <w:rPr>
                <w:b/>
                <w:sz w:val="11"/>
              </w:rPr>
            </w:pPr>
            <w:r>
              <w:rPr>
                <w:b/>
                <w:w w:val="85"/>
                <w:sz w:val="11"/>
              </w:rPr>
              <w:t>Subsector 39</w:t>
            </w:r>
          </w:p>
        </w:tc>
        <w:tc>
          <w:tcPr>
            <w:tcW w:w="414"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0.8</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2.0</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1.7</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1.7</w:t>
            </w:r>
          </w:p>
        </w:tc>
        <w:tc>
          <w:tcPr>
            <w:tcW w:w="413" w:type="dxa"/>
            <w:tcBorders>
              <w:left w:val="single" w:sz="3" w:space="0" w:color="000000"/>
              <w:right w:val="single" w:sz="3" w:space="0" w:color="000000"/>
            </w:tcBorders>
          </w:tcPr>
          <w:p>
            <w:pPr>
              <w:pStyle w:val="TableParagraph"/>
              <w:spacing w:before="9"/>
              <w:ind w:right="9"/>
              <w:rPr>
                <w:rFonts w:ascii="Calibri"/>
                <w:sz w:val="14"/>
              </w:rPr>
            </w:pPr>
            <w:r>
              <w:rPr>
                <w:rFonts w:ascii="Calibri"/>
                <w:w w:val="85"/>
                <w:sz w:val="14"/>
              </w:rPr>
              <w:t>0.0</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1.2</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0.8</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0.9</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0.4</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1.1</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0.7</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1.2</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0.3</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1.1</w:t>
            </w:r>
          </w:p>
        </w:tc>
        <w:tc>
          <w:tcPr>
            <w:tcW w:w="413" w:type="dxa"/>
            <w:tcBorders>
              <w:left w:val="single" w:sz="3" w:space="0" w:color="000000"/>
              <w:right w:val="single" w:sz="3" w:space="0" w:color="000000"/>
            </w:tcBorders>
          </w:tcPr>
          <w:p>
            <w:pPr>
              <w:pStyle w:val="TableParagraph"/>
              <w:spacing w:before="30"/>
              <w:ind w:right="12"/>
              <w:rPr>
                <w:sz w:val="12"/>
              </w:rPr>
            </w:pPr>
            <w:r>
              <w:rPr>
                <w:w w:val="85"/>
                <w:sz w:val="12"/>
              </w:rPr>
              <w:t>0.2</w:t>
            </w:r>
          </w:p>
        </w:tc>
        <w:tc>
          <w:tcPr>
            <w:tcW w:w="414" w:type="dxa"/>
            <w:tcBorders>
              <w:left w:val="single" w:sz="3" w:space="0" w:color="000000"/>
              <w:right w:val="single" w:sz="3" w:space="0" w:color="000000"/>
            </w:tcBorders>
          </w:tcPr>
          <w:p>
            <w:pPr>
              <w:pStyle w:val="TableParagraph"/>
              <w:spacing w:before="30"/>
              <w:ind w:right="12"/>
              <w:rPr>
                <w:b/>
                <w:sz w:val="12"/>
              </w:rPr>
            </w:pPr>
            <w:r>
              <w:rPr>
                <w:b/>
                <w:w w:val="85"/>
                <w:sz w:val="12"/>
              </w:rPr>
              <w:t>1.4</w:t>
            </w:r>
          </w:p>
        </w:tc>
        <w:tc>
          <w:tcPr>
            <w:tcW w:w="414" w:type="dxa"/>
            <w:tcBorders>
              <w:left w:val="single" w:sz="3" w:space="0" w:color="000000"/>
              <w:right w:val="single" w:sz="3" w:space="0" w:color="000000"/>
            </w:tcBorders>
          </w:tcPr>
          <w:p>
            <w:pPr>
              <w:pStyle w:val="TableParagraph"/>
              <w:spacing w:before="30"/>
              <w:ind w:right="12"/>
              <w:rPr>
                <w:sz w:val="12"/>
              </w:rPr>
            </w:pPr>
            <w:r>
              <w:rPr>
                <w:w w:val="85"/>
                <w:sz w:val="12"/>
              </w:rPr>
              <w:t>0.2</w:t>
            </w:r>
          </w:p>
        </w:tc>
        <w:tc>
          <w:tcPr>
            <w:tcW w:w="413" w:type="dxa"/>
            <w:tcBorders>
              <w:left w:val="single" w:sz="3" w:space="0" w:color="000000"/>
              <w:right w:val="single" w:sz="3" w:space="0" w:color="000000"/>
            </w:tcBorders>
          </w:tcPr>
          <w:p>
            <w:pPr>
              <w:pStyle w:val="TableParagraph"/>
              <w:spacing w:before="30"/>
              <w:ind w:right="12"/>
              <w:rPr>
                <w:b/>
                <w:sz w:val="12"/>
              </w:rPr>
            </w:pPr>
            <w:r>
              <w:rPr>
                <w:b/>
                <w:w w:val="85"/>
                <w:sz w:val="12"/>
              </w:rPr>
              <w:t>1.6</w:t>
            </w:r>
          </w:p>
        </w:tc>
      </w:tr>
    </w:tbl>
    <w:p>
      <w:pPr>
        <w:pStyle w:val="BodyText"/>
        <w:spacing w:before="9"/>
        <w:rPr>
          <w:rFonts w:ascii="Arial"/>
          <w:b/>
          <w:sz w:val="12"/>
        </w:rPr>
      </w:pPr>
    </w:p>
    <w:p>
      <w:pPr>
        <w:pStyle w:val="BodyText"/>
        <w:spacing w:before="11"/>
        <w:rPr>
          <w:rFonts w:ascii="Arial"/>
          <w:b/>
          <w:sz w:val="7"/>
        </w:rPr>
      </w:pPr>
    </w:p>
    <w:p>
      <w:pPr>
        <w:spacing w:before="0"/>
        <w:ind w:left="853" w:right="243" w:firstLine="0"/>
        <w:jc w:val="left"/>
        <w:rPr>
          <w:rFonts w:ascii="Arial" w:hAnsi="Arial"/>
          <w:sz w:val="10"/>
        </w:rPr>
      </w:pPr>
      <w:r>
        <w:rPr>
          <w:rFonts w:ascii="Arial" w:hAnsi="Arial"/>
          <w:w w:val="85"/>
          <w:sz w:val="10"/>
        </w:rPr>
        <w:t>T-L : Región Toluca-Lerma</w:t>
      </w:r>
    </w:p>
    <w:p>
      <w:pPr>
        <w:spacing w:before="75"/>
        <w:ind w:left="853" w:right="243" w:firstLine="0"/>
        <w:jc w:val="left"/>
        <w:rPr>
          <w:rFonts w:ascii="Arial" w:hAnsi="Arial"/>
          <w:sz w:val="10"/>
        </w:rPr>
      </w:pPr>
      <w:r>
        <w:rPr>
          <w:rFonts w:ascii="Arial" w:hAnsi="Arial"/>
          <w:w w:val="95"/>
          <w:sz w:val="10"/>
        </w:rPr>
        <w:t>V de M : Región Valle de México</w:t>
      </w:r>
    </w:p>
    <w:p>
      <w:pPr>
        <w:spacing w:before="65"/>
        <w:ind w:left="853" w:right="243" w:firstLine="0"/>
        <w:jc w:val="left"/>
        <w:rPr>
          <w:rFonts w:ascii="Arial" w:hAnsi="Arial"/>
          <w:sz w:val="10"/>
        </w:rPr>
      </w:pPr>
      <w:r>
        <w:rPr>
          <w:rFonts w:ascii="Arial" w:hAnsi="Arial"/>
          <w:w w:val="90"/>
          <w:sz w:val="10"/>
        </w:rPr>
        <w:t>Fuente: Elaboración propia con base en los datos de INEGI. </w:t>
      </w:r>
      <w:r>
        <w:rPr>
          <w:rFonts w:ascii="Arial" w:hAnsi="Arial"/>
          <w:i/>
          <w:w w:val="90"/>
          <w:sz w:val="10"/>
        </w:rPr>
        <w:t>Censos industriales y económicos </w:t>
      </w:r>
      <w:r>
        <w:rPr>
          <w:rFonts w:ascii="Arial" w:hAnsi="Arial"/>
          <w:w w:val="90"/>
          <w:sz w:val="10"/>
        </w:rPr>
        <w:t>. 1971, 1976, 1981, 1986, 1989, 1994, 1999, 2004 y 2009.</w:t>
      </w:r>
    </w:p>
    <w:p>
      <w:pPr>
        <w:pStyle w:val="BodyText"/>
        <w:rPr>
          <w:rFonts w:ascii="Arial"/>
          <w:sz w:val="10"/>
        </w:rPr>
      </w:pPr>
    </w:p>
    <w:p>
      <w:pPr>
        <w:pStyle w:val="BodyText"/>
        <w:spacing w:line="340" w:lineRule="auto" w:before="65"/>
        <w:ind w:left="122" w:right="114" w:firstLine="707"/>
        <w:jc w:val="both"/>
      </w:pPr>
      <w:r>
        <w:rPr/>
        <w:t>En el subsector 38 Productos metálicos, maquinaria y equipo sobresale la especialización en la industria automotriz. Desde 1970 a 2008 Toluca de Lerdo</w:t>
      </w:r>
      <w:r>
        <w:rPr>
          <w:position w:val="11"/>
          <w:sz w:val="16"/>
        </w:rPr>
        <w:t>64 </w:t>
      </w:r>
      <w:r>
        <w:rPr/>
        <w:t>se ha especializado en esta rama, Lerma de Villada</w:t>
      </w:r>
      <w:r>
        <w:rPr>
          <w:position w:val="11"/>
          <w:sz w:val="16"/>
        </w:rPr>
        <w:t>65 </w:t>
      </w:r>
      <w:r>
        <w:rPr/>
        <w:t>sólo en los años de 2003-2008, destacando  la fabricación de partes para vehículos automotores, a su vez Santiago Tianguistenco</w:t>
      </w:r>
      <w:r>
        <w:rPr>
          <w:position w:val="11"/>
          <w:sz w:val="16"/>
        </w:rPr>
        <w:t>66 </w:t>
      </w:r>
      <w:r>
        <w:rPr/>
        <w:t>también en esta rama desde 1975 a la fecha a excepción de 1980. Como se aprecia en el Cuadro</w:t>
      </w:r>
      <w:r>
        <w:rPr>
          <w:spacing w:val="-2"/>
        </w:rPr>
        <w:t> </w:t>
      </w:r>
      <w:r>
        <w:rPr/>
        <w:t>3.6.</w:t>
      </w:r>
    </w:p>
    <w:p>
      <w:pPr>
        <w:pStyle w:val="BodyText"/>
        <w:spacing w:line="360" w:lineRule="auto" w:before="27"/>
        <w:ind w:left="122" w:right="112" w:firstLine="707"/>
        <w:jc w:val="both"/>
      </w:pPr>
      <w:r>
        <w:rPr/>
        <w:t>En cuanto al subsector 35 Sustancias químicas, productos derivados del petróleo y del carbón, hule y de plástico</w:t>
      </w:r>
      <w:r>
        <w:rPr>
          <w:i/>
        </w:rPr>
        <w:t>, </w:t>
      </w:r>
      <w:r>
        <w:rPr/>
        <w:t>tenemos que sobresale Lerma que se ha especializado en la fabricación de productos farmacéuticos en 1970, 1998, 2003 y 2008, y en la fabricación de otros productos químicos de 1998 a 2008. Toluca por su parte en la industria de las fibras</w:t>
      </w:r>
    </w:p>
    <w:p>
      <w:pPr>
        <w:pStyle w:val="BodyText"/>
        <w:rPr>
          <w:sz w:val="20"/>
        </w:rPr>
      </w:pPr>
    </w:p>
    <w:p>
      <w:pPr>
        <w:pStyle w:val="BodyText"/>
        <w:rPr>
          <w:sz w:val="20"/>
        </w:rPr>
      </w:pPr>
    </w:p>
    <w:p>
      <w:pPr>
        <w:pStyle w:val="BodyText"/>
        <w:rPr>
          <w:sz w:val="20"/>
        </w:rPr>
      </w:pPr>
    </w:p>
    <w:p>
      <w:pPr>
        <w:pStyle w:val="BodyText"/>
        <w:spacing w:before="9"/>
        <w:rPr>
          <w:sz w:val="12"/>
        </w:rPr>
      </w:pPr>
      <w:r>
        <w:rPr/>
        <w:pict>
          <v:line style="position:absolute;mso-position-horizontal-relative:page;mso-position-vertical-relative:paragraph;z-index:2848;mso-wrap-distance-left:0;mso-wrap-distance-right:0" from="85.103996pt,9.692717pt" to="229.123996pt,9.692717pt" stroked="true" strokeweight=".71997pt" strokecolor="#000000">
            <w10:wrap type="topAndBottom"/>
          </v:line>
        </w:pict>
      </w:r>
    </w:p>
    <w:p>
      <w:pPr>
        <w:spacing w:before="42"/>
        <w:ind w:left="122" w:right="129" w:firstLine="0"/>
        <w:jc w:val="both"/>
        <w:rPr>
          <w:sz w:val="20"/>
        </w:rPr>
      </w:pPr>
      <w:r>
        <w:rPr>
          <w:position w:val="9"/>
          <w:sz w:val="13"/>
        </w:rPr>
        <w:t>63 </w:t>
      </w:r>
      <w:r>
        <w:rPr>
          <w:sz w:val="20"/>
        </w:rPr>
        <w:t>Cabe mencionar que en Toluca desde 1880 ya existía una de las dos empresas cerveceras de México, la Compañía Cervecera Toluca y México, fundada por Santiago Graff. Posteriormente en 1969 nació en Toluca la planta de la Cervecería Cuauhtémoc, considerada entonces como la planta más grande de Latinoamérica.</w:t>
      </w:r>
    </w:p>
    <w:p>
      <w:pPr>
        <w:spacing w:line="217" w:lineRule="exact" w:before="0"/>
        <w:ind w:left="122" w:right="0" w:firstLine="0"/>
        <w:jc w:val="both"/>
        <w:rPr>
          <w:sz w:val="20"/>
        </w:rPr>
      </w:pPr>
      <w:r>
        <w:rPr>
          <w:position w:val="9"/>
          <w:sz w:val="13"/>
        </w:rPr>
        <w:t>64 </w:t>
      </w:r>
      <w:r>
        <w:rPr>
          <w:sz w:val="20"/>
        </w:rPr>
        <w:t>En este municipio se encuentra desde 1968 Chrysler de México.</w:t>
      </w:r>
    </w:p>
    <w:p>
      <w:pPr>
        <w:spacing w:line="229" w:lineRule="exact" w:before="0"/>
        <w:ind w:left="122" w:right="0" w:firstLine="0"/>
        <w:jc w:val="both"/>
        <w:rPr>
          <w:sz w:val="20"/>
        </w:rPr>
      </w:pPr>
      <w:r>
        <w:rPr>
          <w:position w:val="9"/>
          <w:sz w:val="13"/>
        </w:rPr>
        <w:t>65 </w:t>
      </w:r>
      <w:r>
        <w:rPr>
          <w:sz w:val="20"/>
        </w:rPr>
        <w:t>En este municipio se asentó General Motors y Automex desde 1962.</w:t>
      </w:r>
    </w:p>
    <w:p>
      <w:pPr>
        <w:spacing w:line="230" w:lineRule="exact" w:before="15"/>
        <w:ind w:left="122" w:right="119" w:firstLine="0"/>
        <w:jc w:val="both"/>
        <w:rPr>
          <w:sz w:val="20"/>
        </w:rPr>
      </w:pPr>
      <w:r>
        <w:rPr>
          <w:position w:val="9"/>
          <w:sz w:val="13"/>
        </w:rPr>
        <w:t>66 </w:t>
      </w:r>
      <w:r>
        <w:rPr>
          <w:sz w:val="20"/>
        </w:rPr>
        <w:t>Una de las principales plantas automotrices es Intervet México S.A. de C.V., que fue fundada en 1969 bajo el nombre de Fábrica de Autotransportes Mexicana S.A., en sus instalaciones se han fabricado productos tales como camiones y fabricación y ensamble de motores Mercedes-Benz, empresa que llegó a Santiago en 1994, y a partir del año 2000 se inició la producción exclusiva de productos</w:t>
      </w:r>
      <w:r>
        <w:rPr>
          <w:spacing w:val="-26"/>
          <w:sz w:val="20"/>
        </w:rPr>
        <w:t> </w:t>
      </w:r>
      <w:r>
        <w:rPr>
          <w:sz w:val="20"/>
        </w:rPr>
        <w:t>Freightliner.</w:t>
      </w:r>
    </w:p>
    <w:p>
      <w:pPr>
        <w:spacing w:after="0" w:line="230" w:lineRule="exact"/>
        <w:jc w:val="both"/>
        <w:rPr>
          <w:sz w:val="20"/>
        </w:rPr>
        <w:sectPr>
          <w:pgSz w:w="12240" w:h="15840"/>
          <w:pgMar w:header="0" w:footer="1003" w:top="1360" w:bottom="1200" w:left="1580" w:right="1580"/>
        </w:sectPr>
      </w:pPr>
    </w:p>
    <w:p>
      <w:pPr>
        <w:pStyle w:val="BodyText"/>
        <w:spacing w:line="331" w:lineRule="auto" w:before="55"/>
        <w:ind w:left="122" w:right="117"/>
        <w:jc w:val="both"/>
      </w:pPr>
      <w:r>
        <w:rPr/>
        <w:t>artificiales y sintéticas de 2003-2008, Ocoyoacac</w:t>
      </w:r>
      <w:r>
        <w:rPr>
          <w:position w:val="11"/>
          <w:sz w:val="16"/>
        </w:rPr>
        <w:t>67</w:t>
      </w:r>
      <w:r>
        <w:rPr/>
        <w:t>, de 1998 a 2003 en productos farmacéuticos,</w:t>
      </w:r>
      <w:r>
        <w:rPr>
          <w:position w:val="11"/>
          <w:sz w:val="16"/>
        </w:rPr>
        <w:t>68  </w:t>
      </w:r>
      <w:r>
        <w:rPr/>
        <w:t>y desde 1998 a 2008 en la fabricación de otros productos químicos.</w:t>
      </w:r>
    </w:p>
    <w:p>
      <w:pPr>
        <w:pStyle w:val="BodyText"/>
        <w:spacing w:line="360" w:lineRule="auto" w:before="21"/>
        <w:ind w:left="122" w:right="120" w:firstLine="707"/>
        <w:jc w:val="both"/>
      </w:pPr>
      <w:r>
        <w:rPr/>
        <w:t>La especialización productiva en el subsector 31 de cada municipio de la región Toluca-Lerma a través de los años se puede observar en los mapas 1 al 9 y en el subsector 38 de los mapas 10 al 18 del anexo 1.</w:t>
      </w:r>
    </w:p>
    <w:p>
      <w:pPr>
        <w:pStyle w:val="BodyText"/>
        <w:spacing w:line="360" w:lineRule="auto" w:before="6"/>
        <w:ind w:left="122" w:right="119" w:firstLine="707"/>
        <w:jc w:val="both"/>
      </w:pPr>
      <w:r>
        <w:rPr/>
        <w:t>Por su parte, en la región Valle de México se presentó una mayor diversificación. Durante la mayor parte del periodo de estudio se especializó en el subsector 37 Industrias metálicas básicas, a excepción de 1998 y 2008, en el subsector 33 Industria de la madera y productos de madera durante 1975, 1980, 1985, 1993, 1998 y 2008; en el subsector 34</w:t>
      </w:r>
    </w:p>
    <w:p>
      <w:pPr>
        <w:pStyle w:val="BodyText"/>
        <w:spacing w:line="360" w:lineRule="auto" w:before="7"/>
        <w:ind w:left="122" w:right="116"/>
        <w:jc w:val="both"/>
      </w:pPr>
      <w:r>
        <w:rPr/>
        <w:t>Papel y productos de papel, imprentas y editoriales en 1980, 1988, 1993, 1998, 2003 y 2008; y en el subsector 39 Otras industrias manufactureras, todo el periodo de estudio a excepción de 1985.</w:t>
      </w:r>
    </w:p>
    <w:p>
      <w:pPr>
        <w:pStyle w:val="BodyText"/>
        <w:spacing w:line="360" w:lineRule="auto" w:before="4"/>
        <w:ind w:left="122" w:right="117" w:firstLine="707"/>
        <w:jc w:val="both"/>
      </w:pPr>
      <w:r>
        <w:rPr/>
        <w:t>La especialización del subsector 37 puede deberse a que las industrias de mayor contracción de inversión fija en 1988-1993 fueron: la automotriz, productos de acero, aparatos de sonido y televisores, metales no ferrosos, petroquímicos básicos, papel etc.</w:t>
      </w:r>
    </w:p>
    <w:p>
      <w:pPr>
        <w:pStyle w:val="BodyText"/>
        <w:spacing w:line="350" w:lineRule="auto" w:before="6"/>
        <w:ind w:left="122" w:right="117"/>
        <w:jc w:val="both"/>
      </w:pPr>
      <w:r>
        <w:rPr/>
        <w:t>(Unger, 2010). En este subsector destaca el municipio de Tlalnepantla que se especializó de 1970 a 2003 en la industria básica del hierro y el acero</w:t>
      </w:r>
      <w:r>
        <w:rPr>
          <w:position w:val="11"/>
          <w:sz w:val="16"/>
        </w:rPr>
        <w:t>69 </w:t>
      </w:r>
      <w:r>
        <w:rPr/>
        <w:t>y Ecatepec que hizo lo propio de 1970 a 1993, al igual que Tultitlán. Esta especialización en el subsector 37 a nivel municipal se puede apreciar en los mapas del 10 al 18 del Anexo</w:t>
      </w:r>
      <w:r>
        <w:rPr>
          <w:spacing w:val="-6"/>
        </w:rPr>
        <w:t> </w:t>
      </w:r>
      <w:r>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5"/>
        </w:rPr>
      </w:pPr>
      <w:r>
        <w:rPr/>
        <w:pict>
          <v:line style="position:absolute;mso-position-horizontal-relative:page;mso-position-vertical-relative:paragraph;z-index:2872;mso-wrap-distance-left:0;mso-wrap-distance-right:0" from="85.103996pt,11.174971pt" to="229.123996pt,11.174971pt" stroked="true" strokeweight=".72003pt" strokecolor="#000000">
            <w10:wrap type="topAndBottom"/>
          </v:line>
        </w:pict>
      </w:r>
    </w:p>
    <w:p>
      <w:pPr>
        <w:spacing w:line="243" w:lineRule="exact" w:before="42"/>
        <w:ind w:left="122" w:right="0" w:firstLine="0"/>
        <w:jc w:val="both"/>
        <w:rPr>
          <w:sz w:val="20"/>
        </w:rPr>
      </w:pPr>
      <w:r>
        <w:rPr>
          <w:position w:val="9"/>
          <w:sz w:val="13"/>
        </w:rPr>
        <w:t>67 </w:t>
      </w:r>
      <w:r>
        <w:rPr>
          <w:sz w:val="20"/>
        </w:rPr>
        <w:t>Desde 1959 llegó a este municipio una de las principales empresas petroquímicas; Plastiglass de México.</w:t>
      </w:r>
    </w:p>
    <w:p>
      <w:pPr>
        <w:spacing w:line="228" w:lineRule="exact" w:before="17"/>
        <w:ind w:left="122" w:right="115" w:firstLine="0"/>
        <w:jc w:val="both"/>
        <w:rPr>
          <w:sz w:val="20"/>
        </w:rPr>
      </w:pPr>
      <w:r>
        <w:rPr>
          <w:position w:val="9"/>
          <w:sz w:val="13"/>
        </w:rPr>
        <w:t>68 </w:t>
      </w:r>
      <w:r>
        <w:rPr>
          <w:sz w:val="20"/>
        </w:rPr>
        <w:t>En este municipio algunas empresas principales en esta rama son Química Hoechst de México y Sanofi- Aventis.</w:t>
      </w:r>
    </w:p>
    <w:p>
      <w:pPr>
        <w:spacing w:line="230" w:lineRule="exact" w:before="1"/>
        <w:ind w:left="122" w:right="114" w:firstLine="0"/>
        <w:jc w:val="both"/>
        <w:rPr>
          <w:sz w:val="20"/>
        </w:rPr>
      </w:pPr>
      <w:r>
        <w:rPr>
          <w:position w:val="9"/>
          <w:sz w:val="13"/>
        </w:rPr>
        <w:t>69 </w:t>
      </w:r>
      <w:r>
        <w:rPr>
          <w:sz w:val="20"/>
        </w:rPr>
        <w:t>En este municipio sobresale la empresa Aceros Tlalnepantla que inició sus operaciones en el año 1906, en 1956 se fusionó con "Clavos la Nacional" adquiriendo el nombre de Aceros Nacionales</w:t>
      </w:r>
      <w:r>
        <w:rPr>
          <w:b/>
          <w:sz w:val="20"/>
        </w:rPr>
        <w:t>, </w:t>
      </w:r>
      <w:r>
        <w:rPr>
          <w:sz w:val="20"/>
        </w:rPr>
        <w:t>S.A. de C.V. En  1999 fue adquirida por </w:t>
      </w:r>
      <w:hyperlink r:id="rId24">
        <w:r>
          <w:rPr>
            <w:sz w:val="20"/>
          </w:rPr>
          <w:t>DE ACERO S.A. de C.V</w:t>
        </w:r>
        <w:r>
          <w:rPr>
            <w:b/>
            <w:sz w:val="20"/>
          </w:rPr>
          <w:t>.</w:t>
        </w:r>
      </w:hyperlink>
      <w:r>
        <w:rPr>
          <w:sz w:val="20"/>
        </w:rPr>
        <w:t>, y hoy abarca desde la fundición de fierro hasta la producción de mallas y</w:t>
      </w:r>
      <w:r>
        <w:rPr>
          <w:spacing w:val="-10"/>
          <w:sz w:val="20"/>
        </w:rPr>
        <w:t> </w:t>
      </w:r>
      <w:r>
        <w:rPr>
          <w:sz w:val="20"/>
        </w:rPr>
        <w:t>alambres.</w:t>
      </w:r>
    </w:p>
    <w:p>
      <w:pPr>
        <w:spacing w:after="0" w:line="230" w:lineRule="exact"/>
        <w:jc w:val="both"/>
        <w:rPr>
          <w:sz w:val="20"/>
        </w:rPr>
        <w:sectPr>
          <w:pgSz w:w="12240" w:h="15840"/>
          <w:pgMar w:header="0" w:footer="1003" w:top="1320" w:bottom="1200" w:left="1580" w:right="1580"/>
        </w:sectPr>
      </w:pPr>
    </w:p>
    <w:p>
      <w:pPr>
        <w:spacing w:before="54"/>
        <w:ind w:left="720" w:right="188" w:firstLine="0"/>
        <w:jc w:val="left"/>
        <w:rPr>
          <w:rFonts w:ascii="Calibri"/>
          <w:b/>
          <w:sz w:val="13"/>
        </w:rPr>
      </w:pPr>
      <w:r>
        <w:rPr>
          <w:rFonts w:ascii="Calibri"/>
          <w:b/>
          <w:w w:val="125"/>
          <w:sz w:val="13"/>
        </w:rPr>
        <w:t>Cuadro 3.6</w:t>
      </w:r>
    </w:p>
    <w:p>
      <w:pPr>
        <w:spacing w:line="264" w:lineRule="auto" w:before="16"/>
        <w:ind w:left="720" w:right="4224" w:firstLine="0"/>
        <w:jc w:val="left"/>
        <w:rPr>
          <w:rFonts w:ascii="Calibri" w:hAnsi="Calibri"/>
          <w:b/>
          <w:sz w:val="13"/>
        </w:rPr>
      </w:pPr>
      <w:r>
        <w:rPr>
          <w:rFonts w:ascii="Calibri" w:hAnsi="Calibri"/>
          <w:b/>
          <w:w w:val="125"/>
          <w:sz w:val="13"/>
        </w:rPr>
        <w:t>Especialización por subsector, rama, municipio y año Región Toluca-Lerma</w:t>
      </w:r>
    </w:p>
    <w:p>
      <w:pPr>
        <w:spacing w:before="0"/>
        <w:ind w:left="720" w:right="188" w:firstLine="0"/>
        <w:jc w:val="left"/>
        <w:rPr>
          <w:rFonts w:ascii="Calibri"/>
          <w:b/>
          <w:sz w:val="13"/>
        </w:rPr>
      </w:pPr>
      <w:r>
        <w:rPr/>
        <w:pict>
          <v:line style="position:absolute;mso-position-horizontal-relative:page;mso-position-vertical-relative:paragraph;z-index:-464056" from="241.268082pt,82.468506pt" to="241.268082pt,82.468506pt" stroked="true" strokeweight=".415466pt" strokecolor="#008000">
            <w10:wrap type="none"/>
          </v:line>
        </w:pict>
      </w:r>
      <w:r>
        <w:rPr>
          <w:rFonts w:ascii="Calibri"/>
          <w:b/>
          <w:w w:val="125"/>
          <w:sz w:val="13"/>
        </w:rPr>
        <w:t>1970-2008</w:t>
      </w:r>
    </w:p>
    <w:p>
      <w:pPr>
        <w:pStyle w:val="BodyText"/>
        <w:spacing w:before="5" w:after="1"/>
        <w:rPr>
          <w:rFonts w:ascii="Calibri"/>
          <w:b/>
          <w:sz w:val="13"/>
        </w:rPr>
      </w:pPr>
    </w:p>
    <w:tbl>
      <w:tblPr>
        <w:tblW w:w="0" w:type="auto"/>
        <w:jc w:val="left"/>
        <w:tblInd w:w="69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399"/>
        <w:gridCol w:w="818"/>
        <w:gridCol w:w="817"/>
        <w:gridCol w:w="817"/>
        <w:gridCol w:w="817"/>
        <w:gridCol w:w="817"/>
      </w:tblGrid>
      <w:tr>
        <w:trPr>
          <w:trHeight w:val="166" w:hRule="exact"/>
        </w:trPr>
        <w:tc>
          <w:tcPr>
            <w:tcW w:w="2399" w:type="dxa"/>
            <w:vMerge w:val="restart"/>
            <w:tcBorders>
              <w:left w:val="single" w:sz="4" w:space="0" w:color="000000"/>
              <w:right w:val="single" w:sz="4" w:space="0" w:color="000000"/>
            </w:tcBorders>
            <w:shd w:val="clear" w:color="auto" w:fill="C5BD96"/>
          </w:tcPr>
          <w:p>
            <w:pPr>
              <w:pStyle w:val="TableParagraph"/>
              <w:jc w:val="left"/>
              <w:rPr>
                <w:rFonts w:ascii="Calibri"/>
                <w:b/>
                <w:sz w:val="10"/>
              </w:rPr>
            </w:pPr>
          </w:p>
          <w:p>
            <w:pPr>
              <w:pStyle w:val="TableParagraph"/>
              <w:spacing w:before="10"/>
              <w:jc w:val="left"/>
              <w:rPr>
                <w:rFonts w:ascii="Calibri"/>
                <w:b/>
                <w:sz w:val="14"/>
              </w:rPr>
            </w:pPr>
          </w:p>
          <w:p>
            <w:pPr>
              <w:pStyle w:val="TableParagraph"/>
              <w:spacing w:before="1"/>
              <w:ind w:left="704" w:right="51"/>
              <w:jc w:val="left"/>
              <w:rPr>
                <w:rFonts w:ascii="Calibri"/>
                <w:b/>
                <w:sz w:val="10"/>
              </w:rPr>
            </w:pPr>
            <w:r>
              <w:rPr>
                <w:rFonts w:ascii="Calibri"/>
                <w:b/>
                <w:w w:val="120"/>
                <w:sz w:val="10"/>
              </w:rPr>
              <w:t>SUBSECTOR/RAMA</w:t>
            </w:r>
          </w:p>
        </w:tc>
        <w:tc>
          <w:tcPr>
            <w:tcW w:w="4086" w:type="dxa"/>
            <w:gridSpan w:val="5"/>
            <w:tcBorders>
              <w:left w:val="single" w:sz="4" w:space="0" w:color="000000"/>
              <w:right w:val="single" w:sz="4" w:space="0" w:color="000000"/>
            </w:tcBorders>
            <w:shd w:val="clear" w:color="auto" w:fill="C5BD96"/>
          </w:tcPr>
          <w:p>
            <w:pPr>
              <w:pStyle w:val="TableParagraph"/>
              <w:spacing w:before="29"/>
              <w:ind w:left="1735" w:right="1734"/>
              <w:jc w:val="center"/>
              <w:rPr>
                <w:rFonts w:ascii="Calibri"/>
                <w:b/>
                <w:sz w:val="10"/>
              </w:rPr>
            </w:pPr>
            <w:r>
              <w:rPr>
                <w:rFonts w:ascii="Calibri"/>
                <w:b/>
                <w:w w:val="120"/>
                <w:sz w:val="10"/>
              </w:rPr>
              <w:t>MUNICIPIO</w:t>
            </w:r>
          </w:p>
        </w:tc>
      </w:tr>
      <w:tr>
        <w:trPr>
          <w:trHeight w:val="274" w:hRule="exact"/>
        </w:trPr>
        <w:tc>
          <w:tcPr>
            <w:tcW w:w="2399" w:type="dxa"/>
            <w:vMerge/>
            <w:tcBorders>
              <w:left w:val="single" w:sz="4" w:space="0" w:color="000000"/>
              <w:right w:val="single" w:sz="4" w:space="0" w:color="000000"/>
            </w:tcBorders>
            <w:shd w:val="clear" w:color="auto" w:fill="C5BD96"/>
          </w:tcPr>
          <w:p>
            <w:pPr/>
          </w:p>
        </w:tc>
        <w:tc>
          <w:tcPr>
            <w:tcW w:w="818" w:type="dxa"/>
            <w:tcBorders>
              <w:left w:val="single" w:sz="4" w:space="0" w:color="000000"/>
              <w:right w:val="single" w:sz="4" w:space="0" w:color="000000"/>
            </w:tcBorders>
            <w:shd w:val="clear" w:color="auto" w:fill="C5BD96"/>
          </w:tcPr>
          <w:p>
            <w:pPr>
              <w:pStyle w:val="TableParagraph"/>
              <w:spacing w:before="7"/>
              <w:jc w:val="left"/>
              <w:rPr>
                <w:rFonts w:ascii="Calibri"/>
                <w:b/>
                <w:sz w:val="10"/>
              </w:rPr>
            </w:pPr>
          </w:p>
          <w:p>
            <w:pPr>
              <w:pStyle w:val="TableParagraph"/>
              <w:ind w:left="236" w:right="-3"/>
              <w:jc w:val="left"/>
              <w:rPr>
                <w:rFonts w:ascii="Calibri"/>
                <w:b/>
                <w:sz w:val="10"/>
              </w:rPr>
            </w:pPr>
            <w:r>
              <w:rPr>
                <w:rFonts w:ascii="Calibri"/>
                <w:b/>
                <w:w w:val="120"/>
                <w:sz w:val="10"/>
              </w:rPr>
              <w:t>Toluca</w:t>
            </w:r>
          </w:p>
        </w:tc>
        <w:tc>
          <w:tcPr>
            <w:tcW w:w="817" w:type="dxa"/>
            <w:tcBorders>
              <w:left w:val="single" w:sz="4" w:space="0" w:color="000000"/>
              <w:right w:val="single" w:sz="4" w:space="0" w:color="000000"/>
            </w:tcBorders>
            <w:shd w:val="clear" w:color="auto" w:fill="C5BD96"/>
          </w:tcPr>
          <w:p>
            <w:pPr>
              <w:pStyle w:val="TableParagraph"/>
              <w:spacing w:before="7"/>
              <w:jc w:val="left"/>
              <w:rPr>
                <w:rFonts w:ascii="Calibri"/>
                <w:b/>
                <w:sz w:val="10"/>
              </w:rPr>
            </w:pPr>
          </w:p>
          <w:p>
            <w:pPr>
              <w:pStyle w:val="TableParagraph"/>
              <w:ind w:left="245" w:right="43"/>
              <w:jc w:val="left"/>
              <w:rPr>
                <w:rFonts w:ascii="Calibri"/>
                <w:b/>
                <w:sz w:val="10"/>
              </w:rPr>
            </w:pPr>
            <w:r>
              <w:rPr>
                <w:rFonts w:ascii="Calibri"/>
                <w:b/>
                <w:w w:val="120"/>
                <w:sz w:val="10"/>
              </w:rPr>
              <w:t>Lerma</w:t>
            </w:r>
          </w:p>
        </w:tc>
        <w:tc>
          <w:tcPr>
            <w:tcW w:w="817" w:type="dxa"/>
            <w:tcBorders>
              <w:left w:val="single" w:sz="4" w:space="0" w:color="000000"/>
              <w:right w:val="single" w:sz="4" w:space="0" w:color="000000"/>
            </w:tcBorders>
            <w:shd w:val="clear" w:color="auto" w:fill="C5BD96"/>
          </w:tcPr>
          <w:p>
            <w:pPr>
              <w:pStyle w:val="TableParagraph"/>
              <w:spacing w:line="261" w:lineRule="auto"/>
              <w:ind w:left="51" w:right="43" w:firstLine="132"/>
              <w:jc w:val="left"/>
              <w:rPr>
                <w:rFonts w:ascii="Calibri"/>
                <w:b/>
                <w:sz w:val="10"/>
              </w:rPr>
            </w:pPr>
            <w:r>
              <w:rPr>
                <w:rFonts w:ascii="Calibri"/>
                <w:b/>
                <w:w w:val="120"/>
                <w:sz w:val="10"/>
              </w:rPr>
              <w:t>Santiago Tianguistenco</w:t>
            </w:r>
          </w:p>
        </w:tc>
        <w:tc>
          <w:tcPr>
            <w:tcW w:w="817" w:type="dxa"/>
            <w:tcBorders>
              <w:left w:val="single" w:sz="4" w:space="0" w:color="000000"/>
              <w:right w:val="single" w:sz="4" w:space="0" w:color="000000"/>
            </w:tcBorders>
            <w:shd w:val="clear" w:color="auto" w:fill="C5BD96"/>
          </w:tcPr>
          <w:p>
            <w:pPr>
              <w:pStyle w:val="TableParagraph"/>
              <w:spacing w:before="7"/>
              <w:jc w:val="left"/>
              <w:rPr>
                <w:rFonts w:ascii="Calibri"/>
                <w:b/>
                <w:sz w:val="10"/>
              </w:rPr>
            </w:pPr>
          </w:p>
          <w:p>
            <w:pPr>
              <w:pStyle w:val="TableParagraph"/>
              <w:ind w:left="132" w:right="-2"/>
              <w:jc w:val="left"/>
              <w:rPr>
                <w:rFonts w:ascii="Calibri"/>
                <w:b/>
                <w:sz w:val="10"/>
              </w:rPr>
            </w:pPr>
            <w:r>
              <w:rPr>
                <w:rFonts w:ascii="Calibri"/>
                <w:b/>
                <w:w w:val="120"/>
                <w:sz w:val="10"/>
              </w:rPr>
              <w:t>Ocoyoacac</w:t>
            </w:r>
          </w:p>
        </w:tc>
        <w:tc>
          <w:tcPr>
            <w:tcW w:w="817" w:type="dxa"/>
            <w:tcBorders>
              <w:left w:val="single" w:sz="4" w:space="0" w:color="000000"/>
              <w:right w:val="single" w:sz="4" w:space="0" w:color="000000"/>
            </w:tcBorders>
            <w:shd w:val="clear" w:color="auto" w:fill="C5BD96"/>
          </w:tcPr>
          <w:p>
            <w:pPr>
              <w:pStyle w:val="TableParagraph"/>
              <w:spacing w:line="261" w:lineRule="auto"/>
              <w:ind w:left="234" w:right="116" w:hanging="102"/>
              <w:jc w:val="left"/>
              <w:rPr>
                <w:rFonts w:ascii="Calibri"/>
                <w:b/>
                <w:sz w:val="10"/>
              </w:rPr>
            </w:pPr>
            <w:r>
              <w:rPr>
                <w:rFonts w:ascii="Calibri"/>
                <w:b/>
                <w:w w:val="120"/>
                <w:sz w:val="10"/>
              </w:rPr>
              <w:t>San Mateo Atenco</w:t>
            </w:r>
          </w:p>
        </w:tc>
      </w:tr>
      <w:tr>
        <w:trPr>
          <w:trHeight w:val="166" w:hRule="exact"/>
        </w:trPr>
        <w:tc>
          <w:tcPr>
            <w:tcW w:w="6485" w:type="dxa"/>
            <w:gridSpan w:val="6"/>
            <w:tcBorders>
              <w:left w:val="single" w:sz="4" w:space="0" w:color="000000"/>
              <w:right w:val="single" w:sz="4" w:space="0" w:color="000000"/>
            </w:tcBorders>
          </w:tcPr>
          <w:p>
            <w:pPr>
              <w:pStyle w:val="TableParagraph"/>
              <w:spacing w:before="21"/>
              <w:ind w:left="1470"/>
              <w:jc w:val="left"/>
              <w:rPr>
                <w:b/>
                <w:sz w:val="11"/>
              </w:rPr>
            </w:pPr>
            <w:r>
              <w:rPr>
                <w:b/>
                <w:w w:val="120"/>
                <w:sz w:val="11"/>
              </w:rPr>
              <w:t>Subsector 31 Productos alimenticios, bebidas y tabaco</w:t>
            </w:r>
          </w:p>
        </w:tc>
      </w:tr>
      <w:tr>
        <w:trPr>
          <w:trHeight w:val="241" w:hRule="exact"/>
        </w:trPr>
        <w:tc>
          <w:tcPr>
            <w:tcW w:w="2399" w:type="dxa"/>
            <w:tcBorders>
              <w:left w:val="single" w:sz="4" w:space="0" w:color="000000"/>
              <w:right w:val="single" w:sz="4" w:space="0" w:color="000000"/>
            </w:tcBorders>
          </w:tcPr>
          <w:p>
            <w:pPr>
              <w:pStyle w:val="TableParagraph"/>
              <w:spacing w:before="88"/>
              <w:ind w:left="20" w:right="51"/>
              <w:jc w:val="left"/>
              <w:rPr>
                <w:sz w:val="11"/>
              </w:rPr>
            </w:pPr>
            <w:r>
              <w:rPr>
                <w:w w:val="120"/>
                <w:sz w:val="11"/>
              </w:rPr>
              <w:t>Manufactura de alimentos</w:t>
            </w:r>
          </w:p>
        </w:tc>
        <w:tc>
          <w:tcPr>
            <w:tcW w:w="818" w:type="dxa"/>
            <w:tcBorders>
              <w:left w:val="single" w:sz="4" w:space="0" w:color="000000"/>
              <w:right w:val="single" w:sz="4" w:space="0" w:color="000000"/>
            </w:tcBorders>
          </w:tcPr>
          <w:p>
            <w:pPr>
              <w:pStyle w:val="TableParagraph"/>
              <w:spacing w:before="88"/>
              <w:ind w:right="17"/>
              <w:rPr>
                <w:sz w:val="11"/>
              </w:rPr>
            </w:pPr>
            <w:r>
              <w:rPr>
                <w:w w:val="120"/>
                <w:sz w:val="11"/>
              </w:rPr>
              <w:t>1970, 1975</w:t>
            </w:r>
          </w:p>
        </w:tc>
        <w:tc>
          <w:tcPr>
            <w:tcW w:w="817" w:type="dxa"/>
            <w:tcBorders>
              <w:left w:val="single" w:sz="4" w:space="0" w:color="000000"/>
              <w:right w:val="single" w:sz="4" w:space="0" w:color="000000"/>
            </w:tcBorders>
          </w:tcPr>
          <w:p>
            <w:pPr>
              <w:pStyle w:val="TableParagraph"/>
              <w:spacing w:before="88"/>
              <w:ind w:right="18"/>
              <w:rPr>
                <w:sz w:val="11"/>
              </w:rPr>
            </w:pPr>
            <w:r>
              <w:rPr>
                <w:w w:val="120"/>
                <w:sz w:val="11"/>
              </w:rPr>
              <w:t>1970</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Style w:val="TableParagraph"/>
              <w:spacing w:before="88"/>
              <w:ind w:right="18"/>
              <w:rPr>
                <w:sz w:val="11"/>
              </w:rPr>
            </w:pPr>
            <w:r>
              <w:rPr>
                <w:w w:val="120"/>
                <w:sz w:val="11"/>
              </w:rPr>
              <w:t>1975</w:t>
            </w:r>
          </w:p>
        </w:tc>
      </w:tr>
      <w:tr>
        <w:trPr>
          <w:trHeight w:val="432" w:hRule="exact"/>
        </w:trPr>
        <w:tc>
          <w:tcPr>
            <w:tcW w:w="2399" w:type="dxa"/>
            <w:tcBorders>
              <w:left w:val="single" w:sz="4" w:space="0" w:color="000000"/>
              <w:right w:val="single" w:sz="4" w:space="0" w:color="000000"/>
            </w:tcBorders>
          </w:tcPr>
          <w:p>
            <w:pPr>
              <w:pStyle w:val="TableParagraph"/>
              <w:jc w:val="left"/>
              <w:rPr>
                <w:rFonts w:ascii="Calibri"/>
                <w:b/>
                <w:sz w:val="10"/>
              </w:rPr>
            </w:pPr>
          </w:p>
          <w:p>
            <w:pPr>
              <w:pStyle w:val="TableParagraph"/>
              <w:spacing w:before="10"/>
              <w:jc w:val="left"/>
              <w:rPr>
                <w:rFonts w:ascii="Calibri"/>
                <w:b/>
                <w:sz w:val="12"/>
              </w:rPr>
            </w:pPr>
          </w:p>
          <w:p>
            <w:pPr>
              <w:pStyle w:val="TableParagraph"/>
              <w:ind w:left="20" w:right="51"/>
              <w:jc w:val="left"/>
              <w:rPr>
                <w:sz w:val="11"/>
              </w:rPr>
            </w:pPr>
            <w:r>
              <w:rPr>
                <w:w w:val="120"/>
                <w:sz w:val="11"/>
              </w:rPr>
              <w:t>Elaboración de bebidas</w:t>
            </w:r>
          </w:p>
        </w:tc>
        <w:tc>
          <w:tcPr>
            <w:tcW w:w="818" w:type="dxa"/>
            <w:tcBorders>
              <w:left w:val="single" w:sz="4" w:space="0" w:color="000000"/>
              <w:right w:val="single" w:sz="4" w:space="0" w:color="000000"/>
            </w:tcBorders>
          </w:tcPr>
          <w:p>
            <w:pPr>
              <w:pStyle w:val="TableParagraph"/>
              <w:spacing w:line="123" w:lineRule="exact"/>
              <w:ind w:left="52" w:right="-3"/>
              <w:jc w:val="left"/>
              <w:rPr>
                <w:sz w:val="11"/>
              </w:rPr>
            </w:pPr>
            <w:r>
              <w:rPr>
                <w:w w:val="120"/>
                <w:sz w:val="11"/>
              </w:rPr>
              <w:t>1970,  1985,</w:t>
            </w:r>
          </w:p>
          <w:p>
            <w:pPr>
              <w:pStyle w:val="TableParagraph"/>
              <w:spacing w:before="15"/>
              <w:ind w:left="93" w:right="-3"/>
              <w:jc w:val="left"/>
              <w:rPr>
                <w:sz w:val="11"/>
              </w:rPr>
            </w:pPr>
            <w:r>
              <w:rPr>
                <w:w w:val="120"/>
                <w:sz w:val="11"/>
              </w:rPr>
              <w:t>1988, 1998,</w:t>
            </w:r>
          </w:p>
          <w:p>
            <w:pPr>
              <w:pStyle w:val="TableParagraph"/>
              <w:spacing w:before="14"/>
              <w:ind w:left="133" w:right="-6"/>
              <w:jc w:val="left"/>
              <w:rPr>
                <w:sz w:val="11"/>
              </w:rPr>
            </w:pPr>
            <w:r>
              <w:rPr>
                <w:w w:val="120"/>
                <w:sz w:val="11"/>
              </w:rPr>
              <w:t>2003, 2008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Style w:val="TableParagraph"/>
              <w:jc w:val="left"/>
              <w:rPr>
                <w:rFonts w:ascii="Calibri"/>
                <w:b/>
                <w:sz w:val="10"/>
              </w:rPr>
            </w:pPr>
          </w:p>
          <w:p>
            <w:pPr>
              <w:pStyle w:val="TableParagraph"/>
              <w:spacing w:before="10"/>
              <w:jc w:val="left"/>
              <w:rPr>
                <w:rFonts w:ascii="Calibri"/>
                <w:b/>
                <w:sz w:val="12"/>
              </w:rPr>
            </w:pPr>
          </w:p>
          <w:p>
            <w:pPr>
              <w:pStyle w:val="TableParagraph"/>
              <w:ind w:right="18"/>
              <w:rPr>
                <w:sz w:val="11"/>
              </w:rPr>
            </w:pPr>
            <w:r>
              <w:rPr>
                <w:w w:val="120"/>
                <w:sz w:val="11"/>
              </w:rPr>
              <w:t>1975</w:t>
            </w:r>
          </w:p>
        </w:tc>
      </w:tr>
      <w:tr>
        <w:trPr>
          <w:trHeight w:val="166" w:hRule="exact"/>
        </w:trPr>
        <w:tc>
          <w:tcPr>
            <w:tcW w:w="2399" w:type="dxa"/>
            <w:tcBorders>
              <w:left w:val="single" w:sz="4" w:space="0" w:color="000000"/>
              <w:right w:val="single" w:sz="4" w:space="0" w:color="000000"/>
            </w:tcBorders>
          </w:tcPr>
          <w:p>
            <w:pPr>
              <w:pStyle w:val="TableParagraph"/>
              <w:spacing w:before="13"/>
              <w:ind w:left="20" w:right="51"/>
              <w:jc w:val="left"/>
              <w:rPr>
                <w:sz w:val="11"/>
              </w:rPr>
            </w:pPr>
            <w:r>
              <w:rPr>
                <w:w w:val="120"/>
                <w:sz w:val="11"/>
              </w:rPr>
              <w:t>Elaboración de productos lácteos</w:t>
            </w:r>
          </w:p>
        </w:tc>
        <w:tc>
          <w:tcPr>
            <w:tcW w:w="818" w:type="dxa"/>
            <w:tcBorders>
              <w:left w:val="single" w:sz="4" w:space="0" w:color="000000"/>
              <w:right w:val="single" w:sz="4" w:space="0" w:color="000000"/>
            </w:tcBorders>
          </w:tcPr>
          <w:p>
            <w:pPr>
              <w:pStyle w:val="TableParagraph"/>
              <w:spacing w:before="13"/>
              <w:ind w:right="18"/>
              <w:rPr>
                <w:sz w:val="11"/>
              </w:rPr>
            </w:pPr>
            <w:r>
              <w:rPr>
                <w:w w:val="120"/>
                <w:sz w:val="11"/>
              </w:rPr>
              <w:t>1980</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r>
        <w:trPr>
          <w:trHeight w:val="291" w:hRule="exact"/>
        </w:trPr>
        <w:tc>
          <w:tcPr>
            <w:tcW w:w="2399"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left="20" w:right="51"/>
              <w:jc w:val="left"/>
              <w:rPr>
                <w:sz w:val="11"/>
              </w:rPr>
            </w:pPr>
            <w:r>
              <w:rPr>
                <w:w w:val="120"/>
                <w:sz w:val="11"/>
              </w:rPr>
              <w:t>Molienda de cereales</w:t>
            </w:r>
          </w:p>
        </w:tc>
        <w:tc>
          <w:tcPr>
            <w:tcW w:w="818" w:type="dxa"/>
            <w:tcBorders>
              <w:left w:val="single" w:sz="4" w:space="0" w:color="000000"/>
              <w:right w:val="single" w:sz="4" w:space="0" w:color="000000"/>
            </w:tcBorders>
          </w:tcPr>
          <w:p>
            <w:pPr>
              <w:pStyle w:val="TableParagraph"/>
              <w:spacing w:line="123" w:lineRule="exact"/>
              <w:ind w:left="93" w:right="-3"/>
              <w:jc w:val="left"/>
              <w:rPr>
                <w:sz w:val="11"/>
              </w:rPr>
            </w:pPr>
            <w:r>
              <w:rPr>
                <w:w w:val="120"/>
                <w:sz w:val="11"/>
              </w:rPr>
              <w:t>1980, 1988,</w:t>
            </w:r>
          </w:p>
          <w:p>
            <w:pPr>
              <w:pStyle w:val="TableParagraph"/>
              <w:spacing w:before="14"/>
              <w:ind w:left="133" w:right="-6"/>
              <w:jc w:val="left"/>
              <w:rPr>
                <w:sz w:val="11"/>
              </w:rPr>
            </w:pPr>
            <w:r>
              <w:rPr>
                <w:w w:val="120"/>
                <w:sz w:val="11"/>
              </w:rPr>
              <w:t>1993, 1998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1980</w:t>
            </w: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1980</w:t>
            </w: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7"/>
              <w:rPr>
                <w:sz w:val="11"/>
              </w:rPr>
            </w:pPr>
            <w:r>
              <w:rPr>
                <w:w w:val="120"/>
                <w:sz w:val="11"/>
              </w:rPr>
              <w:t>1993, 1998</w:t>
            </w:r>
          </w:p>
        </w:tc>
      </w:tr>
      <w:tr>
        <w:trPr>
          <w:trHeight w:val="574" w:hRule="exact"/>
        </w:trPr>
        <w:tc>
          <w:tcPr>
            <w:tcW w:w="2399" w:type="dxa"/>
            <w:tcBorders>
              <w:left w:val="single" w:sz="4" w:space="0" w:color="000000"/>
              <w:right w:val="single" w:sz="4" w:space="0" w:color="000000"/>
            </w:tcBorders>
          </w:tcPr>
          <w:p>
            <w:pPr>
              <w:pStyle w:val="TableParagraph"/>
              <w:jc w:val="left"/>
              <w:rPr>
                <w:rFonts w:ascii="Calibri"/>
                <w:b/>
                <w:sz w:val="10"/>
              </w:rPr>
            </w:pPr>
          </w:p>
          <w:p>
            <w:pPr>
              <w:pStyle w:val="TableParagraph"/>
              <w:spacing w:before="10"/>
              <w:jc w:val="left"/>
              <w:rPr>
                <w:rFonts w:ascii="Calibri"/>
                <w:b/>
                <w:sz w:val="12"/>
              </w:rPr>
            </w:pPr>
          </w:p>
          <w:p>
            <w:pPr>
              <w:pStyle w:val="TableParagraph"/>
              <w:spacing w:line="268" w:lineRule="auto"/>
              <w:ind w:left="20" w:right="51"/>
              <w:jc w:val="left"/>
              <w:rPr>
                <w:sz w:val="11"/>
              </w:rPr>
            </w:pPr>
            <w:r>
              <w:rPr>
                <w:w w:val="120"/>
                <w:sz w:val="11"/>
              </w:rPr>
              <w:t>Fabricación de productos de panadería y tortillas</w:t>
            </w:r>
          </w:p>
        </w:tc>
        <w:tc>
          <w:tcPr>
            <w:tcW w:w="818" w:type="dxa"/>
            <w:tcBorders>
              <w:left w:val="single" w:sz="4" w:space="0" w:color="000000"/>
              <w:right w:val="single" w:sz="4" w:space="0" w:color="000000"/>
            </w:tcBorders>
          </w:tcPr>
          <w:p>
            <w:pPr>
              <w:pStyle w:val="TableParagraph"/>
              <w:spacing w:line="123" w:lineRule="exact"/>
              <w:ind w:left="93" w:right="-3"/>
              <w:jc w:val="left"/>
              <w:rPr>
                <w:sz w:val="11"/>
              </w:rPr>
            </w:pPr>
            <w:r>
              <w:rPr>
                <w:w w:val="120"/>
                <w:sz w:val="11"/>
              </w:rPr>
              <w:t>1980, 1985,</w:t>
            </w:r>
          </w:p>
          <w:p>
            <w:pPr>
              <w:pStyle w:val="TableParagraph"/>
              <w:spacing w:before="15"/>
              <w:ind w:left="93" w:right="-3"/>
              <w:jc w:val="left"/>
              <w:rPr>
                <w:sz w:val="11"/>
              </w:rPr>
            </w:pPr>
            <w:r>
              <w:rPr>
                <w:w w:val="120"/>
                <w:sz w:val="11"/>
              </w:rPr>
              <w:t>1988, 1993,</w:t>
            </w:r>
          </w:p>
          <w:p>
            <w:pPr>
              <w:pStyle w:val="TableParagraph"/>
              <w:spacing w:before="14"/>
              <w:ind w:left="93" w:right="-3"/>
              <w:jc w:val="left"/>
              <w:rPr>
                <w:sz w:val="11"/>
              </w:rPr>
            </w:pPr>
            <w:r>
              <w:rPr>
                <w:w w:val="120"/>
                <w:sz w:val="11"/>
              </w:rPr>
              <w:t>1998, 2003,</w:t>
            </w:r>
          </w:p>
          <w:p>
            <w:pPr>
              <w:pStyle w:val="TableParagraph"/>
              <w:spacing w:before="14"/>
              <w:ind w:left="501" w:right="-7"/>
              <w:jc w:val="left"/>
              <w:rPr>
                <w:sz w:val="11"/>
              </w:rPr>
            </w:pPr>
            <w:r>
              <w:rPr>
                <w:w w:val="120"/>
                <w:sz w:val="11"/>
              </w:rPr>
              <w:t>2008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Style w:val="TableParagraph"/>
              <w:jc w:val="left"/>
              <w:rPr>
                <w:rFonts w:ascii="Calibri"/>
                <w:b/>
                <w:sz w:val="10"/>
              </w:rPr>
            </w:pPr>
          </w:p>
          <w:p>
            <w:pPr>
              <w:pStyle w:val="TableParagraph"/>
              <w:spacing w:before="10"/>
              <w:jc w:val="left"/>
              <w:rPr>
                <w:rFonts w:ascii="Calibri"/>
                <w:b/>
                <w:sz w:val="12"/>
              </w:rPr>
            </w:pPr>
          </w:p>
          <w:p>
            <w:pPr>
              <w:pStyle w:val="TableParagraph"/>
              <w:ind w:left="91" w:right="-2"/>
              <w:jc w:val="left"/>
              <w:rPr>
                <w:sz w:val="11"/>
              </w:rPr>
            </w:pPr>
            <w:r>
              <w:rPr>
                <w:w w:val="120"/>
                <w:sz w:val="11"/>
              </w:rPr>
              <w:t>1980, 1988,</w:t>
            </w:r>
          </w:p>
          <w:p>
            <w:pPr>
              <w:pStyle w:val="TableParagraph"/>
              <w:spacing w:before="14"/>
              <w:ind w:left="500" w:right="-7"/>
              <w:jc w:val="left"/>
              <w:rPr>
                <w:sz w:val="11"/>
              </w:rPr>
            </w:pPr>
            <w:r>
              <w:rPr>
                <w:w w:val="120"/>
                <w:sz w:val="11"/>
              </w:rPr>
              <w:t>2008</w:t>
            </w:r>
          </w:p>
        </w:tc>
        <w:tc>
          <w:tcPr>
            <w:tcW w:w="817" w:type="dxa"/>
            <w:tcBorders>
              <w:left w:val="single" w:sz="4" w:space="0" w:color="000000"/>
              <w:right w:val="single" w:sz="4" w:space="0" w:color="000000"/>
            </w:tcBorders>
          </w:tcPr>
          <w:p>
            <w:pPr>
              <w:pStyle w:val="TableParagraph"/>
              <w:jc w:val="left"/>
              <w:rPr>
                <w:rFonts w:ascii="Calibri"/>
                <w:b/>
                <w:sz w:val="10"/>
              </w:rPr>
            </w:pPr>
          </w:p>
          <w:p>
            <w:pPr>
              <w:pStyle w:val="TableParagraph"/>
              <w:spacing w:before="10"/>
              <w:jc w:val="left"/>
              <w:rPr>
                <w:rFonts w:ascii="Calibri"/>
                <w:b/>
                <w:sz w:val="12"/>
              </w:rPr>
            </w:pPr>
          </w:p>
          <w:p>
            <w:pPr>
              <w:pStyle w:val="TableParagraph"/>
              <w:ind w:left="91" w:right="-2"/>
              <w:jc w:val="left"/>
              <w:rPr>
                <w:sz w:val="11"/>
              </w:rPr>
            </w:pPr>
            <w:r>
              <w:rPr>
                <w:w w:val="120"/>
                <w:sz w:val="11"/>
              </w:rPr>
              <w:t>1993, 1998,</w:t>
            </w:r>
          </w:p>
          <w:p>
            <w:pPr>
              <w:pStyle w:val="TableParagraph"/>
              <w:spacing w:before="14"/>
              <w:ind w:left="500" w:right="-7"/>
              <w:jc w:val="left"/>
              <w:rPr>
                <w:sz w:val="11"/>
              </w:rPr>
            </w:pPr>
            <w:r>
              <w:rPr>
                <w:w w:val="120"/>
                <w:sz w:val="11"/>
              </w:rPr>
              <w:t>2008</w:t>
            </w:r>
          </w:p>
        </w:tc>
      </w:tr>
      <w:tr>
        <w:trPr>
          <w:trHeight w:val="291" w:hRule="exact"/>
        </w:trPr>
        <w:tc>
          <w:tcPr>
            <w:tcW w:w="2399" w:type="dxa"/>
            <w:tcBorders>
              <w:left w:val="single" w:sz="4" w:space="0" w:color="000000"/>
              <w:right w:val="single" w:sz="4" w:space="0" w:color="000000"/>
            </w:tcBorders>
          </w:tcPr>
          <w:p>
            <w:pPr>
              <w:pStyle w:val="TableParagraph"/>
              <w:spacing w:line="268" w:lineRule="auto"/>
              <w:ind w:left="20" w:right="51"/>
              <w:jc w:val="left"/>
              <w:rPr>
                <w:sz w:val="11"/>
              </w:rPr>
            </w:pPr>
            <w:r>
              <w:rPr>
                <w:w w:val="120"/>
                <w:sz w:val="11"/>
              </w:rPr>
              <w:t>Fabricación de cocoa, chocolates y artículos de confitería</w:t>
            </w:r>
          </w:p>
        </w:tc>
        <w:tc>
          <w:tcPr>
            <w:tcW w:w="818" w:type="dxa"/>
            <w:tcBorders>
              <w:left w:val="single" w:sz="4" w:space="0" w:color="000000"/>
              <w:right w:val="single" w:sz="4" w:space="0" w:color="000000"/>
            </w:tcBorders>
          </w:tcPr>
          <w:p>
            <w:pPr>
              <w:pStyle w:val="TableParagraph"/>
              <w:spacing w:before="8"/>
              <w:jc w:val="left"/>
              <w:rPr>
                <w:rFonts w:ascii="Calibri"/>
                <w:b/>
                <w:sz w:val="2"/>
              </w:rPr>
            </w:pPr>
          </w:p>
          <w:p>
            <w:pPr>
              <w:pStyle w:val="TableParagraph"/>
              <w:spacing w:line="20" w:lineRule="exact"/>
              <w:ind w:left="1"/>
              <w:jc w:val="left"/>
              <w:rPr>
                <w:rFonts w:ascii="Calibri"/>
                <w:sz w:val="2"/>
              </w:rPr>
            </w:pPr>
            <w:r>
              <w:rPr>
                <w:rFonts w:ascii="Calibri"/>
                <w:sz w:val="2"/>
              </w:rPr>
              <w:pict>
                <v:group style="width:.45pt;height:.45pt;mso-position-horizontal-relative:char;mso-position-vertical-relative:line" coordorigin="0,0" coordsize="9,9">
                  <v:line style="position:absolute" from="4,4" to="4,4" stroked="true" strokeweight=".415466pt" strokecolor="#008000"/>
                </v:group>
              </w:pict>
            </w:r>
            <w:r>
              <w:rPr>
                <w:rFonts w:ascii="Calibri"/>
                <w:sz w:val="2"/>
              </w:rPr>
            </w:r>
          </w:p>
          <w:p>
            <w:pPr>
              <w:pStyle w:val="TableParagraph"/>
              <w:spacing w:before="85"/>
              <w:ind w:right="18"/>
              <w:rPr>
                <w:sz w:val="11"/>
              </w:rPr>
            </w:pPr>
            <w:r>
              <w:rPr>
                <w:w w:val="120"/>
                <w:sz w:val="11"/>
              </w:rPr>
              <w:t>2008</w:t>
            </w: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1985</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r>
        <w:trPr>
          <w:trHeight w:val="432" w:hRule="exact"/>
        </w:trPr>
        <w:tc>
          <w:tcPr>
            <w:tcW w:w="2399"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spacing w:line="268" w:lineRule="auto" w:before="1"/>
              <w:ind w:left="20" w:right="81"/>
              <w:jc w:val="left"/>
              <w:rPr>
                <w:sz w:val="11"/>
              </w:rPr>
            </w:pPr>
            <w:r>
              <w:rPr>
                <w:w w:val="120"/>
                <w:sz w:val="11"/>
              </w:rPr>
              <w:t>Elaboración de otros productos para el consumo humano</w:t>
            </w:r>
          </w:p>
        </w:tc>
        <w:tc>
          <w:tcPr>
            <w:tcW w:w="818" w:type="dxa"/>
            <w:tcBorders>
              <w:left w:val="single" w:sz="4" w:space="0" w:color="000000"/>
              <w:right w:val="single" w:sz="4" w:space="0" w:color="000000"/>
            </w:tcBorders>
          </w:tcPr>
          <w:p>
            <w:pPr>
              <w:pStyle w:val="TableParagraph"/>
              <w:spacing w:line="123" w:lineRule="exact"/>
              <w:ind w:left="93" w:right="-3"/>
              <w:jc w:val="left"/>
              <w:rPr>
                <w:sz w:val="11"/>
              </w:rPr>
            </w:pPr>
            <w:r>
              <w:rPr>
                <w:w w:val="120"/>
                <w:sz w:val="11"/>
              </w:rPr>
              <w:t>1985, 1988,</w:t>
            </w:r>
          </w:p>
          <w:p>
            <w:pPr>
              <w:pStyle w:val="TableParagraph"/>
              <w:spacing w:before="15"/>
              <w:ind w:left="93" w:right="-3"/>
              <w:jc w:val="left"/>
              <w:rPr>
                <w:sz w:val="11"/>
              </w:rPr>
            </w:pPr>
            <w:r>
              <w:rPr>
                <w:w w:val="120"/>
                <w:sz w:val="11"/>
              </w:rPr>
              <w:t>1993, 1998,</w:t>
            </w:r>
          </w:p>
          <w:p>
            <w:pPr>
              <w:pStyle w:val="TableParagraph"/>
              <w:spacing w:before="14"/>
              <w:ind w:left="133" w:right="-6"/>
              <w:jc w:val="left"/>
              <w:rPr>
                <w:sz w:val="11"/>
              </w:rPr>
            </w:pPr>
            <w:r>
              <w:rPr>
                <w:w w:val="120"/>
                <w:sz w:val="11"/>
              </w:rPr>
              <w:t>2003, 2008</w:t>
            </w:r>
          </w:p>
        </w:tc>
        <w:tc>
          <w:tcPr>
            <w:tcW w:w="817" w:type="dxa"/>
            <w:tcBorders>
              <w:left w:val="single" w:sz="4" w:space="0" w:color="000000"/>
              <w:right w:val="single" w:sz="4" w:space="0" w:color="000000"/>
            </w:tcBorders>
          </w:tcPr>
          <w:p>
            <w:pPr>
              <w:pStyle w:val="TableParagraph"/>
              <w:jc w:val="left"/>
              <w:rPr>
                <w:rFonts w:ascii="Calibri"/>
                <w:b/>
                <w:sz w:val="10"/>
              </w:rPr>
            </w:pPr>
          </w:p>
          <w:p>
            <w:pPr>
              <w:pStyle w:val="TableParagraph"/>
              <w:spacing w:before="10"/>
              <w:jc w:val="left"/>
              <w:rPr>
                <w:rFonts w:ascii="Calibri"/>
                <w:b/>
                <w:sz w:val="12"/>
              </w:rPr>
            </w:pPr>
          </w:p>
          <w:p>
            <w:pPr>
              <w:pStyle w:val="TableParagraph"/>
              <w:spacing w:before="1"/>
              <w:ind w:right="18"/>
              <w:rPr>
                <w:sz w:val="11"/>
              </w:rPr>
            </w:pPr>
            <w:r>
              <w:rPr>
                <w:w w:val="120"/>
                <w:sz w:val="11"/>
              </w:rPr>
              <w:t>1988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spacing w:before="1"/>
              <w:ind w:left="91" w:right="-2"/>
              <w:jc w:val="left"/>
              <w:rPr>
                <w:sz w:val="11"/>
              </w:rPr>
            </w:pPr>
            <w:r>
              <w:rPr>
                <w:w w:val="120"/>
                <w:sz w:val="11"/>
              </w:rPr>
              <w:t>1993, 1998,</w:t>
            </w:r>
          </w:p>
          <w:p>
            <w:pPr>
              <w:pStyle w:val="TableParagraph"/>
              <w:spacing w:before="14"/>
              <w:ind w:left="500" w:right="-7"/>
              <w:jc w:val="left"/>
              <w:rPr>
                <w:sz w:val="11"/>
              </w:rPr>
            </w:pPr>
            <w:r>
              <w:rPr>
                <w:w w:val="120"/>
                <w:sz w:val="11"/>
              </w:rPr>
              <w:t>2003</w:t>
            </w:r>
          </w:p>
        </w:tc>
      </w:tr>
      <w:tr>
        <w:trPr>
          <w:trHeight w:val="166" w:hRule="exact"/>
        </w:trPr>
        <w:tc>
          <w:tcPr>
            <w:tcW w:w="2399" w:type="dxa"/>
            <w:tcBorders>
              <w:left w:val="single" w:sz="4" w:space="0" w:color="000000"/>
              <w:right w:val="single" w:sz="4" w:space="0" w:color="000000"/>
            </w:tcBorders>
          </w:tcPr>
          <w:p>
            <w:pPr>
              <w:pStyle w:val="TableParagraph"/>
              <w:spacing w:before="13"/>
              <w:ind w:left="20" w:right="51"/>
              <w:jc w:val="left"/>
              <w:rPr>
                <w:sz w:val="11"/>
              </w:rPr>
            </w:pPr>
            <w:r>
              <w:rPr>
                <w:w w:val="120"/>
                <w:sz w:val="11"/>
              </w:rPr>
              <w:t>Elaboración de conservas alimenticia</w:t>
            </w:r>
          </w:p>
        </w:tc>
        <w:tc>
          <w:tcPr>
            <w:tcW w:w="818" w:type="dxa"/>
            <w:tcBorders>
              <w:left w:val="single" w:sz="4" w:space="0" w:color="000000"/>
              <w:right w:val="single" w:sz="4" w:space="0" w:color="000000"/>
            </w:tcBorders>
          </w:tcPr>
          <w:p>
            <w:pPr>
              <w:pStyle w:val="TableParagraph"/>
              <w:spacing w:before="13"/>
              <w:ind w:right="17"/>
              <w:rPr>
                <w:sz w:val="11"/>
              </w:rPr>
            </w:pPr>
            <w:r>
              <w:rPr>
                <w:w w:val="120"/>
                <w:sz w:val="11"/>
              </w:rPr>
              <w:t>1993, 1998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r>
        <w:trPr>
          <w:trHeight w:val="432" w:hRule="exact"/>
        </w:trPr>
        <w:tc>
          <w:tcPr>
            <w:tcW w:w="2399" w:type="dxa"/>
            <w:tcBorders>
              <w:left w:val="single" w:sz="4" w:space="0" w:color="000000"/>
              <w:right w:val="single" w:sz="4" w:space="0" w:color="000000"/>
            </w:tcBorders>
          </w:tcPr>
          <w:p>
            <w:pPr>
              <w:pStyle w:val="TableParagraph"/>
              <w:jc w:val="left"/>
              <w:rPr>
                <w:rFonts w:ascii="Calibri"/>
                <w:b/>
                <w:sz w:val="10"/>
              </w:rPr>
            </w:pPr>
          </w:p>
          <w:p>
            <w:pPr>
              <w:pStyle w:val="TableParagraph"/>
              <w:spacing w:before="10"/>
              <w:jc w:val="left"/>
              <w:rPr>
                <w:rFonts w:ascii="Calibri"/>
                <w:b/>
                <w:sz w:val="12"/>
              </w:rPr>
            </w:pPr>
          </w:p>
          <w:p>
            <w:pPr>
              <w:pStyle w:val="TableParagraph"/>
              <w:ind w:left="20" w:right="51"/>
              <w:jc w:val="left"/>
              <w:rPr>
                <w:sz w:val="11"/>
              </w:rPr>
            </w:pPr>
            <w:r>
              <w:rPr>
                <w:w w:val="120"/>
                <w:sz w:val="11"/>
              </w:rPr>
              <w:t>Industria del tabaco</w:t>
            </w:r>
          </w:p>
        </w:tc>
        <w:tc>
          <w:tcPr>
            <w:tcW w:w="818" w:type="dxa"/>
            <w:tcBorders>
              <w:left w:val="single" w:sz="4" w:space="0" w:color="000000"/>
              <w:right w:val="single" w:sz="4" w:space="0" w:color="000000"/>
            </w:tcBorders>
          </w:tcPr>
          <w:p>
            <w:pPr>
              <w:pStyle w:val="TableParagraph"/>
              <w:spacing w:line="123" w:lineRule="exact"/>
              <w:ind w:left="93" w:right="-3"/>
              <w:jc w:val="left"/>
              <w:rPr>
                <w:sz w:val="11"/>
              </w:rPr>
            </w:pPr>
            <w:r>
              <w:rPr>
                <w:w w:val="120"/>
                <w:sz w:val="11"/>
              </w:rPr>
              <w:t>1985, 1988,</w:t>
            </w:r>
          </w:p>
          <w:p>
            <w:pPr>
              <w:pStyle w:val="TableParagraph"/>
              <w:spacing w:before="14"/>
              <w:ind w:left="93" w:right="-3"/>
              <w:jc w:val="left"/>
              <w:rPr>
                <w:sz w:val="11"/>
              </w:rPr>
            </w:pPr>
            <w:r>
              <w:rPr>
                <w:w w:val="120"/>
                <w:sz w:val="11"/>
              </w:rPr>
              <w:t>1993, 1998,</w:t>
            </w:r>
          </w:p>
          <w:p>
            <w:pPr>
              <w:pStyle w:val="TableParagraph"/>
              <w:spacing w:before="14"/>
              <w:ind w:left="133" w:right="-6"/>
              <w:jc w:val="left"/>
              <w:rPr>
                <w:sz w:val="11"/>
              </w:rPr>
            </w:pPr>
            <w:r>
              <w:rPr>
                <w:w w:val="120"/>
                <w:sz w:val="11"/>
              </w:rPr>
              <w:t>2003, 2008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r>
        <w:trPr>
          <w:trHeight w:val="291" w:hRule="exact"/>
        </w:trPr>
        <w:tc>
          <w:tcPr>
            <w:tcW w:w="2399" w:type="dxa"/>
            <w:tcBorders>
              <w:left w:val="single" w:sz="4" w:space="0" w:color="000000"/>
              <w:right w:val="single" w:sz="4" w:space="0" w:color="000000"/>
            </w:tcBorders>
          </w:tcPr>
          <w:p>
            <w:pPr>
              <w:pStyle w:val="TableParagraph"/>
              <w:spacing w:line="268" w:lineRule="auto"/>
              <w:ind w:left="20" w:right="51"/>
              <w:jc w:val="left"/>
              <w:rPr>
                <w:sz w:val="11"/>
              </w:rPr>
            </w:pPr>
            <w:r>
              <w:rPr>
                <w:w w:val="120"/>
                <w:sz w:val="11"/>
              </w:rPr>
              <w:t>Conservación de frutas, verduras y guisos</w:t>
            </w:r>
          </w:p>
        </w:tc>
        <w:tc>
          <w:tcPr>
            <w:tcW w:w="818"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2003</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r>
        <w:trPr>
          <w:trHeight w:val="291" w:hRule="exact"/>
        </w:trPr>
        <w:tc>
          <w:tcPr>
            <w:tcW w:w="6485" w:type="dxa"/>
            <w:gridSpan w:val="6"/>
            <w:tcBorders>
              <w:left w:val="single" w:sz="4" w:space="0" w:color="000000"/>
              <w:right w:val="single" w:sz="4" w:space="0" w:color="000000"/>
            </w:tcBorders>
          </w:tcPr>
          <w:p>
            <w:pPr>
              <w:pStyle w:val="TableParagraph"/>
              <w:spacing w:line="268" w:lineRule="auto" w:before="5"/>
              <w:ind w:left="2982" w:hanging="2717"/>
              <w:jc w:val="left"/>
              <w:rPr>
                <w:b/>
                <w:sz w:val="11"/>
              </w:rPr>
            </w:pPr>
            <w:r>
              <w:rPr>
                <w:b/>
                <w:w w:val="120"/>
                <w:sz w:val="11"/>
              </w:rPr>
              <w:t>Subsector 35 Sustancias químicas, productos derivados del petróleo y del carbón, hule y de plástico</w:t>
            </w:r>
          </w:p>
        </w:tc>
      </w:tr>
      <w:tr>
        <w:trPr>
          <w:trHeight w:val="291" w:hRule="exact"/>
        </w:trPr>
        <w:tc>
          <w:tcPr>
            <w:tcW w:w="2399" w:type="dxa"/>
            <w:tcBorders>
              <w:left w:val="single" w:sz="4" w:space="0" w:color="000000"/>
              <w:right w:val="single" w:sz="4" w:space="0" w:color="000000"/>
            </w:tcBorders>
          </w:tcPr>
          <w:p>
            <w:pPr>
              <w:pStyle w:val="TableParagraph"/>
              <w:spacing w:line="268" w:lineRule="auto"/>
              <w:ind w:left="20"/>
              <w:jc w:val="left"/>
              <w:rPr>
                <w:sz w:val="11"/>
              </w:rPr>
            </w:pPr>
            <w:r>
              <w:rPr>
                <w:w w:val="120"/>
                <w:sz w:val="11"/>
              </w:rPr>
              <w:t>Fabricación de productos derivados del petróleo y carbón</w:t>
            </w:r>
          </w:p>
        </w:tc>
        <w:tc>
          <w:tcPr>
            <w:tcW w:w="818"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2008</w:t>
            </w: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7"/>
              <w:rPr>
                <w:sz w:val="11"/>
              </w:rPr>
            </w:pPr>
            <w:r>
              <w:rPr>
                <w:w w:val="120"/>
                <w:sz w:val="11"/>
              </w:rPr>
              <w:t>2003, 2008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7"/>
              <w:rPr>
                <w:sz w:val="11"/>
              </w:rPr>
            </w:pPr>
            <w:r>
              <w:rPr>
                <w:w w:val="120"/>
                <w:sz w:val="11"/>
              </w:rPr>
              <w:t>2003, 2008</w:t>
            </w:r>
          </w:p>
        </w:tc>
        <w:tc>
          <w:tcPr>
            <w:tcW w:w="817" w:type="dxa"/>
            <w:tcBorders>
              <w:left w:val="single" w:sz="4" w:space="0" w:color="000000"/>
              <w:right w:val="single" w:sz="4" w:space="0" w:color="000000"/>
            </w:tcBorders>
          </w:tcPr>
          <w:p>
            <w:pPr/>
          </w:p>
        </w:tc>
      </w:tr>
      <w:tr>
        <w:trPr>
          <w:trHeight w:val="432" w:hRule="exact"/>
        </w:trPr>
        <w:tc>
          <w:tcPr>
            <w:tcW w:w="2399"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spacing w:line="268" w:lineRule="auto"/>
              <w:ind w:left="20" w:right="866"/>
              <w:jc w:val="left"/>
              <w:rPr>
                <w:sz w:val="11"/>
              </w:rPr>
            </w:pPr>
            <w:r>
              <w:rPr>
                <w:w w:val="120"/>
                <w:sz w:val="11"/>
              </w:rPr>
              <w:t>Fabricación de productos farmacéuticos</w:t>
            </w:r>
          </w:p>
        </w:tc>
        <w:tc>
          <w:tcPr>
            <w:tcW w:w="818" w:type="dxa"/>
            <w:tcBorders>
              <w:left w:val="single" w:sz="4" w:space="0" w:color="000000"/>
              <w:right w:val="single" w:sz="4" w:space="0" w:color="000000"/>
            </w:tcBorders>
          </w:tcPr>
          <w:p>
            <w:pPr>
              <w:pStyle w:val="TableParagraph"/>
              <w:jc w:val="left"/>
              <w:rPr>
                <w:rFonts w:ascii="Calibri"/>
                <w:b/>
                <w:sz w:val="10"/>
              </w:rPr>
            </w:pPr>
          </w:p>
          <w:p>
            <w:pPr>
              <w:pStyle w:val="TableParagraph"/>
              <w:spacing w:before="10"/>
              <w:jc w:val="left"/>
              <w:rPr>
                <w:rFonts w:ascii="Calibri"/>
                <w:b/>
                <w:sz w:val="12"/>
              </w:rPr>
            </w:pPr>
          </w:p>
          <w:p>
            <w:pPr>
              <w:pStyle w:val="TableParagraph"/>
              <w:ind w:right="18"/>
              <w:rPr>
                <w:sz w:val="11"/>
              </w:rPr>
            </w:pPr>
            <w:r>
              <w:rPr>
                <w:w w:val="120"/>
                <w:sz w:val="11"/>
              </w:rPr>
              <w:t>2003</w:t>
            </w:r>
          </w:p>
        </w:tc>
        <w:tc>
          <w:tcPr>
            <w:tcW w:w="817" w:type="dxa"/>
            <w:tcBorders>
              <w:left w:val="single" w:sz="4" w:space="0" w:color="000000"/>
              <w:right w:val="single" w:sz="4" w:space="0" w:color="000000"/>
            </w:tcBorders>
          </w:tcPr>
          <w:p>
            <w:pPr>
              <w:pStyle w:val="TableParagraph"/>
              <w:spacing w:line="123" w:lineRule="exact"/>
              <w:ind w:left="459" w:right="-3"/>
              <w:jc w:val="left"/>
              <w:rPr>
                <w:sz w:val="11"/>
              </w:rPr>
            </w:pPr>
            <w:r>
              <w:rPr>
                <w:w w:val="120"/>
                <w:sz w:val="11"/>
              </w:rPr>
              <w:t>1970,</w:t>
            </w:r>
          </w:p>
          <w:p>
            <w:pPr>
              <w:pStyle w:val="TableParagraph"/>
              <w:spacing w:before="14"/>
              <w:ind w:left="132" w:right="-6"/>
              <w:jc w:val="left"/>
              <w:rPr>
                <w:sz w:val="11"/>
              </w:rPr>
            </w:pPr>
            <w:r>
              <w:rPr>
                <w:w w:val="120"/>
                <w:sz w:val="11"/>
              </w:rPr>
              <w:t>1998,2003,</w:t>
            </w:r>
          </w:p>
          <w:p>
            <w:pPr>
              <w:pStyle w:val="TableParagraph"/>
              <w:spacing w:before="14"/>
              <w:ind w:left="500" w:right="-7"/>
              <w:jc w:val="left"/>
              <w:rPr>
                <w:sz w:val="11"/>
              </w:rPr>
            </w:pPr>
            <w:r>
              <w:rPr>
                <w:w w:val="120"/>
                <w:sz w:val="11"/>
              </w:rPr>
              <w:t>2008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Style w:val="TableParagraph"/>
              <w:jc w:val="left"/>
              <w:rPr>
                <w:rFonts w:ascii="Calibri"/>
                <w:b/>
                <w:sz w:val="10"/>
              </w:rPr>
            </w:pPr>
          </w:p>
          <w:p>
            <w:pPr>
              <w:pStyle w:val="TableParagraph"/>
              <w:spacing w:before="10"/>
              <w:jc w:val="left"/>
              <w:rPr>
                <w:rFonts w:ascii="Calibri"/>
                <w:b/>
                <w:sz w:val="12"/>
              </w:rPr>
            </w:pPr>
          </w:p>
          <w:p>
            <w:pPr>
              <w:pStyle w:val="TableParagraph"/>
              <w:ind w:right="17"/>
              <w:rPr>
                <w:sz w:val="11"/>
              </w:rPr>
            </w:pPr>
            <w:r>
              <w:rPr>
                <w:w w:val="120"/>
                <w:sz w:val="11"/>
              </w:rPr>
              <w:t>1998, 2003</w:t>
            </w:r>
          </w:p>
        </w:tc>
        <w:tc>
          <w:tcPr>
            <w:tcW w:w="817" w:type="dxa"/>
            <w:tcBorders>
              <w:left w:val="single" w:sz="4" w:space="0" w:color="000000"/>
              <w:right w:val="single" w:sz="4" w:space="0" w:color="000000"/>
            </w:tcBorders>
          </w:tcPr>
          <w:p>
            <w:pPr>
              <w:pStyle w:val="TableParagraph"/>
              <w:jc w:val="left"/>
              <w:rPr>
                <w:rFonts w:ascii="Calibri"/>
                <w:b/>
                <w:sz w:val="10"/>
              </w:rPr>
            </w:pPr>
          </w:p>
          <w:p>
            <w:pPr>
              <w:pStyle w:val="TableParagraph"/>
              <w:spacing w:before="10"/>
              <w:jc w:val="left"/>
              <w:rPr>
                <w:rFonts w:ascii="Calibri"/>
                <w:b/>
                <w:sz w:val="12"/>
              </w:rPr>
            </w:pPr>
          </w:p>
          <w:p>
            <w:pPr>
              <w:pStyle w:val="TableParagraph"/>
              <w:ind w:right="18"/>
              <w:rPr>
                <w:sz w:val="11"/>
              </w:rPr>
            </w:pPr>
            <w:r>
              <w:rPr>
                <w:w w:val="120"/>
                <w:sz w:val="11"/>
              </w:rPr>
              <w:t>2003</w:t>
            </w:r>
          </w:p>
        </w:tc>
      </w:tr>
      <w:tr>
        <w:trPr>
          <w:trHeight w:val="291" w:hRule="exact"/>
        </w:trPr>
        <w:tc>
          <w:tcPr>
            <w:tcW w:w="2399" w:type="dxa"/>
            <w:tcBorders>
              <w:left w:val="single" w:sz="4" w:space="0" w:color="000000"/>
              <w:right w:val="single" w:sz="4" w:space="0" w:color="000000"/>
            </w:tcBorders>
          </w:tcPr>
          <w:p>
            <w:pPr>
              <w:pStyle w:val="TableParagraph"/>
              <w:spacing w:line="268" w:lineRule="auto"/>
              <w:ind w:left="20" w:right="536"/>
              <w:jc w:val="left"/>
              <w:rPr>
                <w:sz w:val="11"/>
              </w:rPr>
            </w:pPr>
            <w:r>
              <w:rPr>
                <w:w w:val="120"/>
                <w:sz w:val="11"/>
              </w:rPr>
              <w:t>Fabricación de otros productos químicos</w:t>
            </w:r>
          </w:p>
        </w:tc>
        <w:tc>
          <w:tcPr>
            <w:tcW w:w="818"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7"/>
              <w:rPr>
                <w:sz w:val="11"/>
              </w:rPr>
            </w:pPr>
            <w:r>
              <w:rPr>
                <w:w w:val="120"/>
                <w:sz w:val="11"/>
              </w:rPr>
              <w:t>1985, 1988</w:t>
            </w:r>
          </w:p>
        </w:tc>
        <w:tc>
          <w:tcPr>
            <w:tcW w:w="817" w:type="dxa"/>
            <w:tcBorders>
              <w:left w:val="single" w:sz="4" w:space="0" w:color="000000"/>
              <w:right w:val="single" w:sz="4" w:space="0" w:color="000000"/>
            </w:tcBorders>
          </w:tcPr>
          <w:p>
            <w:pPr>
              <w:pStyle w:val="TableParagraph"/>
              <w:spacing w:line="123" w:lineRule="exact"/>
              <w:ind w:left="91" w:right="-2"/>
              <w:jc w:val="left"/>
              <w:rPr>
                <w:sz w:val="11"/>
              </w:rPr>
            </w:pPr>
            <w:r>
              <w:rPr>
                <w:w w:val="120"/>
                <w:sz w:val="11"/>
              </w:rPr>
              <w:t>1998, 2003,</w:t>
            </w:r>
          </w:p>
          <w:p>
            <w:pPr>
              <w:pStyle w:val="TableParagraph"/>
              <w:spacing w:before="14"/>
              <w:ind w:left="500" w:right="-7"/>
              <w:jc w:val="left"/>
              <w:rPr>
                <w:sz w:val="11"/>
              </w:rPr>
            </w:pPr>
            <w:r>
              <w:rPr>
                <w:w w:val="120"/>
                <w:sz w:val="11"/>
              </w:rPr>
              <w:t>2008</w:t>
            </w: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7"/>
              <w:rPr>
                <w:sz w:val="11"/>
              </w:rPr>
            </w:pPr>
            <w:r>
              <w:rPr>
                <w:w w:val="120"/>
                <w:sz w:val="11"/>
              </w:rPr>
              <w:t>1985, 1998</w:t>
            </w:r>
          </w:p>
        </w:tc>
        <w:tc>
          <w:tcPr>
            <w:tcW w:w="817" w:type="dxa"/>
            <w:tcBorders>
              <w:left w:val="single" w:sz="4" w:space="0" w:color="000000"/>
              <w:right w:val="single" w:sz="4" w:space="0" w:color="000000"/>
            </w:tcBorders>
          </w:tcPr>
          <w:p>
            <w:pPr>
              <w:pStyle w:val="TableParagraph"/>
              <w:spacing w:line="123" w:lineRule="exact"/>
              <w:ind w:left="91" w:right="-2"/>
              <w:jc w:val="left"/>
              <w:rPr>
                <w:sz w:val="11"/>
              </w:rPr>
            </w:pPr>
            <w:r>
              <w:rPr>
                <w:w w:val="120"/>
                <w:sz w:val="11"/>
              </w:rPr>
              <w:t>1998, 2003,</w:t>
            </w:r>
          </w:p>
          <w:p>
            <w:pPr>
              <w:pStyle w:val="TableParagraph"/>
              <w:spacing w:before="14"/>
              <w:ind w:left="500" w:right="-7"/>
              <w:jc w:val="left"/>
              <w:rPr>
                <w:sz w:val="11"/>
              </w:rPr>
            </w:pPr>
            <w:r>
              <w:rPr>
                <w:w w:val="120"/>
                <w:sz w:val="11"/>
              </w:rPr>
              <w:t>2008</w:t>
            </w:r>
          </w:p>
        </w:tc>
        <w:tc>
          <w:tcPr>
            <w:tcW w:w="817" w:type="dxa"/>
            <w:tcBorders>
              <w:left w:val="single" w:sz="4" w:space="0" w:color="000000"/>
              <w:right w:val="single" w:sz="4" w:space="0" w:color="000000"/>
            </w:tcBorders>
          </w:tcPr>
          <w:p>
            <w:pPr/>
          </w:p>
        </w:tc>
      </w:tr>
      <w:tr>
        <w:trPr>
          <w:trHeight w:val="166" w:hRule="exact"/>
        </w:trPr>
        <w:tc>
          <w:tcPr>
            <w:tcW w:w="2399" w:type="dxa"/>
            <w:tcBorders>
              <w:left w:val="single" w:sz="4" w:space="0" w:color="000000"/>
              <w:right w:val="single" w:sz="4" w:space="0" w:color="000000"/>
            </w:tcBorders>
          </w:tcPr>
          <w:p>
            <w:pPr>
              <w:pStyle w:val="TableParagraph"/>
              <w:spacing w:before="13"/>
              <w:ind w:left="20" w:right="51"/>
              <w:jc w:val="left"/>
              <w:rPr>
                <w:sz w:val="11"/>
              </w:rPr>
            </w:pPr>
            <w:r>
              <w:rPr>
                <w:w w:val="120"/>
                <w:sz w:val="11"/>
              </w:rPr>
              <w:t>Fabricacion de productos de hule</w:t>
            </w:r>
          </w:p>
        </w:tc>
        <w:tc>
          <w:tcPr>
            <w:tcW w:w="818" w:type="dxa"/>
            <w:tcBorders>
              <w:left w:val="single" w:sz="4" w:space="0" w:color="000000"/>
              <w:right w:val="single" w:sz="4" w:space="0" w:color="000000"/>
            </w:tcBorders>
          </w:tcPr>
          <w:p>
            <w:pPr>
              <w:pStyle w:val="TableParagraph"/>
              <w:spacing w:before="13"/>
              <w:ind w:right="18"/>
              <w:rPr>
                <w:sz w:val="11"/>
              </w:rPr>
            </w:pPr>
            <w:r>
              <w:rPr>
                <w:w w:val="120"/>
                <w:sz w:val="11"/>
              </w:rPr>
              <w:t>2008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r>
        <w:trPr>
          <w:trHeight w:val="166" w:hRule="exact"/>
        </w:trPr>
        <w:tc>
          <w:tcPr>
            <w:tcW w:w="2399" w:type="dxa"/>
            <w:tcBorders>
              <w:left w:val="single" w:sz="4" w:space="0" w:color="000000"/>
              <w:right w:val="single" w:sz="4" w:space="0" w:color="000000"/>
            </w:tcBorders>
          </w:tcPr>
          <w:p>
            <w:pPr>
              <w:pStyle w:val="TableParagraph"/>
              <w:spacing w:before="21"/>
              <w:ind w:left="20"/>
              <w:jc w:val="left"/>
              <w:rPr>
                <w:sz w:val="11"/>
              </w:rPr>
            </w:pPr>
            <w:r>
              <w:rPr>
                <w:w w:val="120"/>
                <w:sz w:val="11"/>
              </w:rPr>
              <w:t>Industria de las fibras artificiales y/o sint</w:t>
            </w:r>
          </w:p>
        </w:tc>
        <w:tc>
          <w:tcPr>
            <w:tcW w:w="818" w:type="dxa"/>
            <w:tcBorders>
              <w:left w:val="single" w:sz="4" w:space="0" w:color="000000"/>
              <w:right w:val="single" w:sz="4" w:space="0" w:color="000000"/>
            </w:tcBorders>
          </w:tcPr>
          <w:p>
            <w:pPr>
              <w:pStyle w:val="TableParagraph"/>
              <w:spacing w:before="13"/>
              <w:ind w:right="17"/>
              <w:rPr>
                <w:sz w:val="11"/>
              </w:rPr>
            </w:pPr>
            <w:r>
              <w:rPr>
                <w:w w:val="120"/>
                <w:sz w:val="11"/>
              </w:rPr>
              <w:t>2003, 2008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Style w:val="TableParagraph"/>
              <w:spacing w:before="13"/>
              <w:ind w:right="18"/>
              <w:rPr>
                <w:sz w:val="11"/>
              </w:rPr>
            </w:pPr>
            <w:r>
              <w:rPr>
                <w:w w:val="120"/>
                <w:sz w:val="11"/>
              </w:rPr>
              <w:t>2003</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r>
        <w:trPr>
          <w:trHeight w:val="166" w:hRule="exact"/>
        </w:trPr>
        <w:tc>
          <w:tcPr>
            <w:tcW w:w="2399" w:type="dxa"/>
            <w:tcBorders>
              <w:left w:val="single" w:sz="4" w:space="0" w:color="000000"/>
              <w:right w:val="single" w:sz="4" w:space="0" w:color="000000"/>
            </w:tcBorders>
          </w:tcPr>
          <w:p>
            <w:pPr>
              <w:pStyle w:val="TableParagraph"/>
              <w:spacing w:before="21"/>
              <w:ind w:left="20" w:right="51"/>
              <w:jc w:val="left"/>
              <w:rPr>
                <w:sz w:val="11"/>
              </w:rPr>
            </w:pPr>
            <w:r>
              <w:rPr>
                <w:w w:val="120"/>
                <w:sz w:val="11"/>
              </w:rPr>
              <w:t>Elaboración de productos de plástico</w:t>
            </w:r>
          </w:p>
        </w:tc>
        <w:tc>
          <w:tcPr>
            <w:tcW w:w="818" w:type="dxa"/>
            <w:tcBorders>
              <w:left w:val="single" w:sz="4" w:space="0" w:color="000000"/>
              <w:right w:val="single" w:sz="4" w:space="0" w:color="000000"/>
            </w:tcBorders>
          </w:tcPr>
          <w:p>
            <w:pPr>
              <w:pStyle w:val="TableParagraph"/>
              <w:spacing w:before="13"/>
              <w:ind w:right="17"/>
              <w:rPr>
                <w:sz w:val="11"/>
              </w:rPr>
            </w:pPr>
            <w:r>
              <w:rPr>
                <w:w w:val="120"/>
                <w:sz w:val="11"/>
              </w:rPr>
              <w:t>1988, 1998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r>
        <w:trPr>
          <w:trHeight w:val="166" w:hRule="exact"/>
        </w:trPr>
        <w:tc>
          <w:tcPr>
            <w:tcW w:w="2399" w:type="dxa"/>
            <w:tcBorders>
              <w:left w:val="single" w:sz="4" w:space="0" w:color="000000"/>
              <w:right w:val="single" w:sz="4" w:space="0" w:color="000000"/>
            </w:tcBorders>
          </w:tcPr>
          <w:p>
            <w:pPr>
              <w:pStyle w:val="TableParagraph"/>
              <w:spacing w:before="21"/>
              <w:ind w:left="20" w:right="51"/>
              <w:jc w:val="left"/>
              <w:rPr>
                <w:sz w:val="11"/>
              </w:rPr>
            </w:pPr>
            <w:r>
              <w:rPr>
                <w:w w:val="120"/>
                <w:sz w:val="11"/>
              </w:rPr>
              <w:t>Refinación de petróleo</w:t>
            </w:r>
          </w:p>
        </w:tc>
        <w:tc>
          <w:tcPr>
            <w:tcW w:w="818" w:type="dxa"/>
            <w:tcBorders>
              <w:left w:val="single" w:sz="4" w:space="0" w:color="000000"/>
              <w:right w:val="single" w:sz="4" w:space="0" w:color="000000"/>
            </w:tcBorders>
          </w:tcPr>
          <w:p>
            <w:pPr>
              <w:pStyle w:val="TableParagraph"/>
              <w:spacing w:before="13"/>
              <w:ind w:right="18"/>
              <w:rPr>
                <w:sz w:val="11"/>
              </w:rPr>
            </w:pPr>
            <w:r>
              <w:rPr>
                <w:w w:val="120"/>
                <w:sz w:val="11"/>
              </w:rPr>
              <w:t>1998</w:t>
            </w:r>
          </w:p>
        </w:tc>
        <w:tc>
          <w:tcPr>
            <w:tcW w:w="817" w:type="dxa"/>
            <w:tcBorders>
              <w:left w:val="single" w:sz="4" w:space="0" w:color="000000"/>
              <w:right w:val="single" w:sz="4" w:space="0" w:color="000000"/>
            </w:tcBorders>
          </w:tcPr>
          <w:p>
            <w:pPr>
              <w:pStyle w:val="TableParagraph"/>
              <w:spacing w:before="13"/>
              <w:ind w:right="18"/>
              <w:rPr>
                <w:sz w:val="11"/>
              </w:rPr>
            </w:pPr>
            <w:r>
              <w:rPr>
                <w:w w:val="120"/>
                <w:sz w:val="11"/>
              </w:rPr>
              <w:t>1988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Style w:val="TableParagraph"/>
              <w:spacing w:before="13"/>
              <w:ind w:right="18"/>
              <w:rPr>
                <w:sz w:val="11"/>
              </w:rPr>
            </w:pPr>
            <w:r>
              <w:rPr>
                <w:w w:val="120"/>
                <w:sz w:val="11"/>
              </w:rPr>
              <w:t>1988</w:t>
            </w:r>
          </w:p>
        </w:tc>
        <w:tc>
          <w:tcPr>
            <w:tcW w:w="817" w:type="dxa"/>
            <w:tcBorders>
              <w:left w:val="single" w:sz="4" w:space="0" w:color="000000"/>
              <w:right w:val="single" w:sz="4" w:space="0" w:color="000000"/>
            </w:tcBorders>
          </w:tcPr>
          <w:p>
            <w:pPr/>
          </w:p>
        </w:tc>
      </w:tr>
      <w:tr>
        <w:trPr>
          <w:trHeight w:val="358" w:hRule="exact"/>
        </w:trPr>
        <w:tc>
          <w:tcPr>
            <w:tcW w:w="6485" w:type="dxa"/>
            <w:gridSpan w:val="6"/>
            <w:tcBorders>
              <w:left w:val="single" w:sz="4" w:space="0" w:color="000000"/>
              <w:bottom w:val="single" w:sz="7" w:space="0" w:color="000000"/>
              <w:right w:val="single" w:sz="4" w:space="0" w:color="000000"/>
            </w:tcBorders>
          </w:tcPr>
          <w:p>
            <w:pPr>
              <w:pStyle w:val="TableParagraph"/>
              <w:spacing w:line="268" w:lineRule="auto" w:before="54"/>
              <w:ind w:left="2941" w:hanging="2881"/>
              <w:jc w:val="left"/>
              <w:rPr>
                <w:b/>
                <w:sz w:val="11"/>
              </w:rPr>
            </w:pPr>
            <w:r>
              <w:rPr>
                <w:b/>
                <w:w w:val="120"/>
                <w:sz w:val="11"/>
              </w:rPr>
              <w:t>Subsector 38 Productos metálicos, maquinaria y equipo. Incluyendo instrumentos quirúrgicos y de precisión</w:t>
            </w:r>
          </w:p>
        </w:tc>
      </w:tr>
      <w:tr>
        <w:trPr>
          <w:trHeight w:val="291" w:hRule="exact"/>
        </w:trPr>
        <w:tc>
          <w:tcPr>
            <w:tcW w:w="2399" w:type="dxa"/>
            <w:tcBorders>
              <w:top w:val="single" w:sz="7" w:space="0" w:color="000000"/>
              <w:left w:val="single" w:sz="4" w:space="0" w:color="000000"/>
              <w:right w:val="single" w:sz="8" w:space="0" w:color="000000"/>
            </w:tcBorders>
            <w:shd w:val="clear" w:color="auto" w:fill="C5BD96"/>
          </w:tcPr>
          <w:p>
            <w:pPr>
              <w:pStyle w:val="TableParagraph"/>
              <w:spacing w:line="119" w:lineRule="exact"/>
              <w:ind w:left="20"/>
              <w:jc w:val="left"/>
              <w:rPr>
                <w:sz w:val="11"/>
              </w:rPr>
            </w:pPr>
            <w:r>
              <w:rPr>
                <w:w w:val="120"/>
                <w:sz w:val="11"/>
              </w:rPr>
              <w:t>Construcción, Ensamble y Rep. De</w:t>
            </w:r>
          </w:p>
          <w:p>
            <w:pPr>
              <w:pStyle w:val="TableParagraph"/>
              <w:spacing w:before="14"/>
              <w:ind w:left="20"/>
              <w:jc w:val="left"/>
              <w:rPr>
                <w:sz w:val="11"/>
              </w:rPr>
            </w:pPr>
            <w:r>
              <w:rPr>
                <w:w w:val="120"/>
                <w:sz w:val="11"/>
              </w:rPr>
              <w:t>Equipo y material de transporte</w:t>
            </w:r>
          </w:p>
        </w:tc>
        <w:tc>
          <w:tcPr>
            <w:tcW w:w="818" w:type="dxa"/>
            <w:tcBorders>
              <w:left w:val="single" w:sz="8" w:space="0" w:color="000000"/>
              <w:right w:val="single" w:sz="4" w:space="0" w:color="000000"/>
            </w:tcBorders>
          </w:tcPr>
          <w:p>
            <w:pPr>
              <w:pStyle w:val="TableParagraph"/>
              <w:spacing w:before="3"/>
              <w:jc w:val="left"/>
              <w:rPr>
                <w:rFonts w:ascii="Calibri"/>
                <w:b/>
                <w:sz w:val="11"/>
              </w:rPr>
            </w:pPr>
          </w:p>
          <w:p>
            <w:pPr>
              <w:pStyle w:val="TableParagraph"/>
              <w:ind w:right="17"/>
              <w:rPr>
                <w:sz w:val="11"/>
              </w:rPr>
            </w:pPr>
            <w:r>
              <w:rPr>
                <w:w w:val="120"/>
                <w:sz w:val="11"/>
              </w:rPr>
              <w:t>1970, 1975</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1975</w:t>
            </w: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1975</w:t>
            </w:r>
          </w:p>
        </w:tc>
        <w:tc>
          <w:tcPr>
            <w:tcW w:w="817" w:type="dxa"/>
            <w:tcBorders>
              <w:left w:val="single" w:sz="4" w:space="0" w:color="000000"/>
              <w:right w:val="single" w:sz="4" w:space="0" w:color="000000"/>
            </w:tcBorders>
          </w:tcPr>
          <w:p>
            <w:pPr/>
          </w:p>
        </w:tc>
      </w:tr>
      <w:tr>
        <w:trPr>
          <w:trHeight w:val="432" w:hRule="exact"/>
        </w:trPr>
        <w:tc>
          <w:tcPr>
            <w:tcW w:w="2399" w:type="dxa"/>
            <w:tcBorders>
              <w:left w:val="single" w:sz="4" w:space="0" w:color="000000"/>
              <w:right w:val="single" w:sz="8" w:space="0" w:color="000000"/>
            </w:tcBorders>
            <w:shd w:val="clear" w:color="auto" w:fill="C5BD96"/>
          </w:tcPr>
          <w:p>
            <w:pPr>
              <w:pStyle w:val="TableParagraph"/>
              <w:jc w:val="left"/>
              <w:rPr>
                <w:rFonts w:ascii="Calibri"/>
                <w:b/>
                <w:sz w:val="10"/>
              </w:rPr>
            </w:pPr>
          </w:p>
          <w:p>
            <w:pPr>
              <w:pStyle w:val="TableParagraph"/>
              <w:spacing w:before="10"/>
              <w:jc w:val="left"/>
              <w:rPr>
                <w:rFonts w:ascii="Calibri"/>
                <w:b/>
                <w:sz w:val="12"/>
              </w:rPr>
            </w:pPr>
          </w:p>
          <w:p>
            <w:pPr>
              <w:pStyle w:val="TableParagraph"/>
              <w:ind w:left="20"/>
              <w:jc w:val="left"/>
              <w:rPr>
                <w:sz w:val="11"/>
              </w:rPr>
            </w:pPr>
            <w:r>
              <w:rPr>
                <w:w w:val="120"/>
                <w:sz w:val="11"/>
              </w:rPr>
              <w:t>Industria automotriz</w:t>
            </w:r>
          </w:p>
        </w:tc>
        <w:tc>
          <w:tcPr>
            <w:tcW w:w="818" w:type="dxa"/>
            <w:tcBorders>
              <w:left w:val="single" w:sz="8" w:space="0" w:color="000000"/>
              <w:right w:val="single" w:sz="4" w:space="0" w:color="000000"/>
            </w:tcBorders>
          </w:tcPr>
          <w:p>
            <w:pPr>
              <w:pStyle w:val="TableParagraph"/>
              <w:spacing w:line="123" w:lineRule="exact"/>
              <w:ind w:left="88" w:right="-3"/>
              <w:jc w:val="left"/>
              <w:rPr>
                <w:sz w:val="11"/>
              </w:rPr>
            </w:pPr>
            <w:r>
              <w:rPr>
                <w:w w:val="120"/>
                <w:sz w:val="11"/>
              </w:rPr>
              <w:t>1980, 1985,</w:t>
            </w:r>
          </w:p>
          <w:p>
            <w:pPr>
              <w:pStyle w:val="TableParagraph"/>
              <w:spacing w:before="14"/>
              <w:ind w:left="88" w:right="-3"/>
              <w:jc w:val="left"/>
              <w:rPr>
                <w:sz w:val="11"/>
              </w:rPr>
            </w:pPr>
            <w:r>
              <w:rPr>
                <w:w w:val="120"/>
                <w:sz w:val="11"/>
              </w:rPr>
              <w:t>1988, 1993,</w:t>
            </w:r>
          </w:p>
          <w:p>
            <w:pPr>
              <w:pStyle w:val="TableParagraph"/>
              <w:spacing w:before="14"/>
              <w:ind w:left="496" w:right="-7"/>
              <w:jc w:val="left"/>
              <w:rPr>
                <w:sz w:val="11"/>
              </w:rPr>
            </w:pPr>
            <w:r>
              <w:rPr>
                <w:w w:val="120"/>
                <w:sz w:val="11"/>
              </w:rPr>
              <w:t>1998</w:t>
            </w:r>
          </w:p>
        </w:tc>
        <w:tc>
          <w:tcPr>
            <w:tcW w:w="817" w:type="dxa"/>
            <w:tcBorders>
              <w:left w:val="single" w:sz="4" w:space="0" w:color="000000"/>
              <w:right w:val="single" w:sz="4" w:space="0" w:color="000000"/>
            </w:tcBorders>
          </w:tcPr>
          <w:p>
            <w:pPr>
              <w:pStyle w:val="TableParagraph"/>
              <w:jc w:val="left"/>
              <w:rPr>
                <w:rFonts w:ascii="Calibri"/>
                <w:b/>
                <w:sz w:val="10"/>
              </w:rPr>
            </w:pPr>
          </w:p>
          <w:p>
            <w:pPr>
              <w:pStyle w:val="TableParagraph"/>
              <w:spacing w:before="10"/>
              <w:jc w:val="left"/>
              <w:rPr>
                <w:rFonts w:ascii="Calibri"/>
                <w:b/>
                <w:sz w:val="12"/>
              </w:rPr>
            </w:pPr>
          </w:p>
          <w:p>
            <w:pPr>
              <w:pStyle w:val="TableParagraph"/>
              <w:ind w:right="18"/>
              <w:rPr>
                <w:sz w:val="11"/>
              </w:rPr>
            </w:pPr>
            <w:r>
              <w:rPr>
                <w:w w:val="120"/>
                <w:sz w:val="11"/>
              </w:rPr>
              <w:t>1985</w:t>
            </w: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left="91" w:right="-2"/>
              <w:jc w:val="left"/>
              <w:rPr>
                <w:sz w:val="11"/>
              </w:rPr>
            </w:pPr>
            <w:r>
              <w:rPr>
                <w:w w:val="120"/>
                <w:sz w:val="11"/>
              </w:rPr>
              <w:t>1988, 1993,</w:t>
            </w:r>
          </w:p>
          <w:p>
            <w:pPr>
              <w:pStyle w:val="TableParagraph"/>
              <w:spacing w:before="14"/>
              <w:ind w:left="500" w:right="-7"/>
              <w:jc w:val="left"/>
              <w:rPr>
                <w:sz w:val="11"/>
              </w:rPr>
            </w:pPr>
            <w:r>
              <w:rPr>
                <w:w w:val="120"/>
                <w:sz w:val="11"/>
              </w:rPr>
              <w:t>1998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r>
        <w:trPr>
          <w:trHeight w:val="432" w:hRule="exact"/>
        </w:trPr>
        <w:tc>
          <w:tcPr>
            <w:tcW w:w="2399" w:type="dxa"/>
            <w:tcBorders>
              <w:left w:val="single" w:sz="4" w:space="0" w:color="000000"/>
              <w:right w:val="single" w:sz="8" w:space="0" w:color="000000"/>
            </w:tcBorders>
            <w:shd w:val="clear" w:color="auto" w:fill="C5BD96"/>
          </w:tcPr>
          <w:p>
            <w:pPr>
              <w:pStyle w:val="TableParagraph"/>
              <w:spacing w:before="3"/>
              <w:jc w:val="left"/>
              <w:rPr>
                <w:rFonts w:ascii="Calibri"/>
                <w:b/>
                <w:sz w:val="11"/>
              </w:rPr>
            </w:pPr>
          </w:p>
          <w:p>
            <w:pPr>
              <w:pStyle w:val="TableParagraph"/>
              <w:spacing w:line="268" w:lineRule="auto" w:before="1"/>
              <w:ind w:left="20"/>
              <w:jc w:val="left"/>
              <w:rPr>
                <w:sz w:val="11"/>
              </w:rPr>
            </w:pPr>
            <w:r>
              <w:rPr>
                <w:w w:val="120"/>
                <w:sz w:val="11"/>
              </w:rPr>
              <w:t>Fabricación de motores de combustión interna, turbinas y transmisiones</w:t>
            </w:r>
          </w:p>
        </w:tc>
        <w:tc>
          <w:tcPr>
            <w:tcW w:w="818" w:type="dxa"/>
            <w:tcBorders>
              <w:left w:val="single" w:sz="8" w:space="0" w:color="000000"/>
              <w:right w:val="single" w:sz="4" w:space="0" w:color="000000"/>
            </w:tcBorders>
          </w:tcPr>
          <w:p>
            <w:pPr>
              <w:pStyle w:val="TableParagraph"/>
              <w:jc w:val="left"/>
              <w:rPr>
                <w:rFonts w:ascii="Calibri"/>
                <w:b/>
                <w:sz w:val="10"/>
              </w:rPr>
            </w:pPr>
          </w:p>
          <w:p>
            <w:pPr>
              <w:pStyle w:val="TableParagraph"/>
              <w:spacing w:before="10"/>
              <w:jc w:val="left"/>
              <w:rPr>
                <w:rFonts w:ascii="Calibri"/>
                <w:b/>
                <w:sz w:val="12"/>
              </w:rPr>
            </w:pPr>
          </w:p>
          <w:p>
            <w:pPr>
              <w:pStyle w:val="TableParagraph"/>
              <w:spacing w:before="1"/>
              <w:ind w:right="17"/>
              <w:rPr>
                <w:sz w:val="11"/>
              </w:rPr>
            </w:pPr>
            <w:r>
              <w:rPr>
                <w:w w:val="120"/>
                <w:sz w:val="11"/>
              </w:rPr>
              <w:t>2003, 2008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r>
        <w:trPr>
          <w:trHeight w:val="291" w:hRule="exact"/>
        </w:trPr>
        <w:tc>
          <w:tcPr>
            <w:tcW w:w="2399" w:type="dxa"/>
            <w:tcBorders>
              <w:left w:val="single" w:sz="4" w:space="0" w:color="000000"/>
              <w:right w:val="single" w:sz="8" w:space="0" w:color="000000"/>
            </w:tcBorders>
            <w:shd w:val="clear" w:color="auto" w:fill="C5BD96"/>
          </w:tcPr>
          <w:p>
            <w:pPr>
              <w:pStyle w:val="TableParagraph"/>
              <w:spacing w:before="3"/>
              <w:jc w:val="left"/>
              <w:rPr>
                <w:rFonts w:ascii="Calibri"/>
                <w:b/>
                <w:sz w:val="11"/>
              </w:rPr>
            </w:pPr>
          </w:p>
          <w:p>
            <w:pPr>
              <w:pStyle w:val="TableParagraph"/>
              <w:ind w:left="20"/>
              <w:jc w:val="left"/>
              <w:rPr>
                <w:sz w:val="11"/>
              </w:rPr>
            </w:pPr>
            <w:r>
              <w:rPr>
                <w:w w:val="120"/>
                <w:sz w:val="11"/>
              </w:rPr>
              <w:t>Fabricación de automóviles y camiones</w:t>
            </w:r>
          </w:p>
        </w:tc>
        <w:tc>
          <w:tcPr>
            <w:tcW w:w="818" w:type="dxa"/>
            <w:tcBorders>
              <w:left w:val="single" w:sz="8" w:space="0" w:color="000000"/>
              <w:right w:val="single" w:sz="4" w:space="0" w:color="000000"/>
            </w:tcBorders>
          </w:tcPr>
          <w:p>
            <w:pPr>
              <w:pStyle w:val="TableParagraph"/>
              <w:spacing w:before="3"/>
              <w:jc w:val="left"/>
              <w:rPr>
                <w:rFonts w:ascii="Calibri"/>
                <w:b/>
                <w:sz w:val="11"/>
              </w:rPr>
            </w:pPr>
          </w:p>
          <w:p>
            <w:pPr>
              <w:pStyle w:val="TableParagraph"/>
              <w:ind w:right="17"/>
              <w:rPr>
                <w:sz w:val="11"/>
              </w:rPr>
            </w:pPr>
            <w:r>
              <w:rPr>
                <w:w w:val="120"/>
                <w:sz w:val="11"/>
              </w:rPr>
              <w:t>2003, 2008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7"/>
              <w:rPr>
                <w:sz w:val="11"/>
              </w:rPr>
            </w:pPr>
            <w:r>
              <w:rPr>
                <w:w w:val="120"/>
                <w:sz w:val="11"/>
              </w:rPr>
              <w:t>2003, 2008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r>
        <w:trPr>
          <w:trHeight w:val="291" w:hRule="exact"/>
        </w:trPr>
        <w:tc>
          <w:tcPr>
            <w:tcW w:w="2399" w:type="dxa"/>
            <w:tcBorders>
              <w:left w:val="single" w:sz="4" w:space="0" w:color="000000"/>
              <w:right w:val="single" w:sz="8" w:space="0" w:color="000000"/>
            </w:tcBorders>
            <w:shd w:val="clear" w:color="auto" w:fill="C5BD96"/>
          </w:tcPr>
          <w:p>
            <w:pPr>
              <w:pStyle w:val="TableParagraph"/>
              <w:spacing w:line="268" w:lineRule="auto"/>
              <w:ind w:left="20"/>
              <w:jc w:val="left"/>
              <w:rPr>
                <w:sz w:val="11"/>
              </w:rPr>
            </w:pPr>
            <w:r>
              <w:rPr>
                <w:w w:val="120"/>
                <w:sz w:val="11"/>
              </w:rPr>
              <w:t>Fabricación de partes para vehículos automotores</w:t>
            </w:r>
          </w:p>
        </w:tc>
        <w:tc>
          <w:tcPr>
            <w:tcW w:w="818" w:type="dxa"/>
            <w:tcBorders>
              <w:left w:val="single" w:sz="8" w:space="0" w:color="000000"/>
              <w:right w:val="single" w:sz="4" w:space="0" w:color="000000"/>
            </w:tcBorders>
          </w:tcPr>
          <w:p>
            <w:pPr>
              <w:pStyle w:val="TableParagraph"/>
              <w:spacing w:before="3"/>
              <w:jc w:val="left"/>
              <w:rPr>
                <w:rFonts w:ascii="Calibri"/>
                <w:b/>
                <w:sz w:val="11"/>
              </w:rPr>
            </w:pPr>
          </w:p>
          <w:p>
            <w:pPr>
              <w:pStyle w:val="TableParagraph"/>
              <w:spacing w:before="1"/>
              <w:ind w:right="17"/>
              <w:rPr>
                <w:sz w:val="11"/>
              </w:rPr>
            </w:pPr>
            <w:r>
              <w:rPr>
                <w:w w:val="120"/>
                <w:sz w:val="11"/>
              </w:rPr>
              <w:t>2003, 2008</w:t>
            </w: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spacing w:before="1"/>
              <w:ind w:right="17"/>
              <w:rPr>
                <w:sz w:val="11"/>
              </w:rPr>
            </w:pPr>
            <w:r>
              <w:rPr>
                <w:w w:val="120"/>
                <w:sz w:val="11"/>
              </w:rPr>
              <w:t>2003, 2008</w:t>
            </w: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spacing w:before="1"/>
              <w:ind w:right="17"/>
              <w:rPr>
                <w:sz w:val="11"/>
              </w:rPr>
            </w:pPr>
            <w:r>
              <w:rPr>
                <w:w w:val="120"/>
                <w:sz w:val="11"/>
              </w:rPr>
              <w:t>2003, 2008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r>
        <w:trPr>
          <w:trHeight w:val="291" w:hRule="exact"/>
        </w:trPr>
        <w:tc>
          <w:tcPr>
            <w:tcW w:w="2399" w:type="dxa"/>
            <w:tcBorders>
              <w:left w:val="single" w:sz="4" w:space="0" w:color="000000"/>
              <w:right w:val="single" w:sz="8" w:space="0" w:color="000000"/>
            </w:tcBorders>
            <w:shd w:val="clear" w:color="auto" w:fill="C5BD96"/>
          </w:tcPr>
          <w:p>
            <w:pPr>
              <w:pStyle w:val="TableParagraph"/>
              <w:spacing w:before="3"/>
              <w:jc w:val="left"/>
              <w:rPr>
                <w:rFonts w:ascii="Calibri"/>
                <w:b/>
                <w:sz w:val="11"/>
              </w:rPr>
            </w:pPr>
          </w:p>
          <w:p>
            <w:pPr>
              <w:pStyle w:val="TableParagraph"/>
              <w:ind w:left="20"/>
              <w:jc w:val="left"/>
              <w:rPr>
                <w:sz w:val="11"/>
              </w:rPr>
            </w:pPr>
            <w:r>
              <w:rPr>
                <w:w w:val="120"/>
                <w:sz w:val="11"/>
              </w:rPr>
              <w:t>Fabricación  de carrocería y remolques</w:t>
            </w:r>
          </w:p>
        </w:tc>
        <w:tc>
          <w:tcPr>
            <w:tcW w:w="818" w:type="dxa"/>
            <w:tcBorders>
              <w:left w:val="single" w:sz="8"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2008</w:t>
            </w: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2008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r>
        <w:trPr>
          <w:trHeight w:val="295" w:hRule="exact"/>
        </w:trPr>
        <w:tc>
          <w:tcPr>
            <w:tcW w:w="2399" w:type="dxa"/>
            <w:tcBorders>
              <w:left w:val="single" w:sz="4" w:space="0" w:color="000000"/>
              <w:bottom w:val="single" w:sz="7" w:space="0" w:color="000000"/>
              <w:right w:val="single" w:sz="8" w:space="0" w:color="000000"/>
            </w:tcBorders>
            <w:shd w:val="clear" w:color="auto" w:fill="C5BD96"/>
          </w:tcPr>
          <w:p>
            <w:pPr>
              <w:pStyle w:val="TableParagraph"/>
              <w:spacing w:line="115" w:lineRule="exact"/>
              <w:ind w:left="20"/>
              <w:jc w:val="left"/>
              <w:rPr>
                <w:sz w:val="11"/>
              </w:rPr>
            </w:pPr>
            <w:r>
              <w:rPr>
                <w:w w:val="120"/>
                <w:sz w:val="11"/>
              </w:rPr>
              <w:t>Fabricación de otro equipo de</w:t>
            </w:r>
          </w:p>
          <w:p>
            <w:pPr>
              <w:pStyle w:val="TableParagraph"/>
              <w:spacing w:before="14"/>
              <w:ind w:left="20"/>
              <w:jc w:val="left"/>
              <w:rPr>
                <w:sz w:val="11"/>
              </w:rPr>
            </w:pPr>
            <w:r>
              <w:rPr>
                <w:w w:val="120"/>
                <w:sz w:val="11"/>
              </w:rPr>
              <w:t>transporte</w:t>
            </w:r>
          </w:p>
        </w:tc>
        <w:tc>
          <w:tcPr>
            <w:tcW w:w="818" w:type="dxa"/>
            <w:tcBorders>
              <w:left w:val="single" w:sz="8" w:space="0" w:color="000000"/>
              <w:bottom w:val="single" w:sz="7" w:space="0" w:color="000000"/>
              <w:right w:val="single" w:sz="4" w:space="0" w:color="000000"/>
            </w:tcBorders>
          </w:tcPr>
          <w:p>
            <w:pPr>
              <w:pStyle w:val="TableParagraph"/>
              <w:spacing w:before="7"/>
              <w:jc w:val="left"/>
              <w:rPr>
                <w:rFonts w:ascii="Calibri"/>
                <w:b/>
                <w:sz w:val="10"/>
              </w:rPr>
            </w:pPr>
          </w:p>
          <w:p>
            <w:pPr>
              <w:pStyle w:val="TableParagraph"/>
              <w:ind w:right="18"/>
              <w:rPr>
                <w:sz w:val="11"/>
              </w:rPr>
            </w:pPr>
            <w:r>
              <w:rPr>
                <w:w w:val="120"/>
                <w:sz w:val="11"/>
              </w:rPr>
              <w:t>2008</w:t>
            </w:r>
          </w:p>
        </w:tc>
        <w:tc>
          <w:tcPr>
            <w:tcW w:w="817" w:type="dxa"/>
            <w:tcBorders>
              <w:left w:val="single" w:sz="4" w:space="0" w:color="000000"/>
              <w:bottom w:val="single" w:sz="7" w:space="0" w:color="000000"/>
              <w:right w:val="single" w:sz="4" w:space="0" w:color="000000"/>
            </w:tcBorders>
          </w:tcPr>
          <w:p>
            <w:pPr/>
          </w:p>
        </w:tc>
        <w:tc>
          <w:tcPr>
            <w:tcW w:w="817" w:type="dxa"/>
            <w:tcBorders>
              <w:left w:val="single" w:sz="4" w:space="0" w:color="000000"/>
              <w:bottom w:val="single" w:sz="7" w:space="0" w:color="000000"/>
              <w:right w:val="single" w:sz="4" w:space="0" w:color="000000"/>
            </w:tcBorders>
          </w:tcPr>
          <w:p>
            <w:pPr/>
          </w:p>
        </w:tc>
        <w:tc>
          <w:tcPr>
            <w:tcW w:w="817" w:type="dxa"/>
            <w:tcBorders>
              <w:left w:val="single" w:sz="4" w:space="0" w:color="000000"/>
              <w:bottom w:val="single" w:sz="7" w:space="0" w:color="000000"/>
              <w:right w:val="single" w:sz="4" w:space="0" w:color="000000"/>
            </w:tcBorders>
          </w:tcPr>
          <w:p>
            <w:pPr/>
          </w:p>
        </w:tc>
        <w:tc>
          <w:tcPr>
            <w:tcW w:w="817" w:type="dxa"/>
            <w:tcBorders>
              <w:left w:val="single" w:sz="4" w:space="0" w:color="000000"/>
              <w:bottom w:val="single" w:sz="7" w:space="0" w:color="000000"/>
              <w:right w:val="single" w:sz="4" w:space="0" w:color="000000"/>
            </w:tcBorders>
          </w:tcPr>
          <w:p>
            <w:pPr/>
          </w:p>
        </w:tc>
      </w:tr>
      <w:tr>
        <w:trPr>
          <w:trHeight w:val="437" w:hRule="exact"/>
        </w:trPr>
        <w:tc>
          <w:tcPr>
            <w:tcW w:w="2399" w:type="dxa"/>
            <w:tcBorders>
              <w:top w:val="single" w:sz="7" w:space="0" w:color="000000"/>
              <w:left w:val="single" w:sz="4" w:space="0" w:color="000000"/>
              <w:right w:val="single" w:sz="4" w:space="0" w:color="000000"/>
            </w:tcBorders>
          </w:tcPr>
          <w:p>
            <w:pPr>
              <w:pStyle w:val="TableParagraph"/>
              <w:spacing w:line="268" w:lineRule="auto"/>
              <w:ind w:left="20" w:right="191"/>
              <w:jc w:val="left"/>
              <w:rPr>
                <w:sz w:val="11"/>
              </w:rPr>
            </w:pPr>
            <w:r>
              <w:rPr>
                <w:w w:val="120"/>
                <w:sz w:val="11"/>
              </w:rPr>
              <w:t>Fabricación de equipo electrónico de radio, televisión, comunicaciones y científico</w:t>
            </w:r>
          </w:p>
        </w:tc>
        <w:tc>
          <w:tcPr>
            <w:tcW w:w="818" w:type="dxa"/>
            <w:tcBorders>
              <w:top w:val="single" w:sz="7" w:space="0" w:color="000000"/>
              <w:left w:val="single" w:sz="4" w:space="0" w:color="000000"/>
              <w:right w:val="single" w:sz="4" w:space="0" w:color="000000"/>
            </w:tcBorders>
          </w:tcPr>
          <w:p>
            <w:pPr>
              <w:pStyle w:val="TableParagraph"/>
              <w:jc w:val="left"/>
              <w:rPr>
                <w:rFonts w:ascii="Calibri"/>
                <w:b/>
                <w:sz w:val="10"/>
              </w:rPr>
            </w:pPr>
          </w:p>
          <w:p>
            <w:pPr>
              <w:pStyle w:val="TableParagraph"/>
              <w:spacing w:before="10"/>
              <w:jc w:val="left"/>
              <w:rPr>
                <w:rFonts w:ascii="Calibri"/>
                <w:b/>
                <w:sz w:val="12"/>
              </w:rPr>
            </w:pPr>
          </w:p>
          <w:p>
            <w:pPr>
              <w:pStyle w:val="TableParagraph"/>
              <w:spacing w:before="1"/>
              <w:ind w:right="18"/>
              <w:rPr>
                <w:sz w:val="11"/>
              </w:rPr>
            </w:pPr>
            <w:r>
              <w:rPr>
                <w:w w:val="120"/>
                <w:sz w:val="11"/>
              </w:rPr>
              <w:t>1980</w:t>
            </w:r>
          </w:p>
        </w:tc>
        <w:tc>
          <w:tcPr>
            <w:tcW w:w="817" w:type="dxa"/>
            <w:tcBorders>
              <w:top w:val="single" w:sz="7" w:space="0" w:color="000000"/>
              <w:left w:val="single" w:sz="4" w:space="0" w:color="000000"/>
              <w:right w:val="single" w:sz="4" w:space="0" w:color="000000"/>
            </w:tcBorders>
          </w:tcPr>
          <w:p>
            <w:pPr/>
          </w:p>
        </w:tc>
        <w:tc>
          <w:tcPr>
            <w:tcW w:w="817" w:type="dxa"/>
            <w:tcBorders>
              <w:top w:val="single" w:sz="7" w:space="0" w:color="000000"/>
              <w:left w:val="single" w:sz="4" w:space="0" w:color="000000"/>
              <w:right w:val="single" w:sz="4" w:space="0" w:color="000000"/>
            </w:tcBorders>
          </w:tcPr>
          <w:p>
            <w:pPr/>
          </w:p>
        </w:tc>
        <w:tc>
          <w:tcPr>
            <w:tcW w:w="817" w:type="dxa"/>
            <w:tcBorders>
              <w:top w:val="single" w:sz="7" w:space="0" w:color="000000"/>
              <w:left w:val="single" w:sz="4" w:space="0" w:color="000000"/>
              <w:right w:val="single" w:sz="4" w:space="0" w:color="000000"/>
            </w:tcBorders>
          </w:tcPr>
          <w:p>
            <w:pPr/>
          </w:p>
        </w:tc>
        <w:tc>
          <w:tcPr>
            <w:tcW w:w="817" w:type="dxa"/>
            <w:tcBorders>
              <w:top w:val="single" w:sz="7" w:space="0" w:color="000000"/>
              <w:left w:val="single" w:sz="4" w:space="0" w:color="000000"/>
              <w:right w:val="single" w:sz="4" w:space="0" w:color="000000"/>
            </w:tcBorders>
          </w:tcPr>
          <w:p>
            <w:pPr/>
          </w:p>
        </w:tc>
      </w:tr>
      <w:tr>
        <w:trPr>
          <w:trHeight w:val="291" w:hRule="exact"/>
        </w:trPr>
        <w:tc>
          <w:tcPr>
            <w:tcW w:w="2399" w:type="dxa"/>
            <w:tcBorders>
              <w:left w:val="single" w:sz="4" w:space="0" w:color="000000"/>
              <w:right w:val="single" w:sz="4" w:space="0" w:color="000000"/>
            </w:tcBorders>
          </w:tcPr>
          <w:p>
            <w:pPr>
              <w:pStyle w:val="TableParagraph"/>
              <w:spacing w:line="268" w:lineRule="auto"/>
              <w:ind w:left="20" w:right="103"/>
              <w:jc w:val="left"/>
              <w:rPr>
                <w:sz w:val="11"/>
              </w:rPr>
            </w:pPr>
            <w:r>
              <w:rPr>
                <w:w w:val="120"/>
                <w:sz w:val="11"/>
              </w:rPr>
              <w:t>Manufactura de instrumentos y equipo de precisión</w:t>
            </w:r>
          </w:p>
        </w:tc>
        <w:tc>
          <w:tcPr>
            <w:tcW w:w="818"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1980</w:t>
            </w: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1985</w:t>
            </w: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1985</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r>
        <w:trPr>
          <w:trHeight w:val="291" w:hRule="exact"/>
        </w:trPr>
        <w:tc>
          <w:tcPr>
            <w:tcW w:w="2399" w:type="dxa"/>
            <w:tcBorders>
              <w:left w:val="single" w:sz="4" w:space="0" w:color="000000"/>
              <w:bottom w:val="single" w:sz="3" w:space="0" w:color="000000"/>
              <w:right w:val="single" w:sz="4" w:space="0" w:color="000000"/>
            </w:tcBorders>
          </w:tcPr>
          <w:p>
            <w:pPr>
              <w:pStyle w:val="TableParagraph"/>
              <w:spacing w:line="268" w:lineRule="auto"/>
              <w:ind w:left="20" w:right="51"/>
              <w:jc w:val="left"/>
              <w:rPr>
                <w:sz w:val="11"/>
              </w:rPr>
            </w:pPr>
            <w:r>
              <w:rPr>
                <w:w w:val="120"/>
                <w:sz w:val="11"/>
              </w:rPr>
              <w:t>Fundición y moldeo de piezas metálicas, ferrosas y no  ferrosas</w:t>
            </w:r>
          </w:p>
        </w:tc>
        <w:tc>
          <w:tcPr>
            <w:tcW w:w="818" w:type="dxa"/>
            <w:tcBorders>
              <w:left w:val="single" w:sz="4" w:space="0" w:color="000000"/>
              <w:bottom w:val="single" w:sz="3" w:space="0" w:color="000000"/>
              <w:right w:val="single" w:sz="4" w:space="0" w:color="000000"/>
            </w:tcBorders>
          </w:tcPr>
          <w:p>
            <w:pPr/>
          </w:p>
        </w:tc>
        <w:tc>
          <w:tcPr>
            <w:tcW w:w="817" w:type="dxa"/>
            <w:tcBorders>
              <w:left w:val="single" w:sz="4" w:space="0" w:color="000000"/>
              <w:bottom w:val="single" w:sz="3"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1988</w:t>
            </w:r>
          </w:p>
        </w:tc>
        <w:tc>
          <w:tcPr>
            <w:tcW w:w="817" w:type="dxa"/>
            <w:tcBorders>
              <w:left w:val="single" w:sz="4" w:space="0" w:color="000000"/>
              <w:bottom w:val="single" w:sz="3"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1998</w:t>
            </w:r>
          </w:p>
        </w:tc>
        <w:tc>
          <w:tcPr>
            <w:tcW w:w="817" w:type="dxa"/>
            <w:tcBorders>
              <w:left w:val="single" w:sz="4" w:space="0" w:color="000000"/>
              <w:bottom w:val="single" w:sz="3"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1998</w:t>
            </w:r>
          </w:p>
        </w:tc>
        <w:tc>
          <w:tcPr>
            <w:tcW w:w="817" w:type="dxa"/>
            <w:tcBorders>
              <w:left w:val="single" w:sz="4" w:space="0" w:color="000000"/>
              <w:bottom w:val="single" w:sz="3" w:space="0" w:color="000000"/>
              <w:right w:val="single" w:sz="4" w:space="0" w:color="000000"/>
            </w:tcBorders>
          </w:tcPr>
          <w:p>
            <w:pPr/>
          </w:p>
        </w:tc>
      </w:tr>
      <w:tr>
        <w:trPr>
          <w:trHeight w:val="291" w:hRule="exact"/>
        </w:trPr>
        <w:tc>
          <w:tcPr>
            <w:tcW w:w="2399" w:type="dxa"/>
            <w:tcBorders>
              <w:top w:val="single" w:sz="3" w:space="0" w:color="000000"/>
              <w:left w:val="single" w:sz="4" w:space="0" w:color="000000"/>
              <w:right w:val="single" w:sz="4" w:space="0" w:color="000000"/>
            </w:tcBorders>
          </w:tcPr>
          <w:p>
            <w:pPr>
              <w:pStyle w:val="TableParagraph"/>
              <w:spacing w:line="268" w:lineRule="auto"/>
              <w:ind w:left="20" w:right="51"/>
              <w:jc w:val="left"/>
              <w:rPr>
                <w:sz w:val="11"/>
              </w:rPr>
            </w:pPr>
            <w:r>
              <w:rPr>
                <w:w w:val="120"/>
                <w:sz w:val="11"/>
              </w:rPr>
              <w:t>Fabricación de máquinas de oficina cálculo y procesamiento informático</w:t>
            </w:r>
          </w:p>
        </w:tc>
        <w:tc>
          <w:tcPr>
            <w:tcW w:w="818" w:type="dxa"/>
            <w:tcBorders>
              <w:top w:val="single" w:sz="3" w:space="0" w:color="000000"/>
              <w:left w:val="single" w:sz="4" w:space="0" w:color="000000"/>
              <w:right w:val="single" w:sz="4" w:space="0" w:color="000000"/>
            </w:tcBorders>
          </w:tcPr>
          <w:p>
            <w:pPr/>
          </w:p>
        </w:tc>
        <w:tc>
          <w:tcPr>
            <w:tcW w:w="817" w:type="dxa"/>
            <w:tcBorders>
              <w:top w:val="single" w:sz="3" w:space="0" w:color="000000"/>
              <w:left w:val="single" w:sz="4" w:space="0" w:color="000000"/>
              <w:right w:val="single" w:sz="4" w:space="0" w:color="000000"/>
            </w:tcBorders>
          </w:tcPr>
          <w:p>
            <w:pPr>
              <w:pStyle w:val="TableParagraph"/>
              <w:spacing w:before="3"/>
              <w:jc w:val="left"/>
              <w:rPr>
                <w:rFonts w:ascii="Calibri"/>
                <w:b/>
                <w:sz w:val="11"/>
              </w:rPr>
            </w:pPr>
          </w:p>
          <w:p>
            <w:pPr>
              <w:pStyle w:val="TableParagraph"/>
              <w:ind w:right="17"/>
              <w:rPr>
                <w:sz w:val="11"/>
              </w:rPr>
            </w:pPr>
            <w:r>
              <w:rPr>
                <w:w w:val="120"/>
                <w:sz w:val="11"/>
              </w:rPr>
              <w:t>1988, 1993</w:t>
            </w:r>
          </w:p>
        </w:tc>
        <w:tc>
          <w:tcPr>
            <w:tcW w:w="817" w:type="dxa"/>
            <w:tcBorders>
              <w:top w:val="single" w:sz="3" w:space="0" w:color="000000"/>
              <w:left w:val="single" w:sz="4" w:space="0" w:color="000000"/>
              <w:right w:val="single" w:sz="4" w:space="0" w:color="000000"/>
            </w:tcBorders>
          </w:tcPr>
          <w:p>
            <w:pPr/>
          </w:p>
        </w:tc>
        <w:tc>
          <w:tcPr>
            <w:tcW w:w="817" w:type="dxa"/>
            <w:tcBorders>
              <w:top w:val="single" w:sz="3" w:space="0" w:color="000000"/>
              <w:left w:val="single" w:sz="4" w:space="0" w:color="000000"/>
              <w:right w:val="single" w:sz="4" w:space="0" w:color="000000"/>
            </w:tcBorders>
          </w:tcPr>
          <w:p>
            <w:pPr/>
          </w:p>
        </w:tc>
        <w:tc>
          <w:tcPr>
            <w:tcW w:w="817" w:type="dxa"/>
            <w:tcBorders>
              <w:top w:val="single" w:sz="3" w:space="0" w:color="000000"/>
              <w:left w:val="single" w:sz="4" w:space="0" w:color="000000"/>
              <w:right w:val="single" w:sz="4" w:space="0" w:color="000000"/>
            </w:tcBorders>
          </w:tcPr>
          <w:p>
            <w:pPr/>
          </w:p>
        </w:tc>
      </w:tr>
      <w:tr>
        <w:trPr>
          <w:trHeight w:val="166" w:hRule="exact"/>
        </w:trPr>
        <w:tc>
          <w:tcPr>
            <w:tcW w:w="2399" w:type="dxa"/>
            <w:tcBorders>
              <w:left w:val="single" w:sz="4" w:space="0" w:color="000000"/>
              <w:right w:val="single" w:sz="4" w:space="0" w:color="000000"/>
            </w:tcBorders>
          </w:tcPr>
          <w:p>
            <w:pPr>
              <w:pStyle w:val="TableParagraph"/>
              <w:spacing w:before="13"/>
              <w:ind w:left="20" w:right="51"/>
              <w:jc w:val="left"/>
              <w:rPr>
                <w:sz w:val="11"/>
              </w:rPr>
            </w:pPr>
            <w:r>
              <w:rPr>
                <w:w w:val="120"/>
                <w:sz w:val="11"/>
              </w:rPr>
              <w:t>Fabricación de herrajes y cerraduras</w:t>
            </w:r>
          </w:p>
        </w:tc>
        <w:tc>
          <w:tcPr>
            <w:tcW w:w="818"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Style w:val="TableParagraph"/>
              <w:spacing w:before="13"/>
              <w:ind w:right="18"/>
              <w:rPr>
                <w:sz w:val="11"/>
              </w:rPr>
            </w:pPr>
            <w:r>
              <w:rPr>
                <w:w w:val="120"/>
                <w:sz w:val="11"/>
              </w:rPr>
              <w:t>2008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r>
        <w:trPr>
          <w:trHeight w:val="291" w:hRule="exact"/>
        </w:trPr>
        <w:tc>
          <w:tcPr>
            <w:tcW w:w="2399" w:type="dxa"/>
            <w:tcBorders>
              <w:left w:val="single" w:sz="4" w:space="0" w:color="000000"/>
              <w:right w:val="single" w:sz="4" w:space="0" w:color="000000"/>
            </w:tcBorders>
          </w:tcPr>
          <w:p>
            <w:pPr>
              <w:pStyle w:val="TableParagraph"/>
              <w:spacing w:line="268" w:lineRule="auto"/>
              <w:ind w:left="20" w:right="184"/>
              <w:jc w:val="left"/>
              <w:rPr>
                <w:sz w:val="11"/>
              </w:rPr>
            </w:pPr>
            <w:r>
              <w:rPr>
                <w:w w:val="120"/>
                <w:sz w:val="11"/>
              </w:rPr>
              <w:t>Fabricación y reparación de muebles metálicos</w:t>
            </w:r>
          </w:p>
        </w:tc>
        <w:tc>
          <w:tcPr>
            <w:tcW w:w="818"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1993</w:t>
            </w:r>
          </w:p>
        </w:tc>
        <w:tc>
          <w:tcPr>
            <w:tcW w:w="817"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1993</w:t>
            </w:r>
          </w:p>
        </w:tc>
      </w:tr>
      <w:tr>
        <w:trPr>
          <w:trHeight w:val="432" w:hRule="exact"/>
        </w:trPr>
        <w:tc>
          <w:tcPr>
            <w:tcW w:w="2399" w:type="dxa"/>
            <w:tcBorders>
              <w:left w:val="single" w:sz="4" w:space="0" w:color="000000"/>
              <w:right w:val="single" w:sz="4" w:space="0" w:color="000000"/>
            </w:tcBorders>
          </w:tcPr>
          <w:p>
            <w:pPr>
              <w:pStyle w:val="TableParagraph"/>
              <w:spacing w:line="268" w:lineRule="auto"/>
              <w:ind w:left="20" w:right="455"/>
              <w:jc w:val="left"/>
              <w:rPr>
                <w:sz w:val="11"/>
              </w:rPr>
            </w:pPr>
            <w:r>
              <w:rPr>
                <w:w w:val="120"/>
                <w:sz w:val="11"/>
              </w:rPr>
              <w:t>Fabricación y/o ensamble de maquinaria, equipo y accesorios eléctricos</w:t>
            </w:r>
          </w:p>
        </w:tc>
        <w:tc>
          <w:tcPr>
            <w:tcW w:w="818" w:type="dxa"/>
            <w:tcBorders>
              <w:left w:val="single" w:sz="4" w:space="0" w:color="000000"/>
              <w:right w:val="single" w:sz="4" w:space="0" w:color="000000"/>
            </w:tcBorders>
          </w:tcPr>
          <w:p>
            <w:pPr>
              <w:pStyle w:val="TableParagraph"/>
              <w:jc w:val="left"/>
              <w:rPr>
                <w:rFonts w:ascii="Calibri"/>
                <w:b/>
                <w:sz w:val="10"/>
              </w:rPr>
            </w:pPr>
          </w:p>
          <w:p>
            <w:pPr>
              <w:pStyle w:val="TableParagraph"/>
              <w:spacing w:before="10"/>
              <w:jc w:val="left"/>
              <w:rPr>
                <w:rFonts w:ascii="Calibri"/>
                <w:b/>
                <w:sz w:val="12"/>
              </w:rPr>
            </w:pPr>
          </w:p>
          <w:p>
            <w:pPr>
              <w:pStyle w:val="TableParagraph"/>
              <w:ind w:left="21" w:right="-3"/>
              <w:jc w:val="left"/>
              <w:rPr>
                <w:sz w:val="11"/>
              </w:rPr>
            </w:pPr>
            <w:r>
              <w:rPr>
                <w:w w:val="120"/>
                <w:sz w:val="11"/>
              </w:rPr>
              <w:t>1975, 1998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Style w:val="TableParagraph"/>
              <w:jc w:val="left"/>
              <w:rPr>
                <w:rFonts w:ascii="Calibri"/>
                <w:b/>
                <w:sz w:val="10"/>
              </w:rPr>
            </w:pPr>
          </w:p>
          <w:p>
            <w:pPr>
              <w:pStyle w:val="TableParagraph"/>
              <w:spacing w:before="10"/>
              <w:jc w:val="left"/>
              <w:rPr>
                <w:rFonts w:ascii="Calibri"/>
                <w:b/>
                <w:sz w:val="12"/>
              </w:rPr>
            </w:pPr>
          </w:p>
          <w:p>
            <w:pPr>
              <w:pStyle w:val="TableParagraph"/>
              <w:ind w:right="18"/>
              <w:rPr>
                <w:sz w:val="11"/>
              </w:rPr>
            </w:pPr>
            <w:r>
              <w:rPr>
                <w:w w:val="120"/>
                <w:sz w:val="11"/>
              </w:rPr>
              <w:t>1975</w:t>
            </w:r>
          </w:p>
        </w:tc>
        <w:tc>
          <w:tcPr>
            <w:tcW w:w="817" w:type="dxa"/>
            <w:tcBorders>
              <w:left w:val="single" w:sz="4" w:space="0" w:color="000000"/>
              <w:right w:val="single" w:sz="4" w:space="0" w:color="000000"/>
            </w:tcBorders>
          </w:tcPr>
          <w:p>
            <w:pPr/>
          </w:p>
        </w:tc>
      </w:tr>
      <w:tr>
        <w:trPr>
          <w:trHeight w:val="291" w:hRule="exact"/>
        </w:trPr>
        <w:tc>
          <w:tcPr>
            <w:tcW w:w="2399" w:type="dxa"/>
            <w:tcBorders>
              <w:left w:val="single" w:sz="4" w:space="0" w:color="000000"/>
              <w:right w:val="single" w:sz="4" w:space="0" w:color="000000"/>
            </w:tcBorders>
          </w:tcPr>
          <w:p>
            <w:pPr>
              <w:pStyle w:val="TableParagraph"/>
              <w:spacing w:line="268" w:lineRule="auto"/>
              <w:ind w:left="20" w:right="301"/>
              <w:jc w:val="left"/>
              <w:rPr>
                <w:sz w:val="11"/>
              </w:rPr>
            </w:pPr>
            <w:r>
              <w:rPr>
                <w:w w:val="120"/>
                <w:sz w:val="11"/>
              </w:rPr>
              <w:t>Fabricación de calderas, tanques y envases metálicos</w:t>
            </w:r>
          </w:p>
        </w:tc>
        <w:tc>
          <w:tcPr>
            <w:tcW w:w="818" w:type="dxa"/>
            <w:tcBorders>
              <w:left w:val="single" w:sz="4" w:space="0" w:color="000000"/>
              <w:right w:val="single" w:sz="4" w:space="0" w:color="000000"/>
            </w:tcBorders>
          </w:tcPr>
          <w:p>
            <w:pPr>
              <w:pStyle w:val="TableParagraph"/>
              <w:spacing w:before="3"/>
              <w:jc w:val="left"/>
              <w:rPr>
                <w:rFonts w:ascii="Calibri"/>
                <w:b/>
                <w:sz w:val="11"/>
              </w:rPr>
            </w:pPr>
          </w:p>
          <w:p>
            <w:pPr>
              <w:pStyle w:val="TableParagraph"/>
              <w:ind w:right="18"/>
              <w:rPr>
                <w:sz w:val="11"/>
              </w:rPr>
            </w:pPr>
            <w:r>
              <w:rPr>
                <w:w w:val="120"/>
                <w:sz w:val="11"/>
              </w:rPr>
              <w:t>2003</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r>
        <w:trPr>
          <w:trHeight w:val="432" w:hRule="exact"/>
        </w:trPr>
        <w:tc>
          <w:tcPr>
            <w:tcW w:w="2399" w:type="dxa"/>
            <w:tcBorders>
              <w:left w:val="single" w:sz="4" w:space="0" w:color="000000"/>
              <w:right w:val="single" w:sz="4" w:space="0" w:color="000000"/>
            </w:tcBorders>
          </w:tcPr>
          <w:p>
            <w:pPr>
              <w:pStyle w:val="TableParagraph"/>
              <w:spacing w:line="268" w:lineRule="auto"/>
              <w:ind w:left="20" w:right="29"/>
              <w:jc w:val="left"/>
              <w:rPr>
                <w:sz w:val="11"/>
              </w:rPr>
            </w:pPr>
            <w:r>
              <w:rPr>
                <w:w w:val="120"/>
                <w:sz w:val="11"/>
              </w:rPr>
              <w:t>Fabricación de instrumentos de medición, control, navegación, y equipo médico electrónico</w:t>
            </w:r>
          </w:p>
        </w:tc>
        <w:tc>
          <w:tcPr>
            <w:tcW w:w="818"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Style w:val="TableParagraph"/>
              <w:jc w:val="left"/>
              <w:rPr>
                <w:rFonts w:ascii="Calibri"/>
                <w:b/>
                <w:sz w:val="10"/>
              </w:rPr>
            </w:pPr>
          </w:p>
          <w:p>
            <w:pPr>
              <w:pStyle w:val="TableParagraph"/>
              <w:spacing w:before="10"/>
              <w:jc w:val="left"/>
              <w:rPr>
                <w:rFonts w:ascii="Calibri"/>
                <w:b/>
                <w:sz w:val="12"/>
              </w:rPr>
            </w:pPr>
          </w:p>
          <w:p>
            <w:pPr>
              <w:pStyle w:val="TableParagraph"/>
              <w:ind w:right="18"/>
              <w:rPr>
                <w:sz w:val="11"/>
              </w:rPr>
            </w:pPr>
            <w:r>
              <w:rPr>
                <w:w w:val="120"/>
                <w:sz w:val="11"/>
              </w:rPr>
              <w:t>2008</w:t>
            </w: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c>
          <w:tcPr>
            <w:tcW w:w="817" w:type="dxa"/>
            <w:tcBorders>
              <w:left w:val="single" w:sz="4" w:space="0" w:color="000000"/>
              <w:right w:val="single" w:sz="4" w:space="0" w:color="000000"/>
            </w:tcBorders>
          </w:tcPr>
          <w:p>
            <w:pPr/>
          </w:p>
        </w:tc>
      </w:tr>
    </w:tbl>
    <w:p>
      <w:pPr>
        <w:pStyle w:val="BodyText"/>
        <w:spacing w:before="11"/>
        <w:rPr>
          <w:rFonts w:ascii="Calibri"/>
          <w:b/>
          <w:sz w:val="8"/>
        </w:rPr>
      </w:pPr>
    </w:p>
    <w:p>
      <w:pPr>
        <w:pStyle w:val="BodyText"/>
        <w:spacing w:before="4"/>
        <w:rPr>
          <w:rFonts w:ascii="Calibri"/>
          <w:b/>
          <w:sz w:val="7"/>
        </w:rPr>
      </w:pPr>
    </w:p>
    <w:p>
      <w:pPr>
        <w:spacing w:before="0"/>
        <w:ind w:left="720" w:right="188" w:firstLine="0"/>
        <w:jc w:val="left"/>
        <w:rPr>
          <w:rFonts w:ascii="Arial" w:hAnsi="Arial"/>
          <w:sz w:val="9"/>
        </w:rPr>
      </w:pPr>
      <w:r>
        <w:rPr>
          <w:rFonts w:ascii="Arial" w:hAnsi="Arial"/>
          <w:w w:val="125"/>
          <w:sz w:val="9"/>
        </w:rPr>
        <w:t>Fuente: Elaboración propia con base en los datos del INEGI. </w:t>
      </w:r>
      <w:r>
        <w:rPr>
          <w:rFonts w:ascii="Arial" w:hAnsi="Arial"/>
          <w:i/>
          <w:w w:val="125"/>
          <w:sz w:val="9"/>
        </w:rPr>
        <w:t>Censos industriales y económicos </w:t>
      </w:r>
      <w:r>
        <w:rPr>
          <w:rFonts w:ascii="Arial" w:hAnsi="Arial"/>
          <w:w w:val="125"/>
          <w:sz w:val="9"/>
        </w:rPr>
        <w:t>. 1971, 1976, 1981, 1986, 1989, 1994, 1999, 2004 y 2009.</w:t>
      </w:r>
    </w:p>
    <w:p>
      <w:pPr>
        <w:spacing w:after="0"/>
        <w:jc w:val="left"/>
        <w:rPr>
          <w:rFonts w:ascii="Arial" w:hAnsi="Arial"/>
          <w:sz w:val="9"/>
        </w:rPr>
        <w:sectPr>
          <w:footerReference w:type="default" r:id="rId36"/>
          <w:pgSz w:w="12240" w:h="15840"/>
          <w:pgMar w:footer="1003" w:header="0" w:top="1380" w:bottom="1200" w:left="1720" w:right="1580"/>
          <w:pgNumType w:start="100"/>
        </w:sectPr>
      </w:pPr>
    </w:p>
    <w:p>
      <w:pPr>
        <w:pStyle w:val="BodyText"/>
        <w:spacing w:line="360" w:lineRule="auto" w:before="50"/>
        <w:ind w:left="102" w:right="157" w:firstLine="707"/>
        <w:jc w:val="both"/>
      </w:pPr>
      <w:r>
        <w:rPr/>
        <w:t>Con respecto a la especialización del subsector 33 Industria de la madera y productos de madera, la especialización se da en principalmente en la Fabricación y reparación de muebles no metálicos, sobresaliendo en 1980, 1985, 1993 y 1998 los municipios de Tlalnepantla, Ecatepec, Nezahualcóyotl y Atizapán de Zaragoza. Y en la Fabricación de envases y otros productos de madera y corcho, se especializó Nezahualcóyotl durante 1975, 1980, 1985 y 1993. </w:t>
      </w:r>
      <w:r>
        <w:rPr>
          <w:spacing w:val="-3"/>
        </w:rPr>
        <w:t>Lo </w:t>
      </w:r>
      <w:r>
        <w:rPr/>
        <w:t>anterior se aprecia en el Cuadro</w:t>
      </w:r>
      <w:r>
        <w:rPr>
          <w:spacing w:val="-6"/>
        </w:rPr>
        <w:t> </w:t>
      </w:r>
      <w:r>
        <w:rPr/>
        <w:t>3.7.</w:t>
      </w:r>
    </w:p>
    <w:p>
      <w:pPr>
        <w:spacing w:before="29"/>
        <w:ind w:left="832" w:right="5235" w:firstLine="0"/>
        <w:jc w:val="left"/>
        <w:rPr>
          <w:rFonts w:ascii="Calibri"/>
          <w:b/>
          <w:sz w:val="13"/>
        </w:rPr>
      </w:pPr>
      <w:r>
        <w:rPr>
          <w:rFonts w:ascii="Calibri"/>
          <w:b/>
          <w:w w:val="95"/>
          <w:sz w:val="13"/>
        </w:rPr>
        <w:t>Cuadro 3.7</w:t>
      </w:r>
    </w:p>
    <w:p>
      <w:pPr>
        <w:spacing w:line="266" w:lineRule="auto" w:before="17"/>
        <w:ind w:left="832" w:right="5235" w:firstLine="0"/>
        <w:jc w:val="left"/>
        <w:rPr>
          <w:rFonts w:ascii="Calibri" w:hAnsi="Calibri"/>
          <w:b/>
          <w:sz w:val="13"/>
        </w:rPr>
      </w:pPr>
      <w:r>
        <w:rPr>
          <w:rFonts w:ascii="Calibri" w:hAnsi="Calibri"/>
          <w:b/>
          <w:w w:val="95"/>
          <w:sz w:val="13"/>
        </w:rPr>
        <w:t>Especialización por subsector, rama, municipio y año Región Valle de México</w:t>
      </w:r>
    </w:p>
    <w:p>
      <w:pPr>
        <w:spacing w:before="0"/>
        <w:ind w:left="832" w:right="5235" w:firstLine="0"/>
        <w:jc w:val="left"/>
        <w:rPr>
          <w:rFonts w:ascii="Calibri"/>
          <w:b/>
          <w:sz w:val="13"/>
        </w:rPr>
      </w:pPr>
      <w:r>
        <w:rPr>
          <w:rFonts w:ascii="Calibri"/>
          <w:b/>
          <w:sz w:val="13"/>
        </w:rPr>
        <w:t>1970-2008</w:t>
      </w:r>
    </w:p>
    <w:p>
      <w:pPr>
        <w:pStyle w:val="BodyText"/>
        <w:spacing w:before="8"/>
        <w:rPr>
          <w:rFonts w:ascii="Calibri"/>
          <w:b/>
          <w:sz w:val="13"/>
        </w:rPr>
      </w:pPr>
    </w:p>
    <w:tbl>
      <w:tblPr>
        <w:tblW w:w="0" w:type="auto"/>
        <w:jc w:val="left"/>
        <w:tblInd w:w="810"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846"/>
        <w:gridCol w:w="668"/>
        <w:gridCol w:w="608"/>
        <w:gridCol w:w="608"/>
        <w:gridCol w:w="608"/>
        <w:gridCol w:w="608"/>
        <w:gridCol w:w="608"/>
        <w:gridCol w:w="608"/>
        <w:gridCol w:w="608"/>
        <w:gridCol w:w="790"/>
        <w:gridCol w:w="608"/>
      </w:tblGrid>
      <w:tr>
        <w:trPr>
          <w:trHeight w:val="176" w:hRule="exact"/>
        </w:trPr>
        <w:tc>
          <w:tcPr>
            <w:tcW w:w="1846" w:type="dxa"/>
            <w:vMerge w:val="restart"/>
            <w:tcBorders>
              <w:left w:val="single" w:sz="3" w:space="0" w:color="000000"/>
              <w:right w:val="single" w:sz="6" w:space="0" w:color="000000"/>
            </w:tcBorders>
            <w:shd w:val="clear" w:color="auto" w:fill="C4BC96"/>
          </w:tcPr>
          <w:p>
            <w:pPr>
              <w:pStyle w:val="TableParagraph"/>
              <w:jc w:val="left"/>
              <w:rPr>
                <w:rFonts w:ascii="Calibri"/>
                <w:b/>
                <w:sz w:val="10"/>
              </w:rPr>
            </w:pPr>
          </w:p>
          <w:p>
            <w:pPr>
              <w:pStyle w:val="TableParagraph"/>
              <w:jc w:val="left"/>
              <w:rPr>
                <w:rFonts w:ascii="Calibri"/>
                <w:b/>
                <w:sz w:val="10"/>
              </w:rPr>
            </w:pPr>
          </w:p>
          <w:p>
            <w:pPr>
              <w:pStyle w:val="TableParagraph"/>
              <w:jc w:val="left"/>
              <w:rPr>
                <w:rFonts w:ascii="Calibri"/>
                <w:b/>
                <w:sz w:val="10"/>
              </w:rPr>
            </w:pPr>
          </w:p>
          <w:p>
            <w:pPr>
              <w:pStyle w:val="TableParagraph"/>
              <w:spacing w:before="1"/>
              <w:ind w:left="554"/>
              <w:jc w:val="left"/>
              <w:rPr>
                <w:rFonts w:ascii="Calibri"/>
                <w:b/>
                <w:sz w:val="10"/>
              </w:rPr>
            </w:pPr>
            <w:r>
              <w:rPr>
                <w:rFonts w:ascii="Calibri"/>
                <w:b/>
                <w:sz w:val="10"/>
              </w:rPr>
              <w:t>SUBSECTOR/RAMA</w:t>
            </w:r>
          </w:p>
        </w:tc>
        <w:tc>
          <w:tcPr>
            <w:tcW w:w="6321" w:type="dxa"/>
            <w:gridSpan w:val="10"/>
            <w:tcBorders>
              <w:left w:val="single" w:sz="6" w:space="0" w:color="000000"/>
              <w:right w:val="single" w:sz="6" w:space="0" w:color="000000"/>
            </w:tcBorders>
            <w:shd w:val="clear" w:color="auto" w:fill="C4BC96"/>
          </w:tcPr>
          <w:p>
            <w:pPr>
              <w:pStyle w:val="TableParagraph"/>
              <w:spacing w:before="30"/>
              <w:ind w:left="2896" w:right="2896"/>
              <w:jc w:val="center"/>
              <w:rPr>
                <w:rFonts w:ascii="Calibri"/>
                <w:b/>
                <w:sz w:val="10"/>
              </w:rPr>
            </w:pPr>
            <w:r>
              <w:rPr>
                <w:rFonts w:ascii="Calibri"/>
                <w:b/>
                <w:sz w:val="10"/>
              </w:rPr>
              <w:t>MUNICIPIO</w:t>
            </w:r>
          </w:p>
        </w:tc>
      </w:tr>
      <w:tr>
        <w:trPr>
          <w:trHeight w:val="341" w:hRule="exact"/>
        </w:trPr>
        <w:tc>
          <w:tcPr>
            <w:tcW w:w="1846" w:type="dxa"/>
            <w:vMerge/>
            <w:tcBorders>
              <w:left w:val="single" w:sz="3" w:space="0" w:color="000000"/>
              <w:bottom w:val="single" w:sz="3" w:space="0" w:color="000000"/>
              <w:right w:val="single" w:sz="6" w:space="0" w:color="000000"/>
            </w:tcBorders>
            <w:shd w:val="clear" w:color="auto" w:fill="C4BC96"/>
          </w:tcPr>
          <w:p>
            <w:pPr/>
          </w:p>
        </w:tc>
        <w:tc>
          <w:tcPr>
            <w:tcW w:w="668" w:type="dxa"/>
            <w:tcBorders>
              <w:left w:val="single" w:sz="3" w:space="0" w:color="000000"/>
              <w:bottom w:val="single" w:sz="3" w:space="0" w:color="000000"/>
              <w:right w:val="single" w:sz="3" w:space="0" w:color="000000"/>
            </w:tcBorders>
            <w:shd w:val="clear" w:color="auto" w:fill="C4BC96"/>
          </w:tcPr>
          <w:p>
            <w:pPr>
              <w:pStyle w:val="TableParagraph"/>
              <w:spacing w:before="9"/>
              <w:jc w:val="left"/>
              <w:rPr>
                <w:rFonts w:ascii="Calibri"/>
                <w:b/>
                <w:sz w:val="14"/>
              </w:rPr>
            </w:pPr>
          </w:p>
          <w:p>
            <w:pPr>
              <w:pStyle w:val="TableParagraph"/>
              <w:ind w:left="37" w:right="-3"/>
              <w:jc w:val="left"/>
              <w:rPr>
                <w:rFonts w:ascii="Calibri"/>
                <w:b/>
                <w:sz w:val="12"/>
              </w:rPr>
            </w:pPr>
            <w:r>
              <w:rPr>
                <w:rFonts w:ascii="Calibri"/>
                <w:b/>
                <w:w w:val="95"/>
                <w:sz w:val="12"/>
              </w:rPr>
              <w:t>Tlalnepantla</w:t>
            </w:r>
          </w:p>
        </w:tc>
        <w:tc>
          <w:tcPr>
            <w:tcW w:w="608" w:type="dxa"/>
            <w:tcBorders>
              <w:left w:val="single" w:sz="3" w:space="0" w:color="000000"/>
              <w:bottom w:val="single" w:sz="3" w:space="0" w:color="000000"/>
              <w:right w:val="single" w:sz="3" w:space="0" w:color="000000"/>
            </w:tcBorders>
            <w:shd w:val="clear" w:color="auto" w:fill="C4BC96"/>
          </w:tcPr>
          <w:p>
            <w:pPr>
              <w:pStyle w:val="TableParagraph"/>
              <w:spacing w:before="9"/>
              <w:jc w:val="left"/>
              <w:rPr>
                <w:rFonts w:ascii="Calibri"/>
                <w:b/>
                <w:sz w:val="14"/>
              </w:rPr>
            </w:pPr>
          </w:p>
          <w:p>
            <w:pPr>
              <w:pStyle w:val="TableParagraph"/>
              <w:ind w:right="51"/>
              <w:rPr>
                <w:rFonts w:ascii="Calibri"/>
                <w:b/>
                <w:sz w:val="12"/>
              </w:rPr>
            </w:pPr>
            <w:r>
              <w:rPr>
                <w:rFonts w:ascii="Calibri"/>
                <w:b/>
                <w:w w:val="95"/>
                <w:sz w:val="12"/>
              </w:rPr>
              <w:t>Naucalpan</w:t>
            </w:r>
          </w:p>
        </w:tc>
        <w:tc>
          <w:tcPr>
            <w:tcW w:w="608" w:type="dxa"/>
            <w:tcBorders>
              <w:left w:val="single" w:sz="3" w:space="0" w:color="000000"/>
              <w:bottom w:val="single" w:sz="3" w:space="0" w:color="000000"/>
              <w:right w:val="single" w:sz="3" w:space="0" w:color="000000"/>
            </w:tcBorders>
            <w:shd w:val="clear" w:color="auto" w:fill="C4BC96"/>
          </w:tcPr>
          <w:p>
            <w:pPr>
              <w:pStyle w:val="TableParagraph"/>
              <w:spacing w:line="276" w:lineRule="auto" w:before="12"/>
              <w:ind w:left="166" w:right="-3" w:hanging="114"/>
              <w:jc w:val="left"/>
              <w:rPr>
                <w:rFonts w:ascii="Calibri" w:hAnsi="Calibri"/>
                <w:b/>
                <w:sz w:val="12"/>
              </w:rPr>
            </w:pPr>
            <w:r>
              <w:rPr>
                <w:rFonts w:ascii="Calibri" w:hAnsi="Calibri"/>
                <w:b/>
                <w:w w:val="95"/>
                <w:sz w:val="12"/>
              </w:rPr>
              <w:t>Cuautitlán </w:t>
            </w:r>
            <w:r>
              <w:rPr>
                <w:rFonts w:ascii="Calibri" w:hAnsi="Calibri"/>
                <w:b/>
                <w:sz w:val="12"/>
              </w:rPr>
              <w:t>Izcalli</w:t>
            </w:r>
          </w:p>
        </w:tc>
        <w:tc>
          <w:tcPr>
            <w:tcW w:w="608" w:type="dxa"/>
            <w:tcBorders>
              <w:left w:val="single" w:sz="3" w:space="0" w:color="000000"/>
              <w:bottom w:val="single" w:sz="3" w:space="0" w:color="000000"/>
              <w:right w:val="single" w:sz="3" w:space="0" w:color="000000"/>
            </w:tcBorders>
            <w:shd w:val="clear" w:color="auto" w:fill="C4BC96"/>
          </w:tcPr>
          <w:p>
            <w:pPr>
              <w:pStyle w:val="TableParagraph"/>
              <w:spacing w:before="9"/>
              <w:jc w:val="left"/>
              <w:rPr>
                <w:rFonts w:ascii="Calibri"/>
                <w:b/>
                <w:sz w:val="14"/>
              </w:rPr>
            </w:pPr>
          </w:p>
          <w:p>
            <w:pPr>
              <w:pStyle w:val="TableParagraph"/>
              <w:ind w:left="91" w:right="-4"/>
              <w:jc w:val="left"/>
              <w:rPr>
                <w:rFonts w:ascii="Calibri"/>
                <w:b/>
                <w:sz w:val="12"/>
              </w:rPr>
            </w:pPr>
            <w:r>
              <w:rPr>
                <w:rFonts w:ascii="Calibri"/>
                <w:b/>
                <w:sz w:val="12"/>
              </w:rPr>
              <w:t>Ecatepec</w:t>
            </w:r>
          </w:p>
        </w:tc>
        <w:tc>
          <w:tcPr>
            <w:tcW w:w="608" w:type="dxa"/>
            <w:tcBorders>
              <w:left w:val="single" w:sz="3" w:space="0" w:color="000000"/>
              <w:bottom w:val="single" w:sz="3" w:space="0" w:color="000000"/>
              <w:right w:val="single" w:sz="3" w:space="0" w:color="000000"/>
            </w:tcBorders>
            <w:shd w:val="clear" w:color="auto" w:fill="C4BC96"/>
          </w:tcPr>
          <w:p>
            <w:pPr>
              <w:pStyle w:val="TableParagraph"/>
              <w:spacing w:before="9"/>
              <w:jc w:val="left"/>
              <w:rPr>
                <w:rFonts w:ascii="Calibri"/>
                <w:b/>
                <w:sz w:val="14"/>
              </w:rPr>
            </w:pPr>
          </w:p>
          <w:p>
            <w:pPr>
              <w:pStyle w:val="TableParagraph"/>
              <w:ind w:left="98" w:right="-3"/>
              <w:jc w:val="left"/>
              <w:rPr>
                <w:rFonts w:ascii="Calibri" w:hAnsi="Calibri"/>
                <w:b/>
                <w:sz w:val="12"/>
              </w:rPr>
            </w:pPr>
            <w:r>
              <w:rPr>
                <w:rFonts w:ascii="Calibri" w:hAnsi="Calibri"/>
                <w:b/>
                <w:sz w:val="12"/>
              </w:rPr>
              <w:t>Tultitlán</w:t>
            </w:r>
          </w:p>
        </w:tc>
        <w:tc>
          <w:tcPr>
            <w:tcW w:w="608" w:type="dxa"/>
            <w:tcBorders>
              <w:left w:val="single" w:sz="3" w:space="0" w:color="000000"/>
              <w:bottom w:val="single" w:sz="3" w:space="0" w:color="000000"/>
              <w:right w:val="single" w:sz="3" w:space="0" w:color="000000"/>
            </w:tcBorders>
            <w:shd w:val="clear" w:color="auto" w:fill="C4BC96"/>
          </w:tcPr>
          <w:p>
            <w:pPr>
              <w:pStyle w:val="TableParagraph"/>
              <w:spacing w:before="9"/>
              <w:jc w:val="left"/>
              <w:rPr>
                <w:rFonts w:ascii="Calibri"/>
                <w:b/>
                <w:sz w:val="14"/>
              </w:rPr>
            </w:pPr>
          </w:p>
          <w:p>
            <w:pPr>
              <w:pStyle w:val="TableParagraph"/>
              <w:ind w:left="159" w:right="-3"/>
              <w:jc w:val="left"/>
              <w:rPr>
                <w:rFonts w:ascii="Calibri"/>
                <w:b/>
                <w:sz w:val="12"/>
              </w:rPr>
            </w:pPr>
            <w:r>
              <w:rPr>
                <w:rFonts w:ascii="Calibri"/>
                <w:b/>
                <w:w w:val="95"/>
                <w:sz w:val="12"/>
              </w:rPr>
              <w:t>La Paz</w:t>
            </w:r>
          </w:p>
        </w:tc>
        <w:tc>
          <w:tcPr>
            <w:tcW w:w="608" w:type="dxa"/>
            <w:tcBorders>
              <w:left w:val="single" w:sz="3" w:space="0" w:color="000000"/>
              <w:bottom w:val="single" w:sz="3" w:space="0" w:color="000000"/>
              <w:right w:val="single" w:sz="3" w:space="0" w:color="000000"/>
            </w:tcBorders>
            <w:shd w:val="clear" w:color="auto" w:fill="C4BC96"/>
          </w:tcPr>
          <w:p>
            <w:pPr>
              <w:pStyle w:val="TableParagraph"/>
              <w:spacing w:before="9"/>
              <w:jc w:val="left"/>
              <w:rPr>
                <w:rFonts w:ascii="Calibri"/>
                <w:b/>
                <w:sz w:val="14"/>
              </w:rPr>
            </w:pPr>
          </w:p>
          <w:p>
            <w:pPr>
              <w:pStyle w:val="TableParagraph"/>
              <w:ind w:right="89"/>
              <w:rPr>
                <w:rFonts w:ascii="Calibri" w:hAnsi="Calibri"/>
                <w:b/>
                <w:sz w:val="12"/>
              </w:rPr>
            </w:pPr>
            <w:r>
              <w:rPr>
                <w:rFonts w:ascii="Calibri" w:hAnsi="Calibri"/>
                <w:b/>
                <w:w w:val="95"/>
                <w:sz w:val="12"/>
              </w:rPr>
              <w:t>Cuatitlán</w:t>
            </w:r>
          </w:p>
        </w:tc>
        <w:tc>
          <w:tcPr>
            <w:tcW w:w="608" w:type="dxa"/>
            <w:tcBorders>
              <w:left w:val="single" w:sz="3" w:space="0" w:color="000000"/>
              <w:bottom w:val="single" w:sz="3" w:space="0" w:color="000000"/>
              <w:right w:val="single" w:sz="3" w:space="0" w:color="000000"/>
            </w:tcBorders>
            <w:shd w:val="clear" w:color="auto" w:fill="C4BC96"/>
          </w:tcPr>
          <w:p>
            <w:pPr>
              <w:pStyle w:val="TableParagraph"/>
              <w:spacing w:before="9"/>
              <w:jc w:val="left"/>
              <w:rPr>
                <w:rFonts w:ascii="Calibri"/>
                <w:b/>
                <w:sz w:val="14"/>
              </w:rPr>
            </w:pPr>
          </w:p>
          <w:p>
            <w:pPr>
              <w:pStyle w:val="TableParagraph"/>
              <w:ind w:right="20"/>
              <w:rPr>
                <w:rFonts w:ascii="Calibri" w:hAnsi="Calibri"/>
                <w:b/>
                <w:sz w:val="12"/>
              </w:rPr>
            </w:pPr>
            <w:r>
              <w:rPr>
                <w:rFonts w:ascii="Calibri" w:hAnsi="Calibri"/>
                <w:b/>
                <w:w w:val="95"/>
                <w:sz w:val="12"/>
              </w:rPr>
              <w:t>Tepotzotlán</w:t>
            </w:r>
          </w:p>
        </w:tc>
        <w:tc>
          <w:tcPr>
            <w:tcW w:w="790" w:type="dxa"/>
            <w:tcBorders>
              <w:left w:val="single" w:sz="3" w:space="0" w:color="000000"/>
              <w:bottom w:val="single" w:sz="3" w:space="0" w:color="000000"/>
              <w:right w:val="single" w:sz="3" w:space="0" w:color="000000"/>
            </w:tcBorders>
            <w:shd w:val="clear" w:color="auto" w:fill="C4BC96"/>
          </w:tcPr>
          <w:p>
            <w:pPr>
              <w:pStyle w:val="TableParagraph"/>
              <w:spacing w:before="9"/>
              <w:jc w:val="left"/>
              <w:rPr>
                <w:rFonts w:ascii="Calibri"/>
                <w:b/>
                <w:sz w:val="14"/>
              </w:rPr>
            </w:pPr>
          </w:p>
          <w:p>
            <w:pPr>
              <w:pStyle w:val="TableParagraph"/>
              <w:ind w:right="31"/>
              <w:rPr>
                <w:rFonts w:ascii="Calibri" w:hAnsi="Calibri"/>
                <w:b/>
                <w:sz w:val="12"/>
              </w:rPr>
            </w:pPr>
            <w:r>
              <w:rPr>
                <w:rFonts w:ascii="Calibri" w:hAnsi="Calibri"/>
                <w:b/>
                <w:w w:val="95"/>
                <w:sz w:val="12"/>
              </w:rPr>
              <w:t>Nezahualcóyotl</w:t>
            </w:r>
          </w:p>
        </w:tc>
        <w:tc>
          <w:tcPr>
            <w:tcW w:w="608" w:type="dxa"/>
            <w:tcBorders>
              <w:left w:val="single" w:sz="3" w:space="0" w:color="000000"/>
              <w:bottom w:val="single" w:sz="3" w:space="0" w:color="000000"/>
              <w:right w:val="single" w:sz="3" w:space="0" w:color="000000"/>
            </w:tcBorders>
            <w:shd w:val="clear" w:color="auto" w:fill="C4BC96"/>
          </w:tcPr>
          <w:p>
            <w:pPr>
              <w:pStyle w:val="TableParagraph"/>
              <w:spacing w:line="276" w:lineRule="auto" w:before="12"/>
              <w:ind w:left="98" w:right="-3" w:hanging="76"/>
              <w:jc w:val="left"/>
              <w:rPr>
                <w:rFonts w:ascii="Calibri"/>
                <w:b/>
                <w:sz w:val="12"/>
              </w:rPr>
            </w:pPr>
            <w:r>
              <w:rPr>
                <w:rFonts w:ascii="Calibri"/>
                <w:b/>
                <w:w w:val="95"/>
                <w:sz w:val="12"/>
              </w:rPr>
              <w:t>Atizapan de </w:t>
            </w:r>
            <w:r>
              <w:rPr>
                <w:rFonts w:ascii="Calibri"/>
                <w:b/>
                <w:sz w:val="12"/>
              </w:rPr>
              <w:t>Zaragoza</w:t>
            </w:r>
          </w:p>
        </w:tc>
      </w:tr>
      <w:tr>
        <w:trPr>
          <w:trHeight w:val="168" w:hRule="exact"/>
        </w:trPr>
        <w:tc>
          <w:tcPr>
            <w:tcW w:w="8167" w:type="dxa"/>
            <w:gridSpan w:val="11"/>
            <w:tcBorders>
              <w:top w:val="single" w:sz="3" w:space="0" w:color="000000"/>
              <w:left w:val="single" w:sz="3" w:space="0" w:color="000000"/>
              <w:bottom w:val="single" w:sz="3" w:space="0" w:color="000000"/>
              <w:right w:val="single" w:sz="3" w:space="0" w:color="000000"/>
            </w:tcBorders>
          </w:tcPr>
          <w:p>
            <w:pPr>
              <w:pStyle w:val="TableParagraph"/>
              <w:spacing w:before="23"/>
              <w:ind w:left="2210"/>
              <w:jc w:val="left"/>
              <w:rPr>
                <w:b/>
                <w:sz w:val="11"/>
              </w:rPr>
            </w:pPr>
            <w:r>
              <w:rPr>
                <w:b/>
                <w:w w:val="95"/>
                <w:sz w:val="11"/>
              </w:rPr>
              <w:t>Subsector 33 Industria de la madera y productos de madera. Incluye muebles</w:t>
            </w:r>
          </w:p>
        </w:tc>
      </w:tr>
      <w:tr>
        <w:trPr>
          <w:trHeight w:val="294" w:hRule="exact"/>
        </w:trPr>
        <w:tc>
          <w:tcPr>
            <w:tcW w:w="1846" w:type="dxa"/>
            <w:tcBorders>
              <w:top w:val="single" w:sz="3" w:space="0" w:color="000000"/>
              <w:left w:val="single" w:sz="3" w:space="0" w:color="000000"/>
              <w:bottom w:val="single" w:sz="3" w:space="0" w:color="000000"/>
              <w:right w:val="single" w:sz="3" w:space="0" w:color="000000"/>
            </w:tcBorders>
          </w:tcPr>
          <w:p>
            <w:pPr>
              <w:pStyle w:val="TableParagraph"/>
              <w:spacing w:line="271" w:lineRule="auto"/>
              <w:ind w:left="15" w:right="48"/>
              <w:jc w:val="left"/>
              <w:rPr>
                <w:sz w:val="11"/>
              </w:rPr>
            </w:pPr>
            <w:r>
              <w:rPr>
                <w:w w:val="90"/>
                <w:sz w:val="11"/>
              </w:rPr>
              <w:t>Fabricación de productos de aserradero y carpintería</w:t>
            </w:r>
          </w:p>
        </w:tc>
        <w:tc>
          <w:tcPr>
            <w:tcW w:w="66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left="15" w:right="-3"/>
              <w:jc w:val="left"/>
              <w:rPr>
                <w:rFonts w:ascii="Calibri"/>
                <w:sz w:val="12"/>
              </w:rPr>
            </w:pPr>
            <w:r>
              <w:rPr>
                <w:rFonts w:ascii="Calibri"/>
                <w:w w:val="95"/>
                <w:sz w:val="12"/>
              </w:rPr>
              <w:t>1980, 1993</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1993</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1980</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1993</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1993</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790"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1993</w:t>
            </w:r>
          </w:p>
        </w:tc>
        <w:tc>
          <w:tcPr>
            <w:tcW w:w="608" w:type="dxa"/>
            <w:tcBorders>
              <w:top w:val="single" w:sz="3" w:space="0" w:color="000000"/>
              <w:left w:val="single" w:sz="3" w:space="0" w:color="000000"/>
              <w:bottom w:val="single" w:sz="3" w:space="0" w:color="000000"/>
              <w:right w:val="single" w:sz="3" w:space="0" w:color="000000"/>
            </w:tcBorders>
          </w:tcPr>
          <w:p>
            <w:pPr/>
          </w:p>
        </w:tc>
      </w:tr>
      <w:tr>
        <w:trPr>
          <w:trHeight w:val="337" w:hRule="exact"/>
        </w:trPr>
        <w:tc>
          <w:tcPr>
            <w:tcW w:w="1846" w:type="dxa"/>
            <w:tcBorders>
              <w:top w:val="single" w:sz="3" w:space="0" w:color="000000"/>
              <w:left w:val="single" w:sz="3" w:space="0" w:color="000000"/>
              <w:bottom w:val="single" w:sz="3" w:space="0" w:color="000000"/>
              <w:right w:val="single" w:sz="3" w:space="0" w:color="000000"/>
            </w:tcBorders>
          </w:tcPr>
          <w:p>
            <w:pPr>
              <w:pStyle w:val="TableParagraph"/>
              <w:spacing w:line="271" w:lineRule="auto" w:before="39"/>
              <w:ind w:left="15" w:right="381"/>
              <w:jc w:val="left"/>
              <w:rPr>
                <w:sz w:val="11"/>
              </w:rPr>
            </w:pPr>
            <w:r>
              <w:rPr>
                <w:w w:val="95"/>
                <w:sz w:val="11"/>
              </w:rPr>
              <w:t>Fabricación de </w:t>
            </w:r>
            <w:r>
              <w:rPr>
                <w:spacing w:val="-3"/>
                <w:w w:val="95"/>
                <w:sz w:val="11"/>
              </w:rPr>
              <w:t>envases </w:t>
            </w:r>
            <w:r>
              <w:rPr>
                <w:w w:val="95"/>
                <w:sz w:val="11"/>
              </w:rPr>
              <w:t>y otros </w:t>
            </w:r>
            <w:r>
              <w:rPr>
                <w:w w:val="90"/>
                <w:sz w:val="11"/>
              </w:rPr>
              <w:t>productos de madera y corcho</w:t>
            </w:r>
          </w:p>
        </w:tc>
        <w:tc>
          <w:tcPr>
            <w:tcW w:w="668" w:type="dxa"/>
            <w:tcBorders>
              <w:top w:val="single" w:sz="3" w:space="0" w:color="000000"/>
              <w:left w:val="single" w:sz="3" w:space="0" w:color="000000"/>
              <w:bottom w:val="single" w:sz="3" w:space="0" w:color="000000"/>
              <w:right w:val="single" w:sz="3" w:space="0" w:color="000000"/>
            </w:tcBorders>
          </w:tcPr>
          <w:p>
            <w:pPr>
              <w:pStyle w:val="TableParagraph"/>
              <w:spacing w:before="9"/>
              <w:jc w:val="left"/>
              <w:rPr>
                <w:rFonts w:ascii="Calibri"/>
                <w:b/>
                <w:sz w:val="14"/>
              </w:rPr>
            </w:pPr>
          </w:p>
          <w:p>
            <w:pPr>
              <w:pStyle w:val="TableParagraph"/>
              <w:ind w:right="13"/>
              <w:rPr>
                <w:rFonts w:ascii="Calibri"/>
                <w:sz w:val="12"/>
              </w:rPr>
            </w:pPr>
            <w:r>
              <w:rPr>
                <w:rFonts w:ascii="Calibri"/>
                <w:w w:val="95"/>
                <w:sz w:val="12"/>
              </w:rPr>
              <w:t>1985</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9"/>
              <w:jc w:val="left"/>
              <w:rPr>
                <w:rFonts w:ascii="Calibri"/>
                <w:b/>
                <w:sz w:val="14"/>
              </w:rPr>
            </w:pPr>
          </w:p>
          <w:p>
            <w:pPr>
              <w:pStyle w:val="TableParagraph"/>
              <w:ind w:right="100"/>
              <w:rPr>
                <w:rFonts w:ascii="Calibri"/>
                <w:sz w:val="12"/>
              </w:rPr>
            </w:pPr>
            <w:r>
              <w:rPr>
                <w:rFonts w:ascii="Calibri"/>
                <w:spacing w:val="-4"/>
                <w:w w:val="95"/>
                <w:sz w:val="12"/>
              </w:rPr>
              <w:t>1975, 1980</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9"/>
              <w:jc w:val="left"/>
              <w:rPr>
                <w:rFonts w:ascii="Calibri"/>
                <w:b/>
                <w:sz w:val="14"/>
              </w:rPr>
            </w:pPr>
          </w:p>
          <w:p>
            <w:pPr>
              <w:pStyle w:val="TableParagraph"/>
              <w:ind w:right="13"/>
              <w:rPr>
                <w:rFonts w:ascii="Calibri"/>
                <w:sz w:val="12"/>
              </w:rPr>
            </w:pPr>
            <w:r>
              <w:rPr>
                <w:rFonts w:ascii="Calibri"/>
                <w:w w:val="95"/>
                <w:sz w:val="12"/>
              </w:rPr>
              <w:t>1975</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9"/>
              <w:jc w:val="left"/>
              <w:rPr>
                <w:rFonts w:ascii="Calibri"/>
                <w:b/>
                <w:sz w:val="14"/>
              </w:rPr>
            </w:pPr>
          </w:p>
          <w:p>
            <w:pPr>
              <w:pStyle w:val="TableParagraph"/>
              <w:ind w:right="8"/>
              <w:rPr>
                <w:rFonts w:ascii="Calibri"/>
                <w:sz w:val="12"/>
              </w:rPr>
            </w:pPr>
            <w:r>
              <w:rPr>
                <w:rFonts w:ascii="Calibri"/>
                <w:w w:val="95"/>
                <w:sz w:val="12"/>
              </w:rPr>
              <w:t>1980, 1993</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9"/>
              <w:jc w:val="left"/>
              <w:rPr>
                <w:rFonts w:ascii="Calibri"/>
                <w:b/>
                <w:sz w:val="14"/>
              </w:rPr>
            </w:pPr>
          </w:p>
          <w:p>
            <w:pPr>
              <w:pStyle w:val="TableParagraph"/>
              <w:ind w:right="13"/>
              <w:rPr>
                <w:rFonts w:ascii="Calibri"/>
                <w:sz w:val="12"/>
              </w:rPr>
            </w:pPr>
            <w:r>
              <w:rPr>
                <w:rFonts w:ascii="Calibri"/>
                <w:w w:val="95"/>
                <w:sz w:val="12"/>
              </w:rPr>
              <w:t>1993</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9"/>
              <w:jc w:val="left"/>
              <w:rPr>
                <w:rFonts w:ascii="Calibri"/>
                <w:b/>
                <w:sz w:val="14"/>
              </w:rPr>
            </w:pPr>
          </w:p>
          <w:p>
            <w:pPr>
              <w:pStyle w:val="TableParagraph"/>
              <w:ind w:right="13"/>
              <w:rPr>
                <w:rFonts w:ascii="Calibri"/>
                <w:sz w:val="12"/>
              </w:rPr>
            </w:pPr>
            <w:r>
              <w:rPr>
                <w:rFonts w:ascii="Calibri"/>
                <w:w w:val="95"/>
                <w:sz w:val="12"/>
              </w:rPr>
              <w:t>1980</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9"/>
              <w:jc w:val="left"/>
              <w:rPr>
                <w:rFonts w:ascii="Calibri"/>
                <w:b/>
                <w:sz w:val="14"/>
              </w:rPr>
            </w:pPr>
          </w:p>
          <w:p>
            <w:pPr>
              <w:pStyle w:val="TableParagraph"/>
              <w:ind w:right="13"/>
              <w:rPr>
                <w:rFonts w:ascii="Calibri"/>
                <w:sz w:val="12"/>
              </w:rPr>
            </w:pPr>
            <w:r>
              <w:rPr>
                <w:rFonts w:ascii="Calibri"/>
                <w:w w:val="95"/>
                <w:sz w:val="12"/>
              </w:rPr>
              <w:t>1993</w:t>
            </w:r>
          </w:p>
        </w:tc>
        <w:tc>
          <w:tcPr>
            <w:tcW w:w="790" w:type="dxa"/>
            <w:tcBorders>
              <w:top w:val="single" w:sz="3" w:space="0" w:color="000000"/>
              <w:left w:val="single" w:sz="3" w:space="0" w:color="000000"/>
              <w:bottom w:val="single" w:sz="3" w:space="0" w:color="000000"/>
              <w:right w:val="single" w:sz="3" w:space="0" w:color="000000"/>
            </w:tcBorders>
          </w:tcPr>
          <w:p>
            <w:pPr>
              <w:pStyle w:val="TableParagraph"/>
              <w:spacing w:before="12"/>
              <w:ind w:left="258" w:right="-3"/>
              <w:jc w:val="left"/>
              <w:rPr>
                <w:rFonts w:ascii="Calibri"/>
                <w:sz w:val="12"/>
              </w:rPr>
            </w:pPr>
            <w:r>
              <w:rPr>
                <w:rFonts w:ascii="Calibri"/>
                <w:spacing w:val="-4"/>
                <w:w w:val="95"/>
                <w:sz w:val="12"/>
              </w:rPr>
              <w:t>1975, 1980,</w:t>
            </w:r>
          </w:p>
          <w:p>
            <w:pPr>
              <w:pStyle w:val="TableParagraph"/>
              <w:spacing w:before="21"/>
              <w:ind w:left="288" w:right="-3"/>
              <w:jc w:val="left"/>
              <w:rPr>
                <w:rFonts w:ascii="Calibri"/>
                <w:sz w:val="12"/>
              </w:rPr>
            </w:pPr>
            <w:r>
              <w:rPr>
                <w:rFonts w:ascii="Calibri"/>
                <w:spacing w:val="-4"/>
                <w:w w:val="95"/>
                <w:sz w:val="12"/>
              </w:rPr>
              <w:t>1985, 1993</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12"/>
              <w:ind w:left="75" w:right="-3"/>
              <w:jc w:val="left"/>
              <w:rPr>
                <w:rFonts w:ascii="Calibri"/>
                <w:sz w:val="12"/>
              </w:rPr>
            </w:pPr>
            <w:r>
              <w:rPr>
                <w:rFonts w:ascii="Calibri"/>
                <w:spacing w:val="-4"/>
                <w:w w:val="95"/>
                <w:sz w:val="12"/>
              </w:rPr>
              <w:t>1975, 1980,</w:t>
            </w:r>
          </w:p>
          <w:p>
            <w:pPr>
              <w:pStyle w:val="TableParagraph"/>
              <w:spacing w:before="21"/>
              <w:ind w:left="372" w:right="-3"/>
              <w:jc w:val="left"/>
              <w:rPr>
                <w:rFonts w:ascii="Calibri"/>
                <w:sz w:val="12"/>
              </w:rPr>
            </w:pPr>
            <w:r>
              <w:rPr>
                <w:rFonts w:ascii="Calibri"/>
                <w:spacing w:val="-5"/>
                <w:w w:val="95"/>
                <w:sz w:val="12"/>
              </w:rPr>
              <w:t>1993</w:t>
            </w:r>
          </w:p>
        </w:tc>
      </w:tr>
      <w:tr>
        <w:trPr>
          <w:trHeight w:val="336" w:hRule="exact"/>
        </w:trPr>
        <w:tc>
          <w:tcPr>
            <w:tcW w:w="1846" w:type="dxa"/>
            <w:tcBorders>
              <w:top w:val="single" w:sz="3" w:space="0" w:color="000000"/>
              <w:left w:val="single" w:sz="3" w:space="0" w:color="000000"/>
              <w:bottom w:val="single" w:sz="3" w:space="0" w:color="000000"/>
              <w:right w:val="single" w:sz="3" w:space="0" w:color="000000"/>
            </w:tcBorders>
          </w:tcPr>
          <w:p>
            <w:pPr>
              <w:pStyle w:val="TableParagraph"/>
              <w:spacing w:line="271" w:lineRule="auto" w:before="39"/>
              <w:ind w:left="15"/>
              <w:jc w:val="left"/>
              <w:rPr>
                <w:sz w:val="11"/>
              </w:rPr>
            </w:pPr>
            <w:r>
              <w:rPr>
                <w:w w:val="90"/>
                <w:sz w:val="11"/>
              </w:rPr>
              <w:t>Fabricación y reparación de muebles no </w:t>
            </w:r>
            <w:r>
              <w:rPr>
                <w:sz w:val="11"/>
              </w:rPr>
              <w:t>metálicos</w:t>
            </w:r>
          </w:p>
        </w:tc>
        <w:tc>
          <w:tcPr>
            <w:tcW w:w="668" w:type="dxa"/>
            <w:tcBorders>
              <w:top w:val="single" w:sz="3" w:space="0" w:color="000000"/>
              <w:left w:val="single" w:sz="3" w:space="0" w:color="000000"/>
              <w:bottom w:val="single" w:sz="3" w:space="0" w:color="000000"/>
              <w:right w:val="single" w:sz="3" w:space="0" w:color="000000"/>
            </w:tcBorders>
          </w:tcPr>
          <w:p>
            <w:pPr>
              <w:pStyle w:val="TableParagraph"/>
              <w:spacing w:before="11"/>
              <w:ind w:left="136" w:right="-3"/>
              <w:jc w:val="left"/>
              <w:rPr>
                <w:rFonts w:ascii="Calibri"/>
                <w:sz w:val="12"/>
              </w:rPr>
            </w:pPr>
            <w:r>
              <w:rPr>
                <w:rFonts w:ascii="Calibri"/>
                <w:spacing w:val="-4"/>
                <w:w w:val="95"/>
                <w:sz w:val="12"/>
              </w:rPr>
              <w:t>1980, 1985,</w:t>
            </w:r>
          </w:p>
          <w:p>
            <w:pPr>
              <w:pStyle w:val="TableParagraph"/>
              <w:spacing w:before="21"/>
              <w:ind w:left="167" w:right="-3"/>
              <w:jc w:val="left"/>
              <w:rPr>
                <w:rFonts w:ascii="Calibri"/>
                <w:sz w:val="12"/>
              </w:rPr>
            </w:pPr>
            <w:r>
              <w:rPr>
                <w:rFonts w:ascii="Calibri"/>
                <w:spacing w:val="-4"/>
                <w:w w:val="95"/>
                <w:sz w:val="12"/>
              </w:rPr>
              <w:t>1993, 1998</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9"/>
              <w:jc w:val="left"/>
              <w:rPr>
                <w:rFonts w:ascii="Calibri"/>
                <w:b/>
                <w:sz w:val="14"/>
              </w:rPr>
            </w:pPr>
          </w:p>
          <w:p>
            <w:pPr>
              <w:pStyle w:val="TableParagraph"/>
              <w:ind w:right="100"/>
              <w:rPr>
                <w:rFonts w:ascii="Calibri"/>
                <w:sz w:val="12"/>
              </w:rPr>
            </w:pPr>
            <w:r>
              <w:rPr>
                <w:rFonts w:ascii="Calibri"/>
                <w:spacing w:val="-4"/>
                <w:w w:val="95"/>
                <w:sz w:val="12"/>
              </w:rPr>
              <w:t>1980, 1985</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11"/>
              <w:ind w:left="75" w:right="-4"/>
              <w:jc w:val="left"/>
              <w:rPr>
                <w:rFonts w:ascii="Calibri"/>
                <w:sz w:val="12"/>
              </w:rPr>
            </w:pPr>
            <w:r>
              <w:rPr>
                <w:rFonts w:ascii="Calibri"/>
                <w:spacing w:val="-4"/>
                <w:w w:val="95"/>
                <w:sz w:val="12"/>
              </w:rPr>
              <w:t>1980, 1985,</w:t>
            </w:r>
          </w:p>
          <w:p>
            <w:pPr>
              <w:pStyle w:val="TableParagraph"/>
              <w:spacing w:before="21"/>
              <w:ind w:left="372" w:right="-4"/>
              <w:jc w:val="left"/>
              <w:rPr>
                <w:rFonts w:ascii="Calibri"/>
                <w:sz w:val="12"/>
              </w:rPr>
            </w:pPr>
            <w:r>
              <w:rPr>
                <w:rFonts w:ascii="Calibri"/>
                <w:spacing w:val="-5"/>
                <w:w w:val="95"/>
                <w:sz w:val="12"/>
              </w:rPr>
              <w:t>1998</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9"/>
              <w:jc w:val="left"/>
              <w:rPr>
                <w:rFonts w:ascii="Calibri"/>
                <w:b/>
                <w:sz w:val="14"/>
              </w:rPr>
            </w:pPr>
          </w:p>
          <w:p>
            <w:pPr>
              <w:pStyle w:val="TableParagraph"/>
              <w:ind w:left="15" w:right="-3"/>
              <w:jc w:val="left"/>
              <w:rPr>
                <w:rFonts w:ascii="Calibri"/>
                <w:sz w:val="12"/>
              </w:rPr>
            </w:pPr>
            <w:r>
              <w:rPr>
                <w:rFonts w:ascii="Calibri"/>
                <w:w w:val="95"/>
                <w:sz w:val="12"/>
              </w:rPr>
              <w:t>1993, 1998</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790" w:type="dxa"/>
            <w:tcBorders>
              <w:top w:val="single" w:sz="3" w:space="0" w:color="000000"/>
              <w:left w:val="single" w:sz="3" w:space="0" w:color="000000"/>
              <w:bottom w:val="single" w:sz="3" w:space="0" w:color="000000"/>
              <w:right w:val="single" w:sz="3" w:space="0" w:color="000000"/>
            </w:tcBorders>
          </w:tcPr>
          <w:p>
            <w:pPr>
              <w:pStyle w:val="TableParagraph"/>
              <w:spacing w:before="11"/>
              <w:ind w:left="258" w:right="-3"/>
              <w:jc w:val="left"/>
              <w:rPr>
                <w:rFonts w:ascii="Calibri"/>
                <w:sz w:val="12"/>
              </w:rPr>
            </w:pPr>
            <w:r>
              <w:rPr>
                <w:rFonts w:ascii="Calibri"/>
                <w:spacing w:val="-4"/>
                <w:w w:val="95"/>
                <w:sz w:val="12"/>
              </w:rPr>
              <w:t>1980, 1985,</w:t>
            </w:r>
          </w:p>
          <w:p>
            <w:pPr>
              <w:pStyle w:val="TableParagraph"/>
              <w:spacing w:before="21"/>
              <w:ind w:left="288" w:right="-3"/>
              <w:jc w:val="left"/>
              <w:rPr>
                <w:rFonts w:ascii="Calibri"/>
                <w:sz w:val="12"/>
              </w:rPr>
            </w:pPr>
            <w:r>
              <w:rPr>
                <w:rFonts w:ascii="Calibri"/>
                <w:spacing w:val="-4"/>
                <w:w w:val="95"/>
                <w:sz w:val="12"/>
              </w:rPr>
              <w:t>1993, 1998</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11"/>
              <w:ind w:left="75" w:right="-3"/>
              <w:jc w:val="left"/>
              <w:rPr>
                <w:rFonts w:ascii="Calibri"/>
                <w:sz w:val="12"/>
              </w:rPr>
            </w:pPr>
            <w:r>
              <w:rPr>
                <w:rFonts w:ascii="Calibri"/>
                <w:spacing w:val="-4"/>
                <w:w w:val="95"/>
                <w:sz w:val="12"/>
              </w:rPr>
              <w:t>1980, 1985,</w:t>
            </w:r>
          </w:p>
          <w:p>
            <w:pPr>
              <w:pStyle w:val="TableParagraph"/>
              <w:spacing w:before="21"/>
              <w:ind w:left="106" w:right="-3"/>
              <w:jc w:val="left"/>
              <w:rPr>
                <w:rFonts w:ascii="Calibri"/>
                <w:sz w:val="12"/>
              </w:rPr>
            </w:pPr>
            <w:r>
              <w:rPr>
                <w:rFonts w:ascii="Calibri"/>
                <w:spacing w:val="-4"/>
                <w:w w:val="95"/>
                <w:sz w:val="12"/>
              </w:rPr>
              <w:t>1993, 1998</w:t>
            </w:r>
          </w:p>
        </w:tc>
      </w:tr>
      <w:tr>
        <w:trPr>
          <w:trHeight w:val="294" w:hRule="exact"/>
        </w:trPr>
        <w:tc>
          <w:tcPr>
            <w:tcW w:w="1846" w:type="dxa"/>
            <w:tcBorders>
              <w:top w:val="single" w:sz="3" w:space="0" w:color="000000"/>
              <w:left w:val="single" w:sz="3" w:space="0" w:color="000000"/>
              <w:bottom w:val="single" w:sz="3" w:space="0" w:color="000000"/>
              <w:right w:val="single" w:sz="3" w:space="0" w:color="000000"/>
            </w:tcBorders>
          </w:tcPr>
          <w:p>
            <w:pPr>
              <w:pStyle w:val="TableParagraph"/>
              <w:spacing w:line="271" w:lineRule="auto"/>
              <w:ind w:left="15" w:right="48"/>
              <w:jc w:val="left"/>
              <w:rPr>
                <w:sz w:val="11"/>
              </w:rPr>
            </w:pPr>
            <w:r>
              <w:rPr>
                <w:w w:val="90"/>
                <w:sz w:val="11"/>
              </w:rPr>
              <w:t>fabricación y reparación de muebles y </w:t>
            </w:r>
            <w:r>
              <w:rPr>
                <w:sz w:val="11"/>
              </w:rPr>
              <w:t>accesorios</w:t>
            </w:r>
          </w:p>
        </w:tc>
        <w:tc>
          <w:tcPr>
            <w:tcW w:w="66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1975</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1975</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1975</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790"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1975</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1975</w:t>
            </w:r>
          </w:p>
        </w:tc>
      </w:tr>
      <w:tr>
        <w:trPr>
          <w:trHeight w:val="295" w:hRule="exact"/>
        </w:trPr>
        <w:tc>
          <w:tcPr>
            <w:tcW w:w="1846" w:type="dxa"/>
            <w:tcBorders>
              <w:top w:val="single" w:sz="3" w:space="0" w:color="000000"/>
              <w:left w:val="single" w:sz="3" w:space="0" w:color="000000"/>
              <w:bottom w:val="single" w:sz="3" w:space="0" w:color="000000"/>
              <w:right w:val="single" w:sz="3" w:space="0" w:color="000000"/>
            </w:tcBorders>
          </w:tcPr>
          <w:p>
            <w:pPr>
              <w:pStyle w:val="TableParagraph"/>
              <w:spacing w:line="271" w:lineRule="auto"/>
              <w:ind w:left="15"/>
              <w:jc w:val="left"/>
              <w:rPr>
                <w:sz w:val="11"/>
              </w:rPr>
            </w:pPr>
            <w:r>
              <w:rPr>
                <w:w w:val="90"/>
                <w:sz w:val="11"/>
              </w:rPr>
              <w:t>Fabricación de laminados Y aglutinados de madera</w:t>
            </w:r>
          </w:p>
        </w:tc>
        <w:tc>
          <w:tcPr>
            <w:tcW w:w="66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2008</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2008</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790"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r>
      <w:tr>
        <w:trPr>
          <w:trHeight w:val="294" w:hRule="exact"/>
        </w:trPr>
        <w:tc>
          <w:tcPr>
            <w:tcW w:w="1846" w:type="dxa"/>
            <w:tcBorders>
              <w:top w:val="single" w:sz="3" w:space="0" w:color="000000"/>
              <w:left w:val="single" w:sz="3" w:space="0" w:color="000000"/>
              <w:bottom w:val="single" w:sz="3" w:space="0" w:color="000000"/>
              <w:right w:val="single" w:sz="3" w:space="0" w:color="000000"/>
            </w:tcBorders>
          </w:tcPr>
          <w:p>
            <w:pPr>
              <w:pStyle w:val="TableParagraph"/>
              <w:spacing w:line="271" w:lineRule="auto"/>
              <w:ind w:left="15" w:right="306"/>
              <w:jc w:val="left"/>
              <w:rPr>
                <w:sz w:val="11"/>
              </w:rPr>
            </w:pPr>
            <w:r>
              <w:rPr>
                <w:w w:val="90"/>
                <w:sz w:val="11"/>
              </w:rPr>
              <w:t>Fabricación de otros productos de </w:t>
            </w:r>
            <w:r>
              <w:rPr>
                <w:sz w:val="11"/>
              </w:rPr>
              <w:t>madera</w:t>
            </w:r>
          </w:p>
        </w:tc>
        <w:tc>
          <w:tcPr>
            <w:tcW w:w="66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2008</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790"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2008</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2008</w:t>
            </w:r>
          </w:p>
        </w:tc>
      </w:tr>
      <w:tr>
        <w:trPr>
          <w:trHeight w:val="168" w:hRule="exact"/>
        </w:trPr>
        <w:tc>
          <w:tcPr>
            <w:tcW w:w="8167" w:type="dxa"/>
            <w:gridSpan w:val="11"/>
            <w:tcBorders>
              <w:top w:val="single" w:sz="3" w:space="0" w:color="000000"/>
              <w:left w:val="single" w:sz="3" w:space="0" w:color="000000"/>
              <w:bottom w:val="single" w:sz="3" w:space="0" w:color="000000"/>
              <w:right w:val="single" w:sz="3" w:space="0" w:color="000000"/>
            </w:tcBorders>
          </w:tcPr>
          <w:p>
            <w:pPr>
              <w:pStyle w:val="TableParagraph"/>
              <w:spacing w:before="23"/>
              <w:ind w:left="2514"/>
              <w:jc w:val="left"/>
              <w:rPr>
                <w:b/>
                <w:sz w:val="11"/>
              </w:rPr>
            </w:pPr>
            <w:r>
              <w:rPr>
                <w:b/>
                <w:w w:val="95"/>
                <w:sz w:val="11"/>
              </w:rPr>
              <w:t>Subsector 34 Papel y productos de papel, imprentas y editoriales</w:t>
            </w:r>
          </w:p>
        </w:tc>
      </w:tr>
      <w:tr>
        <w:trPr>
          <w:trHeight w:val="505" w:hRule="exact"/>
        </w:trPr>
        <w:tc>
          <w:tcPr>
            <w:tcW w:w="1846"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0"/>
              </w:rPr>
            </w:pPr>
          </w:p>
          <w:p>
            <w:pPr>
              <w:pStyle w:val="TableParagraph"/>
              <w:spacing w:line="271" w:lineRule="auto" w:before="86"/>
              <w:ind w:left="15" w:right="48"/>
              <w:jc w:val="left"/>
              <w:rPr>
                <w:sz w:val="11"/>
              </w:rPr>
            </w:pPr>
            <w:r>
              <w:rPr>
                <w:w w:val="90"/>
                <w:sz w:val="11"/>
              </w:rPr>
              <w:t>Imprentas editoriales y empresas </w:t>
            </w:r>
            <w:r>
              <w:rPr>
                <w:sz w:val="11"/>
              </w:rPr>
              <w:t>conexas</w:t>
            </w:r>
          </w:p>
        </w:tc>
        <w:tc>
          <w:tcPr>
            <w:tcW w:w="668" w:type="dxa"/>
            <w:tcBorders>
              <w:top w:val="single" w:sz="3" w:space="0" w:color="000000"/>
              <w:left w:val="single" w:sz="3" w:space="0" w:color="000000"/>
              <w:bottom w:val="single" w:sz="3" w:space="0" w:color="000000"/>
              <w:right w:val="single" w:sz="3" w:space="0" w:color="000000"/>
            </w:tcBorders>
          </w:tcPr>
          <w:p>
            <w:pPr>
              <w:pStyle w:val="TableParagraph"/>
              <w:spacing w:before="9"/>
              <w:jc w:val="left"/>
              <w:rPr>
                <w:rFonts w:ascii="Calibri"/>
                <w:b/>
                <w:sz w:val="14"/>
              </w:rPr>
            </w:pPr>
          </w:p>
          <w:p>
            <w:pPr>
              <w:pStyle w:val="TableParagraph"/>
              <w:ind w:left="15" w:right="-3"/>
              <w:jc w:val="left"/>
              <w:rPr>
                <w:rFonts w:ascii="Calibri"/>
                <w:sz w:val="12"/>
              </w:rPr>
            </w:pPr>
            <w:r>
              <w:rPr>
                <w:rFonts w:ascii="Calibri"/>
                <w:w w:val="95"/>
                <w:sz w:val="12"/>
              </w:rPr>
              <w:t>1985, 2003,</w:t>
            </w:r>
          </w:p>
          <w:p>
            <w:pPr>
              <w:pStyle w:val="TableParagraph"/>
              <w:spacing w:before="21"/>
              <w:ind w:left="15" w:right="-3"/>
              <w:jc w:val="left"/>
              <w:rPr>
                <w:rFonts w:ascii="Calibri"/>
                <w:sz w:val="12"/>
              </w:rPr>
            </w:pPr>
            <w:r>
              <w:rPr>
                <w:rFonts w:ascii="Calibri"/>
                <w:sz w:val="12"/>
              </w:rPr>
              <w:t>2008</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12"/>
              <w:ind w:left="15" w:right="-3"/>
              <w:jc w:val="left"/>
              <w:rPr>
                <w:rFonts w:ascii="Calibri"/>
                <w:sz w:val="12"/>
              </w:rPr>
            </w:pPr>
            <w:r>
              <w:rPr>
                <w:rFonts w:ascii="Calibri"/>
                <w:w w:val="95"/>
                <w:sz w:val="12"/>
              </w:rPr>
              <w:t>1980, 1988,</w:t>
            </w:r>
          </w:p>
          <w:p>
            <w:pPr>
              <w:pStyle w:val="TableParagraph"/>
              <w:spacing w:before="21"/>
              <w:ind w:left="15" w:right="-3"/>
              <w:jc w:val="left"/>
              <w:rPr>
                <w:rFonts w:ascii="Calibri"/>
                <w:sz w:val="12"/>
              </w:rPr>
            </w:pPr>
            <w:r>
              <w:rPr>
                <w:rFonts w:ascii="Calibri"/>
                <w:w w:val="95"/>
                <w:sz w:val="12"/>
              </w:rPr>
              <w:t>1998, 2003,</w:t>
            </w:r>
          </w:p>
          <w:p>
            <w:pPr>
              <w:pStyle w:val="TableParagraph"/>
              <w:spacing w:before="21"/>
              <w:ind w:left="15" w:right="-3"/>
              <w:jc w:val="left"/>
              <w:rPr>
                <w:rFonts w:ascii="Calibri"/>
                <w:sz w:val="12"/>
              </w:rPr>
            </w:pPr>
            <w:r>
              <w:rPr>
                <w:rFonts w:ascii="Calibri"/>
                <w:sz w:val="12"/>
              </w:rPr>
              <w:t>2008</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2"/>
              </w:rPr>
            </w:pPr>
          </w:p>
          <w:p>
            <w:pPr>
              <w:pStyle w:val="TableParagraph"/>
              <w:spacing w:before="6"/>
              <w:jc w:val="left"/>
              <w:rPr>
                <w:rFonts w:ascii="Calibri"/>
                <w:b/>
                <w:sz w:val="16"/>
              </w:rPr>
            </w:pPr>
          </w:p>
          <w:p>
            <w:pPr>
              <w:pStyle w:val="TableParagraph"/>
              <w:ind w:right="13"/>
              <w:rPr>
                <w:rFonts w:ascii="Calibri"/>
                <w:sz w:val="12"/>
              </w:rPr>
            </w:pPr>
            <w:r>
              <w:rPr>
                <w:rFonts w:ascii="Calibri"/>
                <w:w w:val="95"/>
                <w:sz w:val="12"/>
              </w:rPr>
              <w:t>1980</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9"/>
              <w:jc w:val="left"/>
              <w:rPr>
                <w:rFonts w:ascii="Calibri"/>
                <w:b/>
                <w:sz w:val="14"/>
              </w:rPr>
            </w:pPr>
          </w:p>
          <w:p>
            <w:pPr>
              <w:pStyle w:val="TableParagraph"/>
              <w:ind w:left="75" w:right="-3"/>
              <w:jc w:val="left"/>
              <w:rPr>
                <w:rFonts w:ascii="Calibri"/>
                <w:sz w:val="12"/>
              </w:rPr>
            </w:pPr>
            <w:r>
              <w:rPr>
                <w:rFonts w:ascii="Calibri"/>
                <w:spacing w:val="-4"/>
                <w:w w:val="95"/>
                <w:sz w:val="12"/>
              </w:rPr>
              <w:t>1998, 2003,</w:t>
            </w:r>
          </w:p>
          <w:p>
            <w:pPr>
              <w:pStyle w:val="TableParagraph"/>
              <w:spacing w:before="21"/>
              <w:ind w:left="372" w:right="-3"/>
              <w:jc w:val="left"/>
              <w:rPr>
                <w:rFonts w:ascii="Calibri"/>
                <w:sz w:val="12"/>
              </w:rPr>
            </w:pPr>
            <w:r>
              <w:rPr>
                <w:rFonts w:ascii="Calibri"/>
                <w:spacing w:val="-5"/>
                <w:w w:val="95"/>
                <w:sz w:val="12"/>
              </w:rPr>
              <w:t>2008</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2"/>
              </w:rPr>
            </w:pPr>
          </w:p>
          <w:p>
            <w:pPr>
              <w:pStyle w:val="TableParagraph"/>
              <w:spacing w:before="6"/>
              <w:jc w:val="left"/>
              <w:rPr>
                <w:rFonts w:ascii="Calibri"/>
                <w:b/>
                <w:sz w:val="16"/>
              </w:rPr>
            </w:pPr>
          </w:p>
          <w:p>
            <w:pPr>
              <w:pStyle w:val="TableParagraph"/>
              <w:ind w:right="13"/>
              <w:rPr>
                <w:rFonts w:ascii="Calibri"/>
                <w:sz w:val="12"/>
              </w:rPr>
            </w:pPr>
            <w:r>
              <w:rPr>
                <w:rFonts w:ascii="Calibri"/>
                <w:w w:val="95"/>
                <w:sz w:val="12"/>
              </w:rPr>
              <w:t>1980</w:t>
            </w:r>
          </w:p>
        </w:tc>
        <w:tc>
          <w:tcPr>
            <w:tcW w:w="790" w:type="dxa"/>
            <w:tcBorders>
              <w:top w:val="single" w:sz="3" w:space="0" w:color="000000"/>
              <w:left w:val="single" w:sz="3" w:space="0" w:color="000000"/>
              <w:bottom w:val="single" w:sz="3" w:space="0" w:color="000000"/>
              <w:right w:val="single" w:sz="3" w:space="0" w:color="000000"/>
            </w:tcBorders>
          </w:tcPr>
          <w:p>
            <w:pPr>
              <w:pStyle w:val="TableParagraph"/>
              <w:spacing w:before="9"/>
              <w:jc w:val="left"/>
              <w:rPr>
                <w:rFonts w:ascii="Calibri"/>
                <w:b/>
                <w:sz w:val="14"/>
              </w:rPr>
            </w:pPr>
          </w:p>
          <w:p>
            <w:pPr>
              <w:pStyle w:val="TableParagraph"/>
              <w:ind w:right="15"/>
              <w:rPr>
                <w:rFonts w:ascii="Calibri"/>
                <w:sz w:val="12"/>
              </w:rPr>
            </w:pPr>
            <w:r>
              <w:rPr>
                <w:rFonts w:ascii="Calibri"/>
                <w:w w:val="95"/>
                <w:sz w:val="12"/>
              </w:rPr>
              <w:t>1998, 2003,</w:t>
            </w:r>
          </w:p>
          <w:p>
            <w:pPr>
              <w:pStyle w:val="TableParagraph"/>
              <w:spacing w:before="21"/>
              <w:ind w:right="13"/>
              <w:rPr>
                <w:rFonts w:ascii="Calibri"/>
                <w:sz w:val="12"/>
              </w:rPr>
            </w:pPr>
            <w:r>
              <w:rPr>
                <w:rFonts w:ascii="Calibri"/>
                <w:w w:val="95"/>
                <w:sz w:val="12"/>
              </w:rPr>
              <w:t>2008</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12"/>
              <w:ind w:left="15" w:right="-3"/>
              <w:jc w:val="left"/>
              <w:rPr>
                <w:rFonts w:ascii="Calibri"/>
                <w:sz w:val="12"/>
              </w:rPr>
            </w:pPr>
            <w:r>
              <w:rPr>
                <w:rFonts w:ascii="Calibri"/>
                <w:w w:val="95"/>
                <w:sz w:val="12"/>
              </w:rPr>
              <w:t>1980, 1988,</w:t>
            </w:r>
          </w:p>
          <w:p>
            <w:pPr>
              <w:pStyle w:val="TableParagraph"/>
              <w:spacing w:before="21"/>
              <w:ind w:left="15" w:right="-3"/>
              <w:jc w:val="left"/>
              <w:rPr>
                <w:rFonts w:ascii="Calibri"/>
                <w:sz w:val="12"/>
              </w:rPr>
            </w:pPr>
            <w:r>
              <w:rPr>
                <w:rFonts w:ascii="Calibri"/>
                <w:w w:val="95"/>
                <w:sz w:val="12"/>
              </w:rPr>
              <w:t>1998, 2003,</w:t>
            </w:r>
          </w:p>
          <w:p>
            <w:pPr>
              <w:pStyle w:val="TableParagraph"/>
              <w:spacing w:before="21"/>
              <w:ind w:left="15" w:right="-3"/>
              <w:jc w:val="left"/>
              <w:rPr>
                <w:rFonts w:ascii="Calibri"/>
                <w:sz w:val="12"/>
              </w:rPr>
            </w:pPr>
            <w:r>
              <w:rPr>
                <w:rFonts w:ascii="Calibri"/>
                <w:sz w:val="12"/>
              </w:rPr>
              <w:t>2008</w:t>
            </w:r>
          </w:p>
        </w:tc>
      </w:tr>
      <w:tr>
        <w:trPr>
          <w:trHeight w:val="505" w:hRule="exact"/>
        </w:trPr>
        <w:tc>
          <w:tcPr>
            <w:tcW w:w="1846"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0"/>
              </w:rPr>
            </w:pPr>
          </w:p>
          <w:p>
            <w:pPr>
              <w:pStyle w:val="TableParagraph"/>
              <w:spacing w:line="271" w:lineRule="auto" w:before="86"/>
              <w:ind w:left="15" w:right="48"/>
              <w:jc w:val="left"/>
              <w:rPr>
                <w:sz w:val="11"/>
              </w:rPr>
            </w:pPr>
            <w:r>
              <w:rPr>
                <w:w w:val="90"/>
                <w:sz w:val="11"/>
              </w:rPr>
              <w:t>Manufactura de celulosa, papel y productos de papel</w:t>
            </w:r>
          </w:p>
        </w:tc>
        <w:tc>
          <w:tcPr>
            <w:tcW w:w="668" w:type="dxa"/>
            <w:tcBorders>
              <w:top w:val="single" w:sz="3" w:space="0" w:color="000000"/>
              <w:left w:val="single" w:sz="3" w:space="0" w:color="000000"/>
              <w:bottom w:val="single" w:sz="3" w:space="0" w:color="000000"/>
              <w:right w:val="single" w:sz="3" w:space="0" w:color="000000"/>
            </w:tcBorders>
          </w:tcPr>
          <w:p>
            <w:pPr>
              <w:pStyle w:val="TableParagraph"/>
              <w:spacing w:before="9"/>
              <w:jc w:val="left"/>
              <w:rPr>
                <w:rFonts w:ascii="Calibri"/>
                <w:b/>
                <w:sz w:val="14"/>
              </w:rPr>
            </w:pPr>
          </w:p>
          <w:p>
            <w:pPr>
              <w:pStyle w:val="TableParagraph"/>
              <w:ind w:left="15" w:right="-3"/>
              <w:jc w:val="left"/>
              <w:rPr>
                <w:rFonts w:ascii="Calibri"/>
                <w:sz w:val="12"/>
              </w:rPr>
            </w:pPr>
            <w:r>
              <w:rPr>
                <w:rFonts w:ascii="Calibri"/>
                <w:w w:val="95"/>
                <w:sz w:val="12"/>
              </w:rPr>
              <w:t>1988, 1993,</w:t>
            </w:r>
          </w:p>
          <w:p>
            <w:pPr>
              <w:pStyle w:val="TableParagraph"/>
              <w:spacing w:before="21"/>
              <w:ind w:left="15" w:right="-3"/>
              <w:jc w:val="left"/>
              <w:rPr>
                <w:rFonts w:ascii="Calibri"/>
                <w:sz w:val="12"/>
              </w:rPr>
            </w:pPr>
            <w:r>
              <w:rPr>
                <w:rFonts w:ascii="Calibri"/>
                <w:sz w:val="12"/>
              </w:rPr>
              <w:t>1998</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9"/>
              <w:jc w:val="left"/>
              <w:rPr>
                <w:rFonts w:ascii="Calibri"/>
                <w:b/>
                <w:sz w:val="14"/>
              </w:rPr>
            </w:pPr>
          </w:p>
          <w:p>
            <w:pPr>
              <w:pStyle w:val="TableParagraph"/>
              <w:ind w:left="15" w:right="-3"/>
              <w:jc w:val="left"/>
              <w:rPr>
                <w:rFonts w:ascii="Calibri"/>
                <w:sz w:val="12"/>
              </w:rPr>
            </w:pPr>
            <w:r>
              <w:rPr>
                <w:rFonts w:ascii="Calibri"/>
                <w:w w:val="95"/>
                <w:sz w:val="12"/>
              </w:rPr>
              <w:t>1988, 1993,</w:t>
            </w:r>
          </w:p>
          <w:p>
            <w:pPr>
              <w:pStyle w:val="TableParagraph"/>
              <w:spacing w:before="21"/>
              <w:ind w:left="15" w:right="-3"/>
              <w:jc w:val="left"/>
              <w:rPr>
                <w:rFonts w:ascii="Calibri"/>
                <w:sz w:val="12"/>
              </w:rPr>
            </w:pPr>
            <w:r>
              <w:rPr>
                <w:rFonts w:ascii="Calibri"/>
                <w:w w:val="95"/>
                <w:sz w:val="12"/>
              </w:rPr>
              <w:t>2003, 2008</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11"/>
              <w:ind w:left="15" w:right="-4"/>
              <w:jc w:val="left"/>
              <w:rPr>
                <w:rFonts w:ascii="Calibri"/>
                <w:sz w:val="12"/>
              </w:rPr>
            </w:pPr>
            <w:r>
              <w:rPr>
                <w:rFonts w:ascii="Calibri"/>
                <w:w w:val="95"/>
                <w:sz w:val="12"/>
              </w:rPr>
              <w:t>1988, 1993,</w:t>
            </w:r>
          </w:p>
          <w:p>
            <w:pPr>
              <w:pStyle w:val="TableParagraph"/>
              <w:spacing w:before="22"/>
              <w:ind w:left="15" w:right="-4"/>
              <w:jc w:val="left"/>
              <w:rPr>
                <w:rFonts w:ascii="Calibri"/>
                <w:sz w:val="12"/>
              </w:rPr>
            </w:pPr>
            <w:r>
              <w:rPr>
                <w:rFonts w:ascii="Calibri"/>
                <w:w w:val="95"/>
                <w:sz w:val="12"/>
              </w:rPr>
              <w:t>1998, 2003,</w:t>
            </w:r>
          </w:p>
          <w:p>
            <w:pPr>
              <w:pStyle w:val="TableParagraph"/>
              <w:spacing w:before="21"/>
              <w:ind w:left="15" w:right="-4"/>
              <w:jc w:val="left"/>
              <w:rPr>
                <w:rFonts w:ascii="Calibri"/>
                <w:sz w:val="12"/>
              </w:rPr>
            </w:pPr>
            <w:r>
              <w:rPr>
                <w:rFonts w:ascii="Calibri"/>
                <w:sz w:val="12"/>
              </w:rPr>
              <w:t>2008</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2"/>
              </w:rPr>
            </w:pPr>
          </w:p>
          <w:p>
            <w:pPr>
              <w:pStyle w:val="TableParagraph"/>
              <w:spacing w:before="6"/>
              <w:jc w:val="left"/>
              <w:rPr>
                <w:rFonts w:ascii="Calibri"/>
                <w:b/>
                <w:sz w:val="16"/>
              </w:rPr>
            </w:pPr>
          </w:p>
          <w:p>
            <w:pPr>
              <w:pStyle w:val="TableParagraph"/>
              <w:ind w:right="13"/>
              <w:rPr>
                <w:rFonts w:ascii="Calibri"/>
                <w:sz w:val="12"/>
              </w:rPr>
            </w:pPr>
            <w:r>
              <w:rPr>
                <w:rFonts w:ascii="Calibri"/>
                <w:w w:val="95"/>
                <w:sz w:val="12"/>
              </w:rPr>
              <w:t>1993</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11"/>
              <w:ind w:left="15" w:right="-3"/>
              <w:jc w:val="left"/>
              <w:rPr>
                <w:rFonts w:ascii="Calibri"/>
                <w:sz w:val="12"/>
              </w:rPr>
            </w:pPr>
            <w:r>
              <w:rPr>
                <w:rFonts w:ascii="Calibri"/>
                <w:w w:val="95"/>
                <w:sz w:val="12"/>
              </w:rPr>
              <w:t>1988, 1993,</w:t>
            </w:r>
          </w:p>
          <w:p>
            <w:pPr>
              <w:pStyle w:val="TableParagraph"/>
              <w:spacing w:before="22"/>
              <w:ind w:left="15" w:right="-3"/>
              <w:jc w:val="left"/>
              <w:rPr>
                <w:rFonts w:ascii="Calibri"/>
                <w:sz w:val="12"/>
              </w:rPr>
            </w:pPr>
            <w:r>
              <w:rPr>
                <w:rFonts w:ascii="Calibri"/>
                <w:w w:val="95"/>
                <w:sz w:val="12"/>
              </w:rPr>
              <w:t>1998, 2003,</w:t>
            </w:r>
          </w:p>
          <w:p>
            <w:pPr>
              <w:pStyle w:val="TableParagraph"/>
              <w:spacing w:before="21"/>
              <w:ind w:left="15" w:right="-3"/>
              <w:jc w:val="left"/>
              <w:rPr>
                <w:rFonts w:ascii="Calibri"/>
                <w:sz w:val="12"/>
              </w:rPr>
            </w:pPr>
            <w:r>
              <w:rPr>
                <w:rFonts w:ascii="Calibri"/>
                <w:sz w:val="12"/>
              </w:rPr>
              <w:t>2008</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790"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2"/>
              </w:rPr>
            </w:pPr>
          </w:p>
          <w:p>
            <w:pPr>
              <w:pStyle w:val="TableParagraph"/>
              <w:spacing w:before="6"/>
              <w:jc w:val="left"/>
              <w:rPr>
                <w:rFonts w:ascii="Calibri"/>
                <w:b/>
                <w:sz w:val="16"/>
              </w:rPr>
            </w:pPr>
          </w:p>
          <w:p>
            <w:pPr>
              <w:pStyle w:val="TableParagraph"/>
              <w:ind w:right="13"/>
              <w:rPr>
                <w:rFonts w:ascii="Calibri"/>
                <w:sz w:val="12"/>
              </w:rPr>
            </w:pPr>
            <w:r>
              <w:rPr>
                <w:rFonts w:ascii="Calibri"/>
                <w:w w:val="95"/>
                <w:sz w:val="12"/>
              </w:rPr>
              <w:t>1993</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2"/>
              </w:rPr>
            </w:pPr>
          </w:p>
          <w:p>
            <w:pPr>
              <w:pStyle w:val="TableParagraph"/>
              <w:spacing w:before="6"/>
              <w:jc w:val="left"/>
              <w:rPr>
                <w:rFonts w:ascii="Calibri"/>
                <w:b/>
                <w:sz w:val="16"/>
              </w:rPr>
            </w:pPr>
          </w:p>
          <w:p>
            <w:pPr>
              <w:pStyle w:val="TableParagraph"/>
              <w:ind w:right="13"/>
              <w:rPr>
                <w:rFonts w:ascii="Calibri"/>
                <w:sz w:val="12"/>
              </w:rPr>
            </w:pPr>
            <w:r>
              <w:rPr>
                <w:rFonts w:ascii="Calibri"/>
                <w:w w:val="95"/>
                <w:sz w:val="12"/>
              </w:rPr>
              <w:t>1993</w:t>
            </w:r>
          </w:p>
        </w:tc>
      </w:tr>
      <w:tr>
        <w:trPr>
          <w:trHeight w:val="294" w:hRule="exact"/>
        </w:trPr>
        <w:tc>
          <w:tcPr>
            <w:tcW w:w="1846" w:type="dxa"/>
            <w:tcBorders>
              <w:top w:val="single" w:sz="3" w:space="0" w:color="000000"/>
              <w:left w:val="single" w:sz="3" w:space="0" w:color="000000"/>
              <w:bottom w:val="single" w:sz="3" w:space="0" w:color="000000"/>
              <w:right w:val="single" w:sz="3" w:space="0" w:color="000000"/>
            </w:tcBorders>
          </w:tcPr>
          <w:p>
            <w:pPr>
              <w:pStyle w:val="TableParagraph"/>
              <w:spacing w:line="271" w:lineRule="auto"/>
              <w:ind w:left="15" w:right="48"/>
              <w:jc w:val="left"/>
              <w:rPr>
                <w:sz w:val="11"/>
              </w:rPr>
            </w:pPr>
            <w:r>
              <w:rPr>
                <w:w w:val="90"/>
                <w:sz w:val="11"/>
              </w:rPr>
              <w:t>Fabricación de productos de papel y </w:t>
            </w:r>
            <w:r>
              <w:rPr>
                <w:sz w:val="11"/>
              </w:rPr>
              <w:t>cartón</w:t>
            </w:r>
          </w:p>
        </w:tc>
        <w:tc>
          <w:tcPr>
            <w:tcW w:w="66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left="15" w:right="-3"/>
              <w:jc w:val="left"/>
              <w:rPr>
                <w:rFonts w:ascii="Calibri"/>
                <w:sz w:val="12"/>
              </w:rPr>
            </w:pPr>
            <w:r>
              <w:rPr>
                <w:rFonts w:ascii="Calibri"/>
                <w:w w:val="95"/>
                <w:sz w:val="12"/>
              </w:rPr>
              <w:t>2003, 2008</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2003</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13"/>
              <w:rPr>
                <w:rFonts w:ascii="Calibri"/>
                <w:sz w:val="12"/>
              </w:rPr>
            </w:pPr>
            <w:r>
              <w:rPr>
                <w:rFonts w:ascii="Calibri"/>
                <w:w w:val="95"/>
                <w:sz w:val="12"/>
              </w:rPr>
              <w:t>2003</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3"/>
              <w:jc w:val="left"/>
              <w:rPr>
                <w:rFonts w:ascii="Calibri"/>
                <w:b/>
                <w:sz w:val="11"/>
              </w:rPr>
            </w:pPr>
          </w:p>
          <w:p>
            <w:pPr>
              <w:pStyle w:val="TableParagraph"/>
              <w:ind w:right="99"/>
              <w:rPr>
                <w:rFonts w:ascii="Calibri"/>
                <w:sz w:val="12"/>
              </w:rPr>
            </w:pPr>
            <w:r>
              <w:rPr>
                <w:rFonts w:ascii="Calibri"/>
                <w:spacing w:val="-4"/>
                <w:w w:val="95"/>
                <w:sz w:val="12"/>
              </w:rPr>
              <w:t>2003, 2008</w:t>
            </w:r>
          </w:p>
        </w:tc>
        <w:tc>
          <w:tcPr>
            <w:tcW w:w="608" w:type="dxa"/>
            <w:tcBorders>
              <w:top w:val="single" w:sz="3" w:space="0" w:color="000000"/>
              <w:left w:val="single" w:sz="3" w:space="0" w:color="000000"/>
              <w:bottom w:val="single" w:sz="3" w:space="0" w:color="000000"/>
              <w:right w:val="single" w:sz="3" w:space="0" w:color="000000"/>
            </w:tcBorders>
          </w:tcPr>
          <w:p>
            <w:pPr/>
          </w:p>
        </w:tc>
        <w:tc>
          <w:tcPr>
            <w:tcW w:w="790"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r>
      <w:tr>
        <w:trPr>
          <w:trHeight w:val="168" w:hRule="exact"/>
        </w:trPr>
        <w:tc>
          <w:tcPr>
            <w:tcW w:w="8167" w:type="dxa"/>
            <w:gridSpan w:val="11"/>
            <w:tcBorders>
              <w:top w:val="single" w:sz="3" w:space="0" w:color="000000"/>
              <w:left w:val="single" w:sz="3" w:space="0" w:color="000000"/>
              <w:bottom w:val="single" w:sz="3" w:space="0" w:color="000000"/>
              <w:right w:val="single" w:sz="3" w:space="0" w:color="000000"/>
            </w:tcBorders>
          </w:tcPr>
          <w:p>
            <w:pPr>
              <w:pStyle w:val="TableParagraph"/>
              <w:spacing w:before="22"/>
              <w:ind w:left="3065" w:right="3061"/>
              <w:jc w:val="center"/>
              <w:rPr>
                <w:b/>
                <w:sz w:val="11"/>
              </w:rPr>
            </w:pPr>
            <w:r>
              <w:rPr>
                <w:b/>
                <w:w w:val="90"/>
                <w:sz w:val="11"/>
              </w:rPr>
              <w:t>Subsector 37 Industrias metálicas básicas</w:t>
            </w:r>
          </w:p>
        </w:tc>
      </w:tr>
      <w:tr>
        <w:trPr>
          <w:trHeight w:val="580" w:hRule="exact"/>
        </w:trPr>
        <w:tc>
          <w:tcPr>
            <w:tcW w:w="1846"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0"/>
              </w:rPr>
            </w:pPr>
          </w:p>
          <w:p>
            <w:pPr>
              <w:pStyle w:val="TableParagraph"/>
              <w:jc w:val="left"/>
              <w:rPr>
                <w:rFonts w:ascii="Calibri"/>
                <w:b/>
                <w:sz w:val="10"/>
              </w:rPr>
            </w:pPr>
          </w:p>
          <w:p>
            <w:pPr>
              <w:pStyle w:val="TableParagraph"/>
              <w:spacing w:before="11"/>
              <w:jc w:val="left"/>
              <w:rPr>
                <w:rFonts w:ascii="Calibri"/>
                <w:b/>
                <w:sz w:val="14"/>
              </w:rPr>
            </w:pPr>
          </w:p>
          <w:p>
            <w:pPr>
              <w:pStyle w:val="TableParagraph"/>
              <w:spacing w:before="1"/>
              <w:ind w:left="15"/>
              <w:jc w:val="left"/>
              <w:rPr>
                <w:sz w:val="11"/>
              </w:rPr>
            </w:pPr>
            <w:r>
              <w:rPr>
                <w:w w:val="95"/>
                <w:sz w:val="11"/>
              </w:rPr>
              <w:t>Industria básica del hierro y del acero</w:t>
            </w:r>
          </w:p>
        </w:tc>
        <w:tc>
          <w:tcPr>
            <w:tcW w:w="668" w:type="dxa"/>
            <w:tcBorders>
              <w:top w:val="single" w:sz="3" w:space="0" w:color="000000"/>
              <w:left w:val="single" w:sz="3" w:space="0" w:color="000000"/>
              <w:bottom w:val="single" w:sz="3" w:space="0" w:color="000000"/>
              <w:right w:val="single" w:sz="3" w:space="0" w:color="000000"/>
            </w:tcBorders>
          </w:tcPr>
          <w:p>
            <w:pPr>
              <w:pStyle w:val="TableParagraph"/>
              <w:spacing w:line="131" w:lineRule="exact"/>
              <w:ind w:left="151" w:right="-10"/>
              <w:jc w:val="left"/>
              <w:rPr>
                <w:rFonts w:ascii="Calibri"/>
                <w:sz w:val="11"/>
              </w:rPr>
            </w:pPr>
            <w:r>
              <w:rPr>
                <w:rFonts w:ascii="Calibri"/>
                <w:w w:val="95"/>
                <w:sz w:val="11"/>
              </w:rPr>
              <w:t>1970, 1975,</w:t>
            </w:r>
          </w:p>
          <w:p>
            <w:pPr>
              <w:pStyle w:val="TableParagraph"/>
              <w:spacing w:before="8"/>
              <w:ind w:left="151" w:right="-10"/>
              <w:jc w:val="left"/>
              <w:rPr>
                <w:rFonts w:ascii="Calibri"/>
                <w:sz w:val="11"/>
              </w:rPr>
            </w:pPr>
            <w:r>
              <w:rPr>
                <w:rFonts w:ascii="Calibri"/>
                <w:w w:val="95"/>
                <w:sz w:val="11"/>
              </w:rPr>
              <w:t>1980, 1985,</w:t>
            </w:r>
          </w:p>
          <w:p>
            <w:pPr>
              <w:pStyle w:val="TableParagraph"/>
              <w:spacing w:before="8"/>
              <w:ind w:left="151" w:right="-10"/>
              <w:jc w:val="left"/>
              <w:rPr>
                <w:rFonts w:ascii="Calibri"/>
                <w:sz w:val="11"/>
              </w:rPr>
            </w:pPr>
            <w:r>
              <w:rPr>
                <w:rFonts w:ascii="Calibri"/>
                <w:w w:val="95"/>
                <w:sz w:val="11"/>
              </w:rPr>
              <w:t>1988, 1993,</w:t>
            </w:r>
          </w:p>
          <w:p>
            <w:pPr>
              <w:pStyle w:val="TableParagraph"/>
              <w:spacing w:before="9"/>
              <w:ind w:left="432" w:right="-3"/>
              <w:jc w:val="left"/>
              <w:rPr>
                <w:rFonts w:ascii="Calibri"/>
                <w:sz w:val="11"/>
              </w:rPr>
            </w:pPr>
            <w:r>
              <w:rPr>
                <w:rFonts w:ascii="Calibri"/>
                <w:w w:val="90"/>
                <w:sz w:val="11"/>
              </w:rPr>
              <w:t>2003</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4"/>
              <w:jc w:val="left"/>
              <w:rPr>
                <w:rFonts w:ascii="Calibri"/>
                <w:b/>
                <w:sz w:val="11"/>
              </w:rPr>
            </w:pPr>
          </w:p>
          <w:p>
            <w:pPr>
              <w:pStyle w:val="TableParagraph"/>
              <w:spacing w:before="1"/>
              <w:ind w:left="91" w:right="-11"/>
              <w:jc w:val="left"/>
              <w:rPr>
                <w:rFonts w:ascii="Calibri"/>
                <w:sz w:val="11"/>
              </w:rPr>
            </w:pPr>
            <w:r>
              <w:rPr>
                <w:rFonts w:ascii="Calibri"/>
                <w:w w:val="95"/>
                <w:sz w:val="11"/>
              </w:rPr>
              <w:t>1970, 1975,</w:t>
            </w:r>
          </w:p>
          <w:p>
            <w:pPr>
              <w:pStyle w:val="TableParagraph"/>
              <w:spacing w:before="8"/>
              <w:ind w:left="91" w:right="-11"/>
              <w:jc w:val="left"/>
              <w:rPr>
                <w:rFonts w:ascii="Calibri"/>
                <w:sz w:val="11"/>
              </w:rPr>
            </w:pPr>
            <w:r>
              <w:rPr>
                <w:rFonts w:ascii="Calibri"/>
                <w:w w:val="95"/>
                <w:sz w:val="11"/>
              </w:rPr>
              <w:t>1980, 1988,</w:t>
            </w:r>
          </w:p>
          <w:p>
            <w:pPr>
              <w:pStyle w:val="TableParagraph"/>
              <w:spacing w:before="9"/>
              <w:ind w:left="372" w:right="-4"/>
              <w:jc w:val="left"/>
              <w:rPr>
                <w:rFonts w:ascii="Calibri"/>
                <w:sz w:val="11"/>
              </w:rPr>
            </w:pPr>
            <w:r>
              <w:rPr>
                <w:rFonts w:ascii="Calibri"/>
                <w:w w:val="90"/>
                <w:sz w:val="11"/>
              </w:rPr>
              <w:t>1993</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4"/>
              <w:jc w:val="left"/>
              <w:rPr>
                <w:rFonts w:ascii="Calibri"/>
                <w:b/>
                <w:sz w:val="11"/>
              </w:rPr>
            </w:pPr>
          </w:p>
          <w:p>
            <w:pPr>
              <w:pStyle w:val="TableParagraph"/>
              <w:spacing w:before="1"/>
              <w:ind w:left="349" w:right="-7"/>
              <w:jc w:val="left"/>
              <w:rPr>
                <w:rFonts w:ascii="Calibri"/>
                <w:sz w:val="11"/>
              </w:rPr>
            </w:pPr>
            <w:r>
              <w:rPr>
                <w:rFonts w:ascii="Calibri"/>
                <w:w w:val="95"/>
                <w:sz w:val="11"/>
              </w:rPr>
              <w:t>1970,</w:t>
            </w:r>
          </w:p>
          <w:p>
            <w:pPr>
              <w:pStyle w:val="TableParagraph"/>
              <w:spacing w:before="8"/>
              <w:ind w:left="113" w:right="-9"/>
              <w:jc w:val="left"/>
              <w:rPr>
                <w:rFonts w:ascii="Calibri"/>
                <w:sz w:val="11"/>
              </w:rPr>
            </w:pPr>
            <w:r>
              <w:rPr>
                <w:rFonts w:ascii="Calibri"/>
                <w:w w:val="95"/>
                <w:sz w:val="11"/>
              </w:rPr>
              <w:t>1975,1980,</w:t>
            </w:r>
          </w:p>
          <w:p>
            <w:pPr>
              <w:pStyle w:val="TableParagraph"/>
              <w:spacing w:before="9"/>
              <w:ind w:left="113" w:right="-7"/>
              <w:jc w:val="left"/>
              <w:rPr>
                <w:rFonts w:ascii="Calibri"/>
                <w:sz w:val="11"/>
              </w:rPr>
            </w:pPr>
            <w:r>
              <w:rPr>
                <w:rFonts w:ascii="Calibri"/>
                <w:w w:val="95"/>
                <w:sz w:val="11"/>
              </w:rPr>
              <w:t>1988, 1993</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0"/>
              </w:rPr>
            </w:pPr>
          </w:p>
          <w:p>
            <w:pPr>
              <w:pStyle w:val="TableParagraph"/>
              <w:jc w:val="left"/>
              <w:rPr>
                <w:rFonts w:ascii="Calibri"/>
                <w:b/>
                <w:sz w:val="10"/>
              </w:rPr>
            </w:pPr>
          </w:p>
          <w:p>
            <w:pPr>
              <w:pStyle w:val="TableParagraph"/>
              <w:spacing w:before="10"/>
              <w:jc w:val="left"/>
              <w:rPr>
                <w:rFonts w:ascii="Calibri"/>
                <w:b/>
                <w:sz w:val="14"/>
              </w:rPr>
            </w:pPr>
          </w:p>
          <w:p>
            <w:pPr>
              <w:pStyle w:val="TableParagraph"/>
              <w:ind w:right="17"/>
              <w:rPr>
                <w:rFonts w:ascii="Calibri"/>
                <w:sz w:val="11"/>
              </w:rPr>
            </w:pPr>
            <w:r>
              <w:rPr>
                <w:rFonts w:ascii="Calibri"/>
                <w:w w:val="95"/>
                <w:sz w:val="11"/>
              </w:rPr>
              <w:t>1975, 1993</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790"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r>
      <w:tr>
        <w:trPr>
          <w:trHeight w:val="294" w:hRule="exact"/>
        </w:trPr>
        <w:tc>
          <w:tcPr>
            <w:tcW w:w="1846" w:type="dxa"/>
            <w:tcBorders>
              <w:top w:val="single" w:sz="3" w:space="0" w:color="000000"/>
              <w:left w:val="single" w:sz="3" w:space="0" w:color="000000"/>
              <w:bottom w:val="single" w:sz="3" w:space="0" w:color="000000"/>
              <w:right w:val="single" w:sz="3" w:space="0" w:color="000000"/>
            </w:tcBorders>
          </w:tcPr>
          <w:p>
            <w:pPr>
              <w:pStyle w:val="TableParagraph"/>
              <w:spacing w:before="6"/>
              <w:jc w:val="left"/>
              <w:rPr>
                <w:rFonts w:ascii="Calibri"/>
                <w:b/>
                <w:sz w:val="11"/>
              </w:rPr>
            </w:pPr>
          </w:p>
          <w:p>
            <w:pPr>
              <w:pStyle w:val="TableParagraph"/>
              <w:ind w:left="15" w:right="48"/>
              <w:jc w:val="left"/>
              <w:rPr>
                <w:sz w:val="11"/>
              </w:rPr>
            </w:pPr>
            <w:r>
              <w:rPr>
                <w:w w:val="90"/>
                <w:sz w:val="11"/>
              </w:rPr>
              <w:t>Industria básica de metales no ferrosos</w:t>
            </w:r>
          </w:p>
        </w:tc>
        <w:tc>
          <w:tcPr>
            <w:tcW w:w="668" w:type="dxa"/>
            <w:tcBorders>
              <w:top w:val="single" w:sz="3" w:space="0" w:color="000000"/>
              <w:left w:val="single" w:sz="3" w:space="0" w:color="000000"/>
              <w:bottom w:val="single" w:sz="3" w:space="0" w:color="000000"/>
              <w:right w:val="single" w:sz="3" w:space="0" w:color="000000"/>
            </w:tcBorders>
          </w:tcPr>
          <w:p>
            <w:pPr>
              <w:pStyle w:val="TableParagraph"/>
              <w:spacing w:line="130" w:lineRule="exact"/>
              <w:ind w:left="151" w:right="-10"/>
              <w:jc w:val="left"/>
              <w:rPr>
                <w:rFonts w:ascii="Calibri"/>
                <w:sz w:val="11"/>
              </w:rPr>
            </w:pPr>
            <w:r>
              <w:rPr>
                <w:rFonts w:ascii="Calibri"/>
                <w:w w:val="95"/>
                <w:sz w:val="11"/>
              </w:rPr>
              <w:t>1985, 1988,</w:t>
            </w:r>
          </w:p>
          <w:p>
            <w:pPr>
              <w:pStyle w:val="TableParagraph"/>
              <w:spacing w:before="8"/>
              <w:ind w:left="432" w:right="-3"/>
              <w:jc w:val="left"/>
              <w:rPr>
                <w:rFonts w:ascii="Calibri"/>
                <w:sz w:val="11"/>
              </w:rPr>
            </w:pPr>
            <w:r>
              <w:rPr>
                <w:rFonts w:ascii="Calibri"/>
                <w:w w:val="90"/>
                <w:sz w:val="11"/>
              </w:rPr>
              <w:t>2003</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4"/>
              <w:jc w:val="left"/>
              <w:rPr>
                <w:rFonts w:ascii="Calibri"/>
                <w:b/>
                <w:sz w:val="11"/>
              </w:rPr>
            </w:pPr>
          </w:p>
          <w:p>
            <w:pPr>
              <w:pStyle w:val="TableParagraph"/>
              <w:ind w:right="13"/>
              <w:rPr>
                <w:rFonts w:ascii="Calibri"/>
                <w:sz w:val="11"/>
              </w:rPr>
            </w:pPr>
            <w:r>
              <w:rPr>
                <w:rFonts w:ascii="Calibri"/>
                <w:w w:val="90"/>
                <w:sz w:val="11"/>
              </w:rPr>
              <w:t>1988</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line="130" w:lineRule="exact"/>
              <w:ind w:left="91" w:right="-11"/>
              <w:jc w:val="left"/>
              <w:rPr>
                <w:rFonts w:ascii="Calibri"/>
                <w:sz w:val="11"/>
              </w:rPr>
            </w:pPr>
            <w:r>
              <w:rPr>
                <w:rFonts w:ascii="Calibri"/>
                <w:w w:val="95"/>
                <w:sz w:val="11"/>
              </w:rPr>
              <w:t>1980, 1985,</w:t>
            </w:r>
          </w:p>
          <w:p>
            <w:pPr>
              <w:pStyle w:val="TableParagraph"/>
              <w:spacing w:before="8"/>
              <w:ind w:left="113" w:right="-7"/>
              <w:jc w:val="left"/>
              <w:rPr>
                <w:rFonts w:ascii="Calibri"/>
                <w:sz w:val="11"/>
              </w:rPr>
            </w:pPr>
            <w:r>
              <w:rPr>
                <w:rFonts w:ascii="Calibri"/>
                <w:w w:val="95"/>
                <w:sz w:val="11"/>
              </w:rPr>
              <w:t>1988, 1993</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4"/>
              <w:jc w:val="left"/>
              <w:rPr>
                <w:rFonts w:ascii="Calibri"/>
                <w:b/>
                <w:sz w:val="11"/>
              </w:rPr>
            </w:pPr>
          </w:p>
          <w:p>
            <w:pPr>
              <w:pStyle w:val="TableParagraph"/>
              <w:ind w:right="17"/>
              <w:rPr>
                <w:rFonts w:ascii="Calibri"/>
                <w:sz w:val="11"/>
              </w:rPr>
            </w:pPr>
            <w:r>
              <w:rPr>
                <w:rFonts w:ascii="Calibri"/>
                <w:w w:val="95"/>
                <w:sz w:val="11"/>
              </w:rPr>
              <w:t>1988, 1993</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790"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r>
      <w:tr>
        <w:trPr>
          <w:trHeight w:val="294" w:hRule="exact"/>
        </w:trPr>
        <w:tc>
          <w:tcPr>
            <w:tcW w:w="1846" w:type="dxa"/>
            <w:tcBorders>
              <w:top w:val="single" w:sz="3" w:space="0" w:color="000000"/>
              <w:left w:val="single" w:sz="3" w:space="0" w:color="000000"/>
              <w:bottom w:val="single" w:sz="3" w:space="0" w:color="000000"/>
              <w:right w:val="single" w:sz="3" w:space="0" w:color="000000"/>
            </w:tcBorders>
          </w:tcPr>
          <w:p>
            <w:pPr>
              <w:pStyle w:val="TableParagraph"/>
              <w:spacing w:line="271" w:lineRule="auto"/>
              <w:ind w:left="15" w:right="48"/>
              <w:jc w:val="left"/>
              <w:rPr>
                <w:sz w:val="11"/>
              </w:rPr>
            </w:pPr>
            <w:r>
              <w:rPr>
                <w:w w:val="90"/>
                <w:sz w:val="11"/>
              </w:rPr>
              <w:t>Fabricación de productos de hierro y acero de material comprado</w:t>
            </w:r>
          </w:p>
        </w:tc>
        <w:tc>
          <w:tcPr>
            <w:tcW w:w="668" w:type="dxa"/>
            <w:tcBorders>
              <w:top w:val="single" w:sz="3" w:space="0" w:color="000000"/>
              <w:left w:val="single" w:sz="3" w:space="0" w:color="000000"/>
              <w:bottom w:val="single" w:sz="3" w:space="0" w:color="000000"/>
              <w:right w:val="single" w:sz="3" w:space="0" w:color="000000"/>
            </w:tcBorders>
          </w:tcPr>
          <w:p>
            <w:pPr>
              <w:pStyle w:val="TableParagraph"/>
              <w:spacing w:before="4"/>
              <w:jc w:val="left"/>
              <w:rPr>
                <w:rFonts w:ascii="Calibri"/>
                <w:b/>
                <w:sz w:val="11"/>
              </w:rPr>
            </w:pPr>
          </w:p>
          <w:p>
            <w:pPr>
              <w:pStyle w:val="TableParagraph"/>
              <w:spacing w:before="1"/>
              <w:ind w:right="13"/>
              <w:rPr>
                <w:rFonts w:ascii="Calibri"/>
                <w:sz w:val="11"/>
              </w:rPr>
            </w:pPr>
            <w:r>
              <w:rPr>
                <w:rFonts w:ascii="Calibri"/>
                <w:w w:val="90"/>
                <w:sz w:val="11"/>
              </w:rPr>
              <w:t>2003</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4"/>
              <w:jc w:val="left"/>
              <w:rPr>
                <w:rFonts w:ascii="Calibri"/>
                <w:b/>
                <w:sz w:val="11"/>
              </w:rPr>
            </w:pPr>
          </w:p>
          <w:p>
            <w:pPr>
              <w:pStyle w:val="TableParagraph"/>
              <w:spacing w:before="1"/>
              <w:ind w:right="13"/>
              <w:rPr>
                <w:rFonts w:ascii="Calibri"/>
                <w:sz w:val="11"/>
              </w:rPr>
            </w:pPr>
            <w:r>
              <w:rPr>
                <w:rFonts w:ascii="Calibri"/>
                <w:w w:val="90"/>
                <w:sz w:val="11"/>
              </w:rPr>
              <w:t>2003</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4"/>
              <w:jc w:val="left"/>
              <w:rPr>
                <w:rFonts w:ascii="Calibri"/>
                <w:b/>
                <w:sz w:val="11"/>
              </w:rPr>
            </w:pPr>
          </w:p>
          <w:p>
            <w:pPr>
              <w:pStyle w:val="TableParagraph"/>
              <w:spacing w:before="1"/>
              <w:ind w:right="13"/>
              <w:rPr>
                <w:rFonts w:ascii="Calibri"/>
                <w:sz w:val="11"/>
              </w:rPr>
            </w:pPr>
            <w:r>
              <w:rPr>
                <w:rFonts w:ascii="Calibri"/>
                <w:w w:val="90"/>
                <w:sz w:val="11"/>
              </w:rPr>
              <w:t>2003</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4"/>
              <w:jc w:val="left"/>
              <w:rPr>
                <w:rFonts w:ascii="Calibri"/>
                <w:b/>
                <w:sz w:val="11"/>
              </w:rPr>
            </w:pPr>
          </w:p>
          <w:p>
            <w:pPr>
              <w:pStyle w:val="TableParagraph"/>
              <w:spacing w:before="1"/>
              <w:ind w:right="13"/>
              <w:rPr>
                <w:rFonts w:ascii="Calibri"/>
                <w:sz w:val="11"/>
              </w:rPr>
            </w:pPr>
            <w:r>
              <w:rPr>
                <w:rFonts w:ascii="Calibri"/>
                <w:w w:val="90"/>
                <w:sz w:val="11"/>
              </w:rPr>
              <w:t>2003</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4"/>
              <w:jc w:val="left"/>
              <w:rPr>
                <w:rFonts w:ascii="Calibri"/>
                <w:b/>
                <w:sz w:val="11"/>
              </w:rPr>
            </w:pPr>
          </w:p>
          <w:p>
            <w:pPr>
              <w:pStyle w:val="TableParagraph"/>
              <w:spacing w:before="1"/>
              <w:ind w:right="13"/>
              <w:rPr>
                <w:rFonts w:ascii="Calibri"/>
                <w:sz w:val="11"/>
              </w:rPr>
            </w:pPr>
            <w:r>
              <w:rPr>
                <w:rFonts w:ascii="Calibri"/>
                <w:w w:val="90"/>
                <w:sz w:val="11"/>
              </w:rPr>
              <w:t>2003</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790"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r>
      <w:tr>
        <w:trPr>
          <w:trHeight w:val="168" w:hRule="exact"/>
        </w:trPr>
        <w:tc>
          <w:tcPr>
            <w:tcW w:w="1846" w:type="dxa"/>
            <w:tcBorders>
              <w:top w:val="single" w:sz="3" w:space="0" w:color="000000"/>
              <w:left w:val="single" w:sz="3" w:space="0" w:color="000000"/>
              <w:bottom w:val="single" w:sz="3" w:space="0" w:color="000000"/>
              <w:right w:val="single" w:sz="3" w:space="0" w:color="000000"/>
            </w:tcBorders>
          </w:tcPr>
          <w:p>
            <w:pPr>
              <w:pStyle w:val="TableParagraph"/>
              <w:spacing w:before="14"/>
              <w:ind w:left="15" w:right="48"/>
              <w:jc w:val="left"/>
              <w:rPr>
                <w:sz w:val="11"/>
              </w:rPr>
            </w:pPr>
            <w:r>
              <w:rPr>
                <w:w w:val="90"/>
                <w:sz w:val="11"/>
              </w:rPr>
              <w:t>Industria del aluminio</w:t>
            </w:r>
          </w:p>
        </w:tc>
        <w:tc>
          <w:tcPr>
            <w:tcW w:w="668" w:type="dxa"/>
            <w:tcBorders>
              <w:top w:val="single" w:sz="3" w:space="0" w:color="000000"/>
              <w:left w:val="single" w:sz="3" w:space="0" w:color="000000"/>
              <w:bottom w:val="single" w:sz="3" w:space="0" w:color="000000"/>
              <w:right w:val="single" w:sz="3" w:space="0" w:color="000000"/>
            </w:tcBorders>
          </w:tcPr>
          <w:p>
            <w:pPr>
              <w:pStyle w:val="TableParagraph"/>
              <w:spacing w:before="13"/>
              <w:ind w:right="13"/>
              <w:rPr>
                <w:rFonts w:ascii="Calibri"/>
                <w:sz w:val="11"/>
              </w:rPr>
            </w:pPr>
            <w:r>
              <w:rPr>
                <w:rFonts w:ascii="Calibri"/>
                <w:w w:val="90"/>
                <w:sz w:val="11"/>
              </w:rPr>
              <w:t>2003</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13"/>
              <w:ind w:right="13"/>
              <w:rPr>
                <w:rFonts w:ascii="Calibri"/>
                <w:sz w:val="11"/>
              </w:rPr>
            </w:pPr>
            <w:r>
              <w:rPr>
                <w:rFonts w:ascii="Calibri"/>
                <w:w w:val="90"/>
                <w:sz w:val="11"/>
              </w:rPr>
              <w:t>2003</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13"/>
              <w:ind w:right="13"/>
              <w:rPr>
                <w:rFonts w:ascii="Calibri"/>
                <w:sz w:val="11"/>
              </w:rPr>
            </w:pPr>
            <w:r>
              <w:rPr>
                <w:rFonts w:ascii="Calibri"/>
                <w:w w:val="90"/>
                <w:sz w:val="11"/>
              </w:rPr>
              <w:t>2003</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c>
          <w:tcPr>
            <w:tcW w:w="790"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
        </w:tc>
      </w:tr>
      <w:tr>
        <w:trPr>
          <w:trHeight w:val="168" w:hRule="exact"/>
        </w:trPr>
        <w:tc>
          <w:tcPr>
            <w:tcW w:w="8167" w:type="dxa"/>
            <w:gridSpan w:val="11"/>
            <w:tcBorders>
              <w:top w:val="single" w:sz="3" w:space="0" w:color="000000"/>
              <w:left w:val="single" w:sz="3" w:space="0" w:color="000000"/>
              <w:bottom w:val="single" w:sz="3" w:space="0" w:color="000000"/>
              <w:right w:val="nil"/>
            </w:tcBorders>
          </w:tcPr>
          <w:p>
            <w:pPr>
              <w:pStyle w:val="TableParagraph"/>
              <w:spacing w:before="23"/>
              <w:ind w:left="2972" w:right="2972"/>
              <w:jc w:val="center"/>
              <w:rPr>
                <w:b/>
                <w:sz w:val="11"/>
              </w:rPr>
            </w:pPr>
            <w:r>
              <w:rPr>
                <w:b/>
                <w:w w:val="90"/>
                <w:sz w:val="11"/>
              </w:rPr>
              <w:t>Subsector 39 Otras industrias manufactureras</w:t>
            </w:r>
          </w:p>
        </w:tc>
      </w:tr>
      <w:tr>
        <w:trPr>
          <w:trHeight w:val="673" w:hRule="exact"/>
        </w:trPr>
        <w:tc>
          <w:tcPr>
            <w:tcW w:w="1846"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0"/>
              </w:rPr>
            </w:pPr>
          </w:p>
          <w:p>
            <w:pPr>
              <w:pStyle w:val="TableParagraph"/>
              <w:jc w:val="left"/>
              <w:rPr>
                <w:rFonts w:ascii="Calibri"/>
                <w:b/>
                <w:sz w:val="10"/>
              </w:rPr>
            </w:pPr>
          </w:p>
          <w:p>
            <w:pPr>
              <w:pStyle w:val="TableParagraph"/>
              <w:jc w:val="left"/>
              <w:rPr>
                <w:rFonts w:ascii="Calibri"/>
                <w:b/>
                <w:sz w:val="10"/>
              </w:rPr>
            </w:pPr>
          </w:p>
          <w:p>
            <w:pPr>
              <w:pStyle w:val="TableParagraph"/>
              <w:spacing w:before="6"/>
              <w:jc w:val="left"/>
              <w:rPr>
                <w:rFonts w:ascii="Calibri"/>
                <w:b/>
                <w:sz w:val="12"/>
              </w:rPr>
            </w:pPr>
          </w:p>
          <w:p>
            <w:pPr>
              <w:pStyle w:val="TableParagraph"/>
              <w:ind w:left="15" w:right="48"/>
              <w:jc w:val="left"/>
              <w:rPr>
                <w:sz w:val="11"/>
              </w:rPr>
            </w:pPr>
            <w:r>
              <w:rPr>
                <w:w w:val="90"/>
                <w:sz w:val="11"/>
              </w:rPr>
              <w:t>Otras industrias manufactureras</w:t>
            </w:r>
          </w:p>
        </w:tc>
        <w:tc>
          <w:tcPr>
            <w:tcW w:w="668"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2"/>
              </w:rPr>
            </w:pPr>
          </w:p>
          <w:p>
            <w:pPr>
              <w:pStyle w:val="TableParagraph"/>
              <w:spacing w:before="6"/>
              <w:jc w:val="left"/>
              <w:rPr>
                <w:rFonts w:ascii="Calibri"/>
                <w:b/>
                <w:sz w:val="16"/>
              </w:rPr>
            </w:pPr>
          </w:p>
          <w:p>
            <w:pPr>
              <w:pStyle w:val="TableParagraph"/>
              <w:ind w:left="136" w:right="-3"/>
              <w:jc w:val="left"/>
              <w:rPr>
                <w:rFonts w:ascii="Calibri"/>
                <w:sz w:val="12"/>
              </w:rPr>
            </w:pPr>
            <w:r>
              <w:rPr>
                <w:rFonts w:ascii="Calibri"/>
                <w:spacing w:val="-4"/>
                <w:w w:val="95"/>
                <w:sz w:val="12"/>
              </w:rPr>
              <w:t>1980, 1993,</w:t>
            </w:r>
          </w:p>
          <w:p>
            <w:pPr>
              <w:pStyle w:val="TableParagraph"/>
              <w:spacing w:before="21"/>
              <w:ind w:left="432" w:right="-3"/>
              <w:jc w:val="left"/>
              <w:rPr>
                <w:rFonts w:ascii="Calibri"/>
                <w:sz w:val="12"/>
              </w:rPr>
            </w:pPr>
            <w:r>
              <w:rPr>
                <w:rFonts w:ascii="Calibri"/>
                <w:spacing w:val="-5"/>
                <w:w w:val="95"/>
                <w:sz w:val="12"/>
              </w:rPr>
              <w:t>1998</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spacing w:before="12"/>
              <w:ind w:left="76" w:right="-3"/>
              <w:jc w:val="left"/>
              <w:rPr>
                <w:rFonts w:ascii="Calibri"/>
                <w:sz w:val="12"/>
              </w:rPr>
            </w:pPr>
            <w:r>
              <w:rPr>
                <w:rFonts w:ascii="Calibri"/>
                <w:spacing w:val="-4"/>
                <w:w w:val="95"/>
                <w:sz w:val="12"/>
              </w:rPr>
              <w:t>1970, 1975,</w:t>
            </w:r>
          </w:p>
          <w:p>
            <w:pPr>
              <w:pStyle w:val="TableParagraph"/>
              <w:spacing w:before="21"/>
              <w:ind w:left="76" w:right="-3"/>
              <w:jc w:val="left"/>
              <w:rPr>
                <w:rFonts w:ascii="Calibri"/>
                <w:sz w:val="12"/>
              </w:rPr>
            </w:pPr>
            <w:r>
              <w:rPr>
                <w:rFonts w:ascii="Calibri"/>
                <w:spacing w:val="-4"/>
                <w:w w:val="95"/>
                <w:sz w:val="12"/>
              </w:rPr>
              <w:t>1980, 1993,</w:t>
            </w:r>
          </w:p>
          <w:p>
            <w:pPr>
              <w:pStyle w:val="TableParagraph"/>
              <w:spacing w:before="21"/>
              <w:ind w:left="76" w:right="-3"/>
              <w:jc w:val="left"/>
              <w:rPr>
                <w:rFonts w:ascii="Calibri"/>
                <w:sz w:val="12"/>
              </w:rPr>
            </w:pPr>
            <w:r>
              <w:rPr>
                <w:rFonts w:ascii="Calibri"/>
                <w:spacing w:val="-4"/>
                <w:w w:val="95"/>
                <w:sz w:val="12"/>
              </w:rPr>
              <w:t>1998, 2003,</w:t>
            </w:r>
          </w:p>
          <w:p>
            <w:pPr>
              <w:pStyle w:val="TableParagraph"/>
              <w:spacing w:before="21"/>
              <w:ind w:left="372" w:right="-3"/>
              <w:jc w:val="left"/>
              <w:rPr>
                <w:rFonts w:ascii="Calibri"/>
                <w:sz w:val="12"/>
              </w:rPr>
            </w:pPr>
            <w:r>
              <w:rPr>
                <w:rFonts w:ascii="Calibri"/>
                <w:spacing w:val="-5"/>
                <w:w w:val="95"/>
                <w:sz w:val="12"/>
              </w:rPr>
              <w:t>2008</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2"/>
              </w:rPr>
            </w:pPr>
          </w:p>
          <w:p>
            <w:pPr>
              <w:pStyle w:val="TableParagraph"/>
              <w:spacing w:before="6"/>
              <w:jc w:val="left"/>
              <w:rPr>
                <w:rFonts w:ascii="Calibri"/>
                <w:b/>
                <w:sz w:val="16"/>
              </w:rPr>
            </w:pPr>
          </w:p>
          <w:p>
            <w:pPr>
              <w:pStyle w:val="TableParagraph"/>
              <w:ind w:left="75" w:right="-3"/>
              <w:jc w:val="left"/>
              <w:rPr>
                <w:rFonts w:ascii="Calibri"/>
                <w:sz w:val="12"/>
              </w:rPr>
            </w:pPr>
            <w:r>
              <w:rPr>
                <w:rFonts w:ascii="Calibri"/>
                <w:spacing w:val="-4"/>
                <w:w w:val="95"/>
                <w:sz w:val="12"/>
              </w:rPr>
              <w:t>1975, 1993,</w:t>
            </w:r>
          </w:p>
          <w:p>
            <w:pPr>
              <w:pStyle w:val="TableParagraph"/>
              <w:spacing w:before="21"/>
              <w:ind w:left="106" w:right="-3"/>
              <w:jc w:val="left"/>
              <w:rPr>
                <w:rFonts w:ascii="Calibri"/>
                <w:sz w:val="12"/>
              </w:rPr>
            </w:pPr>
            <w:r>
              <w:rPr>
                <w:rFonts w:ascii="Calibri"/>
                <w:spacing w:val="-4"/>
                <w:w w:val="95"/>
                <w:sz w:val="12"/>
              </w:rPr>
              <w:t>1998, 2003</w:t>
            </w:r>
          </w:p>
        </w:tc>
        <w:tc>
          <w:tcPr>
            <w:tcW w:w="608" w:type="dxa"/>
            <w:tcBorders>
              <w:top w:val="single" w:sz="3" w:space="0" w:color="000000"/>
              <w:left w:val="single" w:sz="3" w:space="0" w:color="000000"/>
              <w:bottom w:val="single" w:sz="3" w:space="0" w:color="000000"/>
              <w:right w:val="single" w:sz="3" w:space="0" w:color="000000"/>
            </w:tcBorders>
          </w:tcPr>
          <w:p>
            <w:pPr/>
          </w:p>
        </w:tc>
        <w:tc>
          <w:tcPr>
            <w:tcW w:w="608"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2"/>
              </w:rPr>
            </w:pPr>
          </w:p>
          <w:p>
            <w:pPr>
              <w:pStyle w:val="TableParagraph"/>
              <w:jc w:val="left"/>
              <w:rPr>
                <w:rFonts w:ascii="Calibri"/>
                <w:b/>
                <w:sz w:val="12"/>
              </w:rPr>
            </w:pPr>
          </w:p>
          <w:p>
            <w:pPr>
              <w:pStyle w:val="TableParagraph"/>
              <w:jc w:val="left"/>
              <w:rPr>
                <w:rFonts w:ascii="Calibri"/>
                <w:b/>
                <w:sz w:val="12"/>
              </w:rPr>
            </w:pPr>
          </w:p>
          <w:p>
            <w:pPr>
              <w:pStyle w:val="TableParagraph"/>
              <w:spacing w:before="77"/>
              <w:ind w:right="8"/>
              <w:rPr>
                <w:rFonts w:ascii="Calibri"/>
                <w:sz w:val="12"/>
              </w:rPr>
            </w:pPr>
            <w:r>
              <w:rPr>
                <w:rFonts w:ascii="Calibri"/>
                <w:w w:val="95"/>
                <w:sz w:val="12"/>
              </w:rPr>
              <w:t>1970, 2003</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2"/>
              </w:rPr>
            </w:pPr>
          </w:p>
          <w:p>
            <w:pPr>
              <w:pStyle w:val="TableParagraph"/>
              <w:spacing w:before="6"/>
              <w:jc w:val="left"/>
              <w:rPr>
                <w:rFonts w:ascii="Calibri"/>
                <w:b/>
                <w:sz w:val="16"/>
              </w:rPr>
            </w:pPr>
          </w:p>
          <w:p>
            <w:pPr>
              <w:pStyle w:val="TableParagraph"/>
              <w:ind w:left="76" w:right="-3"/>
              <w:jc w:val="left"/>
              <w:rPr>
                <w:rFonts w:ascii="Calibri"/>
                <w:sz w:val="12"/>
              </w:rPr>
            </w:pPr>
            <w:r>
              <w:rPr>
                <w:rFonts w:ascii="Calibri"/>
                <w:spacing w:val="-4"/>
                <w:w w:val="95"/>
                <w:sz w:val="12"/>
              </w:rPr>
              <w:t>1970, 1975,</w:t>
            </w:r>
          </w:p>
          <w:p>
            <w:pPr>
              <w:pStyle w:val="TableParagraph"/>
              <w:spacing w:before="21"/>
              <w:ind w:left="372" w:right="-3"/>
              <w:jc w:val="left"/>
              <w:rPr>
                <w:rFonts w:ascii="Calibri"/>
                <w:sz w:val="12"/>
              </w:rPr>
            </w:pPr>
            <w:r>
              <w:rPr>
                <w:rFonts w:ascii="Calibri"/>
                <w:spacing w:val="-5"/>
                <w:w w:val="95"/>
                <w:sz w:val="12"/>
              </w:rPr>
              <w:t>2003</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2"/>
              </w:rPr>
            </w:pPr>
          </w:p>
          <w:p>
            <w:pPr>
              <w:pStyle w:val="TableParagraph"/>
              <w:jc w:val="left"/>
              <w:rPr>
                <w:rFonts w:ascii="Calibri"/>
                <w:b/>
                <w:sz w:val="12"/>
              </w:rPr>
            </w:pPr>
          </w:p>
          <w:p>
            <w:pPr>
              <w:pStyle w:val="TableParagraph"/>
              <w:jc w:val="left"/>
              <w:rPr>
                <w:rFonts w:ascii="Calibri"/>
                <w:b/>
                <w:sz w:val="12"/>
              </w:rPr>
            </w:pPr>
          </w:p>
          <w:p>
            <w:pPr>
              <w:pStyle w:val="TableParagraph"/>
              <w:spacing w:before="77"/>
              <w:ind w:right="13"/>
              <w:rPr>
                <w:rFonts w:ascii="Calibri"/>
                <w:sz w:val="12"/>
              </w:rPr>
            </w:pPr>
            <w:r>
              <w:rPr>
                <w:rFonts w:ascii="Calibri"/>
                <w:w w:val="95"/>
                <w:sz w:val="12"/>
              </w:rPr>
              <w:t>1970</w:t>
            </w:r>
          </w:p>
        </w:tc>
        <w:tc>
          <w:tcPr>
            <w:tcW w:w="608" w:type="dxa"/>
            <w:tcBorders>
              <w:top w:val="single" w:sz="3" w:space="0" w:color="000000"/>
              <w:left w:val="single" w:sz="3" w:space="0" w:color="000000"/>
              <w:bottom w:val="single" w:sz="3" w:space="0" w:color="000000"/>
              <w:right w:val="single" w:sz="3" w:space="0" w:color="000000"/>
            </w:tcBorders>
          </w:tcPr>
          <w:p>
            <w:pPr/>
          </w:p>
        </w:tc>
        <w:tc>
          <w:tcPr>
            <w:tcW w:w="790"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2"/>
              </w:rPr>
            </w:pPr>
          </w:p>
          <w:p>
            <w:pPr>
              <w:pStyle w:val="TableParagraph"/>
              <w:jc w:val="left"/>
              <w:rPr>
                <w:rFonts w:ascii="Calibri"/>
                <w:b/>
                <w:sz w:val="12"/>
              </w:rPr>
            </w:pPr>
          </w:p>
          <w:p>
            <w:pPr>
              <w:pStyle w:val="TableParagraph"/>
              <w:jc w:val="left"/>
              <w:rPr>
                <w:rFonts w:ascii="Calibri"/>
                <w:b/>
                <w:sz w:val="12"/>
              </w:rPr>
            </w:pPr>
          </w:p>
          <w:p>
            <w:pPr>
              <w:pStyle w:val="TableParagraph"/>
              <w:spacing w:before="77"/>
              <w:ind w:right="8"/>
              <w:rPr>
                <w:rFonts w:ascii="Calibri"/>
                <w:sz w:val="12"/>
              </w:rPr>
            </w:pPr>
            <w:r>
              <w:rPr>
                <w:rFonts w:ascii="Calibri"/>
                <w:w w:val="95"/>
                <w:sz w:val="12"/>
              </w:rPr>
              <w:t>1993, 2003</w:t>
            </w:r>
          </w:p>
        </w:tc>
        <w:tc>
          <w:tcPr>
            <w:tcW w:w="608" w:type="dxa"/>
            <w:tcBorders>
              <w:top w:val="single" w:sz="3" w:space="0" w:color="000000"/>
              <w:left w:val="single" w:sz="3" w:space="0" w:color="000000"/>
              <w:bottom w:val="single" w:sz="3" w:space="0" w:color="000000"/>
              <w:right w:val="single" w:sz="3" w:space="0" w:color="000000"/>
            </w:tcBorders>
          </w:tcPr>
          <w:p>
            <w:pPr>
              <w:pStyle w:val="TableParagraph"/>
              <w:jc w:val="left"/>
              <w:rPr>
                <w:rFonts w:ascii="Calibri"/>
                <w:b/>
                <w:sz w:val="12"/>
              </w:rPr>
            </w:pPr>
          </w:p>
          <w:p>
            <w:pPr>
              <w:pStyle w:val="TableParagraph"/>
              <w:jc w:val="left"/>
              <w:rPr>
                <w:rFonts w:ascii="Calibri"/>
                <w:b/>
                <w:sz w:val="12"/>
              </w:rPr>
            </w:pPr>
          </w:p>
          <w:p>
            <w:pPr>
              <w:pStyle w:val="TableParagraph"/>
              <w:jc w:val="left"/>
              <w:rPr>
                <w:rFonts w:ascii="Calibri"/>
                <w:b/>
                <w:sz w:val="12"/>
              </w:rPr>
            </w:pPr>
          </w:p>
          <w:p>
            <w:pPr>
              <w:pStyle w:val="TableParagraph"/>
              <w:spacing w:before="77"/>
              <w:ind w:right="8"/>
              <w:rPr>
                <w:rFonts w:ascii="Calibri"/>
                <w:sz w:val="12"/>
              </w:rPr>
            </w:pPr>
            <w:r>
              <w:rPr>
                <w:rFonts w:ascii="Calibri"/>
                <w:w w:val="95"/>
                <w:sz w:val="12"/>
              </w:rPr>
              <w:t>1980, 1993</w:t>
            </w:r>
          </w:p>
        </w:tc>
      </w:tr>
    </w:tbl>
    <w:p>
      <w:pPr>
        <w:pStyle w:val="BodyText"/>
        <w:spacing w:before="8"/>
        <w:rPr>
          <w:rFonts w:ascii="Calibri"/>
          <w:b/>
          <w:sz w:val="9"/>
        </w:rPr>
      </w:pPr>
    </w:p>
    <w:p>
      <w:pPr>
        <w:spacing w:before="0"/>
        <w:ind w:left="832" w:right="0" w:firstLine="0"/>
        <w:jc w:val="left"/>
        <w:rPr>
          <w:rFonts w:ascii="Arial" w:hAnsi="Arial"/>
          <w:sz w:val="8"/>
        </w:rPr>
      </w:pPr>
      <w:r>
        <w:rPr>
          <w:rFonts w:ascii="Arial" w:hAnsi="Arial"/>
          <w:sz w:val="8"/>
        </w:rPr>
        <w:t>Fuente: Elaboración propia con base en los datos del INEGI. </w:t>
      </w:r>
      <w:r>
        <w:rPr>
          <w:rFonts w:ascii="Arial" w:hAnsi="Arial"/>
          <w:i/>
          <w:sz w:val="8"/>
        </w:rPr>
        <w:t>Censos industriales y económicos </w:t>
      </w:r>
      <w:r>
        <w:rPr>
          <w:rFonts w:ascii="Arial" w:hAnsi="Arial"/>
          <w:sz w:val="8"/>
        </w:rPr>
        <w:t>. 1971, 1976, 1981, 1986, 1989, 1994, 1999, 2004 y 2009.</w:t>
      </w:r>
    </w:p>
    <w:p>
      <w:pPr>
        <w:pStyle w:val="BodyText"/>
        <w:rPr>
          <w:rFonts w:ascii="Arial"/>
          <w:sz w:val="8"/>
        </w:rPr>
      </w:pPr>
    </w:p>
    <w:p>
      <w:pPr>
        <w:pStyle w:val="BodyText"/>
        <w:spacing w:before="10"/>
        <w:rPr>
          <w:rFonts w:ascii="Arial"/>
          <w:sz w:val="7"/>
        </w:rPr>
      </w:pPr>
    </w:p>
    <w:p>
      <w:pPr>
        <w:pStyle w:val="BodyText"/>
        <w:spacing w:line="360" w:lineRule="auto"/>
        <w:ind w:left="102" w:right="157" w:firstLine="707"/>
        <w:jc w:val="both"/>
      </w:pPr>
      <w:r>
        <w:rPr/>
        <w:t>Durante 1980, 1988, 1993, 1998, 2003 y 2008, la región Valle de México se especializó en el subsector 34 Papel y productos de papel, imprentas y editoriales, sobresaliendo los municipios de Naucalpan y Atizapán de Zaragoza en la rama de  Imprentas editoriales y empresas conexas y en la manufactura de celulosa, papel y productos de papel, Naucalpan, Ecatepec y La</w:t>
      </w:r>
      <w:r>
        <w:rPr>
          <w:spacing w:val="-12"/>
        </w:rPr>
        <w:t> </w:t>
      </w:r>
      <w:r>
        <w:rPr/>
        <w:t>Paz.</w:t>
      </w:r>
    </w:p>
    <w:p>
      <w:pPr>
        <w:pStyle w:val="BodyText"/>
        <w:spacing w:line="360" w:lineRule="auto" w:before="4"/>
        <w:ind w:left="102" w:right="161" w:firstLine="707"/>
        <w:jc w:val="both"/>
      </w:pPr>
      <w:r>
        <w:rPr/>
        <w:t>En la especialización del subsector 39, destacan los municipios de Naucalpan de 1970 a 2008 y Cuautitlán Izcalli, en 1975, 1993, 1998 y 2003.</w:t>
      </w:r>
    </w:p>
    <w:p>
      <w:pPr>
        <w:spacing w:after="0" w:line="360" w:lineRule="auto"/>
        <w:jc w:val="both"/>
        <w:sectPr>
          <w:pgSz w:w="12240" w:h="15840"/>
          <w:pgMar w:header="0" w:footer="1003" w:top="1360" w:bottom="1200" w:left="1600" w:right="1540"/>
        </w:sectPr>
      </w:pPr>
    </w:p>
    <w:p>
      <w:pPr>
        <w:pStyle w:val="BodyText"/>
        <w:spacing w:line="360" w:lineRule="auto" w:before="50"/>
        <w:ind w:left="122" w:right="120" w:firstLine="707"/>
        <w:jc w:val="right"/>
      </w:pPr>
      <w:r>
        <w:rPr/>
        <w:t>Es importante mencionar la especialización del subsector 39 Otras industrias manufactureras, la cual se ha mantenido desde 1970 a 2008, exceptuando por 1985, destacan los municipios de Naucalpan, La Paz, Cuautitlán Izcalli, Tlalnepantla, Ecatepec y Tultitlán, tal como se puede apreciar en los mapas del 1 al 9 que se presentan en el anexo 1.</w:t>
      </w:r>
    </w:p>
    <w:p>
      <w:pPr>
        <w:pStyle w:val="BodyText"/>
        <w:spacing w:line="360" w:lineRule="auto" w:before="4"/>
        <w:ind w:left="122" w:right="123" w:firstLine="707"/>
        <w:jc w:val="both"/>
      </w:pPr>
      <w:r>
        <w:rPr/>
        <w:t>Cabe mencionar que en esta región se pierde la especialización tradicional en cuanto a VA porque en 1970 se especializaba en 6 subsectores (33, 35, 36, 37, 38 y 39) para</w:t>
      </w:r>
    </w:p>
    <w:p>
      <w:pPr>
        <w:pStyle w:val="BodyText"/>
        <w:spacing w:line="360" w:lineRule="auto" w:before="4"/>
        <w:ind w:left="122" w:right="120"/>
        <w:jc w:val="both"/>
      </w:pPr>
      <w:r>
        <w:rPr/>
        <w:t>mantenerse en 5 en 2008 (32, 33, 34 36, 39) apreciándose que sólo se mantiene la especialización en los subsectores 33, 36 y 39. Esto se debe a que en los subsectores en los cuales se especializaba la región destinan su producción principalmente al mercado doméstico, el cual se ha mantenido estancado en los últimos decenios, dada la crisis de  1982 y posteriormente la de</w:t>
      </w:r>
      <w:r>
        <w:rPr>
          <w:spacing w:val="-5"/>
        </w:rPr>
        <w:t> </w:t>
      </w:r>
      <w:r>
        <w:rPr/>
        <w:t>1995.</w:t>
      </w:r>
    </w:p>
    <w:p>
      <w:pPr>
        <w:pStyle w:val="BodyText"/>
        <w:spacing w:line="350" w:lineRule="auto" w:before="6"/>
        <w:ind w:left="122" w:right="116" w:firstLine="707"/>
        <w:jc w:val="both"/>
      </w:pPr>
      <w:r>
        <w:rPr/>
        <w:t>Esta evidencia muestra que las dos regiones se especializan en subsectores con diferente potencial productivo y nivel tecnológico distinto</w:t>
      </w:r>
      <w:r>
        <w:rPr>
          <w:position w:val="11"/>
          <w:sz w:val="16"/>
        </w:rPr>
        <w:t>70</w:t>
      </w:r>
      <w:r>
        <w:rPr/>
        <w:t>. En la región Toluca-Lerma la especialización se da en el subsector 31 (1970-2008); en el subsector 38 (1970-2008) y en  el  subsector  35 (1970,  1985, 1988, 1998, 2003  y 2008). Si  consideramos  la   </w:t>
      </w:r>
      <w:r>
        <w:rPr>
          <w:spacing w:val="14"/>
        </w:rPr>
        <w:t> </w:t>
      </w:r>
      <w:r>
        <w:rPr/>
        <w:t>taxonomía</w:t>
      </w:r>
    </w:p>
    <w:p>
      <w:pPr>
        <w:pStyle w:val="BodyText"/>
        <w:spacing w:line="360" w:lineRule="auto" w:before="17"/>
        <w:ind w:left="122" w:right="118"/>
        <w:jc w:val="both"/>
      </w:pPr>
      <w:r>
        <w:rPr/>
        <w:t>propuesta por Pavitt (1984) la cual describe y explica los modelos sectoriales de cambio tecnológico, tenemos que el subsector 31 se clasifica dentro de las empresas dominadas por el proveedor, controladas por grandes conglomerados privados nacionales, que se destinan principalmente al consumo interno, con la característica de que este subsector presenta una alta resistencia a las recesiones debido a que su producción se destina principalmente al consumo interno (Mejía y Rendón, 2011).</w:t>
      </w:r>
    </w:p>
    <w:p>
      <w:pPr>
        <w:pStyle w:val="BodyText"/>
        <w:spacing w:line="350" w:lineRule="auto" w:before="6"/>
        <w:ind w:left="122" w:right="118" w:firstLine="707"/>
        <w:jc w:val="both"/>
      </w:pPr>
      <w:r>
        <w:rPr/>
        <w:t>Con respecto a la taxonomía antes mencionada tenemos que el subsector 38 se clasifica como intensivo en escala, conformado por industrias productoras de bienes tecnológicamente maduros y también en oferentes especializados. La especialización se ha dado principalmente en las ramas de la industria automotriz</w:t>
      </w:r>
      <w:r>
        <w:rPr>
          <w:position w:val="11"/>
          <w:sz w:val="16"/>
        </w:rPr>
        <w:t>71</w:t>
      </w:r>
      <w:r>
        <w:rPr>
          <w:i/>
        </w:rPr>
        <w:t>, </w:t>
      </w:r>
      <w:r>
        <w:rPr/>
        <w:t>las cuales se caracterizan por</w:t>
      </w:r>
    </w:p>
    <w:p>
      <w:pPr>
        <w:pStyle w:val="BodyText"/>
        <w:spacing w:before="8"/>
        <w:rPr>
          <w:sz w:val="17"/>
        </w:rPr>
      </w:pPr>
      <w:r>
        <w:rPr/>
        <w:pict>
          <v:line style="position:absolute;mso-position-horizontal-relative:page;mso-position-vertical-relative:paragraph;z-index:2944;mso-wrap-distance-left:0;mso-wrap-distance-right:0" from="85.103996pt,12.510965pt" to="229.123996pt,12.510965pt" stroked="true" strokeweight=".72003pt" strokecolor="#000000">
            <w10:wrap type="topAndBottom"/>
          </v:line>
        </w:pict>
      </w:r>
    </w:p>
    <w:p>
      <w:pPr>
        <w:spacing w:before="42"/>
        <w:ind w:left="122" w:right="117" w:firstLine="0"/>
        <w:jc w:val="both"/>
        <w:rPr>
          <w:sz w:val="20"/>
        </w:rPr>
      </w:pPr>
      <w:r>
        <w:rPr>
          <w:position w:val="9"/>
          <w:sz w:val="13"/>
        </w:rPr>
        <w:t>70 </w:t>
      </w:r>
      <w:r>
        <w:rPr>
          <w:sz w:val="20"/>
        </w:rPr>
        <w:t>El estudio de Rózga y Ruíz (2008) muestra que la industria manufacturera del Estado de México se especializa en cuatro subsectores, 35 Sustancias químicas, 32 Textiles, prendas de vestir e industria del cuero,</w:t>
      </w:r>
    </w:p>
    <w:p>
      <w:pPr>
        <w:spacing w:before="0"/>
        <w:ind w:left="122" w:right="121" w:firstLine="0"/>
        <w:jc w:val="both"/>
        <w:rPr>
          <w:sz w:val="20"/>
        </w:rPr>
      </w:pPr>
      <w:r>
        <w:rPr>
          <w:sz w:val="20"/>
        </w:rPr>
        <w:t>37 Industrias metálicas básicas y 34 Papel, productos de papel, imprentas y ediciones. Cercanos a la especialización está el 31 Productos alimenticios bebidas y tabaco y el 38 Productos metálicos, maquinaria y equipo, durante el periodo de 1996 a 2004, lo cual difiere con los datos obtenidos en esta investigación sólo por el subsector 32.</w:t>
      </w:r>
    </w:p>
    <w:p>
      <w:pPr>
        <w:spacing w:line="230" w:lineRule="exact" w:before="3"/>
        <w:ind w:left="122" w:right="121" w:firstLine="0"/>
        <w:jc w:val="both"/>
        <w:rPr>
          <w:sz w:val="20"/>
        </w:rPr>
      </w:pPr>
      <w:r>
        <w:rPr>
          <w:position w:val="9"/>
          <w:sz w:val="13"/>
        </w:rPr>
        <w:t>71 </w:t>
      </w:r>
      <w:r>
        <w:rPr>
          <w:sz w:val="20"/>
        </w:rPr>
        <w:t>A partir de los años sesenta se presentó la tendencia a diversificar la estructura industrial estatal mexiquense que se encontraba poco diversificada, lo cual se logró con el establecimiento de la industria automotriz en la región Toluca-Lerma, caracterizada por la presencia de empresas trasnacionales de innovación continua en  sus procesos productivos y que mantiene hasta la fecha relaciones comerciales a nivel internacional. Se</w:t>
      </w:r>
      <w:r>
        <w:rPr>
          <w:spacing w:val="18"/>
          <w:sz w:val="20"/>
        </w:rPr>
        <w:t> </w:t>
      </w:r>
      <w:r>
        <w:rPr>
          <w:sz w:val="20"/>
        </w:rPr>
        <w:t>puede</w:t>
      </w:r>
    </w:p>
    <w:p>
      <w:pPr>
        <w:spacing w:after="0" w:line="230" w:lineRule="exact"/>
        <w:jc w:val="both"/>
        <w:rPr>
          <w:sz w:val="20"/>
        </w:rPr>
        <w:sectPr>
          <w:pgSz w:w="12240" w:h="15840"/>
          <w:pgMar w:header="0" w:footer="1003" w:top="1360" w:bottom="1200" w:left="1580" w:right="1580"/>
        </w:sectPr>
      </w:pPr>
    </w:p>
    <w:p>
      <w:pPr>
        <w:pStyle w:val="BodyText"/>
        <w:spacing w:line="360" w:lineRule="auto" w:before="50"/>
        <w:ind w:left="122" w:right="118"/>
        <w:jc w:val="both"/>
      </w:pPr>
      <w:r>
        <w:rPr/>
        <w:t>la constante actividad de innovación que determina un alto dinamismo tecnológico en este subsector. Al respecto, Unger (2010), menciona que las principales exportaciones manufactureras son: la industria automotriz, equipo de cómputo, equipo eléctrico y productos químicos, que son sectores controlados por empresas transnacionales principalmente. En cuanto al subsector 35, según la clasificación propuesta, se considera que son actividades basadas en la ciencia, son bienes modernos con alto dinamismo tecnológico.</w:t>
      </w:r>
    </w:p>
    <w:p>
      <w:pPr>
        <w:pStyle w:val="BodyText"/>
        <w:spacing w:line="360" w:lineRule="auto" w:before="6"/>
        <w:ind w:left="122" w:right="120" w:firstLine="707"/>
        <w:jc w:val="both"/>
      </w:pPr>
      <w:r>
        <w:rPr/>
        <w:t>Por su parte la especialización en la región Valle de México se presenta en el subsector 33 Industria de la madera y productos de madera. Incluye muebles; subsector 34 Papel y productos de papel, imprentas y editoriales y subsector 37 Industrias metálicas básicas (1970 a 2003 a excepción de 1998), y en el subsector 39 Otras industrias manufactureras (1975 a 2008), exceptuando por 1985 (ver cuadro 3.8). Al respecto, la clasificación de Pavitt (1984), sugiere que los subsectores 33 y 34 se clasifican como dominados por el proveedor, aquí comprenden las actividades tradicionales y con base en los recursos naturales, son empresas pequeñas que no generan innovación, y el subsector 37 se clasifica en intensivo en escala, ya explicado anteriormente.</w:t>
      </w:r>
    </w:p>
    <w:p>
      <w:pPr>
        <w:pStyle w:val="BodyText"/>
        <w:spacing w:line="360" w:lineRule="auto" w:before="4"/>
        <w:ind w:left="122" w:right="116" w:firstLine="707"/>
        <w:jc w:val="both"/>
      </w:pPr>
      <w:r>
        <w:rPr/>
        <w:t>En resumen tenemos que en la región Toluca-Lerma la especialización productiva está concentrada en sólo tres subsectores; el 31, 38 y 35, de los cuales el 38 y 35 se caracterizan por un alto dinamismo tecnológico; y el 31 por ser de actividades tradicionales que abastecen al mercado interno. En cambio en la región Valle de México la especialización es más diversificada, sobresaliendo el subsector 37, el cual está sujeto a las fluctuaciones externas de la economía.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r>
        <w:rPr/>
        <w:pict>
          <v:line style="position:absolute;mso-position-horizontal-relative:page;mso-position-vertical-relative:paragraph;z-index:2968;mso-wrap-distance-left:0;mso-wrap-distance-right:0" from="85.103996pt,17.420506pt" to="527.163996pt,17.420506pt" stroked="true" strokeweight=".72003pt" strokecolor="#000000">
            <w10:wrap type="topAndBottom"/>
          </v:line>
        </w:pict>
      </w:r>
    </w:p>
    <w:p>
      <w:pPr>
        <w:spacing w:before="67"/>
        <w:ind w:left="122" w:right="123" w:firstLine="0"/>
        <w:jc w:val="both"/>
        <w:rPr>
          <w:sz w:val="20"/>
        </w:rPr>
      </w:pPr>
      <w:r>
        <w:rPr>
          <w:sz w:val="20"/>
        </w:rPr>
        <w:t>decir entonces, que la región Toluca-Lerma es más dinámica al especializarse en este subsector con ramas altamente exportadoras. En la región Toluca-Lerma se instalaron las empresas automotrices: Nissan en 1961, General Motors en 1962 y Chrysler en 1968; todas estas mantienen operaciones en los parques industriales de Toluca (Bueno, 2008).</w:t>
      </w:r>
    </w:p>
    <w:p>
      <w:pPr>
        <w:spacing w:after="0"/>
        <w:jc w:val="both"/>
        <w:rPr>
          <w:sz w:val="20"/>
        </w:rPr>
        <w:sectPr>
          <w:pgSz w:w="12240" w:h="15840"/>
          <w:pgMar w:header="0" w:footer="1003" w:top="1360" w:bottom="1200" w:left="1580" w:right="1580"/>
        </w:sectPr>
      </w:pPr>
    </w:p>
    <w:p>
      <w:pPr>
        <w:spacing w:before="57"/>
        <w:ind w:left="868" w:right="6673" w:firstLine="0"/>
        <w:jc w:val="left"/>
        <w:rPr>
          <w:rFonts w:ascii="Arial"/>
          <w:b/>
          <w:sz w:val="16"/>
        </w:rPr>
      </w:pPr>
      <w:r>
        <w:rPr>
          <w:rFonts w:ascii="Arial"/>
          <w:b/>
          <w:w w:val="70"/>
          <w:sz w:val="16"/>
        </w:rPr>
        <w:t>Cuadro 3.8</w:t>
      </w:r>
    </w:p>
    <w:p>
      <w:pPr>
        <w:spacing w:line="273" w:lineRule="auto" w:before="26"/>
        <w:ind w:left="868" w:right="6673" w:firstLine="0"/>
        <w:jc w:val="left"/>
        <w:rPr>
          <w:rFonts w:ascii="Arial" w:hAnsi="Arial"/>
          <w:b/>
          <w:sz w:val="16"/>
        </w:rPr>
      </w:pPr>
      <w:r>
        <w:rPr>
          <w:rFonts w:ascii="Arial" w:hAnsi="Arial"/>
          <w:b/>
          <w:w w:val="70"/>
          <w:sz w:val="16"/>
        </w:rPr>
        <w:t>Coeficiente de especialización Valor agregado</w:t>
      </w:r>
    </w:p>
    <w:p>
      <w:pPr>
        <w:spacing w:line="278" w:lineRule="auto" w:before="0"/>
        <w:ind w:left="861" w:right="6344" w:firstLine="0"/>
        <w:jc w:val="left"/>
        <w:rPr>
          <w:rFonts w:ascii="Arial" w:hAnsi="Arial"/>
          <w:b/>
          <w:sz w:val="15"/>
        </w:rPr>
      </w:pPr>
      <w:r>
        <w:rPr>
          <w:rFonts w:ascii="Arial" w:hAnsi="Arial"/>
          <w:b/>
          <w:w w:val="70"/>
          <w:sz w:val="15"/>
        </w:rPr>
        <w:t>Región Toluca-Lerma y Valle de México </w:t>
      </w:r>
      <w:r>
        <w:rPr>
          <w:rFonts w:ascii="Arial" w:hAnsi="Arial"/>
          <w:b/>
          <w:w w:val="80"/>
          <w:sz w:val="15"/>
        </w:rPr>
        <w:t>1970-2008</w:t>
      </w:r>
    </w:p>
    <w:p>
      <w:pPr>
        <w:pStyle w:val="BodyText"/>
        <w:spacing w:before="7"/>
        <w:rPr>
          <w:rFonts w:ascii="Arial"/>
          <w:b/>
          <w:sz w:val="16"/>
        </w:rPr>
      </w:pPr>
    </w:p>
    <w:tbl>
      <w:tblPr>
        <w:tblW w:w="0" w:type="auto"/>
        <w:jc w:val="left"/>
        <w:tblInd w:w="8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75"/>
        <w:gridCol w:w="369"/>
        <w:gridCol w:w="419"/>
        <w:gridCol w:w="319"/>
        <w:gridCol w:w="390"/>
        <w:gridCol w:w="334"/>
        <w:gridCol w:w="454"/>
        <w:gridCol w:w="291"/>
        <w:gridCol w:w="454"/>
        <w:gridCol w:w="326"/>
        <w:gridCol w:w="454"/>
        <w:gridCol w:w="319"/>
        <w:gridCol w:w="454"/>
        <w:gridCol w:w="312"/>
        <w:gridCol w:w="454"/>
        <w:gridCol w:w="284"/>
        <w:gridCol w:w="454"/>
        <w:gridCol w:w="454"/>
        <w:gridCol w:w="397"/>
        <w:gridCol w:w="355"/>
        <w:gridCol w:w="341"/>
      </w:tblGrid>
      <w:tr>
        <w:trPr>
          <w:trHeight w:val="170" w:hRule="exact"/>
        </w:trPr>
        <w:tc>
          <w:tcPr>
            <w:tcW w:w="575" w:type="dxa"/>
            <w:vMerge w:val="restart"/>
            <w:tcBorders>
              <w:left w:val="single" w:sz="3" w:space="0" w:color="000000"/>
              <w:right w:val="single" w:sz="3" w:space="0" w:color="000000"/>
            </w:tcBorders>
            <w:shd w:val="clear" w:color="auto" w:fill="D7D7D7"/>
          </w:tcPr>
          <w:p>
            <w:pPr>
              <w:pStyle w:val="TableParagraph"/>
              <w:spacing w:before="4"/>
              <w:jc w:val="left"/>
              <w:rPr>
                <w:b/>
                <w:sz w:val="15"/>
              </w:rPr>
            </w:pPr>
          </w:p>
          <w:p>
            <w:pPr>
              <w:pStyle w:val="TableParagraph"/>
              <w:ind w:left="113"/>
              <w:jc w:val="left"/>
              <w:rPr>
                <w:rFonts w:ascii="Calibri"/>
                <w:b/>
                <w:sz w:val="15"/>
              </w:rPr>
            </w:pPr>
            <w:r>
              <w:rPr>
                <w:rFonts w:ascii="Calibri"/>
                <w:b/>
                <w:w w:val="80"/>
                <w:sz w:val="15"/>
              </w:rPr>
              <w:t>REGION</w:t>
            </w:r>
          </w:p>
        </w:tc>
        <w:tc>
          <w:tcPr>
            <w:tcW w:w="788" w:type="dxa"/>
            <w:gridSpan w:val="2"/>
            <w:tcBorders>
              <w:left w:val="single" w:sz="3" w:space="0" w:color="000000"/>
              <w:right w:val="single" w:sz="3" w:space="0" w:color="000000"/>
            </w:tcBorders>
            <w:shd w:val="clear" w:color="auto" w:fill="D7D7D7"/>
          </w:tcPr>
          <w:p>
            <w:pPr>
              <w:pStyle w:val="TableParagraph"/>
              <w:spacing w:before="8"/>
              <w:ind w:left="254" w:right="254"/>
              <w:jc w:val="center"/>
              <w:rPr>
                <w:sz w:val="13"/>
              </w:rPr>
            </w:pPr>
            <w:r>
              <w:rPr>
                <w:w w:val="80"/>
                <w:sz w:val="13"/>
              </w:rPr>
              <w:t>1970</w:t>
            </w:r>
          </w:p>
        </w:tc>
        <w:tc>
          <w:tcPr>
            <w:tcW w:w="710" w:type="dxa"/>
            <w:gridSpan w:val="2"/>
            <w:tcBorders>
              <w:left w:val="single" w:sz="3" w:space="0" w:color="000000"/>
              <w:right w:val="single" w:sz="3" w:space="0" w:color="000000"/>
            </w:tcBorders>
            <w:shd w:val="clear" w:color="auto" w:fill="D7D7D7"/>
          </w:tcPr>
          <w:p>
            <w:pPr>
              <w:pStyle w:val="TableParagraph"/>
              <w:spacing w:before="8"/>
              <w:ind w:left="219" w:right="212"/>
              <w:jc w:val="center"/>
              <w:rPr>
                <w:sz w:val="13"/>
              </w:rPr>
            </w:pPr>
            <w:r>
              <w:rPr>
                <w:w w:val="80"/>
                <w:sz w:val="13"/>
              </w:rPr>
              <w:t>1975</w:t>
            </w:r>
          </w:p>
        </w:tc>
        <w:tc>
          <w:tcPr>
            <w:tcW w:w="788" w:type="dxa"/>
            <w:gridSpan w:val="2"/>
            <w:tcBorders>
              <w:left w:val="single" w:sz="3" w:space="0" w:color="000000"/>
              <w:right w:val="single" w:sz="3" w:space="0" w:color="000000"/>
            </w:tcBorders>
            <w:shd w:val="clear" w:color="auto" w:fill="D7D7D7"/>
          </w:tcPr>
          <w:p>
            <w:pPr>
              <w:pStyle w:val="TableParagraph"/>
              <w:spacing w:before="8"/>
              <w:ind w:left="254" w:right="254"/>
              <w:jc w:val="center"/>
              <w:rPr>
                <w:sz w:val="13"/>
              </w:rPr>
            </w:pPr>
            <w:r>
              <w:rPr>
                <w:w w:val="80"/>
                <w:sz w:val="13"/>
              </w:rPr>
              <w:t>1980</w:t>
            </w:r>
          </w:p>
        </w:tc>
        <w:tc>
          <w:tcPr>
            <w:tcW w:w="745" w:type="dxa"/>
            <w:gridSpan w:val="2"/>
            <w:tcBorders>
              <w:left w:val="single" w:sz="3" w:space="0" w:color="000000"/>
              <w:right w:val="single" w:sz="3" w:space="0" w:color="000000"/>
            </w:tcBorders>
            <w:shd w:val="clear" w:color="auto" w:fill="D7D7D7"/>
          </w:tcPr>
          <w:p>
            <w:pPr>
              <w:pStyle w:val="TableParagraph"/>
              <w:spacing w:before="8"/>
              <w:ind w:left="233" w:right="233"/>
              <w:jc w:val="center"/>
              <w:rPr>
                <w:sz w:val="13"/>
              </w:rPr>
            </w:pPr>
            <w:r>
              <w:rPr>
                <w:w w:val="80"/>
                <w:sz w:val="13"/>
              </w:rPr>
              <w:t>1985</w:t>
            </w:r>
          </w:p>
        </w:tc>
        <w:tc>
          <w:tcPr>
            <w:tcW w:w="781" w:type="dxa"/>
            <w:gridSpan w:val="2"/>
            <w:tcBorders>
              <w:left w:val="single" w:sz="3" w:space="0" w:color="000000"/>
              <w:right w:val="single" w:sz="3" w:space="0" w:color="000000"/>
            </w:tcBorders>
            <w:shd w:val="clear" w:color="auto" w:fill="D7D7D7"/>
          </w:tcPr>
          <w:p>
            <w:pPr>
              <w:pStyle w:val="TableParagraph"/>
              <w:spacing w:before="8"/>
              <w:ind w:left="254" w:right="248"/>
              <w:jc w:val="center"/>
              <w:rPr>
                <w:sz w:val="13"/>
              </w:rPr>
            </w:pPr>
            <w:r>
              <w:rPr>
                <w:w w:val="80"/>
                <w:sz w:val="13"/>
              </w:rPr>
              <w:t>1988</w:t>
            </w:r>
          </w:p>
        </w:tc>
        <w:tc>
          <w:tcPr>
            <w:tcW w:w="774" w:type="dxa"/>
            <w:gridSpan w:val="2"/>
            <w:tcBorders>
              <w:left w:val="single" w:sz="3" w:space="0" w:color="000000"/>
              <w:right w:val="single" w:sz="3" w:space="0" w:color="000000"/>
            </w:tcBorders>
            <w:shd w:val="clear" w:color="auto" w:fill="D7D7D7"/>
          </w:tcPr>
          <w:p>
            <w:pPr>
              <w:pStyle w:val="TableParagraph"/>
              <w:spacing w:before="8"/>
              <w:ind w:left="247" w:right="247"/>
              <w:jc w:val="center"/>
              <w:rPr>
                <w:sz w:val="13"/>
              </w:rPr>
            </w:pPr>
            <w:r>
              <w:rPr>
                <w:w w:val="80"/>
                <w:sz w:val="13"/>
              </w:rPr>
              <w:t>1993</w:t>
            </w:r>
          </w:p>
        </w:tc>
        <w:tc>
          <w:tcPr>
            <w:tcW w:w="766" w:type="dxa"/>
            <w:gridSpan w:val="2"/>
            <w:tcBorders>
              <w:left w:val="single" w:sz="3" w:space="0" w:color="000000"/>
              <w:right w:val="single" w:sz="3" w:space="0" w:color="000000"/>
            </w:tcBorders>
            <w:shd w:val="clear" w:color="auto" w:fill="D7D7D7"/>
          </w:tcPr>
          <w:p>
            <w:pPr>
              <w:pStyle w:val="TableParagraph"/>
              <w:spacing w:before="8"/>
              <w:ind w:left="247" w:right="240"/>
              <w:jc w:val="center"/>
              <w:rPr>
                <w:sz w:val="13"/>
              </w:rPr>
            </w:pPr>
            <w:r>
              <w:rPr>
                <w:w w:val="80"/>
                <w:sz w:val="13"/>
              </w:rPr>
              <w:t>1998</w:t>
            </w:r>
          </w:p>
        </w:tc>
        <w:tc>
          <w:tcPr>
            <w:tcW w:w="738" w:type="dxa"/>
            <w:gridSpan w:val="2"/>
            <w:tcBorders>
              <w:left w:val="single" w:sz="3" w:space="0" w:color="000000"/>
              <w:right w:val="single" w:sz="3" w:space="0" w:color="000000"/>
            </w:tcBorders>
            <w:shd w:val="clear" w:color="auto" w:fill="D7D7D7"/>
          </w:tcPr>
          <w:p>
            <w:pPr>
              <w:pStyle w:val="TableParagraph"/>
              <w:spacing w:before="8"/>
              <w:ind w:left="232" w:right="226"/>
              <w:jc w:val="center"/>
              <w:rPr>
                <w:sz w:val="13"/>
              </w:rPr>
            </w:pPr>
            <w:r>
              <w:rPr>
                <w:w w:val="80"/>
                <w:sz w:val="13"/>
              </w:rPr>
              <w:t>2003</w:t>
            </w:r>
          </w:p>
        </w:tc>
        <w:tc>
          <w:tcPr>
            <w:tcW w:w="852" w:type="dxa"/>
            <w:gridSpan w:val="2"/>
            <w:tcBorders>
              <w:left w:val="single" w:sz="3" w:space="0" w:color="000000"/>
              <w:right w:val="single" w:sz="3" w:space="0" w:color="000000"/>
            </w:tcBorders>
            <w:shd w:val="clear" w:color="auto" w:fill="D7D7D7"/>
          </w:tcPr>
          <w:p>
            <w:pPr>
              <w:pStyle w:val="TableParagraph"/>
              <w:spacing w:before="8"/>
              <w:ind w:left="289" w:right="283"/>
              <w:jc w:val="center"/>
              <w:rPr>
                <w:sz w:val="13"/>
              </w:rPr>
            </w:pPr>
            <w:r>
              <w:rPr>
                <w:w w:val="80"/>
                <w:sz w:val="13"/>
              </w:rPr>
              <w:t>2003</w:t>
            </w:r>
          </w:p>
        </w:tc>
        <w:tc>
          <w:tcPr>
            <w:tcW w:w="696" w:type="dxa"/>
            <w:gridSpan w:val="2"/>
            <w:tcBorders>
              <w:left w:val="single" w:sz="3" w:space="0" w:color="000000"/>
              <w:right w:val="single" w:sz="3" w:space="0" w:color="000000"/>
            </w:tcBorders>
            <w:shd w:val="clear" w:color="auto" w:fill="D7D7D7"/>
          </w:tcPr>
          <w:p>
            <w:pPr>
              <w:pStyle w:val="TableParagraph"/>
              <w:spacing w:before="8"/>
              <w:ind w:left="211" w:right="205"/>
              <w:jc w:val="center"/>
              <w:rPr>
                <w:sz w:val="13"/>
              </w:rPr>
            </w:pPr>
            <w:r>
              <w:rPr>
                <w:w w:val="80"/>
                <w:sz w:val="13"/>
              </w:rPr>
              <w:t>2008</w:t>
            </w:r>
          </w:p>
        </w:tc>
      </w:tr>
      <w:tr>
        <w:trPr>
          <w:trHeight w:val="200" w:hRule="exact"/>
        </w:trPr>
        <w:tc>
          <w:tcPr>
            <w:tcW w:w="575" w:type="dxa"/>
            <w:vMerge/>
            <w:tcBorders>
              <w:left w:val="single" w:sz="3" w:space="0" w:color="000000"/>
              <w:right w:val="single" w:sz="3" w:space="0" w:color="000000"/>
            </w:tcBorders>
            <w:shd w:val="clear" w:color="auto" w:fill="D7D7D7"/>
          </w:tcPr>
          <w:p>
            <w:pPr/>
          </w:p>
        </w:tc>
        <w:tc>
          <w:tcPr>
            <w:tcW w:w="369" w:type="dxa"/>
            <w:tcBorders>
              <w:left w:val="single" w:sz="3" w:space="0" w:color="000000"/>
              <w:right w:val="single" w:sz="3" w:space="0" w:color="000000"/>
            </w:tcBorders>
            <w:shd w:val="clear" w:color="auto" w:fill="D7D7D7"/>
          </w:tcPr>
          <w:p>
            <w:pPr>
              <w:pStyle w:val="TableParagraph"/>
              <w:spacing w:before="7"/>
              <w:ind w:left="120" w:right="-6"/>
              <w:jc w:val="left"/>
              <w:rPr>
                <w:rFonts w:ascii="Calibri"/>
                <w:b/>
                <w:sz w:val="15"/>
              </w:rPr>
            </w:pPr>
            <w:r>
              <w:rPr>
                <w:rFonts w:ascii="Calibri"/>
                <w:b/>
                <w:w w:val="80"/>
                <w:sz w:val="15"/>
              </w:rPr>
              <w:t>T-L</w:t>
            </w:r>
          </w:p>
        </w:tc>
        <w:tc>
          <w:tcPr>
            <w:tcW w:w="419" w:type="dxa"/>
            <w:tcBorders>
              <w:left w:val="single" w:sz="3" w:space="0" w:color="000000"/>
              <w:right w:val="single" w:sz="3" w:space="0" w:color="000000"/>
            </w:tcBorders>
            <w:shd w:val="clear" w:color="auto" w:fill="D7D7D7"/>
          </w:tcPr>
          <w:p>
            <w:pPr>
              <w:pStyle w:val="TableParagraph"/>
              <w:spacing w:before="7"/>
              <w:ind w:right="46"/>
              <w:rPr>
                <w:rFonts w:ascii="Calibri"/>
                <w:b/>
                <w:sz w:val="15"/>
              </w:rPr>
            </w:pPr>
            <w:r>
              <w:rPr>
                <w:rFonts w:ascii="Calibri"/>
                <w:b/>
                <w:w w:val="75"/>
                <w:sz w:val="15"/>
              </w:rPr>
              <w:t>V DE M</w:t>
            </w:r>
          </w:p>
        </w:tc>
        <w:tc>
          <w:tcPr>
            <w:tcW w:w="319" w:type="dxa"/>
            <w:tcBorders>
              <w:left w:val="single" w:sz="3" w:space="0" w:color="000000"/>
              <w:right w:val="single" w:sz="3" w:space="0" w:color="000000"/>
            </w:tcBorders>
            <w:shd w:val="clear" w:color="auto" w:fill="D7D7D7"/>
          </w:tcPr>
          <w:p>
            <w:pPr>
              <w:pStyle w:val="TableParagraph"/>
              <w:spacing w:before="7"/>
              <w:ind w:left="92" w:right="-1"/>
              <w:jc w:val="left"/>
              <w:rPr>
                <w:rFonts w:ascii="Calibri"/>
                <w:b/>
                <w:sz w:val="15"/>
              </w:rPr>
            </w:pPr>
            <w:r>
              <w:rPr>
                <w:rFonts w:ascii="Calibri"/>
                <w:b/>
                <w:w w:val="80"/>
                <w:sz w:val="15"/>
              </w:rPr>
              <w:t>T-L</w:t>
            </w:r>
          </w:p>
        </w:tc>
        <w:tc>
          <w:tcPr>
            <w:tcW w:w="390" w:type="dxa"/>
            <w:tcBorders>
              <w:left w:val="single" w:sz="3" w:space="0" w:color="000000"/>
              <w:right w:val="single" w:sz="3" w:space="0" w:color="000000"/>
            </w:tcBorders>
            <w:shd w:val="clear" w:color="auto" w:fill="D7D7D7"/>
          </w:tcPr>
          <w:p>
            <w:pPr>
              <w:pStyle w:val="TableParagraph"/>
              <w:spacing w:before="7"/>
              <w:ind w:left="35" w:right="-14"/>
              <w:jc w:val="left"/>
              <w:rPr>
                <w:rFonts w:ascii="Calibri"/>
                <w:b/>
                <w:sz w:val="15"/>
              </w:rPr>
            </w:pPr>
            <w:r>
              <w:rPr>
                <w:rFonts w:ascii="Calibri"/>
                <w:b/>
                <w:w w:val="75"/>
                <w:sz w:val="15"/>
              </w:rPr>
              <w:t>V DE M</w:t>
            </w:r>
          </w:p>
        </w:tc>
        <w:tc>
          <w:tcPr>
            <w:tcW w:w="334" w:type="dxa"/>
            <w:tcBorders>
              <w:left w:val="single" w:sz="3" w:space="0" w:color="000000"/>
              <w:right w:val="single" w:sz="3" w:space="0" w:color="000000"/>
            </w:tcBorders>
            <w:shd w:val="clear" w:color="auto" w:fill="D7D7D7"/>
          </w:tcPr>
          <w:p>
            <w:pPr>
              <w:pStyle w:val="TableParagraph"/>
              <w:spacing w:before="7"/>
              <w:ind w:left="99" w:right="-5"/>
              <w:jc w:val="left"/>
              <w:rPr>
                <w:rFonts w:ascii="Calibri"/>
                <w:b/>
                <w:sz w:val="15"/>
              </w:rPr>
            </w:pPr>
            <w:r>
              <w:rPr>
                <w:rFonts w:ascii="Calibri"/>
                <w:b/>
                <w:w w:val="80"/>
                <w:sz w:val="15"/>
              </w:rPr>
              <w:t>T-L</w:t>
            </w:r>
          </w:p>
        </w:tc>
        <w:tc>
          <w:tcPr>
            <w:tcW w:w="454" w:type="dxa"/>
            <w:tcBorders>
              <w:left w:val="single" w:sz="3" w:space="0" w:color="000000"/>
              <w:right w:val="single" w:sz="3" w:space="0" w:color="000000"/>
            </w:tcBorders>
            <w:shd w:val="clear" w:color="auto" w:fill="D7D7D7"/>
          </w:tcPr>
          <w:p>
            <w:pPr>
              <w:pStyle w:val="TableParagraph"/>
              <w:spacing w:before="7"/>
              <w:ind w:left="70"/>
              <w:jc w:val="left"/>
              <w:rPr>
                <w:rFonts w:ascii="Calibri"/>
                <w:b/>
                <w:sz w:val="15"/>
              </w:rPr>
            </w:pPr>
            <w:r>
              <w:rPr>
                <w:rFonts w:ascii="Calibri"/>
                <w:b/>
                <w:w w:val="75"/>
                <w:sz w:val="15"/>
              </w:rPr>
              <w:t>V DE M</w:t>
            </w:r>
          </w:p>
        </w:tc>
        <w:tc>
          <w:tcPr>
            <w:tcW w:w="291" w:type="dxa"/>
            <w:tcBorders>
              <w:left w:val="single" w:sz="3" w:space="0" w:color="000000"/>
              <w:right w:val="single" w:sz="3" w:space="0" w:color="000000"/>
            </w:tcBorders>
            <w:shd w:val="clear" w:color="auto" w:fill="D7D7D7"/>
          </w:tcPr>
          <w:p>
            <w:pPr>
              <w:pStyle w:val="TableParagraph"/>
              <w:spacing w:before="7"/>
              <w:ind w:left="78" w:right="-6"/>
              <w:jc w:val="left"/>
              <w:rPr>
                <w:rFonts w:ascii="Calibri"/>
                <w:b/>
                <w:sz w:val="15"/>
              </w:rPr>
            </w:pPr>
            <w:r>
              <w:rPr>
                <w:rFonts w:ascii="Calibri"/>
                <w:b/>
                <w:w w:val="80"/>
                <w:sz w:val="15"/>
              </w:rPr>
              <w:t>T-L</w:t>
            </w:r>
          </w:p>
        </w:tc>
        <w:tc>
          <w:tcPr>
            <w:tcW w:w="454" w:type="dxa"/>
            <w:tcBorders>
              <w:left w:val="single" w:sz="3" w:space="0" w:color="000000"/>
              <w:right w:val="single" w:sz="3" w:space="0" w:color="000000"/>
            </w:tcBorders>
            <w:shd w:val="clear" w:color="auto" w:fill="D7D7D7"/>
          </w:tcPr>
          <w:p>
            <w:pPr>
              <w:pStyle w:val="TableParagraph"/>
              <w:spacing w:before="7"/>
              <w:ind w:right="62"/>
              <w:rPr>
                <w:rFonts w:ascii="Calibri"/>
                <w:b/>
                <w:sz w:val="15"/>
              </w:rPr>
            </w:pPr>
            <w:r>
              <w:rPr>
                <w:rFonts w:ascii="Calibri"/>
                <w:b/>
                <w:w w:val="75"/>
                <w:sz w:val="15"/>
              </w:rPr>
              <w:t>V DE M</w:t>
            </w:r>
          </w:p>
        </w:tc>
        <w:tc>
          <w:tcPr>
            <w:tcW w:w="326" w:type="dxa"/>
            <w:tcBorders>
              <w:left w:val="single" w:sz="3" w:space="0" w:color="000000"/>
              <w:right w:val="single" w:sz="3" w:space="0" w:color="000000"/>
            </w:tcBorders>
            <w:shd w:val="clear" w:color="auto" w:fill="D7D7D7"/>
          </w:tcPr>
          <w:p>
            <w:pPr>
              <w:pStyle w:val="TableParagraph"/>
              <w:spacing w:before="7"/>
              <w:ind w:left="9"/>
              <w:jc w:val="center"/>
              <w:rPr>
                <w:rFonts w:ascii="Calibri"/>
                <w:b/>
                <w:sz w:val="15"/>
              </w:rPr>
            </w:pPr>
            <w:r>
              <w:rPr>
                <w:rFonts w:ascii="Calibri"/>
                <w:b/>
                <w:w w:val="80"/>
                <w:sz w:val="15"/>
              </w:rPr>
              <w:t>T-L</w:t>
            </w:r>
          </w:p>
        </w:tc>
        <w:tc>
          <w:tcPr>
            <w:tcW w:w="454" w:type="dxa"/>
            <w:tcBorders>
              <w:left w:val="single" w:sz="3" w:space="0" w:color="000000"/>
              <w:right w:val="single" w:sz="3" w:space="0" w:color="000000"/>
            </w:tcBorders>
            <w:shd w:val="clear" w:color="auto" w:fill="D7D7D7"/>
          </w:tcPr>
          <w:p>
            <w:pPr>
              <w:pStyle w:val="TableParagraph"/>
              <w:spacing w:before="7"/>
              <w:ind w:right="61"/>
              <w:rPr>
                <w:rFonts w:ascii="Calibri"/>
                <w:b/>
                <w:sz w:val="15"/>
              </w:rPr>
            </w:pPr>
            <w:r>
              <w:rPr>
                <w:rFonts w:ascii="Calibri"/>
                <w:b/>
                <w:w w:val="75"/>
                <w:sz w:val="15"/>
              </w:rPr>
              <w:t>V DE M</w:t>
            </w:r>
          </w:p>
        </w:tc>
        <w:tc>
          <w:tcPr>
            <w:tcW w:w="319" w:type="dxa"/>
            <w:tcBorders>
              <w:left w:val="single" w:sz="3" w:space="0" w:color="000000"/>
              <w:right w:val="single" w:sz="3" w:space="0" w:color="000000"/>
            </w:tcBorders>
            <w:shd w:val="clear" w:color="auto" w:fill="D7D7D7"/>
          </w:tcPr>
          <w:p>
            <w:pPr>
              <w:pStyle w:val="TableParagraph"/>
              <w:spacing w:before="7"/>
              <w:ind w:left="92" w:right="-5"/>
              <w:jc w:val="left"/>
              <w:rPr>
                <w:rFonts w:ascii="Calibri"/>
                <w:b/>
                <w:sz w:val="15"/>
              </w:rPr>
            </w:pPr>
            <w:r>
              <w:rPr>
                <w:rFonts w:ascii="Calibri"/>
                <w:b/>
                <w:w w:val="80"/>
                <w:sz w:val="15"/>
              </w:rPr>
              <w:t>T-L</w:t>
            </w:r>
          </w:p>
        </w:tc>
        <w:tc>
          <w:tcPr>
            <w:tcW w:w="454" w:type="dxa"/>
            <w:tcBorders>
              <w:left w:val="single" w:sz="3" w:space="0" w:color="000000"/>
              <w:right w:val="single" w:sz="3" w:space="0" w:color="000000"/>
            </w:tcBorders>
            <w:shd w:val="clear" w:color="auto" w:fill="D7D7D7"/>
          </w:tcPr>
          <w:p>
            <w:pPr>
              <w:pStyle w:val="TableParagraph"/>
              <w:spacing w:before="7"/>
              <w:ind w:right="61"/>
              <w:rPr>
                <w:rFonts w:ascii="Calibri"/>
                <w:b/>
                <w:sz w:val="15"/>
              </w:rPr>
            </w:pPr>
            <w:r>
              <w:rPr>
                <w:rFonts w:ascii="Calibri"/>
                <w:b/>
                <w:w w:val="75"/>
                <w:sz w:val="15"/>
              </w:rPr>
              <w:t>V DE M</w:t>
            </w:r>
          </w:p>
        </w:tc>
        <w:tc>
          <w:tcPr>
            <w:tcW w:w="312" w:type="dxa"/>
            <w:tcBorders>
              <w:left w:val="single" w:sz="3" w:space="0" w:color="000000"/>
              <w:right w:val="single" w:sz="3" w:space="0" w:color="000000"/>
            </w:tcBorders>
            <w:shd w:val="clear" w:color="auto" w:fill="D7D7D7"/>
          </w:tcPr>
          <w:p>
            <w:pPr>
              <w:pStyle w:val="TableParagraph"/>
              <w:spacing w:before="7"/>
              <w:ind w:left="92" w:right="-5"/>
              <w:jc w:val="left"/>
              <w:rPr>
                <w:rFonts w:ascii="Calibri"/>
                <w:b/>
                <w:sz w:val="15"/>
              </w:rPr>
            </w:pPr>
            <w:r>
              <w:rPr>
                <w:rFonts w:ascii="Calibri"/>
                <w:b/>
                <w:w w:val="80"/>
                <w:sz w:val="15"/>
              </w:rPr>
              <w:t>T-L</w:t>
            </w:r>
          </w:p>
        </w:tc>
        <w:tc>
          <w:tcPr>
            <w:tcW w:w="454" w:type="dxa"/>
            <w:tcBorders>
              <w:left w:val="single" w:sz="3" w:space="0" w:color="000000"/>
              <w:right w:val="single" w:sz="3" w:space="0" w:color="000000"/>
            </w:tcBorders>
            <w:shd w:val="clear" w:color="auto" w:fill="D7D7D7"/>
          </w:tcPr>
          <w:p>
            <w:pPr>
              <w:pStyle w:val="TableParagraph"/>
              <w:spacing w:before="7"/>
              <w:ind w:right="62"/>
              <w:rPr>
                <w:rFonts w:ascii="Calibri"/>
                <w:b/>
                <w:sz w:val="15"/>
              </w:rPr>
            </w:pPr>
            <w:r>
              <w:rPr>
                <w:rFonts w:ascii="Calibri"/>
                <w:b/>
                <w:w w:val="75"/>
                <w:sz w:val="15"/>
              </w:rPr>
              <w:t>V DE M</w:t>
            </w:r>
          </w:p>
        </w:tc>
        <w:tc>
          <w:tcPr>
            <w:tcW w:w="284" w:type="dxa"/>
            <w:tcBorders>
              <w:left w:val="single" w:sz="3" w:space="0" w:color="000000"/>
              <w:right w:val="single" w:sz="3" w:space="0" w:color="000000"/>
            </w:tcBorders>
            <w:shd w:val="clear" w:color="auto" w:fill="D7D7D7"/>
          </w:tcPr>
          <w:p>
            <w:pPr>
              <w:pStyle w:val="TableParagraph"/>
              <w:spacing w:before="7"/>
              <w:ind w:left="78" w:right="-6"/>
              <w:jc w:val="left"/>
              <w:rPr>
                <w:rFonts w:ascii="Calibri"/>
                <w:b/>
                <w:sz w:val="15"/>
              </w:rPr>
            </w:pPr>
            <w:r>
              <w:rPr>
                <w:rFonts w:ascii="Calibri"/>
                <w:b/>
                <w:w w:val="80"/>
                <w:sz w:val="15"/>
              </w:rPr>
              <w:t>T-L</w:t>
            </w:r>
          </w:p>
        </w:tc>
        <w:tc>
          <w:tcPr>
            <w:tcW w:w="454" w:type="dxa"/>
            <w:tcBorders>
              <w:left w:val="single" w:sz="3" w:space="0" w:color="000000"/>
              <w:right w:val="single" w:sz="3" w:space="0" w:color="000000"/>
            </w:tcBorders>
            <w:shd w:val="clear" w:color="auto" w:fill="D7D7D7"/>
          </w:tcPr>
          <w:p>
            <w:pPr>
              <w:pStyle w:val="TableParagraph"/>
              <w:spacing w:before="7"/>
              <w:ind w:right="60"/>
              <w:rPr>
                <w:rFonts w:ascii="Calibri"/>
                <w:b/>
                <w:sz w:val="15"/>
              </w:rPr>
            </w:pPr>
            <w:r>
              <w:rPr>
                <w:rFonts w:ascii="Calibri"/>
                <w:b/>
                <w:w w:val="75"/>
                <w:sz w:val="15"/>
              </w:rPr>
              <w:t>V DE M</w:t>
            </w:r>
          </w:p>
        </w:tc>
        <w:tc>
          <w:tcPr>
            <w:tcW w:w="454" w:type="dxa"/>
            <w:tcBorders>
              <w:left w:val="single" w:sz="3" w:space="0" w:color="000000"/>
              <w:right w:val="single" w:sz="3" w:space="0" w:color="000000"/>
            </w:tcBorders>
            <w:shd w:val="clear" w:color="auto" w:fill="D7D7D7"/>
          </w:tcPr>
          <w:p>
            <w:pPr>
              <w:pStyle w:val="TableParagraph"/>
              <w:spacing w:before="7"/>
              <w:ind w:left="134" w:right="125"/>
              <w:jc w:val="center"/>
              <w:rPr>
                <w:rFonts w:ascii="Calibri"/>
                <w:b/>
                <w:sz w:val="15"/>
              </w:rPr>
            </w:pPr>
            <w:r>
              <w:rPr>
                <w:rFonts w:ascii="Calibri"/>
                <w:b/>
                <w:w w:val="80"/>
                <w:sz w:val="15"/>
              </w:rPr>
              <w:t>T-L</w:t>
            </w:r>
          </w:p>
        </w:tc>
        <w:tc>
          <w:tcPr>
            <w:tcW w:w="397" w:type="dxa"/>
            <w:tcBorders>
              <w:left w:val="single" w:sz="3" w:space="0" w:color="000000"/>
              <w:right w:val="single" w:sz="3" w:space="0" w:color="000000"/>
            </w:tcBorders>
            <w:shd w:val="clear" w:color="auto" w:fill="D7D7D7"/>
          </w:tcPr>
          <w:p>
            <w:pPr>
              <w:pStyle w:val="TableParagraph"/>
              <w:spacing w:before="7"/>
              <w:ind w:right="32"/>
              <w:rPr>
                <w:rFonts w:ascii="Calibri"/>
                <w:b/>
                <w:sz w:val="15"/>
              </w:rPr>
            </w:pPr>
            <w:r>
              <w:rPr>
                <w:rFonts w:ascii="Calibri"/>
                <w:b/>
                <w:w w:val="75"/>
                <w:sz w:val="15"/>
              </w:rPr>
              <w:t>V DE M</w:t>
            </w:r>
          </w:p>
        </w:tc>
        <w:tc>
          <w:tcPr>
            <w:tcW w:w="355" w:type="dxa"/>
            <w:tcBorders>
              <w:left w:val="single" w:sz="3" w:space="0" w:color="000000"/>
              <w:right w:val="single" w:sz="3" w:space="0" w:color="000000"/>
            </w:tcBorders>
            <w:shd w:val="clear" w:color="auto" w:fill="D7D7D7"/>
          </w:tcPr>
          <w:p>
            <w:pPr>
              <w:pStyle w:val="TableParagraph"/>
              <w:spacing w:before="7"/>
              <w:ind w:left="113" w:right="-6"/>
              <w:jc w:val="left"/>
              <w:rPr>
                <w:rFonts w:ascii="Calibri"/>
                <w:b/>
                <w:sz w:val="15"/>
              </w:rPr>
            </w:pPr>
            <w:r>
              <w:rPr>
                <w:rFonts w:ascii="Calibri"/>
                <w:b/>
                <w:w w:val="80"/>
                <w:sz w:val="15"/>
              </w:rPr>
              <w:t>T-L</w:t>
            </w:r>
          </w:p>
        </w:tc>
        <w:tc>
          <w:tcPr>
            <w:tcW w:w="341" w:type="dxa"/>
            <w:tcBorders>
              <w:left w:val="single" w:sz="3" w:space="0" w:color="000000"/>
              <w:right w:val="single" w:sz="3" w:space="0" w:color="000000"/>
            </w:tcBorders>
            <w:shd w:val="clear" w:color="auto" w:fill="D7D7D7"/>
          </w:tcPr>
          <w:p>
            <w:pPr>
              <w:pStyle w:val="TableParagraph"/>
              <w:spacing w:before="7"/>
              <w:ind w:left="7"/>
              <w:jc w:val="center"/>
              <w:rPr>
                <w:rFonts w:ascii="Calibri"/>
                <w:b/>
                <w:sz w:val="15"/>
              </w:rPr>
            </w:pPr>
            <w:r>
              <w:rPr>
                <w:rFonts w:ascii="Calibri"/>
                <w:b/>
                <w:w w:val="75"/>
                <w:sz w:val="15"/>
              </w:rPr>
              <w:t>V</w:t>
            </w:r>
            <w:r>
              <w:rPr>
                <w:rFonts w:ascii="Calibri"/>
                <w:b/>
                <w:spacing w:val="-14"/>
                <w:w w:val="75"/>
                <w:sz w:val="15"/>
              </w:rPr>
              <w:t> </w:t>
            </w:r>
            <w:r>
              <w:rPr>
                <w:rFonts w:ascii="Calibri"/>
                <w:b/>
                <w:w w:val="75"/>
                <w:sz w:val="15"/>
              </w:rPr>
              <w:t>DE</w:t>
            </w:r>
            <w:r>
              <w:rPr>
                <w:rFonts w:ascii="Calibri"/>
                <w:b/>
                <w:spacing w:val="-16"/>
                <w:w w:val="75"/>
                <w:sz w:val="15"/>
              </w:rPr>
              <w:t> </w:t>
            </w:r>
            <w:r>
              <w:rPr>
                <w:rFonts w:ascii="Calibri"/>
                <w:b/>
                <w:w w:val="75"/>
                <w:sz w:val="15"/>
              </w:rPr>
              <w:t>M</w:t>
            </w:r>
          </w:p>
        </w:tc>
      </w:tr>
      <w:tr>
        <w:trPr>
          <w:trHeight w:val="170" w:hRule="exact"/>
        </w:trPr>
        <w:tc>
          <w:tcPr>
            <w:tcW w:w="575" w:type="dxa"/>
            <w:tcBorders>
              <w:left w:val="single" w:sz="3" w:space="0" w:color="000000"/>
              <w:right w:val="single" w:sz="3" w:space="0" w:color="000000"/>
            </w:tcBorders>
            <w:shd w:val="clear" w:color="auto" w:fill="DBEDF3"/>
          </w:tcPr>
          <w:p>
            <w:pPr>
              <w:pStyle w:val="TableParagraph"/>
              <w:spacing w:before="17"/>
              <w:ind w:left="14"/>
              <w:jc w:val="left"/>
              <w:rPr>
                <w:b/>
                <w:sz w:val="12"/>
              </w:rPr>
            </w:pPr>
            <w:r>
              <w:rPr>
                <w:b/>
                <w:w w:val="70"/>
                <w:sz w:val="12"/>
              </w:rPr>
              <w:t>Subsector 31</w:t>
            </w:r>
          </w:p>
        </w:tc>
        <w:tc>
          <w:tcPr>
            <w:tcW w:w="369" w:type="dxa"/>
            <w:tcBorders>
              <w:left w:val="single" w:sz="3" w:space="0" w:color="000000"/>
              <w:right w:val="single" w:sz="3" w:space="0" w:color="000000"/>
            </w:tcBorders>
          </w:tcPr>
          <w:p>
            <w:pPr>
              <w:pStyle w:val="TableParagraph"/>
              <w:spacing w:before="8"/>
              <w:ind w:left="170" w:right="-6"/>
              <w:jc w:val="left"/>
              <w:rPr>
                <w:sz w:val="13"/>
              </w:rPr>
            </w:pPr>
            <w:r>
              <w:rPr>
                <w:w w:val="70"/>
                <w:sz w:val="13"/>
              </w:rPr>
              <w:t>0.18</w:t>
            </w:r>
          </w:p>
        </w:tc>
        <w:tc>
          <w:tcPr>
            <w:tcW w:w="419" w:type="dxa"/>
            <w:tcBorders>
              <w:left w:val="single" w:sz="3" w:space="0" w:color="000000"/>
              <w:right w:val="single" w:sz="3" w:space="0" w:color="000000"/>
            </w:tcBorders>
          </w:tcPr>
          <w:p>
            <w:pPr>
              <w:pStyle w:val="TableParagraph"/>
              <w:spacing w:before="8"/>
              <w:ind w:right="10"/>
              <w:rPr>
                <w:sz w:val="13"/>
              </w:rPr>
            </w:pPr>
            <w:r>
              <w:rPr>
                <w:w w:val="70"/>
                <w:sz w:val="13"/>
              </w:rPr>
              <w:t>-0.06</w:t>
            </w:r>
          </w:p>
        </w:tc>
        <w:tc>
          <w:tcPr>
            <w:tcW w:w="319" w:type="dxa"/>
            <w:tcBorders>
              <w:left w:val="single" w:sz="3" w:space="0" w:color="000000"/>
              <w:right w:val="single" w:sz="3" w:space="0" w:color="000000"/>
            </w:tcBorders>
          </w:tcPr>
          <w:p>
            <w:pPr>
              <w:pStyle w:val="TableParagraph"/>
              <w:spacing w:before="8"/>
              <w:ind w:left="70" w:right="-1"/>
              <w:jc w:val="left"/>
              <w:rPr>
                <w:sz w:val="13"/>
              </w:rPr>
            </w:pPr>
            <w:r>
              <w:rPr>
                <w:w w:val="80"/>
                <w:sz w:val="13"/>
              </w:rPr>
              <w:t>0.13</w:t>
            </w:r>
          </w:p>
        </w:tc>
        <w:tc>
          <w:tcPr>
            <w:tcW w:w="390" w:type="dxa"/>
            <w:tcBorders>
              <w:left w:val="single" w:sz="3" w:space="0" w:color="000000"/>
              <w:right w:val="single" w:sz="3" w:space="0" w:color="000000"/>
            </w:tcBorders>
          </w:tcPr>
          <w:p>
            <w:pPr>
              <w:pStyle w:val="TableParagraph"/>
              <w:spacing w:before="8"/>
              <w:ind w:left="92" w:right="-14"/>
              <w:jc w:val="left"/>
              <w:rPr>
                <w:sz w:val="13"/>
              </w:rPr>
            </w:pPr>
            <w:r>
              <w:rPr>
                <w:w w:val="80"/>
                <w:sz w:val="13"/>
              </w:rPr>
              <w:t>-0.04</w:t>
            </w:r>
          </w:p>
        </w:tc>
        <w:tc>
          <w:tcPr>
            <w:tcW w:w="334" w:type="dxa"/>
            <w:tcBorders>
              <w:left w:val="single" w:sz="3" w:space="0" w:color="000000"/>
              <w:right w:val="single" w:sz="3" w:space="0" w:color="000000"/>
            </w:tcBorders>
          </w:tcPr>
          <w:p>
            <w:pPr>
              <w:pStyle w:val="TableParagraph"/>
              <w:spacing w:before="8"/>
              <w:ind w:left="134" w:right="-5"/>
              <w:jc w:val="left"/>
              <w:rPr>
                <w:sz w:val="13"/>
              </w:rPr>
            </w:pPr>
            <w:r>
              <w:rPr>
                <w:w w:val="70"/>
                <w:sz w:val="13"/>
              </w:rPr>
              <w:t>0.11</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291" w:type="dxa"/>
            <w:tcBorders>
              <w:left w:val="single" w:sz="3" w:space="0" w:color="000000"/>
              <w:right w:val="single" w:sz="3" w:space="0" w:color="000000"/>
            </w:tcBorders>
          </w:tcPr>
          <w:p>
            <w:pPr>
              <w:pStyle w:val="TableParagraph"/>
              <w:spacing w:before="8"/>
              <w:ind w:left="92" w:right="-6"/>
              <w:jc w:val="left"/>
              <w:rPr>
                <w:sz w:val="13"/>
              </w:rPr>
            </w:pPr>
            <w:r>
              <w:rPr>
                <w:w w:val="70"/>
                <w:sz w:val="13"/>
              </w:rPr>
              <w:t>0.01</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26" w:type="dxa"/>
            <w:tcBorders>
              <w:left w:val="single" w:sz="3" w:space="0" w:color="000000"/>
              <w:right w:val="single" w:sz="3" w:space="0" w:color="000000"/>
            </w:tcBorders>
          </w:tcPr>
          <w:p>
            <w:pPr>
              <w:pStyle w:val="TableParagraph"/>
              <w:spacing w:before="8"/>
              <w:ind w:left="114"/>
              <w:jc w:val="center"/>
              <w:rPr>
                <w:sz w:val="13"/>
              </w:rPr>
            </w:pPr>
            <w:r>
              <w:rPr>
                <w:w w:val="70"/>
                <w:sz w:val="13"/>
              </w:rPr>
              <w:t>0.02</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319" w:type="dxa"/>
            <w:tcBorders>
              <w:left w:val="single" w:sz="3" w:space="0" w:color="000000"/>
              <w:right w:val="single" w:sz="3" w:space="0" w:color="000000"/>
            </w:tcBorders>
          </w:tcPr>
          <w:p>
            <w:pPr>
              <w:pStyle w:val="TableParagraph"/>
              <w:spacing w:before="8"/>
              <w:ind w:left="120" w:right="-5"/>
              <w:jc w:val="left"/>
              <w:rPr>
                <w:sz w:val="13"/>
              </w:rPr>
            </w:pPr>
            <w:r>
              <w:rPr>
                <w:w w:val="70"/>
                <w:sz w:val="13"/>
              </w:rPr>
              <w:t>0.04</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-0.05</w:t>
            </w:r>
          </w:p>
        </w:tc>
        <w:tc>
          <w:tcPr>
            <w:tcW w:w="312" w:type="dxa"/>
            <w:tcBorders>
              <w:left w:val="single" w:sz="3" w:space="0" w:color="000000"/>
              <w:right w:val="single" w:sz="3" w:space="0" w:color="000000"/>
            </w:tcBorders>
          </w:tcPr>
          <w:p>
            <w:pPr>
              <w:pStyle w:val="TableParagraph"/>
              <w:spacing w:before="8"/>
              <w:ind w:left="113" w:right="-5"/>
              <w:jc w:val="left"/>
              <w:rPr>
                <w:sz w:val="13"/>
              </w:rPr>
            </w:pPr>
            <w:r>
              <w:rPr>
                <w:w w:val="70"/>
                <w:sz w:val="13"/>
              </w:rPr>
              <w:t>0.02</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284" w:type="dxa"/>
            <w:tcBorders>
              <w:left w:val="single" w:sz="3" w:space="0" w:color="000000"/>
              <w:right w:val="single" w:sz="3" w:space="0" w:color="000000"/>
            </w:tcBorders>
          </w:tcPr>
          <w:p>
            <w:pPr>
              <w:pStyle w:val="TableParagraph"/>
              <w:spacing w:before="8"/>
              <w:ind w:left="85" w:right="-6"/>
              <w:jc w:val="left"/>
              <w:rPr>
                <w:sz w:val="13"/>
              </w:rPr>
            </w:pPr>
            <w:r>
              <w:rPr>
                <w:w w:val="70"/>
                <w:sz w:val="13"/>
              </w:rPr>
              <w:t>0.04</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-0.05</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0.04</w:t>
            </w:r>
          </w:p>
        </w:tc>
        <w:tc>
          <w:tcPr>
            <w:tcW w:w="397" w:type="dxa"/>
            <w:tcBorders>
              <w:left w:val="single" w:sz="3" w:space="0" w:color="000000"/>
              <w:right w:val="single" w:sz="3" w:space="0" w:color="000000"/>
            </w:tcBorders>
          </w:tcPr>
          <w:p>
            <w:pPr>
              <w:pStyle w:val="TableParagraph"/>
              <w:spacing w:before="8"/>
              <w:ind w:right="10"/>
              <w:rPr>
                <w:sz w:val="13"/>
              </w:rPr>
            </w:pPr>
            <w:r>
              <w:rPr>
                <w:w w:val="70"/>
                <w:sz w:val="13"/>
              </w:rPr>
              <w:t>-0.02</w:t>
            </w:r>
          </w:p>
        </w:tc>
        <w:tc>
          <w:tcPr>
            <w:tcW w:w="355" w:type="dxa"/>
            <w:tcBorders>
              <w:left w:val="single" w:sz="3" w:space="0" w:color="000000"/>
              <w:right w:val="single" w:sz="3" w:space="0" w:color="000000"/>
            </w:tcBorders>
          </w:tcPr>
          <w:p>
            <w:pPr>
              <w:pStyle w:val="TableParagraph"/>
              <w:spacing w:before="8"/>
              <w:ind w:left="156" w:right="-6"/>
              <w:jc w:val="left"/>
              <w:rPr>
                <w:sz w:val="13"/>
              </w:rPr>
            </w:pPr>
            <w:r>
              <w:rPr>
                <w:w w:val="70"/>
                <w:sz w:val="13"/>
              </w:rPr>
              <w:t>0.04</w:t>
            </w:r>
          </w:p>
        </w:tc>
        <w:tc>
          <w:tcPr>
            <w:tcW w:w="341" w:type="dxa"/>
            <w:tcBorders>
              <w:left w:val="single" w:sz="3" w:space="0" w:color="000000"/>
              <w:right w:val="single" w:sz="3" w:space="0" w:color="000000"/>
            </w:tcBorders>
          </w:tcPr>
          <w:p>
            <w:pPr>
              <w:pStyle w:val="TableParagraph"/>
              <w:spacing w:before="8"/>
              <w:ind w:left="100"/>
              <w:jc w:val="center"/>
              <w:rPr>
                <w:sz w:val="13"/>
              </w:rPr>
            </w:pPr>
            <w:r>
              <w:rPr>
                <w:w w:val="70"/>
                <w:sz w:val="13"/>
              </w:rPr>
              <w:t>-0.02</w:t>
            </w:r>
          </w:p>
        </w:tc>
      </w:tr>
      <w:tr>
        <w:trPr>
          <w:trHeight w:val="170" w:hRule="exact"/>
        </w:trPr>
        <w:tc>
          <w:tcPr>
            <w:tcW w:w="575" w:type="dxa"/>
            <w:tcBorders>
              <w:left w:val="single" w:sz="3" w:space="0" w:color="000000"/>
              <w:right w:val="single" w:sz="3" w:space="0" w:color="000000"/>
            </w:tcBorders>
            <w:shd w:val="clear" w:color="auto" w:fill="DBEDF3"/>
          </w:tcPr>
          <w:p>
            <w:pPr>
              <w:pStyle w:val="TableParagraph"/>
              <w:spacing w:before="17"/>
              <w:ind w:left="14"/>
              <w:jc w:val="left"/>
              <w:rPr>
                <w:b/>
                <w:sz w:val="12"/>
              </w:rPr>
            </w:pPr>
            <w:r>
              <w:rPr>
                <w:b/>
                <w:w w:val="70"/>
                <w:sz w:val="12"/>
              </w:rPr>
              <w:t>Subsector 32</w:t>
            </w:r>
          </w:p>
        </w:tc>
        <w:tc>
          <w:tcPr>
            <w:tcW w:w="369" w:type="dxa"/>
            <w:tcBorders>
              <w:left w:val="single" w:sz="3" w:space="0" w:color="000000"/>
              <w:right w:val="single" w:sz="3" w:space="0" w:color="000000"/>
            </w:tcBorders>
          </w:tcPr>
          <w:p>
            <w:pPr>
              <w:pStyle w:val="TableParagraph"/>
              <w:spacing w:before="8"/>
              <w:ind w:left="142" w:right="-8"/>
              <w:jc w:val="left"/>
              <w:rPr>
                <w:sz w:val="13"/>
              </w:rPr>
            </w:pPr>
            <w:r>
              <w:rPr>
                <w:w w:val="70"/>
                <w:sz w:val="13"/>
              </w:rPr>
              <w:t>-0.07</w:t>
            </w:r>
          </w:p>
        </w:tc>
        <w:tc>
          <w:tcPr>
            <w:tcW w:w="419"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19" w:type="dxa"/>
            <w:tcBorders>
              <w:left w:val="single" w:sz="3" w:space="0" w:color="000000"/>
              <w:right w:val="single" w:sz="3" w:space="0" w:color="000000"/>
            </w:tcBorders>
          </w:tcPr>
          <w:p>
            <w:pPr>
              <w:pStyle w:val="TableParagraph"/>
              <w:spacing w:before="8"/>
              <w:ind w:left="56" w:right="-1"/>
              <w:jc w:val="left"/>
              <w:rPr>
                <w:sz w:val="13"/>
              </w:rPr>
            </w:pPr>
            <w:r>
              <w:rPr>
                <w:w w:val="80"/>
                <w:sz w:val="13"/>
              </w:rPr>
              <w:t>-0.05</w:t>
            </w:r>
          </w:p>
        </w:tc>
        <w:tc>
          <w:tcPr>
            <w:tcW w:w="390" w:type="dxa"/>
            <w:tcBorders>
              <w:left w:val="single" w:sz="3" w:space="0" w:color="000000"/>
              <w:right w:val="single" w:sz="3" w:space="0" w:color="000000"/>
            </w:tcBorders>
          </w:tcPr>
          <w:p>
            <w:pPr>
              <w:pStyle w:val="TableParagraph"/>
              <w:spacing w:before="8"/>
              <w:ind w:left="92" w:right="-14"/>
              <w:jc w:val="left"/>
              <w:rPr>
                <w:sz w:val="13"/>
              </w:rPr>
            </w:pPr>
            <w:r>
              <w:rPr>
                <w:w w:val="80"/>
                <w:sz w:val="13"/>
              </w:rPr>
              <w:t>-0.01</w:t>
            </w:r>
          </w:p>
        </w:tc>
        <w:tc>
          <w:tcPr>
            <w:tcW w:w="334" w:type="dxa"/>
            <w:tcBorders>
              <w:left w:val="single" w:sz="3" w:space="0" w:color="000000"/>
              <w:right w:val="single" w:sz="3" w:space="0" w:color="000000"/>
            </w:tcBorders>
          </w:tcPr>
          <w:p>
            <w:pPr>
              <w:pStyle w:val="TableParagraph"/>
              <w:spacing w:before="8"/>
              <w:ind w:left="106" w:right="-7"/>
              <w:jc w:val="left"/>
              <w:rPr>
                <w:sz w:val="13"/>
              </w:rPr>
            </w:pPr>
            <w:r>
              <w:rPr>
                <w:w w:val="70"/>
                <w:sz w:val="13"/>
              </w:rPr>
              <w:t>-0.05</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291" w:type="dxa"/>
            <w:tcBorders>
              <w:left w:val="single" w:sz="3" w:space="0" w:color="000000"/>
              <w:right w:val="single" w:sz="3" w:space="0" w:color="000000"/>
            </w:tcBorders>
          </w:tcPr>
          <w:p>
            <w:pPr>
              <w:pStyle w:val="TableParagraph"/>
              <w:spacing w:before="8"/>
              <w:ind w:left="63" w:right="-7"/>
              <w:jc w:val="left"/>
              <w:rPr>
                <w:sz w:val="13"/>
              </w:rPr>
            </w:pPr>
            <w:r>
              <w:rPr>
                <w:w w:val="70"/>
                <w:sz w:val="13"/>
              </w:rPr>
              <w:t>-0.02</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-0.02</w:t>
            </w:r>
          </w:p>
        </w:tc>
        <w:tc>
          <w:tcPr>
            <w:tcW w:w="326" w:type="dxa"/>
            <w:tcBorders>
              <w:left w:val="single" w:sz="3" w:space="0" w:color="000000"/>
              <w:right w:val="single" w:sz="3" w:space="0" w:color="000000"/>
            </w:tcBorders>
          </w:tcPr>
          <w:p>
            <w:pPr>
              <w:pStyle w:val="TableParagraph"/>
              <w:spacing w:before="8"/>
              <w:ind w:left="86"/>
              <w:jc w:val="center"/>
              <w:rPr>
                <w:sz w:val="13"/>
              </w:rPr>
            </w:pPr>
            <w:r>
              <w:rPr>
                <w:w w:val="70"/>
                <w:sz w:val="13"/>
              </w:rPr>
              <w:t>-0.03</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19" w:type="dxa"/>
            <w:tcBorders>
              <w:left w:val="single" w:sz="3" w:space="0" w:color="000000"/>
              <w:right w:val="single" w:sz="3" w:space="0" w:color="000000"/>
            </w:tcBorders>
          </w:tcPr>
          <w:p>
            <w:pPr>
              <w:pStyle w:val="TableParagraph"/>
              <w:spacing w:before="8"/>
              <w:ind w:left="92" w:right="-8"/>
              <w:jc w:val="left"/>
              <w:rPr>
                <w:sz w:val="13"/>
              </w:rPr>
            </w:pPr>
            <w:r>
              <w:rPr>
                <w:w w:val="70"/>
                <w:sz w:val="13"/>
              </w:rPr>
              <w:t>-0.06</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0.03</w:t>
            </w:r>
          </w:p>
        </w:tc>
        <w:tc>
          <w:tcPr>
            <w:tcW w:w="312" w:type="dxa"/>
            <w:tcBorders>
              <w:left w:val="single" w:sz="3" w:space="0" w:color="000000"/>
              <w:right w:val="single" w:sz="3" w:space="0" w:color="000000"/>
            </w:tcBorders>
          </w:tcPr>
          <w:p>
            <w:pPr>
              <w:pStyle w:val="TableParagraph"/>
              <w:spacing w:before="8"/>
              <w:ind w:left="85" w:right="-8"/>
              <w:jc w:val="left"/>
              <w:rPr>
                <w:sz w:val="13"/>
              </w:rPr>
            </w:pPr>
            <w:r>
              <w:rPr>
                <w:w w:val="70"/>
                <w:sz w:val="13"/>
              </w:rPr>
              <w:t>-0.02</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284" w:type="dxa"/>
            <w:tcBorders>
              <w:left w:val="single" w:sz="3" w:space="0" w:color="000000"/>
              <w:right w:val="single" w:sz="3" w:space="0" w:color="000000"/>
            </w:tcBorders>
          </w:tcPr>
          <w:p>
            <w:pPr>
              <w:pStyle w:val="TableParagraph"/>
              <w:spacing w:before="8"/>
              <w:ind w:left="56" w:right="-7"/>
              <w:jc w:val="left"/>
              <w:rPr>
                <w:sz w:val="13"/>
              </w:rPr>
            </w:pPr>
            <w:r>
              <w:rPr>
                <w:w w:val="70"/>
                <w:sz w:val="13"/>
              </w:rPr>
              <w:t>-0.01</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-0.02</w:t>
            </w:r>
          </w:p>
        </w:tc>
        <w:tc>
          <w:tcPr>
            <w:tcW w:w="397"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55" w:type="dxa"/>
            <w:tcBorders>
              <w:left w:val="single" w:sz="3" w:space="0" w:color="000000"/>
              <w:right w:val="single" w:sz="3" w:space="0" w:color="000000"/>
            </w:tcBorders>
          </w:tcPr>
          <w:p>
            <w:pPr>
              <w:pStyle w:val="TableParagraph"/>
              <w:spacing w:before="8"/>
              <w:ind w:left="127" w:right="-7"/>
              <w:jc w:val="left"/>
              <w:rPr>
                <w:sz w:val="13"/>
              </w:rPr>
            </w:pPr>
            <w:r>
              <w:rPr>
                <w:w w:val="70"/>
                <w:sz w:val="13"/>
              </w:rPr>
              <w:t>-0.02</w:t>
            </w:r>
          </w:p>
        </w:tc>
        <w:tc>
          <w:tcPr>
            <w:tcW w:w="341" w:type="dxa"/>
            <w:tcBorders>
              <w:left w:val="single" w:sz="3" w:space="0" w:color="000000"/>
              <w:right w:val="single" w:sz="3" w:space="0" w:color="000000"/>
            </w:tcBorders>
          </w:tcPr>
          <w:p>
            <w:pPr>
              <w:pStyle w:val="TableParagraph"/>
              <w:spacing w:before="8"/>
              <w:ind w:left="129"/>
              <w:jc w:val="center"/>
              <w:rPr>
                <w:sz w:val="13"/>
              </w:rPr>
            </w:pPr>
            <w:r>
              <w:rPr>
                <w:w w:val="70"/>
                <w:sz w:val="13"/>
              </w:rPr>
              <w:t>0.00</w:t>
            </w:r>
          </w:p>
        </w:tc>
      </w:tr>
      <w:tr>
        <w:trPr>
          <w:trHeight w:val="170" w:hRule="exact"/>
        </w:trPr>
        <w:tc>
          <w:tcPr>
            <w:tcW w:w="575" w:type="dxa"/>
            <w:tcBorders>
              <w:left w:val="single" w:sz="3" w:space="0" w:color="000000"/>
              <w:right w:val="single" w:sz="3" w:space="0" w:color="000000"/>
            </w:tcBorders>
            <w:shd w:val="clear" w:color="auto" w:fill="DBEDF3"/>
          </w:tcPr>
          <w:p>
            <w:pPr>
              <w:pStyle w:val="TableParagraph"/>
              <w:spacing w:before="17"/>
              <w:ind w:left="14"/>
              <w:jc w:val="left"/>
              <w:rPr>
                <w:b/>
                <w:sz w:val="12"/>
              </w:rPr>
            </w:pPr>
            <w:r>
              <w:rPr>
                <w:b/>
                <w:w w:val="70"/>
                <w:sz w:val="12"/>
              </w:rPr>
              <w:t>Subsector 33</w:t>
            </w:r>
          </w:p>
        </w:tc>
        <w:tc>
          <w:tcPr>
            <w:tcW w:w="369" w:type="dxa"/>
            <w:tcBorders>
              <w:left w:val="single" w:sz="3" w:space="0" w:color="000000"/>
              <w:right w:val="single" w:sz="3" w:space="0" w:color="000000"/>
            </w:tcBorders>
          </w:tcPr>
          <w:p>
            <w:pPr>
              <w:pStyle w:val="TableParagraph"/>
              <w:spacing w:before="8"/>
              <w:ind w:left="142" w:right="-8"/>
              <w:jc w:val="left"/>
              <w:rPr>
                <w:sz w:val="13"/>
              </w:rPr>
            </w:pPr>
            <w:r>
              <w:rPr>
                <w:w w:val="70"/>
                <w:sz w:val="13"/>
              </w:rPr>
              <w:t>-0.01</w:t>
            </w:r>
          </w:p>
        </w:tc>
        <w:tc>
          <w:tcPr>
            <w:tcW w:w="419"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19" w:type="dxa"/>
            <w:tcBorders>
              <w:left w:val="single" w:sz="3" w:space="0" w:color="000000"/>
              <w:right w:val="single" w:sz="3" w:space="0" w:color="000000"/>
            </w:tcBorders>
          </w:tcPr>
          <w:p>
            <w:pPr>
              <w:pStyle w:val="TableParagraph"/>
              <w:spacing w:before="8"/>
              <w:ind w:left="56" w:right="-1"/>
              <w:jc w:val="left"/>
              <w:rPr>
                <w:sz w:val="13"/>
              </w:rPr>
            </w:pPr>
            <w:r>
              <w:rPr>
                <w:w w:val="80"/>
                <w:sz w:val="13"/>
              </w:rPr>
              <w:t>-0.01</w:t>
            </w:r>
          </w:p>
        </w:tc>
        <w:tc>
          <w:tcPr>
            <w:tcW w:w="390" w:type="dxa"/>
            <w:tcBorders>
              <w:left w:val="single" w:sz="3" w:space="0" w:color="000000"/>
              <w:right w:val="single" w:sz="3" w:space="0" w:color="000000"/>
            </w:tcBorders>
          </w:tcPr>
          <w:p>
            <w:pPr>
              <w:pStyle w:val="TableParagraph"/>
              <w:spacing w:before="8"/>
              <w:ind w:left="106" w:right="-14"/>
              <w:jc w:val="left"/>
              <w:rPr>
                <w:sz w:val="13"/>
              </w:rPr>
            </w:pPr>
            <w:r>
              <w:rPr>
                <w:w w:val="80"/>
                <w:sz w:val="13"/>
              </w:rPr>
              <w:t>0.02</w:t>
            </w:r>
          </w:p>
        </w:tc>
        <w:tc>
          <w:tcPr>
            <w:tcW w:w="334" w:type="dxa"/>
            <w:tcBorders>
              <w:left w:val="single" w:sz="3" w:space="0" w:color="000000"/>
              <w:right w:val="single" w:sz="3" w:space="0" w:color="000000"/>
            </w:tcBorders>
          </w:tcPr>
          <w:p>
            <w:pPr>
              <w:pStyle w:val="TableParagraph"/>
              <w:spacing w:before="8"/>
              <w:ind w:left="106" w:right="-7"/>
              <w:jc w:val="left"/>
              <w:rPr>
                <w:sz w:val="13"/>
              </w:rPr>
            </w:pPr>
            <w:r>
              <w:rPr>
                <w:w w:val="70"/>
                <w:sz w:val="13"/>
              </w:rPr>
              <w:t>-0.01</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291" w:type="dxa"/>
            <w:tcBorders>
              <w:left w:val="single" w:sz="3" w:space="0" w:color="000000"/>
              <w:right w:val="single" w:sz="3" w:space="0" w:color="000000"/>
            </w:tcBorders>
          </w:tcPr>
          <w:p>
            <w:pPr>
              <w:pStyle w:val="TableParagraph"/>
              <w:spacing w:before="8"/>
              <w:ind w:left="92" w:right="-6"/>
              <w:jc w:val="left"/>
              <w:rPr>
                <w:sz w:val="13"/>
              </w:rPr>
            </w:pPr>
            <w:r>
              <w:rPr>
                <w:w w:val="70"/>
                <w:sz w:val="13"/>
              </w:rPr>
              <w:t>0.00</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26" w:type="dxa"/>
            <w:tcBorders>
              <w:left w:val="single" w:sz="3" w:space="0" w:color="000000"/>
              <w:right w:val="single" w:sz="3" w:space="0" w:color="000000"/>
            </w:tcBorders>
          </w:tcPr>
          <w:p>
            <w:pPr>
              <w:pStyle w:val="TableParagraph"/>
              <w:spacing w:before="8"/>
              <w:ind w:left="86"/>
              <w:jc w:val="center"/>
              <w:rPr>
                <w:sz w:val="13"/>
              </w:rPr>
            </w:pPr>
            <w:r>
              <w:rPr>
                <w:w w:val="70"/>
                <w:sz w:val="13"/>
              </w:rPr>
              <w:t>-0.01</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19" w:type="dxa"/>
            <w:tcBorders>
              <w:left w:val="single" w:sz="3" w:space="0" w:color="000000"/>
              <w:right w:val="single" w:sz="3" w:space="0" w:color="000000"/>
            </w:tcBorders>
          </w:tcPr>
          <w:p>
            <w:pPr>
              <w:pStyle w:val="TableParagraph"/>
              <w:spacing w:before="8"/>
              <w:ind w:left="92" w:right="-8"/>
              <w:jc w:val="left"/>
              <w:rPr>
                <w:sz w:val="13"/>
              </w:rPr>
            </w:pPr>
            <w:r>
              <w:rPr>
                <w:w w:val="70"/>
                <w:sz w:val="13"/>
              </w:rPr>
              <w:t>-0.01</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12" w:type="dxa"/>
            <w:tcBorders>
              <w:left w:val="single" w:sz="3" w:space="0" w:color="000000"/>
              <w:right w:val="single" w:sz="3" w:space="0" w:color="000000"/>
            </w:tcBorders>
          </w:tcPr>
          <w:p>
            <w:pPr>
              <w:pStyle w:val="TableParagraph"/>
              <w:spacing w:before="8"/>
              <w:ind w:left="85" w:right="-8"/>
              <w:jc w:val="left"/>
              <w:rPr>
                <w:sz w:val="13"/>
              </w:rPr>
            </w:pPr>
            <w:r>
              <w:rPr>
                <w:w w:val="70"/>
                <w:sz w:val="13"/>
              </w:rPr>
              <w:t>-0.01</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284" w:type="dxa"/>
            <w:tcBorders>
              <w:left w:val="single" w:sz="3" w:space="0" w:color="000000"/>
              <w:right w:val="single" w:sz="3" w:space="0" w:color="000000"/>
            </w:tcBorders>
          </w:tcPr>
          <w:p>
            <w:pPr>
              <w:pStyle w:val="TableParagraph"/>
              <w:spacing w:before="8"/>
              <w:ind w:left="85" w:right="-6"/>
              <w:jc w:val="left"/>
              <w:rPr>
                <w:sz w:val="13"/>
              </w:rPr>
            </w:pPr>
            <w:r>
              <w:rPr>
                <w:w w:val="70"/>
                <w:sz w:val="13"/>
              </w:rPr>
              <w:t>0.00</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97"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55" w:type="dxa"/>
            <w:tcBorders>
              <w:left w:val="single" w:sz="3" w:space="0" w:color="000000"/>
              <w:right w:val="single" w:sz="3" w:space="0" w:color="000000"/>
            </w:tcBorders>
          </w:tcPr>
          <w:p>
            <w:pPr>
              <w:pStyle w:val="TableParagraph"/>
              <w:spacing w:before="8"/>
              <w:ind w:left="156" w:right="-6"/>
              <w:jc w:val="left"/>
              <w:rPr>
                <w:sz w:val="13"/>
              </w:rPr>
            </w:pPr>
            <w:r>
              <w:rPr>
                <w:w w:val="70"/>
                <w:sz w:val="13"/>
              </w:rPr>
              <w:t>0.00</w:t>
            </w:r>
          </w:p>
        </w:tc>
        <w:tc>
          <w:tcPr>
            <w:tcW w:w="341" w:type="dxa"/>
            <w:tcBorders>
              <w:left w:val="single" w:sz="3" w:space="0" w:color="000000"/>
              <w:right w:val="single" w:sz="3" w:space="0" w:color="000000"/>
            </w:tcBorders>
          </w:tcPr>
          <w:p>
            <w:pPr>
              <w:pStyle w:val="TableParagraph"/>
              <w:spacing w:before="8"/>
              <w:ind w:left="129"/>
              <w:jc w:val="center"/>
              <w:rPr>
                <w:sz w:val="13"/>
              </w:rPr>
            </w:pPr>
            <w:r>
              <w:rPr>
                <w:w w:val="70"/>
                <w:sz w:val="13"/>
              </w:rPr>
              <w:t>0.00</w:t>
            </w:r>
          </w:p>
        </w:tc>
      </w:tr>
      <w:tr>
        <w:trPr>
          <w:trHeight w:val="170" w:hRule="exact"/>
        </w:trPr>
        <w:tc>
          <w:tcPr>
            <w:tcW w:w="575" w:type="dxa"/>
            <w:tcBorders>
              <w:left w:val="single" w:sz="3" w:space="0" w:color="000000"/>
              <w:right w:val="single" w:sz="3" w:space="0" w:color="000000"/>
            </w:tcBorders>
            <w:shd w:val="clear" w:color="auto" w:fill="DBEDF3"/>
          </w:tcPr>
          <w:p>
            <w:pPr>
              <w:pStyle w:val="TableParagraph"/>
              <w:spacing w:before="17"/>
              <w:ind w:left="14"/>
              <w:jc w:val="left"/>
              <w:rPr>
                <w:b/>
                <w:sz w:val="12"/>
              </w:rPr>
            </w:pPr>
            <w:r>
              <w:rPr>
                <w:b/>
                <w:w w:val="70"/>
                <w:sz w:val="12"/>
              </w:rPr>
              <w:t>Subsector 34</w:t>
            </w:r>
          </w:p>
        </w:tc>
        <w:tc>
          <w:tcPr>
            <w:tcW w:w="369" w:type="dxa"/>
            <w:tcBorders>
              <w:left w:val="single" w:sz="3" w:space="0" w:color="000000"/>
              <w:right w:val="single" w:sz="3" w:space="0" w:color="000000"/>
            </w:tcBorders>
          </w:tcPr>
          <w:p>
            <w:pPr>
              <w:pStyle w:val="TableParagraph"/>
              <w:spacing w:before="8"/>
              <w:ind w:left="142" w:right="-8"/>
              <w:jc w:val="left"/>
              <w:rPr>
                <w:sz w:val="13"/>
              </w:rPr>
            </w:pPr>
            <w:r>
              <w:rPr>
                <w:w w:val="70"/>
                <w:sz w:val="13"/>
              </w:rPr>
              <w:t>-0.08</w:t>
            </w:r>
          </w:p>
        </w:tc>
        <w:tc>
          <w:tcPr>
            <w:tcW w:w="419"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319" w:type="dxa"/>
            <w:tcBorders>
              <w:left w:val="single" w:sz="3" w:space="0" w:color="000000"/>
              <w:right w:val="single" w:sz="3" w:space="0" w:color="000000"/>
            </w:tcBorders>
          </w:tcPr>
          <w:p>
            <w:pPr>
              <w:pStyle w:val="TableParagraph"/>
              <w:spacing w:before="8"/>
              <w:ind w:left="56" w:right="-1"/>
              <w:jc w:val="left"/>
              <w:rPr>
                <w:sz w:val="13"/>
              </w:rPr>
            </w:pPr>
            <w:r>
              <w:rPr>
                <w:w w:val="80"/>
                <w:sz w:val="13"/>
              </w:rPr>
              <w:t>-0.07</w:t>
            </w:r>
          </w:p>
        </w:tc>
        <w:tc>
          <w:tcPr>
            <w:tcW w:w="390" w:type="dxa"/>
            <w:tcBorders>
              <w:left w:val="single" w:sz="3" w:space="0" w:color="000000"/>
              <w:right w:val="single" w:sz="3" w:space="0" w:color="000000"/>
            </w:tcBorders>
          </w:tcPr>
          <w:p>
            <w:pPr>
              <w:pStyle w:val="TableParagraph"/>
              <w:spacing w:before="8"/>
              <w:ind w:left="92" w:right="-14"/>
              <w:jc w:val="left"/>
              <w:rPr>
                <w:sz w:val="13"/>
              </w:rPr>
            </w:pPr>
            <w:r>
              <w:rPr>
                <w:w w:val="80"/>
                <w:sz w:val="13"/>
              </w:rPr>
              <w:t>-0.01</w:t>
            </w:r>
          </w:p>
        </w:tc>
        <w:tc>
          <w:tcPr>
            <w:tcW w:w="334" w:type="dxa"/>
            <w:tcBorders>
              <w:left w:val="single" w:sz="3" w:space="0" w:color="000000"/>
              <w:right w:val="single" w:sz="3" w:space="0" w:color="000000"/>
            </w:tcBorders>
          </w:tcPr>
          <w:p>
            <w:pPr>
              <w:pStyle w:val="TableParagraph"/>
              <w:spacing w:before="8"/>
              <w:ind w:left="134" w:right="-5"/>
              <w:jc w:val="left"/>
              <w:rPr>
                <w:sz w:val="13"/>
              </w:rPr>
            </w:pPr>
            <w:r>
              <w:rPr>
                <w:w w:val="70"/>
                <w:sz w:val="13"/>
              </w:rPr>
              <w:t>0.00</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291" w:type="dxa"/>
            <w:tcBorders>
              <w:left w:val="single" w:sz="3" w:space="0" w:color="000000"/>
              <w:right w:val="single" w:sz="3" w:space="0" w:color="000000"/>
            </w:tcBorders>
          </w:tcPr>
          <w:p>
            <w:pPr>
              <w:pStyle w:val="TableParagraph"/>
              <w:spacing w:before="8"/>
              <w:ind w:left="63" w:right="-7"/>
              <w:jc w:val="left"/>
              <w:rPr>
                <w:sz w:val="13"/>
              </w:rPr>
            </w:pPr>
            <w:r>
              <w:rPr>
                <w:w w:val="70"/>
                <w:sz w:val="13"/>
              </w:rPr>
              <w:t>-0.04</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326" w:type="dxa"/>
            <w:tcBorders>
              <w:left w:val="single" w:sz="3" w:space="0" w:color="000000"/>
              <w:right w:val="single" w:sz="3" w:space="0" w:color="000000"/>
            </w:tcBorders>
          </w:tcPr>
          <w:p>
            <w:pPr>
              <w:pStyle w:val="TableParagraph"/>
              <w:spacing w:before="8"/>
              <w:ind w:left="86"/>
              <w:jc w:val="center"/>
              <w:rPr>
                <w:sz w:val="13"/>
              </w:rPr>
            </w:pPr>
            <w:r>
              <w:rPr>
                <w:w w:val="70"/>
                <w:sz w:val="13"/>
              </w:rPr>
              <w:t>-0.07</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0.02</w:t>
            </w:r>
          </w:p>
        </w:tc>
        <w:tc>
          <w:tcPr>
            <w:tcW w:w="319" w:type="dxa"/>
            <w:tcBorders>
              <w:left w:val="single" w:sz="3" w:space="0" w:color="000000"/>
              <w:right w:val="single" w:sz="3" w:space="0" w:color="000000"/>
            </w:tcBorders>
          </w:tcPr>
          <w:p>
            <w:pPr>
              <w:pStyle w:val="TableParagraph"/>
              <w:spacing w:before="8"/>
              <w:ind w:left="92" w:right="-8"/>
              <w:jc w:val="left"/>
              <w:rPr>
                <w:sz w:val="13"/>
              </w:rPr>
            </w:pPr>
            <w:r>
              <w:rPr>
                <w:w w:val="70"/>
                <w:sz w:val="13"/>
              </w:rPr>
              <w:t>-0.03</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312" w:type="dxa"/>
            <w:tcBorders>
              <w:left w:val="single" w:sz="3" w:space="0" w:color="000000"/>
              <w:right w:val="single" w:sz="3" w:space="0" w:color="000000"/>
            </w:tcBorders>
          </w:tcPr>
          <w:p>
            <w:pPr>
              <w:pStyle w:val="TableParagraph"/>
              <w:spacing w:before="8"/>
              <w:ind w:left="85" w:right="-8"/>
              <w:jc w:val="left"/>
              <w:rPr>
                <w:sz w:val="13"/>
              </w:rPr>
            </w:pPr>
            <w:r>
              <w:rPr>
                <w:w w:val="70"/>
                <w:sz w:val="13"/>
              </w:rPr>
              <w:t>-0.04</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284" w:type="dxa"/>
            <w:tcBorders>
              <w:left w:val="single" w:sz="3" w:space="0" w:color="000000"/>
              <w:right w:val="single" w:sz="3" w:space="0" w:color="000000"/>
            </w:tcBorders>
          </w:tcPr>
          <w:p>
            <w:pPr>
              <w:pStyle w:val="TableParagraph"/>
              <w:spacing w:before="8"/>
              <w:ind w:left="56" w:right="-7"/>
              <w:jc w:val="left"/>
              <w:rPr>
                <w:sz w:val="13"/>
              </w:rPr>
            </w:pPr>
            <w:r>
              <w:rPr>
                <w:w w:val="70"/>
                <w:sz w:val="13"/>
              </w:rPr>
              <w:t>-0.06</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0.04</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-0.04</w:t>
            </w:r>
          </w:p>
        </w:tc>
        <w:tc>
          <w:tcPr>
            <w:tcW w:w="397" w:type="dxa"/>
            <w:tcBorders>
              <w:left w:val="single" w:sz="3" w:space="0" w:color="000000"/>
              <w:right w:val="single" w:sz="3" w:space="0" w:color="000000"/>
            </w:tcBorders>
          </w:tcPr>
          <w:p>
            <w:pPr>
              <w:pStyle w:val="TableParagraph"/>
              <w:spacing w:before="8"/>
              <w:ind w:right="10"/>
              <w:rPr>
                <w:sz w:val="13"/>
              </w:rPr>
            </w:pPr>
            <w:r>
              <w:rPr>
                <w:w w:val="70"/>
                <w:sz w:val="13"/>
              </w:rPr>
              <w:t>0.03</w:t>
            </w:r>
          </w:p>
        </w:tc>
        <w:tc>
          <w:tcPr>
            <w:tcW w:w="355" w:type="dxa"/>
            <w:tcBorders>
              <w:left w:val="single" w:sz="3" w:space="0" w:color="000000"/>
              <w:right w:val="single" w:sz="3" w:space="0" w:color="000000"/>
            </w:tcBorders>
          </w:tcPr>
          <w:p>
            <w:pPr>
              <w:pStyle w:val="TableParagraph"/>
              <w:spacing w:before="8"/>
              <w:ind w:left="127" w:right="-7"/>
              <w:jc w:val="left"/>
              <w:rPr>
                <w:sz w:val="13"/>
              </w:rPr>
            </w:pPr>
            <w:r>
              <w:rPr>
                <w:w w:val="70"/>
                <w:sz w:val="13"/>
              </w:rPr>
              <w:t>-0.04</w:t>
            </w:r>
          </w:p>
        </w:tc>
        <w:tc>
          <w:tcPr>
            <w:tcW w:w="341" w:type="dxa"/>
            <w:tcBorders>
              <w:left w:val="single" w:sz="3" w:space="0" w:color="000000"/>
              <w:right w:val="single" w:sz="3" w:space="0" w:color="000000"/>
            </w:tcBorders>
          </w:tcPr>
          <w:p>
            <w:pPr>
              <w:pStyle w:val="TableParagraph"/>
              <w:spacing w:before="8"/>
              <w:ind w:left="129"/>
              <w:jc w:val="center"/>
              <w:rPr>
                <w:sz w:val="13"/>
              </w:rPr>
            </w:pPr>
            <w:r>
              <w:rPr>
                <w:w w:val="70"/>
                <w:sz w:val="13"/>
              </w:rPr>
              <w:t>0.03</w:t>
            </w:r>
          </w:p>
        </w:tc>
      </w:tr>
      <w:tr>
        <w:trPr>
          <w:trHeight w:val="170" w:hRule="exact"/>
        </w:trPr>
        <w:tc>
          <w:tcPr>
            <w:tcW w:w="575" w:type="dxa"/>
            <w:tcBorders>
              <w:left w:val="single" w:sz="3" w:space="0" w:color="000000"/>
              <w:right w:val="single" w:sz="3" w:space="0" w:color="000000"/>
            </w:tcBorders>
            <w:shd w:val="clear" w:color="auto" w:fill="DBEDF3"/>
          </w:tcPr>
          <w:p>
            <w:pPr>
              <w:pStyle w:val="TableParagraph"/>
              <w:spacing w:before="17"/>
              <w:ind w:left="14"/>
              <w:jc w:val="left"/>
              <w:rPr>
                <w:b/>
                <w:sz w:val="12"/>
              </w:rPr>
            </w:pPr>
            <w:r>
              <w:rPr>
                <w:b/>
                <w:w w:val="70"/>
                <w:sz w:val="12"/>
              </w:rPr>
              <w:t>Subsector 35</w:t>
            </w:r>
          </w:p>
        </w:tc>
        <w:tc>
          <w:tcPr>
            <w:tcW w:w="369" w:type="dxa"/>
            <w:tcBorders>
              <w:left w:val="single" w:sz="3" w:space="0" w:color="000000"/>
              <w:right w:val="single" w:sz="3" w:space="0" w:color="000000"/>
            </w:tcBorders>
          </w:tcPr>
          <w:p>
            <w:pPr>
              <w:pStyle w:val="TableParagraph"/>
              <w:spacing w:before="8"/>
              <w:ind w:left="170" w:right="-6"/>
              <w:jc w:val="left"/>
              <w:rPr>
                <w:sz w:val="13"/>
              </w:rPr>
            </w:pPr>
            <w:r>
              <w:rPr>
                <w:w w:val="70"/>
                <w:sz w:val="13"/>
              </w:rPr>
              <w:t>0.02</w:t>
            </w:r>
          </w:p>
        </w:tc>
        <w:tc>
          <w:tcPr>
            <w:tcW w:w="419"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319" w:type="dxa"/>
            <w:tcBorders>
              <w:left w:val="single" w:sz="3" w:space="0" w:color="000000"/>
              <w:right w:val="single" w:sz="3" w:space="0" w:color="000000"/>
            </w:tcBorders>
          </w:tcPr>
          <w:p>
            <w:pPr>
              <w:pStyle w:val="TableParagraph"/>
              <w:spacing w:before="8"/>
              <w:ind w:left="70" w:right="-1"/>
              <w:jc w:val="left"/>
              <w:rPr>
                <w:sz w:val="13"/>
              </w:rPr>
            </w:pPr>
            <w:r>
              <w:rPr>
                <w:w w:val="80"/>
                <w:sz w:val="13"/>
              </w:rPr>
              <w:t>0.00</w:t>
            </w:r>
          </w:p>
        </w:tc>
        <w:tc>
          <w:tcPr>
            <w:tcW w:w="390" w:type="dxa"/>
            <w:tcBorders>
              <w:left w:val="single" w:sz="3" w:space="0" w:color="000000"/>
              <w:right w:val="single" w:sz="3" w:space="0" w:color="000000"/>
            </w:tcBorders>
          </w:tcPr>
          <w:p>
            <w:pPr>
              <w:pStyle w:val="TableParagraph"/>
              <w:spacing w:before="8"/>
              <w:ind w:left="106" w:right="-14"/>
              <w:jc w:val="left"/>
              <w:rPr>
                <w:sz w:val="13"/>
              </w:rPr>
            </w:pPr>
            <w:r>
              <w:rPr>
                <w:w w:val="80"/>
                <w:sz w:val="13"/>
              </w:rPr>
              <w:t>0.01</w:t>
            </w:r>
          </w:p>
        </w:tc>
        <w:tc>
          <w:tcPr>
            <w:tcW w:w="334" w:type="dxa"/>
            <w:tcBorders>
              <w:left w:val="single" w:sz="3" w:space="0" w:color="000000"/>
              <w:right w:val="single" w:sz="3" w:space="0" w:color="000000"/>
            </w:tcBorders>
          </w:tcPr>
          <w:p>
            <w:pPr>
              <w:pStyle w:val="TableParagraph"/>
              <w:spacing w:before="8"/>
              <w:ind w:left="106" w:right="-7"/>
              <w:jc w:val="left"/>
              <w:rPr>
                <w:sz w:val="13"/>
              </w:rPr>
            </w:pPr>
            <w:r>
              <w:rPr>
                <w:w w:val="70"/>
                <w:sz w:val="13"/>
              </w:rPr>
              <w:t>-0.02</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291" w:type="dxa"/>
            <w:tcBorders>
              <w:left w:val="single" w:sz="3" w:space="0" w:color="000000"/>
              <w:right w:val="single" w:sz="3" w:space="0" w:color="000000"/>
            </w:tcBorders>
          </w:tcPr>
          <w:p>
            <w:pPr>
              <w:pStyle w:val="TableParagraph"/>
              <w:spacing w:before="8"/>
              <w:ind w:left="92" w:right="-6"/>
              <w:jc w:val="left"/>
              <w:rPr>
                <w:sz w:val="13"/>
              </w:rPr>
            </w:pPr>
            <w:r>
              <w:rPr>
                <w:w w:val="70"/>
                <w:sz w:val="13"/>
              </w:rPr>
              <w:t>0.04</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326" w:type="dxa"/>
            <w:tcBorders>
              <w:left w:val="single" w:sz="3" w:space="0" w:color="000000"/>
              <w:right w:val="single" w:sz="3" w:space="0" w:color="000000"/>
            </w:tcBorders>
          </w:tcPr>
          <w:p>
            <w:pPr>
              <w:pStyle w:val="TableParagraph"/>
              <w:spacing w:before="8"/>
              <w:ind w:left="114"/>
              <w:jc w:val="center"/>
              <w:rPr>
                <w:sz w:val="13"/>
              </w:rPr>
            </w:pPr>
            <w:r>
              <w:rPr>
                <w:w w:val="70"/>
                <w:sz w:val="13"/>
              </w:rPr>
              <w:t>0.04</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19" w:type="dxa"/>
            <w:tcBorders>
              <w:left w:val="single" w:sz="3" w:space="0" w:color="000000"/>
              <w:right w:val="single" w:sz="3" w:space="0" w:color="000000"/>
            </w:tcBorders>
          </w:tcPr>
          <w:p>
            <w:pPr>
              <w:pStyle w:val="TableParagraph"/>
              <w:spacing w:before="8"/>
              <w:ind w:left="92" w:right="-8"/>
              <w:jc w:val="left"/>
              <w:rPr>
                <w:sz w:val="13"/>
              </w:rPr>
            </w:pPr>
            <w:r>
              <w:rPr>
                <w:w w:val="70"/>
                <w:sz w:val="13"/>
              </w:rPr>
              <w:t>-0.02</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0.03</w:t>
            </w:r>
          </w:p>
        </w:tc>
        <w:tc>
          <w:tcPr>
            <w:tcW w:w="312" w:type="dxa"/>
            <w:tcBorders>
              <w:left w:val="single" w:sz="3" w:space="0" w:color="000000"/>
              <w:right w:val="single" w:sz="3" w:space="0" w:color="000000"/>
            </w:tcBorders>
          </w:tcPr>
          <w:p>
            <w:pPr>
              <w:pStyle w:val="TableParagraph"/>
              <w:spacing w:before="8"/>
              <w:ind w:left="113" w:right="-5"/>
              <w:jc w:val="left"/>
              <w:rPr>
                <w:sz w:val="13"/>
              </w:rPr>
            </w:pPr>
            <w:r>
              <w:rPr>
                <w:w w:val="70"/>
                <w:sz w:val="13"/>
              </w:rPr>
              <w:t>0.02</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284" w:type="dxa"/>
            <w:tcBorders>
              <w:left w:val="single" w:sz="3" w:space="0" w:color="000000"/>
              <w:right w:val="single" w:sz="3" w:space="0" w:color="000000"/>
            </w:tcBorders>
          </w:tcPr>
          <w:p>
            <w:pPr>
              <w:pStyle w:val="TableParagraph"/>
              <w:spacing w:before="8"/>
              <w:ind w:left="85" w:right="-6"/>
              <w:jc w:val="left"/>
              <w:rPr>
                <w:sz w:val="13"/>
              </w:rPr>
            </w:pPr>
            <w:r>
              <w:rPr>
                <w:w w:val="70"/>
                <w:sz w:val="13"/>
              </w:rPr>
              <w:t>0.03</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0.03</w:t>
            </w:r>
          </w:p>
        </w:tc>
        <w:tc>
          <w:tcPr>
            <w:tcW w:w="397"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355" w:type="dxa"/>
            <w:tcBorders>
              <w:left w:val="single" w:sz="3" w:space="0" w:color="000000"/>
              <w:right w:val="single" w:sz="3" w:space="0" w:color="000000"/>
            </w:tcBorders>
          </w:tcPr>
          <w:p>
            <w:pPr>
              <w:pStyle w:val="TableParagraph"/>
              <w:spacing w:before="8"/>
              <w:ind w:left="156" w:right="-6"/>
              <w:jc w:val="left"/>
              <w:rPr>
                <w:sz w:val="13"/>
              </w:rPr>
            </w:pPr>
            <w:r>
              <w:rPr>
                <w:w w:val="70"/>
                <w:sz w:val="13"/>
              </w:rPr>
              <w:t>0.03</w:t>
            </w:r>
          </w:p>
        </w:tc>
        <w:tc>
          <w:tcPr>
            <w:tcW w:w="341" w:type="dxa"/>
            <w:tcBorders>
              <w:left w:val="single" w:sz="3" w:space="0" w:color="000000"/>
              <w:right w:val="single" w:sz="3" w:space="0" w:color="000000"/>
            </w:tcBorders>
          </w:tcPr>
          <w:p>
            <w:pPr>
              <w:pStyle w:val="TableParagraph"/>
              <w:spacing w:before="8"/>
              <w:ind w:left="129"/>
              <w:jc w:val="center"/>
              <w:rPr>
                <w:sz w:val="13"/>
              </w:rPr>
            </w:pPr>
            <w:r>
              <w:rPr>
                <w:w w:val="70"/>
                <w:sz w:val="13"/>
              </w:rPr>
              <w:t>0.01</w:t>
            </w:r>
          </w:p>
        </w:tc>
      </w:tr>
      <w:tr>
        <w:trPr>
          <w:trHeight w:val="170" w:hRule="exact"/>
        </w:trPr>
        <w:tc>
          <w:tcPr>
            <w:tcW w:w="575" w:type="dxa"/>
            <w:tcBorders>
              <w:left w:val="single" w:sz="3" w:space="0" w:color="000000"/>
              <w:right w:val="single" w:sz="3" w:space="0" w:color="000000"/>
            </w:tcBorders>
            <w:shd w:val="clear" w:color="auto" w:fill="DBEDF3"/>
          </w:tcPr>
          <w:p>
            <w:pPr>
              <w:pStyle w:val="TableParagraph"/>
              <w:spacing w:before="17"/>
              <w:ind w:left="14"/>
              <w:jc w:val="left"/>
              <w:rPr>
                <w:b/>
                <w:sz w:val="12"/>
              </w:rPr>
            </w:pPr>
            <w:r>
              <w:rPr>
                <w:b/>
                <w:w w:val="70"/>
                <w:sz w:val="12"/>
              </w:rPr>
              <w:t>Subsector 36</w:t>
            </w:r>
          </w:p>
        </w:tc>
        <w:tc>
          <w:tcPr>
            <w:tcW w:w="369" w:type="dxa"/>
            <w:tcBorders>
              <w:left w:val="single" w:sz="3" w:space="0" w:color="000000"/>
              <w:right w:val="single" w:sz="3" w:space="0" w:color="000000"/>
            </w:tcBorders>
          </w:tcPr>
          <w:p>
            <w:pPr>
              <w:pStyle w:val="TableParagraph"/>
              <w:spacing w:before="8"/>
              <w:ind w:left="142" w:right="-8"/>
              <w:jc w:val="left"/>
              <w:rPr>
                <w:sz w:val="13"/>
              </w:rPr>
            </w:pPr>
            <w:r>
              <w:rPr>
                <w:w w:val="70"/>
                <w:sz w:val="13"/>
              </w:rPr>
              <w:t>-0.05</w:t>
            </w:r>
          </w:p>
        </w:tc>
        <w:tc>
          <w:tcPr>
            <w:tcW w:w="419"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319" w:type="dxa"/>
            <w:tcBorders>
              <w:left w:val="single" w:sz="3" w:space="0" w:color="000000"/>
              <w:right w:val="single" w:sz="3" w:space="0" w:color="000000"/>
            </w:tcBorders>
          </w:tcPr>
          <w:p>
            <w:pPr>
              <w:pStyle w:val="TableParagraph"/>
              <w:spacing w:before="8"/>
              <w:ind w:left="56" w:right="-1"/>
              <w:jc w:val="left"/>
              <w:rPr>
                <w:sz w:val="13"/>
              </w:rPr>
            </w:pPr>
            <w:r>
              <w:rPr>
                <w:w w:val="80"/>
                <w:sz w:val="13"/>
              </w:rPr>
              <w:t>-0.05</w:t>
            </w:r>
          </w:p>
        </w:tc>
        <w:tc>
          <w:tcPr>
            <w:tcW w:w="390" w:type="dxa"/>
            <w:tcBorders>
              <w:left w:val="single" w:sz="3" w:space="0" w:color="000000"/>
              <w:right w:val="single" w:sz="3" w:space="0" w:color="000000"/>
            </w:tcBorders>
          </w:tcPr>
          <w:p>
            <w:pPr>
              <w:pStyle w:val="TableParagraph"/>
              <w:spacing w:before="8"/>
              <w:ind w:left="106" w:right="-14"/>
              <w:jc w:val="left"/>
              <w:rPr>
                <w:sz w:val="13"/>
              </w:rPr>
            </w:pPr>
            <w:r>
              <w:rPr>
                <w:w w:val="80"/>
                <w:sz w:val="13"/>
              </w:rPr>
              <w:t>0.00</w:t>
            </w:r>
          </w:p>
        </w:tc>
        <w:tc>
          <w:tcPr>
            <w:tcW w:w="334" w:type="dxa"/>
            <w:tcBorders>
              <w:left w:val="single" w:sz="3" w:space="0" w:color="000000"/>
              <w:right w:val="single" w:sz="3" w:space="0" w:color="000000"/>
            </w:tcBorders>
          </w:tcPr>
          <w:p>
            <w:pPr>
              <w:pStyle w:val="TableParagraph"/>
              <w:spacing w:before="8"/>
              <w:ind w:left="106" w:right="-7"/>
              <w:jc w:val="left"/>
              <w:rPr>
                <w:sz w:val="13"/>
              </w:rPr>
            </w:pPr>
            <w:r>
              <w:rPr>
                <w:w w:val="70"/>
                <w:sz w:val="13"/>
              </w:rPr>
              <w:t>-0.03</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291" w:type="dxa"/>
            <w:tcBorders>
              <w:left w:val="single" w:sz="3" w:space="0" w:color="000000"/>
              <w:right w:val="single" w:sz="3" w:space="0" w:color="000000"/>
            </w:tcBorders>
          </w:tcPr>
          <w:p>
            <w:pPr>
              <w:pStyle w:val="TableParagraph"/>
              <w:spacing w:before="8"/>
              <w:ind w:left="63" w:right="-7"/>
              <w:jc w:val="left"/>
              <w:rPr>
                <w:sz w:val="13"/>
              </w:rPr>
            </w:pPr>
            <w:r>
              <w:rPr>
                <w:w w:val="70"/>
                <w:sz w:val="13"/>
              </w:rPr>
              <w:t>-0.03</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26" w:type="dxa"/>
            <w:tcBorders>
              <w:left w:val="single" w:sz="3" w:space="0" w:color="000000"/>
              <w:right w:val="single" w:sz="3" w:space="0" w:color="000000"/>
            </w:tcBorders>
          </w:tcPr>
          <w:p>
            <w:pPr>
              <w:pStyle w:val="TableParagraph"/>
              <w:spacing w:before="8"/>
              <w:ind w:left="86"/>
              <w:jc w:val="center"/>
              <w:rPr>
                <w:sz w:val="13"/>
              </w:rPr>
            </w:pPr>
            <w:r>
              <w:rPr>
                <w:w w:val="70"/>
                <w:sz w:val="13"/>
              </w:rPr>
              <w:t>-0.03</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19" w:type="dxa"/>
            <w:tcBorders>
              <w:left w:val="single" w:sz="3" w:space="0" w:color="000000"/>
              <w:right w:val="single" w:sz="3" w:space="0" w:color="000000"/>
            </w:tcBorders>
          </w:tcPr>
          <w:p>
            <w:pPr>
              <w:pStyle w:val="TableParagraph"/>
              <w:spacing w:before="8"/>
              <w:ind w:left="92" w:right="-8"/>
              <w:jc w:val="left"/>
              <w:rPr>
                <w:sz w:val="13"/>
              </w:rPr>
            </w:pPr>
            <w:r>
              <w:rPr>
                <w:w w:val="70"/>
                <w:sz w:val="13"/>
              </w:rPr>
              <w:t>-0.06</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312" w:type="dxa"/>
            <w:tcBorders>
              <w:left w:val="single" w:sz="3" w:space="0" w:color="000000"/>
              <w:right w:val="single" w:sz="3" w:space="0" w:color="000000"/>
            </w:tcBorders>
          </w:tcPr>
          <w:p>
            <w:pPr>
              <w:pStyle w:val="TableParagraph"/>
              <w:spacing w:before="8"/>
              <w:ind w:left="85" w:right="-8"/>
              <w:jc w:val="left"/>
              <w:rPr>
                <w:sz w:val="13"/>
              </w:rPr>
            </w:pPr>
            <w:r>
              <w:rPr>
                <w:w w:val="70"/>
                <w:sz w:val="13"/>
              </w:rPr>
              <w:t>-0.04</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284" w:type="dxa"/>
            <w:tcBorders>
              <w:left w:val="single" w:sz="3" w:space="0" w:color="000000"/>
              <w:right w:val="single" w:sz="3" w:space="0" w:color="000000"/>
            </w:tcBorders>
          </w:tcPr>
          <w:p>
            <w:pPr>
              <w:pStyle w:val="TableParagraph"/>
              <w:spacing w:before="8"/>
              <w:ind w:left="56" w:right="-7"/>
              <w:jc w:val="left"/>
              <w:rPr>
                <w:sz w:val="13"/>
              </w:rPr>
            </w:pPr>
            <w:r>
              <w:rPr>
                <w:w w:val="70"/>
                <w:sz w:val="13"/>
              </w:rPr>
              <w:t>-0.06</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0.02</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397"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55" w:type="dxa"/>
            <w:tcBorders>
              <w:left w:val="single" w:sz="3" w:space="0" w:color="000000"/>
              <w:right w:val="single" w:sz="3" w:space="0" w:color="000000"/>
            </w:tcBorders>
          </w:tcPr>
          <w:p>
            <w:pPr>
              <w:pStyle w:val="TableParagraph"/>
              <w:spacing w:before="8"/>
              <w:ind w:left="127" w:right="-7"/>
              <w:jc w:val="left"/>
              <w:rPr>
                <w:sz w:val="13"/>
              </w:rPr>
            </w:pPr>
            <w:r>
              <w:rPr>
                <w:w w:val="70"/>
                <w:sz w:val="13"/>
              </w:rPr>
              <w:t>-0.01</w:t>
            </w:r>
          </w:p>
        </w:tc>
        <w:tc>
          <w:tcPr>
            <w:tcW w:w="341" w:type="dxa"/>
            <w:tcBorders>
              <w:left w:val="single" w:sz="3" w:space="0" w:color="000000"/>
              <w:right w:val="single" w:sz="3" w:space="0" w:color="000000"/>
            </w:tcBorders>
          </w:tcPr>
          <w:p>
            <w:pPr>
              <w:pStyle w:val="TableParagraph"/>
              <w:spacing w:before="8"/>
              <w:ind w:left="129"/>
              <w:jc w:val="center"/>
              <w:rPr>
                <w:sz w:val="13"/>
              </w:rPr>
            </w:pPr>
            <w:r>
              <w:rPr>
                <w:w w:val="70"/>
                <w:sz w:val="13"/>
              </w:rPr>
              <w:t>0.00</w:t>
            </w:r>
          </w:p>
        </w:tc>
      </w:tr>
      <w:tr>
        <w:trPr>
          <w:trHeight w:val="170" w:hRule="exact"/>
        </w:trPr>
        <w:tc>
          <w:tcPr>
            <w:tcW w:w="575" w:type="dxa"/>
            <w:tcBorders>
              <w:left w:val="single" w:sz="3" w:space="0" w:color="000000"/>
              <w:right w:val="single" w:sz="3" w:space="0" w:color="000000"/>
            </w:tcBorders>
            <w:shd w:val="clear" w:color="auto" w:fill="DBEDF3"/>
          </w:tcPr>
          <w:p>
            <w:pPr>
              <w:pStyle w:val="TableParagraph"/>
              <w:spacing w:before="17"/>
              <w:ind w:left="14"/>
              <w:jc w:val="left"/>
              <w:rPr>
                <w:b/>
                <w:sz w:val="12"/>
              </w:rPr>
            </w:pPr>
            <w:r>
              <w:rPr>
                <w:b/>
                <w:w w:val="70"/>
                <w:sz w:val="12"/>
              </w:rPr>
              <w:t>Subsector 37</w:t>
            </w:r>
          </w:p>
        </w:tc>
        <w:tc>
          <w:tcPr>
            <w:tcW w:w="369" w:type="dxa"/>
            <w:tcBorders>
              <w:left w:val="single" w:sz="3" w:space="0" w:color="000000"/>
              <w:right w:val="single" w:sz="3" w:space="0" w:color="000000"/>
            </w:tcBorders>
          </w:tcPr>
          <w:p>
            <w:pPr>
              <w:pStyle w:val="TableParagraph"/>
              <w:spacing w:before="8"/>
              <w:ind w:left="142" w:right="-8"/>
              <w:jc w:val="left"/>
              <w:rPr>
                <w:sz w:val="13"/>
              </w:rPr>
            </w:pPr>
            <w:r>
              <w:rPr>
                <w:w w:val="70"/>
                <w:sz w:val="13"/>
              </w:rPr>
              <w:t>-0.06</w:t>
            </w:r>
          </w:p>
        </w:tc>
        <w:tc>
          <w:tcPr>
            <w:tcW w:w="419"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319" w:type="dxa"/>
            <w:tcBorders>
              <w:left w:val="single" w:sz="3" w:space="0" w:color="000000"/>
              <w:right w:val="single" w:sz="3" w:space="0" w:color="000000"/>
            </w:tcBorders>
          </w:tcPr>
          <w:p>
            <w:pPr>
              <w:pStyle w:val="TableParagraph"/>
              <w:spacing w:before="8"/>
              <w:ind w:left="56" w:right="-1"/>
              <w:jc w:val="left"/>
              <w:rPr>
                <w:sz w:val="13"/>
              </w:rPr>
            </w:pPr>
            <w:r>
              <w:rPr>
                <w:w w:val="80"/>
                <w:sz w:val="13"/>
              </w:rPr>
              <w:t>-0.07</w:t>
            </w:r>
          </w:p>
        </w:tc>
        <w:tc>
          <w:tcPr>
            <w:tcW w:w="390" w:type="dxa"/>
            <w:tcBorders>
              <w:left w:val="single" w:sz="3" w:space="0" w:color="000000"/>
              <w:right w:val="single" w:sz="3" w:space="0" w:color="000000"/>
            </w:tcBorders>
          </w:tcPr>
          <w:p>
            <w:pPr>
              <w:pStyle w:val="TableParagraph"/>
              <w:spacing w:before="8"/>
              <w:ind w:left="106" w:right="-14"/>
              <w:jc w:val="left"/>
              <w:rPr>
                <w:sz w:val="13"/>
              </w:rPr>
            </w:pPr>
            <w:r>
              <w:rPr>
                <w:w w:val="80"/>
                <w:sz w:val="13"/>
              </w:rPr>
              <w:t>0.01</w:t>
            </w:r>
          </w:p>
        </w:tc>
        <w:tc>
          <w:tcPr>
            <w:tcW w:w="334" w:type="dxa"/>
            <w:tcBorders>
              <w:left w:val="single" w:sz="3" w:space="0" w:color="000000"/>
              <w:right w:val="single" w:sz="3" w:space="0" w:color="000000"/>
            </w:tcBorders>
          </w:tcPr>
          <w:p>
            <w:pPr>
              <w:pStyle w:val="TableParagraph"/>
              <w:spacing w:before="8"/>
              <w:ind w:left="106" w:right="-7"/>
              <w:jc w:val="left"/>
              <w:rPr>
                <w:sz w:val="13"/>
              </w:rPr>
            </w:pPr>
            <w:r>
              <w:rPr>
                <w:w w:val="70"/>
                <w:sz w:val="13"/>
              </w:rPr>
              <w:t>-0.04</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291" w:type="dxa"/>
            <w:tcBorders>
              <w:left w:val="single" w:sz="3" w:space="0" w:color="000000"/>
              <w:right w:val="single" w:sz="3" w:space="0" w:color="000000"/>
            </w:tcBorders>
          </w:tcPr>
          <w:p>
            <w:pPr>
              <w:pStyle w:val="TableParagraph"/>
              <w:spacing w:before="8"/>
              <w:ind w:left="63" w:right="-7"/>
              <w:jc w:val="left"/>
              <w:rPr>
                <w:sz w:val="13"/>
              </w:rPr>
            </w:pPr>
            <w:r>
              <w:rPr>
                <w:w w:val="70"/>
                <w:sz w:val="13"/>
              </w:rPr>
              <w:t>-0.04</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326" w:type="dxa"/>
            <w:tcBorders>
              <w:left w:val="single" w:sz="3" w:space="0" w:color="000000"/>
              <w:right w:val="single" w:sz="3" w:space="0" w:color="000000"/>
            </w:tcBorders>
          </w:tcPr>
          <w:p>
            <w:pPr>
              <w:pStyle w:val="TableParagraph"/>
              <w:spacing w:before="8"/>
              <w:ind w:left="86"/>
              <w:jc w:val="center"/>
              <w:rPr>
                <w:sz w:val="13"/>
              </w:rPr>
            </w:pPr>
            <w:r>
              <w:rPr>
                <w:w w:val="70"/>
                <w:sz w:val="13"/>
              </w:rPr>
              <w:t>-0.03</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319" w:type="dxa"/>
            <w:tcBorders>
              <w:left w:val="single" w:sz="3" w:space="0" w:color="000000"/>
              <w:right w:val="single" w:sz="3" w:space="0" w:color="000000"/>
            </w:tcBorders>
          </w:tcPr>
          <w:p>
            <w:pPr>
              <w:pStyle w:val="TableParagraph"/>
              <w:spacing w:before="8"/>
              <w:ind w:left="92" w:right="-8"/>
              <w:jc w:val="left"/>
              <w:rPr>
                <w:sz w:val="13"/>
              </w:rPr>
            </w:pPr>
            <w:r>
              <w:rPr>
                <w:w w:val="70"/>
                <w:sz w:val="13"/>
              </w:rPr>
              <w:t>-0.02</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12" w:type="dxa"/>
            <w:tcBorders>
              <w:left w:val="single" w:sz="3" w:space="0" w:color="000000"/>
              <w:right w:val="single" w:sz="3" w:space="0" w:color="000000"/>
            </w:tcBorders>
          </w:tcPr>
          <w:p>
            <w:pPr>
              <w:pStyle w:val="TableParagraph"/>
              <w:spacing w:before="8"/>
              <w:ind w:left="85" w:right="-8"/>
              <w:jc w:val="left"/>
              <w:rPr>
                <w:sz w:val="13"/>
              </w:rPr>
            </w:pPr>
            <w:r>
              <w:rPr>
                <w:w w:val="70"/>
                <w:sz w:val="13"/>
              </w:rPr>
              <w:t>-0.02</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284" w:type="dxa"/>
            <w:tcBorders>
              <w:left w:val="single" w:sz="3" w:space="0" w:color="000000"/>
              <w:right w:val="single" w:sz="3" w:space="0" w:color="000000"/>
            </w:tcBorders>
          </w:tcPr>
          <w:p>
            <w:pPr>
              <w:pStyle w:val="TableParagraph"/>
              <w:spacing w:before="8"/>
              <w:ind w:left="56" w:right="-7"/>
              <w:jc w:val="left"/>
              <w:rPr>
                <w:sz w:val="13"/>
              </w:rPr>
            </w:pPr>
            <w:r>
              <w:rPr>
                <w:w w:val="70"/>
                <w:sz w:val="13"/>
              </w:rPr>
              <w:t>-0.01</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-0.02</w:t>
            </w:r>
          </w:p>
        </w:tc>
        <w:tc>
          <w:tcPr>
            <w:tcW w:w="397"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55" w:type="dxa"/>
            <w:tcBorders>
              <w:left w:val="single" w:sz="3" w:space="0" w:color="000000"/>
              <w:right w:val="single" w:sz="3" w:space="0" w:color="000000"/>
            </w:tcBorders>
          </w:tcPr>
          <w:p>
            <w:pPr>
              <w:pStyle w:val="TableParagraph"/>
              <w:spacing w:before="8"/>
              <w:ind w:left="127" w:right="-7"/>
              <w:jc w:val="left"/>
              <w:rPr>
                <w:sz w:val="13"/>
              </w:rPr>
            </w:pPr>
            <w:r>
              <w:rPr>
                <w:w w:val="70"/>
                <w:sz w:val="13"/>
              </w:rPr>
              <w:t>-0.02</w:t>
            </w:r>
          </w:p>
        </w:tc>
        <w:tc>
          <w:tcPr>
            <w:tcW w:w="341" w:type="dxa"/>
            <w:tcBorders>
              <w:left w:val="single" w:sz="3" w:space="0" w:color="000000"/>
              <w:right w:val="single" w:sz="3" w:space="0" w:color="000000"/>
            </w:tcBorders>
          </w:tcPr>
          <w:p>
            <w:pPr>
              <w:pStyle w:val="TableParagraph"/>
              <w:spacing w:before="8"/>
              <w:ind w:left="129"/>
              <w:jc w:val="center"/>
              <w:rPr>
                <w:sz w:val="13"/>
              </w:rPr>
            </w:pPr>
            <w:r>
              <w:rPr>
                <w:w w:val="70"/>
                <w:sz w:val="13"/>
              </w:rPr>
              <w:t>0.00</w:t>
            </w:r>
          </w:p>
        </w:tc>
      </w:tr>
      <w:tr>
        <w:trPr>
          <w:trHeight w:val="170" w:hRule="exact"/>
        </w:trPr>
        <w:tc>
          <w:tcPr>
            <w:tcW w:w="575" w:type="dxa"/>
            <w:tcBorders>
              <w:left w:val="single" w:sz="3" w:space="0" w:color="000000"/>
              <w:right w:val="single" w:sz="3" w:space="0" w:color="000000"/>
            </w:tcBorders>
            <w:shd w:val="clear" w:color="auto" w:fill="DBEDF3"/>
          </w:tcPr>
          <w:p>
            <w:pPr>
              <w:pStyle w:val="TableParagraph"/>
              <w:spacing w:before="17"/>
              <w:ind w:left="14"/>
              <w:jc w:val="left"/>
              <w:rPr>
                <w:b/>
                <w:sz w:val="12"/>
              </w:rPr>
            </w:pPr>
            <w:r>
              <w:rPr>
                <w:b/>
                <w:w w:val="70"/>
                <w:sz w:val="12"/>
              </w:rPr>
              <w:t>Subsector 38</w:t>
            </w:r>
          </w:p>
        </w:tc>
        <w:tc>
          <w:tcPr>
            <w:tcW w:w="369" w:type="dxa"/>
            <w:tcBorders>
              <w:left w:val="single" w:sz="3" w:space="0" w:color="000000"/>
              <w:right w:val="single" w:sz="3" w:space="0" w:color="000000"/>
            </w:tcBorders>
          </w:tcPr>
          <w:p>
            <w:pPr>
              <w:pStyle w:val="TableParagraph"/>
              <w:spacing w:before="8"/>
              <w:ind w:left="170" w:right="-6"/>
              <w:jc w:val="left"/>
              <w:rPr>
                <w:sz w:val="13"/>
              </w:rPr>
            </w:pPr>
            <w:r>
              <w:rPr>
                <w:w w:val="70"/>
                <w:sz w:val="13"/>
              </w:rPr>
              <w:t>0.08</w:t>
            </w:r>
          </w:p>
        </w:tc>
        <w:tc>
          <w:tcPr>
            <w:tcW w:w="419" w:type="dxa"/>
            <w:tcBorders>
              <w:left w:val="single" w:sz="3" w:space="0" w:color="000000"/>
              <w:right w:val="single" w:sz="3" w:space="0" w:color="000000"/>
            </w:tcBorders>
          </w:tcPr>
          <w:p>
            <w:pPr>
              <w:pStyle w:val="TableParagraph"/>
              <w:spacing w:before="8"/>
              <w:ind w:right="10"/>
              <w:rPr>
                <w:sz w:val="13"/>
              </w:rPr>
            </w:pPr>
            <w:r>
              <w:rPr>
                <w:w w:val="70"/>
                <w:sz w:val="13"/>
              </w:rPr>
              <w:t>0.02</w:t>
            </w:r>
          </w:p>
        </w:tc>
        <w:tc>
          <w:tcPr>
            <w:tcW w:w="319" w:type="dxa"/>
            <w:tcBorders>
              <w:left w:val="single" w:sz="3" w:space="0" w:color="000000"/>
              <w:right w:val="single" w:sz="3" w:space="0" w:color="000000"/>
            </w:tcBorders>
          </w:tcPr>
          <w:p>
            <w:pPr>
              <w:pStyle w:val="TableParagraph"/>
              <w:spacing w:before="8"/>
              <w:ind w:left="70" w:right="-1"/>
              <w:jc w:val="left"/>
              <w:rPr>
                <w:sz w:val="13"/>
              </w:rPr>
            </w:pPr>
            <w:r>
              <w:rPr>
                <w:w w:val="80"/>
                <w:sz w:val="13"/>
              </w:rPr>
              <w:t>0.10</w:t>
            </w:r>
          </w:p>
        </w:tc>
        <w:tc>
          <w:tcPr>
            <w:tcW w:w="390" w:type="dxa"/>
            <w:tcBorders>
              <w:left w:val="single" w:sz="3" w:space="0" w:color="000000"/>
              <w:right w:val="single" w:sz="3" w:space="0" w:color="000000"/>
            </w:tcBorders>
          </w:tcPr>
          <w:p>
            <w:pPr>
              <w:pStyle w:val="TableParagraph"/>
              <w:spacing w:before="8"/>
              <w:ind w:left="106" w:right="-14"/>
              <w:jc w:val="left"/>
              <w:rPr>
                <w:sz w:val="13"/>
              </w:rPr>
            </w:pPr>
            <w:r>
              <w:rPr>
                <w:w w:val="80"/>
                <w:sz w:val="13"/>
              </w:rPr>
              <w:t>0.00</w:t>
            </w:r>
          </w:p>
        </w:tc>
        <w:tc>
          <w:tcPr>
            <w:tcW w:w="334" w:type="dxa"/>
            <w:tcBorders>
              <w:left w:val="single" w:sz="3" w:space="0" w:color="000000"/>
              <w:right w:val="single" w:sz="3" w:space="0" w:color="000000"/>
            </w:tcBorders>
          </w:tcPr>
          <w:p>
            <w:pPr>
              <w:pStyle w:val="TableParagraph"/>
              <w:spacing w:before="8"/>
              <w:ind w:left="134" w:right="-5"/>
              <w:jc w:val="left"/>
              <w:rPr>
                <w:sz w:val="13"/>
              </w:rPr>
            </w:pPr>
            <w:r>
              <w:rPr>
                <w:w w:val="70"/>
                <w:sz w:val="13"/>
              </w:rPr>
              <w:t>0.05</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-0.01</w:t>
            </w:r>
          </w:p>
        </w:tc>
        <w:tc>
          <w:tcPr>
            <w:tcW w:w="291" w:type="dxa"/>
            <w:tcBorders>
              <w:left w:val="single" w:sz="3" w:space="0" w:color="000000"/>
              <w:right w:val="single" w:sz="3" w:space="0" w:color="000000"/>
            </w:tcBorders>
          </w:tcPr>
          <w:p>
            <w:pPr>
              <w:pStyle w:val="TableParagraph"/>
              <w:spacing w:before="8"/>
              <w:ind w:left="92" w:right="-6"/>
              <w:jc w:val="left"/>
              <w:rPr>
                <w:sz w:val="13"/>
              </w:rPr>
            </w:pPr>
            <w:r>
              <w:rPr>
                <w:w w:val="70"/>
                <w:sz w:val="13"/>
              </w:rPr>
              <w:t>0.08</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0.00</w:t>
            </w:r>
          </w:p>
        </w:tc>
        <w:tc>
          <w:tcPr>
            <w:tcW w:w="326" w:type="dxa"/>
            <w:tcBorders>
              <w:left w:val="single" w:sz="3" w:space="0" w:color="000000"/>
              <w:right w:val="single" w:sz="3" w:space="0" w:color="000000"/>
            </w:tcBorders>
          </w:tcPr>
          <w:p>
            <w:pPr>
              <w:pStyle w:val="TableParagraph"/>
              <w:spacing w:before="8"/>
              <w:ind w:left="114"/>
              <w:jc w:val="center"/>
              <w:rPr>
                <w:sz w:val="13"/>
              </w:rPr>
            </w:pPr>
            <w:r>
              <w:rPr>
                <w:w w:val="70"/>
                <w:sz w:val="13"/>
              </w:rPr>
              <w:t>0.12</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-0.02</w:t>
            </w:r>
          </w:p>
        </w:tc>
        <w:tc>
          <w:tcPr>
            <w:tcW w:w="319" w:type="dxa"/>
            <w:tcBorders>
              <w:left w:val="single" w:sz="3" w:space="0" w:color="000000"/>
              <w:right w:val="single" w:sz="3" w:space="0" w:color="000000"/>
            </w:tcBorders>
          </w:tcPr>
          <w:p>
            <w:pPr>
              <w:pStyle w:val="TableParagraph"/>
              <w:spacing w:before="8"/>
              <w:ind w:left="120" w:right="-5"/>
              <w:jc w:val="left"/>
              <w:rPr>
                <w:sz w:val="13"/>
              </w:rPr>
            </w:pPr>
            <w:r>
              <w:rPr>
                <w:w w:val="70"/>
                <w:sz w:val="13"/>
              </w:rPr>
              <w:t>0.16</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-0.04</w:t>
            </w:r>
          </w:p>
        </w:tc>
        <w:tc>
          <w:tcPr>
            <w:tcW w:w="312" w:type="dxa"/>
            <w:tcBorders>
              <w:left w:val="single" w:sz="3" w:space="0" w:color="000000"/>
              <w:right w:val="single" w:sz="3" w:space="0" w:color="000000"/>
            </w:tcBorders>
          </w:tcPr>
          <w:p>
            <w:pPr>
              <w:pStyle w:val="TableParagraph"/>
              <w:spacing w:before="8"/>
              <w:ind w:left="113" w:right="-5"/>
              <w:jc w:val="left"/>
              <w:rPr>
                <w:sz w:val="13"/>
              </w:rPr>
            </w:pPr>
            <w:r>
              <w:rPr>
                <w:w w:val="70"/>
                <w:sz w:val="13"/>
              </w:rPr>
              <w:t>0.10</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-0.03</w:t>
            </w:r>
          </w:p>
        </w:tc>
        <w:tc>
          <w:tcPr>
            <w:tcW w:w="284" w:type="dxa"/>
            <w:tcBorders>
              <w:left w:val="single" w:sz="3" w:space="0" w:color="000000"/>
              <w:right w:val="single" w:sz="3" w:space="0" w:color="000000"/>
            </w:tcBorders>
          </w:tcPr>
          <w:p>
            <w:pPr>
              <w:pStyle w:val="TableParagraph"/>
              <w:spacing w:before="8"/>
              <w:ind w:left="85" w:right="-6"/>
              <w:jc w:val="left"/>
              <w:rPr>
                <w:sz w:val="13"/>
              </w:rPr>
            </w:pPr>
            <w:r>
              <w:rPr>
                <w:w w:val="70"/>
                <w:sz w:val="13"/>
              </w:rPr>
              <w:t>0.10</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-0.03</w:t>
            </w:r>
          </w:p>
        </w:tc>
        <w:tc>
          <w:tcPr>
            <w:tcW w:w="454" w:type="dxa"/>
            <w:tcBorders>
              <w:left w:val="single" w:sz="3" w:space="0" w:color="000000"/>
              <w:right w:val="single" w:sz="3" w:space="0" w:color="000000"/>
            </w:tcBorders>
          </w:tcPr>
          <w:p>
            <w:pPr>
              <w:pStyle w:val="TableParagraph"/>
              <w:spacing w:before="8"/>
              <w:ind w:right="10"/>
              <w:rPr>
                <w:sz w:val="13"/>
              </w:rPr>
            </w:pPr>
            <w:r>
              <w:rPr>
                <w:w w:val="70"/>
                <w:sz w:val="13"/>
              </w:rPr>
              <w:t>0.03</w:t>
            </w:r>
          </w:p>
        </w:tc>
        <w:tc>
          <w:tcPr>
            <w:tcW w:w="397" w:type="dxa"/>
            <w:tcBorders>
              <w:left w:val="single" w:sz="3" w:space="0" w:color="000000"/>
              <w:right w:val="single" w:sz="3" w:space="0" w:color="000000"/>
            </w:tcBorders>
          </w:tcPr>
          <w:p>
            <w:pPr>
              <w:pStyle w:val="TableParagraph"/>
              <w:spacing w:before="8"/>
              <w:ind w:right="10"/>
              <w:rPr>
                <w:sz w:val="13"/>
              </w:rPr>
            </w:pPr>
            <w:r>
              <w:rPr>
                <w:w w:val="70"/>
                <w:sz w:val="13"/>
              </w:rPr>
              <w:t>-0.04</w:t>
            </w:r>
          </w:p>
        </w:tc>
        <w:tc>
          <w:tcPr>
            <w:tcW w:w="355" w:type="dxa"/>
            <w:tcBorders>
              <w:left w:val="single" w:sz="3" w:space="0" w:color="000000"/>
              <w:right w:val="single" w:sz="3" w:space="0" w:color="000000"/>
            </w:tcBorders>
          </w:tcPr>
          <w:p>
            <w:pPr>
              <w:pStyle w:val="TableParagraph"/>
              <w:spacing w:before="8"/>
              <w:ind w:left="156" w:right="-6"/>
              <w:jc w:val="left"/>
              <w:rPr>
                <w:sz w:val="13"/>
              </w:rPr>
            </w:pPr>
            <w:r>
              <w:rPr>
                <w:w w:val="70"/>
                <w:sz w:val="13"/>
              </w:rPr>
              <w:t>0.03</w:t>
            </w:r>
          </w:p>
        </w:tc>
        <w:tc>
          <w:tcPr>
            <w:tcW w:w="341" w:type="dxa"/>
            <w:tcBorders>
              <w:left w:val="single" w:sz="3" w:space="0" w:color="000000"/>
              <w:right w:val="single" w:sz="3" w:space="0" w:color="000000"/>
            </w:tcBorders>
          </w:tcPr>
          <w:p>
            <w:pPr>
              <w:pStyle w:val="TableParagraph"/>
              <w:spacing w:before="8"/>
              <w:ind w:left="100"/>
              <w:jc w:val="center"/>
              <w:rPr>
                <w:sz w:val="13"/>
              </w:rPr>
            </w:pPr>
            <w:r>
              <w:rPr>
                <w:w w:val="70"/>
                <w:sz w:val="13"/>
              </w:rPr>
              <w:t>-0.04</w:t>
            </w:r>
          </w:p>
        </w:tc>
      </w:tr>
      <w:tr>
        <w:trPr>
          <w:trHeight w:val="170" w:hRule="exact"/>
        </w:trPr>
        <w:tc>
          <w:tcPr>
            <w:tcW w:w="575" w:type="dxa"/>
            <w:tcBorders>
              <w:left w:val="single" w:sz="3" w:space="0" w:color="000000"/>
              <w:right w:val="single" w:sz="3" w:space="0" w:color="000000"/>
            </w:tcBorders>
            <w:shd w:val="clear" w:color="auto" w:fill="DBEDF3"/>
          </w:tcPr>
          <w:p>
            <w:pPr>
              <w:pStyle w:val="TableParagraph"/>
              <w:spacing w:before="17"/>
              <w:ind w:left="14"/>
              <w:jc w:val="left"/>
              <w:rPr>
                <w:b/>
                <w:sz w:val="12"/>
              </w:rPr>
            </w:pPr>
            <w:r>
              <w:rPr>
                <w:b/>
                <w:w w:val="70"/>
                <w:sz w:val="12"/>
              </w:rPr>
              <w:t>Subsector 39</w:t>
            </w:r>
          </w:p>
        </w:tc>
        <w:tc>
          <w:tcPr>
            <w:tcW w:w="369" w:type="dxa"/>
            <w:tcBorders>
              <w:left w:val="single" w:sz="3" w:space="0" w:color="000000"/>
              <w:right w:val="single" w:sz="3" w:space="0" w:color="000000"/>
            </w:tcBorders>
          </w:tcPr>
          <w:p>
            <w:pPr>
              <w:pStyle w:val="TableParagraph"/>
              <w:spacing w:before="7"/>
              <w:ind w:left="170" w:right="-6"/>
              <w:jc w:val="left"/>
              <w:rPr>
                <w:sz w:val="13"/>
              </w:rPr>
            </w:pPr>
            <w:r>
              <w:rPr>
                <w:w w:val="70"/>
                <w:sz w:val="13"/>
              </w:rPr>
              <w:t>0.00</w:t>
            </w:r>
          </w:p>
        </w:tc>
        <w:tc>
          <w:tcPr>
            <w:tcW w:w="419" w:type="dxa"/>
            <w:tcBorders>
              <w:left w:val="single" w:sz="3" w:space="0" w:color="000000"/>
              <w:right w:val="single" w:sz="3" w:space="0" w:color="000000"/>
            </w:tcBorders>
          </w:tcPr>
          <w:p>
            <w:pPr>
              <w:pStyle w:val="TableParagraph"/>
              <w:spacing w:before="7"/>
              <w:ind w:right="10"/>
              <w:rPr>
                <w:sz w:val="13"/>
              </w:rPr>
            </w:pPr>
            <w:r>
              <w:rPr>
                <w:w w:val="70"/>
                <w:sz w:val="13"/>
              </w:rPr>
              <w:t>0.02</w:t>
            </w:r>
          </w:p>
        </w:tc>
        <w:tc>
          <w:tcPr>
            <w:tcW w:w="319" w:type="dxa"/>
            <w:tcBorders>
              <w:left w:val="single" w:sz="3" w:space="0" w:color="000000"/>
              <w:right w:val="single" w:sz="3" w:space="0" w:color="000000"/>
            </w:tcBorders>
          </w:tcPr>
          <w:p>
            <w:pPr>
              <w:pStyle w:val="TableParagraph"/>
              <w:spacing w:before="7"/>
              <w:ind w:left="70" w:right="-1"/>
              <w:jc w:val="left"/>
              <w:rPr>
                <w:sz w:val="13"/>
              </w:rPr>
            </w:pPr>
            <w:r>
              <w:rPr>
                <w:w w:val="80"/>
                <w:sz w:val="13"/>
              </w:rPr>
              <w:t>0.01</w:t>
            </w:r>
          </w:p>
        </w:tc>
        <w:tc>
          <w:tcPr>
            <w:tcW w:w="390" w:type="dxa"/>
            <w:tcBorders>
              <w:left w:val="single" w:sz="3" w:space="0" w:color="000000"/>
              <w:right w:val="single" w:sz="3" w:space="0" w:color="000000"/>
            </w:tcBorders>
          </w:tcPr>
          <w:p>
            <w:pPr>
              <w:pStyle w:val="TableParagraph"/>
              <w:spacing w:before="7"/>
              <w:ind w:left="106" w:right="-14"/>
              <w:jc w:val="left"/>
              <w:rPr>
                <w:sz w:val="13"/>
              </w:rPr>
            </w:pPr>
            <w:r>
              <w:rPr>
                <w:w w:val="80"/>
                <w:sz w:val="13"/>
              </w:rPr>
              <w:t>0.01</w:t>
            </w:r>
          </w:p>
        </w:tc>
        <w:tc>
          <w:tcPr>
            <w:tcW w:w="334" w:type="dxa"/>
            <w:tcBorders>
              <w:left w:val="single" w:sz="3" w:space="0" w:color="000000"/>
              <w:right w:val="single" w:sz="3" w:space="0" w:color="000000"/>
            </w:tcBorders>
          </w:tcPr>
          <w:p>
            <w:pPr>
              <w:pStyle w:val="TableParagraph"/>
              <w:spacing w:before="7"/>
              <w:ind w:left="106" w:right="-7"/>
              <w:jc w:val="left"/>
              <w:rPr>
                <w:sz w:val="13"/>
              </w:rPr>
            </w:pPr>
            <w:r>
              <w:rPr>
                <w:w w:val="70"/>
                <w:sz w:val="13"/>
              </w:rPr>
              <w:t>-0.02</w:t>
            </w:r>
          </w:p>
        </w:tc>
        <w:tc>
          <w:tcPr>
            <w:tcW w:w="454" w:type="dxa"/>
            <w:tcBorders>
              <w:left w:val="single" w:sz="3" w:space="0" w:color="000000"/>
              <w:right w:val="single" w:sz="3" w:space="0" w:color="000000"/>
            </w:tcBorders>
          </w:tcPr>
          <w:p>
            <w:pPr>
              <w:pStyle w:val="TableParagraph"/>
              <w:spacing w:before="7"/>
              <w:ind w:right="10"/>
              <w:rPr>
                <w:sz w:val="13"/>
              </w:rPr>
            </w:pPr>
            <w:r>
              <w:rPr>
                <w:w w:val="70"/>
                <w:sz w:val="13"/>
              </w:rPr>
              <w:t>0.00</w:t>
            </w:r>
          </w:p>
        </w:tc>
        <w:tc>
          <w:tcPr>
            <w:tcW w:w="291" w:type="dxa"/>
            <w:tcBorders>
              <w:left w:val="single" w:sz="3" w:space="0" w:color="000000"/>
              <w:right w:val="single" w:sz="3" w:space="0" w:color="000000"/>
            </w:tcBorders>
          </w:tcPr>
          <w:p>
            <w:pPr>
              <w:pStyle w:val="TableParagraph"/>
              <w:spacing w:before="7"/>
              <w:ind w:left="92" w:right="-6"/>
              <w:jc w:val="left"/>
              <w:rPr>
                <w:sz w:val="13"/>
              </w:rPr>
            </w:pPr>
            <w:r>
              <w:rPr>
                <w:w w:val="70"/>
                <w:sz w:val="13"/>
              </w:rPr>
              <w:t>0.00</w:t>
            </w:r>
          </w:p>
        </w:tc>
        <w:tc>
          <w:tcPr>
            <w:tcW w:w="454" w:type="dxa"/>
            <w:tcBorders>
              <w:left w:val="single" w:sz="3" w:space="0" w:color="000000"/>
              <w:right w:val="single" w:sz="3" w:space="0" w:color="000000"/>
            </w:tcBorders>
          </w:tcPr>
          <w:p>
            <w:pPr>
              <w:pStyle w:val="TableParagraph"/>
              <w:spacing w:before="7"/>
              <w:ind w:right="10"/>
              <w:rPr>
                <w:sz w:val="13"/>
              </w:rPr>
            </w:pPr>
            <w:r>
              <w:rPr>
                <w:w w:val="70"/>
                <w:sz w:val="13"/>
              </w:rPr>
              <w:t>0.00</w:t>
            </w:r>
          </w:p>
        </w:tc>
        <w:tc>
          <w:tcPr>
            <w:tcW w:w="326" w:type="dxa"/>
            <w:tcBorders>
              <w:left w:val="single" w:sz="3" w:space="0" w:color="000000"/>
              <w:right w:val="single" w:sz="3" w:space="0" w:color="000000"/>
            </w:tcBorders>
          </w:tcPr>
          <w:p>
            <w:pPr>
              <w:pStyle w:val="TableParagraph"/>
              <w:spacing w:before="7"/>
              <w:ind w:left="114"/>
              <w:jc w:val="center"/>
              <w:rPr>
                <w:sz w:val="13"/>
              </w:rPr>
            </w:pPr>
            <w:r>
              <w:rPr>
                <w:w w:val="70"/>
                <w:sz w:val="13"/>
              </w:rPr>
              <w:t>0.00</w:t>
            </w:r>
          </w:p>
        </w:tc>
        <w:tc>
          <w:tcPr>
            <w:tcW w:w="454" w:type="dxa"/>
            <w:tcBorders>
              <w:left w:val="single" w:sz="3" w:space="0" w:color="000000"/>
              <w:right w:val="single" w:sz="3" w:space="0" w:color="000000"/>
            </w:tcBorders>
          </w:tcPr>
          <w:p>
            <w:pPr>
              <w:pStyle w:val="TableParagraph"/>
              <w:spacing w:before="7"/>
              <w:ind w:right="10"/>
              <w:rPr>
                <w:sz w:val="13"/>
              </w:rPr>
            </w:pPr>
            <w:r>
              <w:rPr>
                <w:w w:val="70"/>
                <w:sz w:val="13"/>
              </w:rPr>
              <w:t>0.00</w:t>
            </w:r>
          </w:p>
        </w:tc>
        <w:tc>
          <w:tcPr>
            <w:tcW w:w="319" w:type="dxa"/>
            <w:tcBorders>
              <w:left w:val="single" w:sz="3" w:space="0" w:color="000000"/>
              <w:right w:val="single" w:sz="3" w:space="0" w:color="000000"/>
            </w:tcBorders>
          </w:tcPr>
          <w:p>
            <w:pPr>
              <w:pStyle w:val="TableParagraph"/>
              <w:spacing w:before="7"/>
              <w:ind w:left="120" w:right="-5"/>
              <w:jc w:val="left"/>
              <w:rPr>
                <w:sz w:val="13"/>
              </w:rPr>
            </w:pPr>
            <w:r>
              <w:rPr>
                <w:w w:val="70"/>
                <w:sz w:val="13"/>
              </w:rPr>
              <w:t>0.00</w:t>
            </w:r>
          </w:p>
        </w:tc>
        <w:tc>
          <w:tcPr>
            <w:tcW w:w="454" w:type="dxa"/>
            <w:tcBorders>
              <w:left w:val="single" w:sz="3" w:space="0" w:color="000000"/>
              <w:right w:val="single" w:sz="3" w:space="0" w:color="000000"/>
            </w:tcBorders>
          </w:tcPr>
          <w:p>
            <w:pPr>
              <w:pStyle w:val="TableParagraph"/>
              <w:spacing w:before="7"/>
              <w:ind w:right="10"/>
              <w:rPr>
                <w:sz w:val="13"/>
              </w:rPr>
            </w:pPr>
            <w:r>
              <w:rPr>
                <w:w w:val="70"/>
                <w:sz w:val="13"/>
              </w:rPr>
              <w:t>0.00</w:t>
            </w:r>
          </w:p>
        </w:tc>
        <w:tc>
          <w:tcPr>
            <w:tcW w:w="312" w:type="dxa"/>
            <w:tcBorders>
              <w:left w:val="single" w:sz="3" w:space="0" w:color="000000"/>
              <w:right w:val="single" w:sz="3" w:space="0" w:color="000000"/>
            </w:tcBorders>
          </w:tcPr>
          <w:p>
            <w:pPr>
              <w:pStyle w:val="TableParagraph"/>
              <w:spacing w:before="7"/>
              <w:ind w:left="85" w:right="-8"/>
              <w:jc w:val="left"/>
              <w:rPr>
                <w:sz w:val="13"/>
              </w:rPr>
            </w:pPr>
            <w:r>
              <w:rPr>
                <w:w w:val="70"/>
                <w:sz w:val="13"/>
              </w:rPr>
              <w:t>-0.01</w:t>
            </w:r>
          </w:p>
        </w:tc>
        <w:tc>
          <w:tcPr>
            <w:tcW w:w="454" w:type="dxa"/>
            <w:tcBorders>
              <w:left w:val="single" w:sz="3" w:space="0" w:color="000000"/>
              <w:right w:val="single" w:sz="3" w:space="0" w:color="000000"/>
            </w:tcBorders>
          </w:tcPr>
          <w:p>
            <w:pPr>
              <w:pStyle w:val="TableParagraph"/>
              <w:spacing w:before="7"/>
              <w:ind w:right="10"/>
              <w:rPr>
                <w:sz w:val="13"/>
              </w:rPr>
            </w:pPr>
            <w:r>
              <w:rPr>
                <w:w w:val="70"/>
                <w:sz w:val="13"/>
              </w:rPr>
              <w:t>0.00</w:t>
            </w:r>
          </w:p>
        </w:tc>
        <w:tc>
          <w:tcPr>
            <w:tcW w:w="284" w:type="dxa"/>
            <w:tcBorders>
              <w:left w:val="single" w:sz="3" w:space="0" w:color="000000"/>
              <w:right w:val="single" w:sz="3" w:space="0" w:color="000000"/>
            </w:tcBorders>
          </w:tcPr>
          <w:p>
            <w:pPr>
              <w:pStyle w:val="TableParagraph"/>
              <w:spacing w:before="7"/>
              <w:ind w:left="56" w:right="-7"/>
              <w:jc w:val="left"/>
              <w:rPr>
                <w:sz w:val="13"/>
              </w:rPr>
            </w:pPr>
            <w:r>
              <w:rPr>
                <w:w w:val="70"/>
                <w:sz w:val="13"/>
              </w:rPr>
              <w:t>-0.02</w:t>
            </w:r>
          </w:p>
        </w:tc>
        <w:tc>
          <w:tcPr>
            <w:tcW w:w="454" w:type="dxa"/>
            <w:tcBorders>
              <w:left w:val="single" w:sz="3" w:space="0" w:color="000000"/>
              <w:right w:val="single" w:sz="3" w:space="0" w:color="000000"/>
            </w:tcBorders>
          </w:tcPr>
          <w:p>
            <w:pPr>
              <w:pStyle w:val="TableParagraph"/>
              <w:spacing w:before="7"/>
              <w:ind w:right="10"/>
              <w:rPr>
                <w:sz w:val="13"/>
              </w:rPr>
            </w:pPr>
            <w:r>
              <w:rPr>
                <w:w w:val="70"/>
                <w:sz w:val="13"/>
              </w:rPr>
              <w:t>0.01</w:t>
            </w:r>
          </w:p>
        </w:tc>
        <w:tc>
          <w:tcPr>
            <w:tcW w:w="454" w:type="dxa"/>
            <w:tcBorders>
              <w:left w:val="single" w:sz="3" w:space="0" w:color="000000"/>
              <w:right w:val="single" w:sz="3" w:space="0" w:color="000000"/>
            </w:tcBorders>
          </w:tcPr>
          <w:p>
            <w:pPr>
              <w:pStyle w:val="TableParagraph"/>
              <w:spacing w:before="7"/>
              <w:ind w:right="10"/>
              <w:rPr>
                <w:sz w:val="13"/>
              </w:rPr>
            </w:pPr>
            <w:r>
              <w:rPr>
                <w:w w:val="70"/>
                <w:sz w:val="13"/>
              </w:rPr>
              <w:t>-0.02</w:t>
            </w:r>
          </w:p>
        </w:tc>
        <w:tc>
          <w:tcPr>
            <w:tcW w:w="397" w:type="dxa"/>
            <w:tcBorders>
              <w:left w:val="single" w:sz="3" w:space="0" w:color="000000"/>
              <w:right w:val="single" w:sz="3" w:space="0" w:color="000000"/>
            </w:tcBorders>
          </w:tcPr>
          <w:p>
            <w:pPr>
              <w:pStyle w:val="TableParagraph"/>
              <w:spacing w:before="7"/>
              <w:ind w:right="10"/>
              <w:rPr>
                <w:sz w:val="13"/>
              </w:rPr>
            </w:pPr>
            <w:r>
              <w:rPr>
                <w:w w:val="70"/>
                <w:sz w:val="13"/>
              </w:rPr>
              <w:t>0.01</w:t>
            </w:r>
          </w:p>
        </w:tc>
        <w:tc>
          <w:tcPr>
            <w:tcW w:w="355" w:type="dxa"/>
            <w:tcBorders>
              <w:left w:val="single" w:sz="3" w:space="0" w:color="000000"/>
              <w:right w:val="single" w:sz="3" w:space="0" w:color="000000"/>
            </w:tcBorders>
          </w:tcPr>
          <w:p>
            <w:pPr>
              <w:pStyle w:val="TableParagraph"/>
              <w:spacing w:before="7"/>
              <w:ind w:left="127" w:right="-7"/>
              <w:jc w:val="left"/>
              <w:rPr>
                <w:sz w:val="13"/>
              </w:rPr>
            </w:pPr>
            <w:r>
              <w:rPr>
                <w:w w:val="70"/>
                <w:sz w:val="13"/>
              </w:rPr>
              <w:t>-0.02</w:t>
            </w:r>
          </w:p>
        </w:tc>
        <w:tc>
          <w:tcPr>
            <w:tcW w:w="341" w:type="dxa"/>
            <w:tcBorders>
              <w:left w:val="single" w:sz="3" w:space="0" w:color="000000"/>
              <w:right w:val="single" w:sz="3" w:space="0" w:color="000000"/>
            </w:tcBorders>
          </w:tcPr>
          <w:p>
            <w:pPr>
              <w:pStyle w:val="TableParagraph"/>
              <w:spacing w:before="7"/>
              <w:ind w:left="129"/>
              <w:jc w:val="center"/>
              <w:rPr>
                <w:sz w:val="13"/>
              </w:rPr>
            </w:pPr>
            <w:r>
              <w:rPr>
                <w:w w:val="70"/>
                <w:sz w:val="13"/>
              </w:rPr>
              <w:t>0.01</w:t>
            </w:r>
          </w:p>
        </w:tc>
      </w:tr>
      <w:tr>
        <w:trPr>
          <w:trHeight w:val="200" w:hRule="exact"/>
        </w:trPr>
        <w:tc>
          <w:tcPr>
            <w:tcW w:w="575" w:type="dxa"/>
            <w:tcBorders>
              <w:left w:val="single" w:sz="3" w:space="0" w:color="000000"/>
              <w:right w:val="single" w:sz="3" w:space="0" w:color="000000"/>
            </w:tcBorders>
            <w:shd w:val="clear" w:color="auto" w:fill="DBEDF3"/>
          </w:tcPr>
          <w:p>
            <w:pPr>
              <w:pStyle w:val="TableParagraph"/>
              <w:spacing w:before="37"/>
              <w:ind w:left="14"/>
              <w:jc w:val="left"/>
              <w:rPr>
                <w:b/>
                <w:sz w:val="12"/>
              </w:rPr>
            </w:pPr>
            <w:r>
              <w:rPr>
                <w:b/>
                <w:w w:val="70"/>
                <w:sz w:val="12"/>
              </w:rPr>
              <w:t>Valor Abs.</w:t>
            </w:r>
          </w:p>
        </w:tc>
        <w:tc>
          <w:tcPr>
            <w:tcW w:w="369" w:type="dxa"/>
            <w:tcBorders>
              <w:left w:val="single" w:sz="3" w:space="0" w:color="000000"/>
              <w:right w:val="single" w:sz="3" w:space="0" w:color="000000"/>
            </w:tcBorders>
          </w:tcPr>
          <w:p>
            <w:pPr>
              <w:pStyle w:val="TableParagraph"/>
              <w:spacing w:before="28"/>
              <w:ind w:left="170" w:right="-6"/>
              <w:jc w:val="left"/>
              <w:rPr>
                <w:sz w:val="13"/>
              </w:rPr>
            </w:pPr>
            <w:r>
              <w:rPr>
                <w:w w:val="70"/>
                <w:sz w:val="13"/>
              </w:rPr>
              <w:t>0.56</w:t>
            </w:r>
          </w:p>
        </w:tc>
        <w:tc>
          <w:tcPr>
            <w:tcW w:w="419" w:type="dxa"/>
            <w:tcBorders>
              <w:left w:val="single" w:sz="3" w:space="0" w:color="000000"/>
              <w:right w:val="single" w:sz="3" w:space="0" w:color="000000"/>
            </w:tcBorders>
          </w:tcPr>
          <w:p>
            <w:pPr>
              <w:pStyle w:val="TableParagraph"/>
              <w:spacing w:before="28"/>
              <w:ind w:right="10"/>
              <w:rPr>
                <w:sz w:val="13"/>
              </w:rPr>
            </w:pPr>
            <w:r>
              <w:rPr>
                <w:w w:val="70"/>
                <w:sz w:val="13"/>
              </w:rPr>
              <w:t>0.15</w:t>
            </w:r>
          </w:p>
        </w:tc>
        <w:tc>
          <w:tcPr>
            <w:tcW w:w="319" w:type="dxa"/>
            <w:tcBorders>
              <w:left w:val="single" w:sz="3" w:space="0" w:color="000000"/>
              <w:right w:val="single" w:sz="3" w:space="0" w:color="000000"/>
            </w:tcBorders>
          </w:tcPr>
          <w:p>
            <w:pPr>
              <w:pStyle w:val="TableParagraph"/>
              <w:spacing w:before="7"/>
              <w:ind w:left="70" w:right="-1"/>
              <w:jc w:val="left"/>
              <w:rPr>
                <w:rFonts w:ascii="Calibri"/>
                <w:sz w:val="15"/>
              </w:rPr>
            </w:pPr>
            <w:r>
              <w:rPr>
                <w:rFonts w:ascii="Calibri"/>
                <w:w w:val="80"/>
                <w:sz w:val="15"/>
              </w:rPr>
              <w:t>0.50</w:t>
            </w:r>
          </w:p>
        </w:tc>
        <w:tc>
          <w:tcPr>
            <w:tcW w:w="390" w:type="dxa"/>
            <w:tcBorders>
              <w:left w:val="single" w:sz="3" w:space="0" w:color="000000"/>
              <w:right w:val="single" w:sz="3" w:space="0" w:color="000000"/>
            </w:tcBorders>
          </w:tcPr>
          <w:p>
            <w:pPr>
              <w:pStyle w:val="TableParagraph"/>
              <w:spacing w:before="7"/>
              <w:ind w:left="106" w:right="-14"/>
              <w:jc w:val="left"/>
              <w:rPr>
                <w:rFonts w:ascii="Calibri"/>
                <w:sz w:val="15"/>
              </w:rPr>
            </w:pPr>
            <w:r>
              <w:rPr>
                <w:rFonts w:ascii="Calibri"/>
                <w:w w:val="80"/>
                <w:sz w:val="15"/>
              </w:rPr>
              <w:t>0.11</w:t>
            </w:r>
          </w:p>
        </w:tc>
        <w:tc>
          <w:tcPr>
            <w:tcW w:w="334" w:type="dxa"/>
            <w:tcBorders>
              <w:left w:val="single" w:sz="3" w:space="0" w:color="000000"/>
              <w:right w:val="single" w:sz="3" w:space="0" w:color="000000"/>
            </w:tcBorders>
          </w:tcPr>
          <w:p>
            <w:pPr>
              <w:pStyle w:val="TableParagraph"/>
              <w:spacing w:before="28"/>
              <w:ind w:left="134" w:right="-5"/>
              <w:jc w:val="left"/>
              <w:rPr>
                <w:sz w:val="13"/>
              </w:rPr>
            </w:pPr>
            <w:r>
              <w:rPr>
                <w:w w:val="70"/>
                <w:sz w:val="13"/>
              </w:rPr>
              <w:t>0.32</w:t>
            </w:r>
          </w:p>
        </w:tc>
        <w:tc>
          <w:tcPr>
            <w:tcW w:w="454" w:type="dxa"/>
            <w:tcBorders>
              <w:left w:val="single" w:sz="3" w:space="0" w:color="000000"/>
              <w:right w:val="single" w:sz="3" w:space="0" w:color="000000"/>
            </w:tcBorders>
          </w:tcPr>
          <w:p>
            <w:pPr>
              <w:pStyle w:val="TableParagraph"/>
              <w:spacing w:before="28"/>
              <w:ind w:right="10"/>
              <w:rPr>
                <w:sz w:val="13"/>
              </w:rPr>
            </w:pPr>
            <w:r>
              <w:rPr>
                <w:w w:val="70"/>
                <w:sz w:val="13"/>
              </w:rPr>
              <w:t>0.06</w:t>
            </w:r>
          </w:p>
        </w:tc>
        <w:tc>
          <w:tcPr>
            <w:tcW w:w="291" w:type="dxa"/>
            <w:tcBorders>
              <w:left w:val="single" w:sz="3" w:space="0" w:color="000000"/>
              <w:right w:val="single" w:sz="3" w:space="0" w:color="000000"/>
            </w:tcBorders>
          </w:tcPr>
          <w:p>
            <w:pPr>
              <w:pStyle w:val="TableParagraph"/>
              <w:spacing w:before="28"/>
              <w:ind w:left="92" w:right="-6"/>
              <w:jc w:val="left"/>
              <w:rPr>
                <w:sz w:val="13"/>
              </w:rPr>
            </w:pPr>
            <w:r>
              <w:rPr>
                <w:w w:val="70"/>
                <w:sz w:val="13"/>
              </w:rPr>
              <w:t>0.28</w:t>
            </w:r>
          </w:p>
        </w:tc>
        <w:tc>
          <w:tcPr>
            <w:tcW w:w="454" w:type="dxa"/>
            <w:tcBorders>
              <w:left w:val="single" w:sz="3" w:space="0" w:color="000000"/>
              <w:right w:val="single" w:sz="3" w:space="0" w:color="000000"/>
            </w:tcBorders>
          </w:tcPr>
          <w:p>
            <w:pPr>
              <w:pStyle w:val="TableParagraph"/>
              <w:spacing w:before="28"/>
              <w:ind w:right="10"/>
              <w:rPr>
                <w:sz w:val="13"/>
              </w:rPr>
            </w:pPr>
            <w:r>
              <w:rPr>
                <w:w w:val="70"/>
                <w:sz w:val="13"/>
              </w:rPr>
              <w:t>0.05</w:t>
            </w:r>
          </w:p>
        </w:tc>
        <w:tc>
          <w:tcPr>
            <w:tcW w:w="326" w:type="dxa"/>
            <w:tcBorders>
              <w:left w:val="single" w:sz="3" w:space="0" w:color="000000"/>
              <w:right w:val="single" w:sz="3" w:space="0" w:color="000000"/>
            </w:tcBorders>
          </w:tcPr>
          <w:p>
            <w:pPr>
              <w:pStyle w:val="TableParagraph"/>
              <w:spacing w:before="28"/>
              <w:ind w:left="114"/>
              <w:jc w:val="center"/>
              <w:rPr>
                <w:sz w:val="13"/>
              </w:rPr>
            </w:pPr>
            <w:r>
              <w:rPr>
                <w:w w:val="70"/>
                <w:sz w:val="13"/>
              </w:rPr>
              <w:t>0.35</w:t>
            </w:r>
          </w:p>
        </w:tc>
        <w:tc>
          <w:tcPr>
            <w:tcW w:w="454" w:type="dxa"/>
            <w:tcBorders>
              <w:left w:val="single" w:sz="3" w:space="0" w:color="000000"/>
              <w:right w:val="single" w:sz="3" w:space="0" w:color="000000"/>
            </w:tcBorders>
          </w:tcPr>
          <w:p>
            <w:pPr>
              <w:pStyle w:val="TableParagraph"/>
              <w:spacing w:before="28"/>
              <w:ind w:right="10"/>
              <w:rPr>
                <w:sz w:val="13"/>
              </w:rPr>
            </w:pPr>
            <w:r>
              <w:rPr>
                <w:w w:val="70"/>
                <w:sz w:val="13"/>
              </w:rPr>
              <w:t>0.05</w:t>
            </w:r>
          </w:p>
        </w:tc>
        <w:tc>
          <w:tcPr>
            <w:tcW w:w="319" w:type="dxa"/>
            <w:tcBorders>
              <w:left w:val="single" w:sz="3" w:space="0" w:color="000000"/>
              <w:right w:val="single" w:sz="3" w:space="0" w:color="000000"/>
            </w:tcBorders>
          </w:tcPr>
          <w:p>
            <w:pPr>
              <w:pStyle w:val="TableParagraph"/>
              <w:spacing w:before="28"/>
              <w:ind w:left="120" w:right="-5"/>
              <w:jc w:val="left"/>
              <w:rPr>
                <w:sz w:val="13"/>
              </w:rPr>
            </w:pPr>
            <w:r>
              <w:rPr>
                <w:w w:val="70"/>
                <w:sz w:val="13"/>
              </w:rPr>
              <w:t>0.39</w:t>
            </w:r>
          </w:p>
        </w:tc>
        <w:tc>
          <w:tcPr>
            <w:tcW w:w="454" w:type="dxa"/>
            <w:tcBorders>
              <w:left w:val="single" w:sz="3" w:space="0" w:color="000000"/>
              <w:right w:val="single" w:sz="3" w:space="0" w:color="000000"/>
            </w:tcBorders>
          </w:tcPr>
          <w:p>
            <w:pPr>
              <w:pStyle w:val="TableParagraph"/>
              <w:spacing w:before="28"/>
              <w:ind w:right="10"/>
              <w:rPr>
                <w:sz w:val="13"/>
              </w:rPr>
            </w:pPr>
            <w:r>
              <w:rPr>
                <w:w w:val="70"/>
                <w:sz w:val="13"/>
              </w:rPr>
              <w:t>0.18</w:t>
            </w:r>
          </w:p>
        </w:tc>
        <w:tc>
          <w:tcPr>
            <w:tcW w:w="312" w:type="dxa"/>
            <w:tcBorders>
              <w:left w:val="single" w:sz="3" w:space="0" w:color="000000"/>
              <w:right w:val="single" w:sz="3" w:space="0" w:color="000000"/>
            </w:tcBorders>
          </w:tcPr>
          <w:p>
            <w:pPr>
              <w:pStyle w:val="TableParagraph"/>
              <w:spacing w:before="28"/>
              <w:ind w:left="113" w:right="-5"/>
              <w:jc w:val="left"/>
              <w:rPr>
                <w:sz w:val="13"/>
              </w:rPr>
            </w:pPr>
            <w:r>
              <w:rPr>
                <w:w w:val="70"/>
                <w:sz w:val="13"/>
              </w:rPr>
              <w:t>0.28</w:t>
            </w:r>
          </w:p>
        </w:tc>
        <w:tc>
          <w:tcPr>
            <w:tcW w:w="454" w:type="dxa"/>
            <w:tcBorders>
              <w:left w:val="single" w:sz="3" w:space="0" w:color="000000"/>
              <w:right w:val="single" w:sz="3" w:space="0" w:color="000000"/>
            </w:tcBorders>
          </w:tcPr>
          <w:p>
            <w:pPr>
              <w:pStyle w:val="TableParagraph"/>
              <w:spacing w:before="28"/>
              <w:ind w:right="10"/>
              <w:rPr>
                <w:sz w:val="13"/>
              </w:rPr>
            </w:pPr>
            <w:r>
              <w:rPr>
                <w:w w:val="70"/>
                <w:sz w:val="13"/>
              </w:rPr>
              <w:t>0.07</w:t>
            </w:r>
          </w:p>
        </w:tc>
        <w:tc>
          <w:tcPr>
            <w:tcW w:w="284" w:type="dxa"/>
            <w:tcBorders>
              <w:left w:val="single" w:sz="3" w:space="0" w:color="000000"/>
              <w:right w:val="single" w:sz="3" w:space="0" w:color="000000"/>
            </w:tcBorders>
          </w:tcPr>
          <w:p>
            <w:pPr>
              <w:pStyle w:val="TableParagraph"/>
              <w:spacing w:before="28"/>
              <w:ind w:left="85" w:right="-6"/>
              <w:jc w:val="left"/>
              <w:rPr>
                <w:sz w:val="13"/>
              </w:rPr>
            </w:pPr>
            <w:r>
              <w:rPr>
                <w:w w:val="70"/>
                <w:sz w:val="13"/>
              </w:rPr>
              <w:t>0.33</w:t>
            </w:r>
          </w:p>
        </w:tc>
        <w:tc>
          <w:tcPr>
            <w:tcW w:w="454" w:type="dxa"/>
            <w:tcBorders>
              <w:left w:val="single" w:sz="3" w:space="0" w:color="000000"/>
              <w:right w:val="single" w:sz="3" w:space="0" w:color="000000"/>
            </w:tcBorders>
          </w:tcPr>
          <w:p>
            <w:pPr>
              <w:pStyle w:val="TableParagraph"/>
              <w:spacing w:before="28"/>
              <w:ind w:right="10"/>
              <w:rPr>
                <w:sz w:val="13"/>
              </w:rPr>
            </w:pPr>
            <w:r>
              <w:rPr>
                <w:w w:val="70"/>
                <w:sz w:val="13"/>
              </w:rPr>
              <w:t>0.17</w:t>
            </w:r>
          </w:p>
        </w:tc>
        <w:tc>
          <w:tcPr>
            <w:tcW w:w="454" w:type="dxa"/>
            <w:tcBorders>
              <w:left w:val="single" w:sz="3" w:space="0" w:color="000000"/>
              <w:right w:val="single" w:sz="3" w:space="0" w:color="000000"/>
            </w:tcBorders>
          </w:tcPr>
          <w:p>
            <w:pPr>
              <w:pStyle w:val="TableParagraph"/>
              <w:spacing w:before="28"/>
              <w:ind w:right="10"/>
              <w:rPr>
                <w:sz w:val="13"/>
              </w:rPr>
            </w:pPr>
            <w:r>
              <w:rPr>
                <w:w w:val="70"/>
                <w:sz w:val="13"/>
              </w:rPr>
              <w:t>0.21</w:t>
            </w:r>
          </w:p>
        </w:tc>
        <w:tc>
          <w:tcPr>
            <w:tcW w:w="397" w:type="dxa"/>
            <w:tcBorders>
              <w:left w:val="single" w:sz="3" w:space="0" w:color="000000"/>
              <w:right w:val="single" w:sz="3" w:space="0" w:color="000000"/>
            </w:tcBorders>
          </w:tcPr>
          <w:p>
            <w:pPr>
              <w:pStyle w:val="TableParagraph"/>
              <w:spacing w:before="28"/>
              <w:ind w:right="10"/>
              <w:rPr>
                <w:sz w:val="13"/>
              </w:rPr>
            </w:pPr>
            <w:r>
              <w:rPr>
                <w:w w:val="70"/>
                <w:sz w:val="13"/>
              </w:rPr>
              <w:t>0.11</w:t>
            </w:r>
          </w:p>
        </w:tc>
        <w:tc>
          <w:tcPr>
            <w:tcW w:w="355" w:type="dxa"/>
            <w:tcBorders>
              <w:left w:val="single" w:sz="3" w:space="0" w:color="000000"/>
              <w:right w:val="single" w:sz="3" w:space="0" w:color="000000"/>
            </w:tcBorders>
          </w:tcPr>
          <w:p>
            <w:pPr>
              <w:pStyle w:val="TableParagraph"/>
              <w:spacing w:before="28"/>
              <w:ind w:left="156" w:right="-6"/>
              <w:jc w:val="left"/>
              <w:rPr>
                <w:sz w:val="13"/>
              </w:rPr>
            </w:pPr>
            <w:r>
              <w:rPr>
                <w:w w:val="70"/>
                <w:sz w:val="13"/>
              </w:rPr>
              <w:t>0.21</w:t>
            </w:r>
          </w:p>
        </w:tc>
        <w:tc>
          <w:tcPr>
            <w:tcW w:w="341" w:type="dxa"/>
            <w:tcBorders>
              <w:left w:val="single" w:sz="3" w:space="0" w:color="000000"/>
              <w:right w:val="single" w:sz="3" w:space="0" w:color="000000"/>
            </w:tcBorders>
          </w:tcPr>
          <w:p>
            <w:pPr>
              <w:pStyle w:val="TableParagraph"/>
              <w:spacing w:before="28"/>
              <w:ind w:left="129"/>
              <w:jc w:val="center"/>
              <w:rPr>
                <w:sz w:val="13"/>
              </w:rPr>
            </w:pPr>
            <w:r>
              <w:rPr>
                <w:w w:val="70"/>
                <w:sz w:val="13"/>
              </w:rPr>
              <w:t>0.11</w:t>
            </w:r>
          </w:p>
        </w:tc>
      </w:tr>
      <w:tr>
        <w:trPr>
          <w:trHeight w:val="330" w:hRule="exact"/>
        </w:trPr>
        <w:tc>
          <w:tcPr>
            <w:tcW w:w="575" w:type="dxa"/>
            <w:tcBorders>
              <w:left w:val="single" w:sz="3" w:space="0" w:color="000000"/>
              <w:right w:val="single" w:sz="3" w:space="0" w:color="000000"/>
            </w:tcBorders>
            <w:shd w:val="clear" w:color="auto" w:fill="DBEDF3"/>
          </w:tcPr>
          <w:p>
            <w:pPr>
              <w:pStyle w:val="TableParagraph"/>
              <w:spacing w:line="278" w:lineRule="auto"/>
              <w:ind w:left="177" w:hanging="57"/>
              <w:jc w:val="left"/>
              <w:rPr>
                <w:b/>
                <w:sz w:val="12"/>
              </w:rPr>
            </w:pPr>
            <w:r>
              <w:rPr>
                <w:b/>
                <w:w w:val="70"/>
                <w:sz w:val="12"/>
              </w:rPr>
              <w:t>Coef. de </w:t>
            </w:r>
            <w:r>
              <w:rPr>
                <w:b/>
                <w:w w:val="75"/>
                <w:sz w:val="12"/>
              </w:rPr>
              <w:t>Espe.</w:t>
            </w:r>
          </w:p>
        </w:tc>
        <w:tc>
          <w:tcPr>
            <w:tcW w:w="369" w:type="dxa"/>
            <w:tcBorders>
              <w:left w:val="single" w:sz="3" w:space="0" w:color="000000"/>
              <w:right w:val="single" w:sz="3" w:space="0" w:color="000000"/>
            </w:tcBorders>
          </w:tcPr>
          <w:p>
            <w:pPr>
              <w:pStyle w:val="TableParagraph"/>
              <w:spacing w:before="8"/>
              <w:jc w:val="left"/>
              <w:rPr>
                <w:b/>
                <w:sz w:val="13"/>
              </w:rPr>
            </w:pPr>
          </w:p>
          <w:p>
            <w:pPr>
              <w:pStyle w:val="TableParagraph"/>
              <w:ind w:left="170" w:right="-6"/>
              <w:jc w:val="left"/>
              <w:rPr>
                <w:b/>
                <w:sz w:val="13"/>
              </w:rPr>
            </w:pPr>
            <w:r>
              <w:rPr>
                <w:b/>
                <w:w w:val="70"/>
                <w:sz w:val="13"/>
              </w:rPr>
              <w:t>0.28</w:t>
            </w:r>
          </w:p>
        </w:tc>
        <w:tc>
          <w:tcPr>
            <w:tcW w:w="419" w:type="dxa"/>
            <w:tcBorders>
              <w:left w:val="single" w:sz="3" w:space="0" w:color="000000"/>
              <w:right w:val="single" w:sz="3" w:space="0" w:color="000000"/>
            </w:tcBorders>
          </w:tcPr>
          <w:p>
            <w:pPr>
              <w:pStyle w:val="TableParagraph"/>
              <w:spacing w:before="8"/>
              <w:jc w:val="left"/>
              <w:rPr>
                <w:b/>
                <w:sz w:val="13"/>
              </w:rPr>
            </w:pPr>
          </w:p>
          <w:p>
            <w:pPr>
              <w:pStyle w:val="TableParagraph"/>
              <w:ind w:right="10"/>
              <w:rPr>
                <w:b/>
                <w:sz w:val="13"/>
              </w:rPr>
            </w:pPr>
            <w:r>
              <w:rPr>
                <w:b/>
                <w:w w:val="70"/>
                <w:sz w:val="13"/>
              </w:rPr>
              <w:t>0.07</w:t>
            </w:r>
          </w:p>
        </w:tc>
        <w:tc>
          <w:tcPr>
            <w:tcW w:w="319" w:type="dxa"/>
            <w:tcBorders>
              <w:left w:val="single" w:sz="3" w:space="0" w:color="000000"/>
              <w:right w:val="single" w:sz="3" w:space="0" w:color="000000"/>
            </w:tcBorders>
          </w:tcPr>
          <w:p>
            <w:pPr>
              <w:pStyle w:val="TableParagraph"/>
              <w:spacing w:before="10"/>
              <w:jc w:val="left"/>
              <w:rPr>
                <w:b/>
                <w:sz w:val="11"/>
              </w:rPr>
            </w:pPr>
          </w:p>
          <w:p>
            <w:pPr>
              <w:pStyle w:val="TableParagraph"/>
              <w:ind w:left="70" w:right="-1"/>
              <w:jc w:val="left"/>
              <w:rPr>
                <w:rFonts w:ascii="Calibri"/>
                <w:b/>
                <w:sz w:val="15"/>
              </w:rPr>
            </w:pPr>
            <w:r>
              <w:rPr>
                <w:rFonts w:ascii="Calibri"/>
                <w:b/>
                <w:w w:val="80"/>
                <w:sz w:val="15"/>
              </w:rPr>
              <w:t>0.25</w:t>
            </w:r>
          </w:p>
        </w:tc>
        <w:tc>
          <w:tcPr>
            <w:tcW w:w="390" w:type="dxa"/>
            <w:tcBorders>
              <w:left w:val="single" w:sz="3" w:space="0" w:color="000000"/>
              <w:right w:val="single" w:sz="3" w:space="0" w:color="000000"/>
            </w:tcBorders>
          </w:tcPr>
          <w:p>
            <w:pPr>
              <w:pStyle w:val="TableParagraph"/>
              <w:spacing w:before="10"/>
              <w:jc w:val="left"/>
              <w:rPr>
                <w:b/>
                <w:sz w:val="11"/>
              </w:rPr>
            </w:pPr>
          </w:p>
          <w:p>
            <w:pPr>
              <w:pStyle w:val="TableParagraph"/>
              <w:ind w:left="106" w:right="-14"/>
              <w:jc w:val="left"/>
              <w:rPr>
                <w:rFonts w:ascii="Calibri"/>
                <w:b/>
                <w:sz w:val="15"/>
              </w:rPr>
            </w:pPr>
            <w:r>
              <w:rPr>
                <w:rFonts w:ascii="Calibri"/>
                <w:b/>
                <w:w w:val="80"/>
                <w:sz w:val="15"/>
              </w:rPr>
              <w:t>0.06</w:t>
            </w:r>
          </w:p>
        </w:tc>
        <w:tc>
          <w:tcPr>
            <w:tcW w:w="334" w:type="dxa"/>
            <w:tcBorders>
              <w:left w:val="single" w:sz="3" w:space="0" w:color="000000"/>
              <w:right w:val="single" w:sz="3" w:space="0" w:color="000000"/>
            </w:tcBorders>
          </w:tcPr>
          <w:p>
            <w:pPr>
              <w:pStyle w:val="TableParagraph"/>
              <w:spacing w:before="8"/>
              <w:jc w:val="left"/>
              <w:rPr>
                <w:b/>
                <w:sz w:val="13"/>
              </w:rPr>
            </w:pPr>
          </w:p>
          <w:p>
            <w:pPr>
              <w:pStyle w:val="TableParagraph"/>
              <w:ind w:left="134" w:right="-5"/>
              <w:jc w:val="left"/>
              <w:rPr>
                <w:b/>
                <w:sz w:val="13"/>
              </w:rPr>
            </w:pPr>
            <w:r>
              <w:rPr>
                <w:b/>
                <w:w w:val="70"/>
                <w:sz w:val="13"/>
              </w:rPr>
              <w:t>0.16</w:t>
            </w:r>
          </w:p>
        </w:tc>
        <w:tc>
          <w:tcPr>
            <w:tcW w:w="454" w:type="dxa"/>
            <w:tcBorders>
              <w:left w:val="single" w:sz="3" w:space="0" w:color="000000"/>
              <w:right w:val="single" w:sz="3" w:space="0" w:color="000000"/>
            </w:tcBorders>
          </w:tcPr>
          <w:p>
            <w:pPr>
              <w:pStyle w:val="TableParagraph"/>
              <w:spacing w:before="8"/>
              <w:jc w:val="left"/>
              <w:rPr>
                <w:b/>
                <w:sz w:val="13"/>
              </w:rPr>
            </w:pPr>
          </w:p>
          <w:p>
            <w:pPr>
              <w:pStyle w:val="TableParagraph"/>
              <w:ind w:right="10"/>
              <w:rPr>
                <w:b/>
                <w:sz w:val="13"/>
              </w:rPr>
            </w:pPr>
            <w:r>
              <w:rPr>
                <w:b/>
                <w:w w:val="70"/>
                <w:sz w:val="13"/>
              </w:rPr>
              <w:t>0.03</w:t>
            </w:r>
          </w:p>
        </w:tc>
        <w:tc>
          <w:tcPr>
            <w:tcW w:w="291" w:type="dxa"/>
            <w:tcBorders>
              <w:left w:val="single" w:sz="3" w:space="0" w:color="000000"/>
              <w:right w:val="single" w:sz="3" w:space="0" w:color="000000"/>
            </w:tcBorders>
          </w:tcPr>
          <w:p>
            <w:pPr>
              <w:pStyle w:val="TableParagraph"/>
              <w:spacing w:before="8"/>
              <w:jc w:val="left"/>
              <w:rPr>
                <w:b/>
                <w:sz w:val="13"/>
              </w:rPr>
            </w:pPr>
          </w:p>
          <w:p>
            <w:pPr>
              <w:pStyle w:val="TableParagraph"/>
              <w:ind w:left="92" w:right="-6"/>
              <w:jc w:val="left"/>
              <w:rPr>
                <w:b/>
                <w:sz w:val="13"/>
              </w:rPr>
            </w:pPr>
            <w:r>
              <w:rPr>
                <w:b/>
                <w:w w:val="70"/>
                <w:sz w:val="13"/>
              </w:rPr>
              <w:t>0.14</w:t>
            </w:r>
          </w:p>
        </w:tc>
        <w:tc>
          <w:tcPr>
            <w:tcW w:w="454" w:type="dxa"/>
            <w:tcBorders>
              <w:left w:val="single" w:sz="3" w:space="0" w:color="000000"/>
              <w:right w:val="single" w:sz="3" w:space="0" w:color="000000"/>
            </w:tcBorders>
          </w:tcPr>
          <w:p>
            <w:pPr>
              <w:pStyle w:val="TableParagraph"/>
              <w:spacing w:before="8"/>
              <w:jc w:val="left"/>
              <w:rPr>
                <w:b/>
                <w:sz w:val="13"/>
              </w:rPr>
            </w:pPr>
          </w:p>
          <w:p>
            <w:pPr>
              <w:pStyle w:val="TableParagraph"/>
              <w:ind w:right="10"/>
              <w:rPr>
                <w:b/>
                <w:sz w:val="13"/>
              </w:rPr>
            </w:pPr>
            <w:r>
              <w:rPr>
                <w:b/>
                <w:w w:val="70"/>
                <w:sz w:val="13"/>
              </w:rPr>
              <w:t>0.02</w:t>
            </w:r>
          </w:p>
        </w:tc>
        <w:tc>
          <w:tcPr>
            <w:tcW w:w="326" w:type="dxa"/>
            <w:tcBorders>
              <w:left w:val="single" w:sz="3" w:space="0" w:color="000000"/>
              <w:right w:val="single" w:sz="3" w:space="0" w:color="000000"/>
            </w:tcBorders>
          </w:tcPr>
          <w:p>
            <w:pPr>
              <w:pStyle w:val="TableParagraph"/>
              <w:spacing w:before="8"/>
              <w:jc w:val="left"/>
              <w:rPr>
                <w:b/>
                <w:sz w:val="13"/>
              </w:rPr>
            </w:pPr>
          </w:p>
          <w:p>
            <w:pPr>
              <w:pStyle w:val="TableParagraph"/>
              <w:ind w:left="114"/>
              <w:jc w:val="center"/>
              <w:rPr>
                <w:b/>
                <w:sz w:val="13"/>
              </w:rPr>
            </w:pPr>
            <w:r>
              <w:rPr>
                <w:b/>
                <w:w w:val="70"/>
                <w:sz w:val="13"/>
              </w:rPr>
              <w:t>0.17</w:t>
            </w:r>
          </w:p>
        </w:tc>
        <w:tc>
          <w:tcPr>
            <w:tcW w:w="454" w:type="dxa"/>
            <w:tcBorders>
              <w:left w:val="single" w:sz="3" w:space="0" w:color="000000"/>
              <w:right w:val="single" w:sz="3" w:space="0" w:color="000000"/>
            </w:tcBorders>
          </w:tcPr>
          <w:p>
            <w:pPr>
              <w:pStyle w:val="TableParagraph"/>
              <w:spacing w:before="8"/>
              <w:jc w:val="left"/>
              <w:rPr>
                <w:b/>
                <w:sz w:val="13"/>
              </w:rPr>
            </w:pPr>
          </w:p>
          <w:p>
            <w:pPr>
              <w:pStyle w:val="TableParagraph"/>
              <w:ind w:right="10"/>
              <w:rPr>
                <w:b/>
                <w:sz w:val="13"/>
              </w:rPr>
            </w:pPr>
            <w:r>
              <w:rPr>
                <w:b/>
                <w:w w:val="70"/>
                <w:sz w:val="13"/>
              </w:rPr>
              <w:t>0.03</w:t>
            </w:r>
          </w:p>
        </w:tc>
        <w:tc>
          <w:tcPr>
            <w:tcW w:w="319" w:type="dxa"/>
            <w:tcBorders>
              <w:left w:val="single" w:sz="3" w:space="0" w:color="000000"/>
              <w:right w:val="single" w:sz="3" w:space="0" w:color="000000"/>
            </w:tcBorders>
          </w:tcPr>
          <w:p>
            <w:pPr>
              <w:pStyle w:val="TableParagraph"/>
              <w:spacing w:before="8"/>
              <w:jc w:val="left"/>
              <w:rPr>
                <w:b/>
                <w:sz w:val="13"/>
              </w:rPr>
            </w:pPr>
          </w:p>
          <w:p>
            <w:pPr>
              <w:pStyle w:val="TableParagraph"/>
              <w:ind w:left="120" w:right="-5"/>
              <w:jc w:val="left"/>
              <w:rPr>
                <w:b/>
                <w:sz w:val="13"/>
              </w:rPr>
            </w:pPr>
            <w:r>
              <w:rPr>
                <w:b/>
                <w:w w:val="70"/>
                <w:sz w:val="13"/>
              </w:rPr>
              <w:t>0.19</w:t>
            </w:r>
          </w:p>
        </w:tc>
        <w:tc>
          <w:tcPr>
            <w:tcW w:w="454" w:type="dxa"/>
            <w:tcBorders>
              <w:left w:val="single" w:sz="3" w:space="0" w:color="000000"/>
              <w:right w:val="single" w:sz="3" w:space="0" w:color="000000"/>
            </w:tcBorders>
          </w:tcPr>
          <w:p>
            <w:pPr>
              <w:pStyle w:val="TableParagraph"/>
              <w:spacing w:before="8"/>
              <w:jc w:val="left"/>
              <w:rPr>
                <w:b/>
                <w:sz w:val="13"/>
              </w:rPr>
            </w:pPr>
          </w:p>
          <w:p>
            <w:pPr>
              <w:pStyle w:val="TableParagraph"/>
              <w:ind w:right="10"/>
              <w:rPr>
                <w:b/>
                <w:sz w:val="13"/>
              </w:rPr>
            </w:pPr>
            <w:r>
              <w:rPr>
                <w:b/>
                <w:w w:val="70"/>
                <w:sz w:val="13"/>
              </w:rPr>
              <w:t>0.09</w:t>
            </w:r>
          </w:p>
        </w:tc>
        <w:tc>
          <w:tcPr>
            <w:tcW w:w="312" w:type="dxa"/>
            <w:tcBorders>
              <w:left w:val="single" w:sz="3" w:space="0" w:color="000000"/>
              <w:right w:val="single" w:sz="3" w:space="0" w:color="000000"/>
            </w:tcBorders>
          </w:tcPr>
          <w:p>
            <w:pPr>
              <w:pStyle w:val="TableParagraph"/>
              <w:spacing w:before="8"/>
              <w:jc w:val="left"/>
              <w:rPr>
                <w:b/>
                <w:sz w:val="13"/>
              </w:rPr>
            </w:pPr>
          </w:p>
          <w:p>
            <w:pPr>
              <w:pStyle w:val="TableParagraph"/>
              <w:ind w:left="113" w:right="-5"/>
              <w:jc w:val="left"/>
              <w:rPr>
                <w:b/>
                <w:sz w:val="13"/>
              </w:rPr>
            </w:pPr>
            <w:r>
              <w:rPr>
                <w:b/>
                <w:w w:val="70"/>
                <w:sz w:val="13"/>
              </w:rPr>
              <w:t>0.14</w:t>
            </w:r>
          </w:p>
        </w:tc>
        <w:tc>
          <w:tcPr>
            <w:tcW w:w="454" w:type="dxa"/>
            <w:tcBorders>
              <w:left w:val="single" w:sz="3" w:space="0" w:color="000000"/>
              <w:right w:val="single" w:sz="3" w:space="0" w:color="000000"/>
            </w:tcBorders>
          </w:tcPr>
          <w:p>
            <w:pPr>
              <w:pStyle w:val="TableParagraph"/>
              <w:spacing w:before="8"/>
              <w:jc w:val="left"/>
              <w:rPr>
                <w:b/>
                <w:sz w:val="13"/>
              </w:rPr>
            </w:pPr>
          </w:p>
          <w:p>
            <w:pPr>
              <w:pStyle w:val="TableParagraph"/>
              <w:ind w:right="10"/>
              <w:rPr>
                <w:b/>
                <w:sz w:val="13"/>
              </w:rPr>
            </w:pPr>
            <w:r>
              <w:rPr>
                <w:b/>
                <w:w w:val="70"/>
                <w:sz w:val="13"/>
              </w:rPr>
              <w:t>0.04</w:t>
            </w:r>
          </w:p>
        </w:tc>
        <w:tc>
          <w:tcPr>
            <w:tcW w:w="284" w:type="dxa"/>
            <w:tcBorders>
              <w:left w:val="single" w:sz="3" w:space="0" w:color="000000"/>
              <w:right w:val="single" w:sz="3" w:space="0" w:color="000000"/>
            </w:tcBorders>
          </w:tcPr>
          <w:p>
            <w:pPr>
              <w:pStyle w:val="TableParagraph"/>
              <w:spacing w:before="8"/>
              <w:jc w:val="left"/>
              <w:rPr>
                <w:b/>
                <w:sz w:val="13"/>
              </w:rPr>
            </w:pPr>
          </w:p>
          <w:p>
            <w:pPr>
              <w:pStyle w:val="TableParagraph"/>
              <w:ind w:left="85" w:right="-6"/>
              <w:jc w:val="left"/>
              <w:rPr>
                <w:b/>
                <w:sz w:val="13"/>
              </w:rPr>
            </w:pPr>
            <w:r>
              <w:rPr>
                <w:b/>
                <w:w w:val="70"/>
                <w:sz w:val="13"/>
              </w:rPr>
              <w:t>0.16</w:t>
            </w:r>
          </w:p>
        </w:tc>
        <w:tc>
          <w:tcPr>
            <w:tcW w:w="454" w:type="dxa"/>
            <w:tcBorders>
              <w:left w:val="single" w:sz="3" w:space="0" w:color="000000"/>
              <w:right w:val="single" w:sz="3" w:space="0" w:color="000000"/>
            </w:tcBorders>
          </w:tcPr>
          <w:p>
            <w:pPr>
              <w:pStyle w:val="TableParagraph"/>
              <w:spacing w:before="8"/>
              <w:jc w:val="left"/>
              <w:rPr>
                <w:b/>
                <w:sz w:val="13"/>
              </w:rPr>
            </w:pPr>
          </w:p>
          <w:p>
            <w:pPr>
              <w:pStyle w:val="TableParagraph"/>
              <w:ind w:right="10"/>
              <w:rPr>
                <w:b/>
                <w:sz w:val="13"/>
              </w:rPr>
            </w:pPr>
            <w:r>
              <w:rPr>
                <w:b/>
                <w:w w:val="70"/>
                <w:sz w:val="13"/>
              </w:rPr>
              <w:t>0.08</w:t>
            </w:r>
          </w:p>
        </w:tc>
        <w:tc>
          <w:tcPr>
            <w:tcW w:w="454" w:type="dxa"/>
            <w:tcBorders>
              <w:left w:val="single" w:sz="3" w:space="0" w:color="000000"/>
              <w:right w:val="single" w:sz="3" w:space="0" w:color="000000"/>
            </w:tcBorders>
          </w:tcPr>
          <w:p>
            <w:pPr>
              <w:pStyle w:val="TableParagraph"/>
              <w:spacing w:before="8"/>
              <w:jc w:val="left"/>
              <w:rPr>
                <w:b/>
                <w:sz w:val="13"/>
              </w:rPr>
            </w:pPr>
          </w:p>
          <w:p>
            <w:pPr>
              <w:pStyle w:val="TableParagraph"/>
              <w:ind w:right="10"/>
              <w:rPr>
                <w:b/>
                <w:sz w:val="13"/>
              </w:rPr>
            </w:pPr>
            <w:r>
              <w:rPr>
                <w:b/>
                <w:w w:val="70"/>
                <w:sz w:val="13"/>
              </w:rPr>
              <w:t>0.11</w:t>
            </w:r>
          </w:p>
        </w:tc>
        <w:tc>
          <w:tcPr>
            <w:tcW w:w="397" w:type="dxa"/>
            <w:tcBorders>
              <w:left w:val="single" w:sz="3" w:space="0" w:color="000000"/>
              <w:right w:val="single" w:sz="3" w:space="0" w:color="000000"/>
            </w:tcBorders>
          </w:tcPr>
          <w:p>
            <w:pPr>
              <w:pStyle w:val="TableParagraph"/>
              <w:spacing w:before="8"/>
              <w:jc w:val="left"/>
              <w:rPr>
                <w:b/>
                <w:sz w:val="13"/>
              </w:rPr>
            </w:pPr>
          </w:p>
          <w:p>
            <w:pPr>
              <w:pStyle w:val="TableParagraph"/>
              <w:ind w:right="10"/>
              <w:rPr>
                <w:b/>
                <w:sz w:val="13"/>
              </w:rPr>
            </w:pPr>
            <w:r>
              <w:rPr>
                <w:b/>
                <w:w w:val="70"/>
                <w:sz w:val="13"/>
              </w:rPr>
              <w:t>0.06</w:t>
            </w:r>
          </w:p>
        </w:tc>
        <w:tc>
          <w:tcPr>
            <w:tcW w:w="355" w:type="dxa"/>
            <w:tcBorders>
              <w:left w:val="single" w:sz="3" w:space="0" w:color="000000"/>
              <w:right w:val="single" w:sz="3" w:space="0" w:color="000000"/>
            </w:tcBorders>
          </w:tcPr>
          <w:p>
            <w:pPr>
              <w:pStyle w:val="TableParagraph"/>
              <w:spacing w:before="8"/>
              <w:jc w:val="left"/>
              <w:rPr>
                <w:b/>
                <w:sz w:val="13"/>
              </w:rPr>
            </w:pPr>
          </w:p>
          <w:p>
            <w:pPr>
              <w:pStyle w:val="TableParagraph"/>
              <w:ind w:left="156" w:right="-6"/>
              <w:jc w:val="left"/>
              <w:rPr>
                <w:b/>
                <w:sz w:val="13"/>
              </w:rPr>
            </w:pPr>
            <w:r>
              <w:rPr>
                <w:b/>
                <w:w w:val="70"/>
                <w:sz w:val="13"/>
              </w:rPr>
              <w:t>0.11</w:t>
            </w:r>
          </w:p>
        </w:tc>
        <w:tc>
          <w:tcPr>
            <w:tcW w:w="341" w:type="dxa"/>
            <w:tcBorders>
              <w:left w:val="single" w:sz="3" w:space="0" w:color="000000"/>
              <w:right w:val="single" w:sz="3" w:space="0" w:color="000000"/>
            </w:tcBorders>
          </w:tcPr>
          <w:p>
            <w:pPr>
              <w:pStyle w:val="TableParagraph"/>
              <w:spacing w:before="8"/>
              <w:jc w:val="left"/>
              <w:rPr>
                <w:b/>
                <w:sz w:val="13"/>
              </w:rPr>
            </w:pPr>
          </w:p>
          <w:p>
            <w:pPr>
              <w:pStyle w:val="TableParagraph"/>
              <w:ind w:left="129"/>
              <w:jc w:val="center"/>
              <w:rPr>
                <w:b/>
                <w:sz w:val="13"/>
              </w:rPr>
            </w:pPr>
            <w:r>
              <w:rPr>
                <w:b/>
                <w:w w:val="70"/>
                <w:sz w:val="13"/>
              </w:rPr>
              <w:t>0.06</w:t>
            </w:r>
          </w:p>
        </w:tc>
      </w:tr>
    </w:tbl>
    <w:p>
      <w:pPr>
        <w:pStyle w:val="BodyText"/>
        <w:spacing w:before="7"/>
        <w:rPr>
          <w:rFonts w:ascii="Arial"/>
          <w:b/>
          <w:sz w:val="9"/>
        </w:rPr>
      </w:pPr>
    </w:p>
    <w:p>
      <w:pPr>
        <w:spacing w:before="86"/>
        <w:ind w:left="861" w:right="6673" w:firstLine="0"/>
        <w:jc w:val="left"/>
        <w:rPr>
          <w:rFonts w:ascii="Arial" w:hAnsi="Arial"/>
          <w:sz w:val="11"/>
        </w:rPr>
      </w:pPr>
      <w:r>
        <w:rPr>
          <w:rFonts w:ascii="Arial" w:hAnsi="Arial"/>
          <w:w w:val="70"/>
          <w:sz w:val="11"/>
        </w:rPr>
        <w:t>T-L : Región Toluca-Lerma</w:t>
      </w:r>
    </w:p>
    <w:p>
      <w:pPr>
        <w:spacing w:before="43"/>
        <w:ind w:left="861" w:right="6673" w:firstLine="0"/>
        <w:jc w:val="left"/>
        <w:rPr>
          <w:rFonts w:ascii="Arial" w:hAnsi="Arial"/>
          <w:sz w:val="11"/>
        </w:rPr>
      </w:pPr>
      <w:r>
        <w:rPr>
          <w:rFonts w:ascii="Arial" w:hAnsi="Arial"/>
          <w:w w:val="75"/>
          <w:sz w:val="11"/>
        </w:rPr>
        <w:t>V de M : Región Valle de México</w:t>
      </w:r>
    </w:p>
    <w:p>
      <w:pPr>
        <w:spacing w:before="43"/>
        <w:ind w:left="861" w:right="0" w:firstLine="0"/>
        <w:jc w:val="left"/>
        <w:rPr>
          <w:rFonts w:ascii="Arial" w:hAnsi="Arial"/>
          <w:sz w:val="11"/>
        </w:rPr>
      </w:pPr>
      <w:r>
        <w:rPr>
          <w:rFonts w:ascii="Arial" w:hAnsi="Arial"/>
          <w:w w:val="75"/>
          <w:sz w:val="11"/>
        </w:rPr>
        <w:t>Fuente: Elaboración propia con base en los datos de INEGI. </w:t>
      </w:r>
      <w:r>
        <w:rPr>
          <w:rFonts w:ascii="Arial" w:hAnsi="Arial"/>
          <w:i/>
          <w:w w:val="75"/>
          <w:sz w:val="11"/>
        </w:rPr>
        <w:t>Censos industriales y económicos </w:t>
      </w:r>
      <w:r>
        <w:rPr>
          <w:rFonts w:ascii="Arial" w:hAnsi="Arial"/>
          <w:w w:val="75"/>
          <w:sz w:val="11"/>
        </w:rPr>
        <w:t>. 1971, 1976, 1981, 1986, 1989, 1994, 1999, 2004 y 2009.</w:t>
      </w:r>
    </w:p>
    <w:p>
      <w:pPr>
        <w:pStyle w:val="BodyText"/>
        <w:rPr>
          <w:rFonts w:ascii="Arial"/>
          <w:sz w:val="20"/>
        </w:rPr>
      </w:pPr>
    </w:p>
    <w:p>
      <w:pPr>
        <w:pStyle w:val="BodyText"/>
        <w:rPr>
          <w:rFonts w:ascii="Arial"/>
          <w:sz w:val="20"/>
        </w:rPr>
      </w:pPr>
    </w:p>
    <w:p>
      <w:pPr>
        <w:pStyle w:val="BodyText"/>
        <w:spacing w:before="3"/>
        <w:rPr>
          <w:rFonts w:ascii="Arial"/>
          <w:sz w:val="18"/>
        </w:rPr>
      </w:pPr>
    </w:p>
    <w:p>
      <w:pPr>
        <w:pStyle w:val="Heading2"/>
        <w:numPr>
          <w:ilvl w:val="1"/>
          <w:numId w:val="16"/>
        </w:numPr>
        <w:tabs>
          <w:tab w:pos="523" w:val="left" w:leader="none"/>
        </w:tabs>
        <w:spacing w:line="240" w:lineRule="auto" w:before="70" w:after="0"/>
        <w:ind w:left="522" w:right="0" w:hanging="420"/>
        <w:jc w:val="both"/>
      </w:pPr>
      <w:r>
        <w:rPr/>
        <w:t>Estructura económica</w:t>
      </w:r>
      <w:r>
        <w:rPr>
          <w:spacing w:val="-9"/>
        </w:rPr>
        <w:t> </w:t>
      </w:r>
      <w:r>
        <w:rPr/>
        <w:t>regional</w:t>
      </w:r>
    </w:p>
    <w:p>
      <w:pPr>
        <w:pStyle w:val="BodyText"/>
        <w:spacing w:line="360" w:lineRule="auto" w:before="132"/>
        <w:ind w:left="102" w:right="238"/>
        <w:jc w:val="both"/>
      </w:pPr>
      <w:r>
        <w:rPr/>
        <w:t>Otro punto de importancia que se plantea en el análisis regional es obtener una visión que resuma la estructura económica de las regiones, es decir, de la composición de actividades económicas regionales. En este sentido se trata de responder a la siguiente pregunta: ¿qué tan similar o diferente es la estructura productiva de la región Toluca-Lerma y Valle de México, comparada con la estructura de las actividades económicas del Estado de México?,</w:t>
      </w:r>
    </w:p>
    <w:p>
      <w:pPr>
        <w:pStyle w:val="BodyText"/>
        <w:spacing w:before="6"/>
        <w:ind w:left="102"/>
        <w:jc w:val="both"/>
      </w:pPr>
      <w:r>
        <w:rPr/>
        <w:t>¿Cuál es el grado de diversificación o concentración económica?.</w:t>
      </w:r>
    </w:p>
    <w:p>
      <w:pPr>
        <w:pStyle w:val="BodyText"/>
        <w:spacing w:line="360" w:lineRule="auto" w:before="137"/>
        <w:ind w:left="102" w:right="241" w:firstLine="707"/>
        <w:jc w:val="both"/>
      </w:pPr>
      <w:r>
        <w:rPr/>
        <w:t>Boisier (1980), plantea que las regiones son economías muy abiertas y sujetas a las fluctuaciones en la demanda extra-regional de bienes y servicios. La estabilidad económica es una condición económica y deseable del crecimiento económico que está notablemente asociada a la diversidad económica.</w:t>
      </w:r>
    </w:p>
    <w:p>
      <w:pPr>
        <w:pStyle w:val="BodyText"/>
        <w:spacing w:line="360" w:lineRule="auto" w:before="4"/>
        <w:ind w:left="102" w:right="236" w:firstLine="707"/>
        <w:jc w:val="both"/>
      </w:pPr>
      <w:r>
        <w:rPr/>
        <w:t>Así, el propósito general de toda política de desarrollo regional será apegarse al  logro de una mayor diversificación económica (a mayor concentración, menor estabilidad económica). Para el caso de las regiones Toluca-Lerma y Valle de México, ambas se encuentran concentradas en los subsectores 38 Productos metálicos, maquinaria y equipo tanto en la producción y generación de empleo, seguido del subsector 35 Sustancias químicas, productos derivados del petróleo y del carbón, hule y de plástico. Tal como lo muestran los resultados de especialización absoluta, vistos en el apartado anterior. Por lo cual  la política económica en  estas  regiones  sería una mayor diversificación   productiva,</w:t>
      </w:r>
    </w:p>
    <w:p>
      <w:pPr>
        <w:spacing w:after="0" w:line="360" w:lineRule="auto"/>
        <w:jc w:val="both"/>
        <w:sectPr>
          <w:pgSz w:w="12240" w:h="15840"/>
          <w:pgMar w:header="0" w:footer="1003" w:top="1380" w:bottom="1200" w:left="1600" w:right="1460"/>
        </w:sectPr>
      </w:pPr>
    </w:p>
    <w:p>
      <w:pPr>
        <w:pStyle w:val="BodyText"/>
        <w:spacing w:line="362" w:lineRule="auto" w:before="50"/>
        <w:ind w:left="102" w:right="119"/>
        <w:jc w:val="both"/>
      </w:pPr>
      <w:r>
        <w:rPr/>
        <w:t>para lograr una mayor estabilidad económica y nula concentración de la producción en pocos productores. En este sentido Rodríguez y Albarrán (2008: 158), plantean que:</w:t>
      </w:r>
    </w:p>
    <w:p>
      <w:pPr>
        <w:spacing w:before="0"/>
        <w:ind w:left="810" w:right="1021" w:firstLine="0"/>
        <w:jc w:val="both"/>
        <w:rPr>
          <w:sz w:val="22"/>
        </w:rPr>
      </w:pPr>
      <w:r>
        <w:rPr>
          <w:sz w:val="22"/>
        </w:rPr>
        <w:t>“Las ramas de sustancias químicas, industrias metálicas básicas y productos metálicos conservan estructuras competitivas homogéneas, con bajas composiciones técnicas, lo cual, por una parte, desencadenó una mayor absorción de fuerza de trabajo, y, por otra, un proceso de relocalización productiva, desarticulando interregionalmente algunas de las cadenas productivas concentradas (industria automotriz y química)”.</w:t>
      </w:r>
    </w:p>
    <w:p>
      <w:pPr>
        <w:pStyle w:val="BodyText"/>
        <w:spacing w:before="6"/>
      </w:pPr>
    </w:p>
    <w:p>
      <w:pPr>
        <w:pStyle w:val="Heading2"/>
        <w:numPr>
          <w:ilvl w:val="2"/>
          <w:numId w:val="16"/>
        </w:numPr>
        <w:tabs>
          <w:tab w:pos="643" w:val="left" w:leader="none"/>
        </w:tabs>
        <w:spacing w:line="240" w:lineRule="auto" w:before="0" w:after="0"/>
        <w:ind w:left="642" w:right="0" w:hanging="540"/>
        <w:jc w:val="both"/>
      </w:pPr>
      <w:r>
        <w:rPr/>
        <w:t>Coeficiente de</w:t>
      </w:r>
      <w:r>
        <w:rPr>
          <w:spacing w:val="-8"/>
        </w:rPr>
        <w:t> </w:t>
      </w:r>
      <w:r>
        <w:rPr/>
        <w:t>especialización</w:t>
      </w:r>
    </w:p>
    <w:p>
      <w:pPr>
        <w:pStyle w:val="BodyText"/>
        <w:spacing w:line="360" w:lineRule="auto" w:before="132"/>
        <w:ind w:left="102" w:right="122"/>
        <w:jc w:val="both"/>
      </w:pPr>
      <w:r>
        <w:rPr/>
        <w:t>Para conocer en qué medida es diferente o semejante la estructura productiva intersectorial de actividades de las regiones en estudio, a la que se observa con respecto al Estado de México, calculamos el coeficiente de especialización (CfE) que es definido como una medida de la diferencia existente entre la estructura de actividades de una región y una cierta estructura de actividades que se usa como patrón de comparación, generalmente el país, para el caso de esta investigación es el Estado de México.</w:t>
      </w:r>
    </w:p>
    <w:p>
      <w:pPr>
        <w:pStyle w:val="BodyText"/>
        <w:spacing w:line="360" w:lineRule="auto" w:before="4"/>
        <w:ind w:left="102" w:right="120" w:firstLine="707"/>
        <w:jc w:val="both"/>
      </w:pPr>
      <w:r>
        <w:rPr/>
        <w:t>Aunque el concepto de diversificación es un concepto relativo, la medida del grado de éste es un valor absoluto con un intervalo entre 0 y 1. Una región tendrá un valor igual a 1 en la medida en que la actividad económica de la región tienda a concentrarse en un sólo sector y en la medida en que a nivel estatal se observe una concentración en una actividad diferente; y tendrá una misma estructura que el estado si el coeficiente de especialización es igual a 0.</w:t>
      </w:r>
    </w:p>
    <w:p>
      <w:pPr>
        <w:pStyle w:val="BodyText"/>
        <w:spacing w:line="360" w:lineRule="auto" w:before="4"/>
        <w:ind w:left="102" w:right="115" w:firstLine="707"/>
        <w:jc w:val="both"/>
      </w:pPr>
      <w:r>
        <w:rPr/>
        <w:t>En el Cuadro 3.8 se aprecia que durante todo el periodo de estudio ambas regiones muestran una estructura intersectorial de actividades económicas más semejantes al patrón de la estructura estatal por los valores que presenta, cercanos a cero; sin embargo, en la región Valle de México el grado de especialización es más bajo (o el grado de diversificación es muy alto), pues los coeficientes de especialización son menores a los índices de la región Toluca-Lerma, lo que indica que el objetivo de diversificación económica tendría en esta región menos importancia que en la región Toluca-Lerma. Es decir, que la región Toluca-Lerma es más concentrada en su especialización pues existe una enorme concentración en pocos subsectores.</w:t>
      </w:r>
    </w:p>
    <w:p>
      <w:pPr>
        <w:spacing w:after="0" w:line="360" w:lineRule="auto"/>
        <w:jc w:val="both"/>
        <w:sectPr>
          <w:pgSz w:w="12240" w:h="15840"/>
          <w:pgMar w:header="0" w:footer="1003" w:top="1360" w:bottom="1200" w:left="1600" w:right="1580"/>
        </w:sectPr>
      </w:pPr>
    </w:p>
    <w:p>
      <w:pPr>
        <w:pStyle w:val="Heading2"/>
        <w:numPr>
          <w:ilvl w:val="2"/>
          <w:numId w:val="16"/>
        </w:numPr>
        <w:tabs>
          <w:tab w:pos="643" w:val="left" w:leader="none"/>
        </w:tabs>
        <w:spacing w:line="240" w:lineRule="auto" w:before="55" w:after="0"/>
        <w:ind w:left="642" w:right="0" w:hanging="540"/>
        <w:jc w:val="both"/>
      </w:pPr>
      <w:r>
        <w:rPr/>
        <w:t>Concentración geográfica</w:t>
      </w:r>
      <w:r>
        <w:rPr>
          <w:spacing w:val="-7"/>
        </w:rPr>
        <w:t> </w:t>
      </w:r>
      <w:r>
        <w:rPr/>
        <w:t>sectorial</w:t>
      </w:r>
    </w:p>
    <w:p>
      <w:pPr>
        <w:pStyle w:val="BodyText"/>
        <w:spacing w:line="360" w:lineRule="auto" w:before="135"/>
        <w:ind w:left="102" w:right="120"/>
        <w:jc w:val="both"/>
      </w:pPr>
      <w:r>
        <w:rPr/>
        <w:t>Es una cuestión básica conocer de manera cuantitativa la forma en que una actividad económica se distribuye en el territorio, esto desde el punto de vista del análisis de la localización económica, así como de la formulación de una política de  desarrollo  industrial.</w:t>
      </w:r>
    </w:p>
    <w:p>
      <w:pPr>
        <w:pStyle w:val="BodyText"/>
        <w:spacing w:line="360" w:lineRule="auto" w:before="6"/>
        <w:ind w:left="102" w:right="117" w:firstLine="707"/>
        <w:jc w:val="both"/>
      </w:pPr>
      <w:r>
        <w:rPr/>
        <w:t>En este sentido se pretende contestar las siguientes preguntas: ¿Cuáles son las actividades manufactureras que presentan mayores grados de libertad para ser ubicadas en regiones alternativas?, ¿Es conveniente o no, reforzar tal o cual actividad industrial en tal o cual región?. Para responder a estos cuestionamientos se utiliza el Coeficiente de Localización (CfL), definido como una medida de la diferencia existente entre la estructura interregional de una actividad y una cierta estructura interregional de otra actividad que se usa como patrón de comparación.</w:t>
      </w:r>
    </w:p>
    <w:p>
      <w:pPr>
        <w:pStyle w:val="BodyText"/>
        <w:spacing w:line="360" w:lineRule="auto" w:before="4"/>
        <w:ind w:left="102" w:right="117" w:firstLine="707"/>
        <w:jc w:val="both"/>
      </w:pPr>
      <w:r>
        <w:rPr/>
        <w:t>Si el Coeficiente de Localización es igual a uno la participación del sector I es  mayor en escala estatal, los sectores se encuentran concentrados geográficamente y cuando es igual a cero la participación del sector I es igual en el nivel estatal, los sectores se encuentran desconcentrados geográficamente. Como se observa en el Cuadro 3.9 en el periodo de estudio, en ambas regiones, en todos años y en todos los subsectores, el CfL es mayor a</w:t>
      </w:r>
      <w:r>
        <w:rPr>
          <w:spacing w:val="-4"/>
        </w:rPr>
        <w:t> </w:t>
      </w:r>
      <w:r>
        <w:rPr/>
        <w:t>1.</w:t>
      </w:r>
    </w:p>
    <w:p>
      <w:pPr>
        <w:spacing w:before="37"/>
        <w:ind w:left="856" w:right="121" w:firstLine="0"/>
        <w:jc w:val="left"/>
        <w:rPr>
          <w:rFonts w:ascii="Arial"/>
          <w:b/>
          <w:sz w:val="20"/>
        </w:rPr>
      </w:pPr>
      <w:r>
        <w:rPr>
          <w:rFonts w:ascii="Arial"/>
          <w:b/>
          <w:w w:val="95"/>
          <w:sz w:val="20"/>
        </w:rPr>
        <w:t>Cuadro 3.9</w:t>
      </w:r>
    </w:p>
    <w:p>
      <w:pPr>
        <w:spacing w:line="278" w:lineRule="auto" w:before="37"/>
        <w:ind w:left="856" w:right="5755" w:firstLine="0"/>
        <w:jc w:val="left"/>
        <w:rPr>
          <w:rFonts w:ascii="Arial" w:hAnsi="Arial"/>
          <w:b/>
          <w:sz w:val="20"/>
        </w:rPr>
      </w:pPr>
      <w:r>
        <w:rPr>
          <w:rFonts w:ascii="Arial" w:hAnsi="Arial"/>
          <w:b/>
          <w:w w:val="95"/>
          <w:sz w:val="20"/>
        </w:rPr>
        <w:t>Coeficiente de localización Valor agregado</w:t>
      </w:r>
    </w:p>
    <w:p>
      <w:pPr>
        <w:spacing w:before="1"/>
        <w:ind w:left="856" w:right="121" w:firstLine="0"/>
        <w:jc w:val="left"/>
        <w:rPr>
          <w:rFonts w:ascii="Arial" w:hAnsi="Arial"/>
          <w:b/>
          <w:sz w:val="20"/>
        </w:rPr>
      </w:pPr>
      <w:r>
        <w:rPr>
          <w:rFonts w:ascii="Arial" w:hAnsi="Arial"/>
          <w:b/>
          <w:w w:val="95"/>
          <w:sz w:val="20"/>
        </w:rPr>
        <w:t>Región Toluca-Lerma y Valle de México</w:t>
      </w:r>
    </w:p>
    <w:p>
      <w:pPr>
        <w:spacing w:before="34"/>
        <w:ind w:left="844" w:right="121" w:firstLine="0"/>
        <w:jc w:val="left"/>
        <w:rPr>
          <w:rFonts w:ascii="Arial"/>
          <w:b/>
          <w:sz w:val="19"/>
        </w:rPr>
      </w:pPr>
      <w:r>
        <w:rPr>
          <w:rFonts w:ascii="Arial"/>
          <w:b/>
          <w:sz w:val="19"/>
        </w:rPr>
        <w:t>1970-2008</w:t>
      </w:r>
    </w:p>
    <w:p>
      <w:pPr>
        <w:pStyle w:val="BodyText"/>
        <w:spacing w:before="8"/>
        <w:rPr>
          <w:rFonts w:ascii="Arial"/>
          <w:b/>
          <w:sz w:val="19"/>
        </w:rPr>
      </w:pPr>
    </w:p>
    <w:tbl>
      <w:tblPr>
        <w:tblW w:w="0" w:type="auto"/>
        <w:jc w:val="left"/>
        <w:tblInd w:w="81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932"/>
        <w:gridCol w:w="536"/>
        <w:gridCol w:w="536"/>
        <w:gridCol w:w="536"/>
        <w:gridCol w:w="536"/>
        <w:gridCol w:w="536"/>
        <w:gridCol w:w="535"/>
        <w:gridCol w:w="535"/>
        <w:gridCol w:w="536"/>
        <w:gridCol w:w="571"/>
      </w:tblGrid>
      <w:tr>
        <w:trPr>
          <w:trHeight w:val="471" w:hRule="exact"/>
        </w:trPr>
        <w:tc>
          <w:tcPr>
            <w:tcW w:w="932" w:type="dxa"/>
            <w:tcBorders>
              <w:left w:val="single" w:sz="5" w:space="0" w:color="000000"/>
              <w:right w:val="single" w:sz="5" w:space="0" w:color="000000"/>
            </w:tcBorders>
            <w:shd w:val="clear" w:color="auto" w:fill="D7D7D7"/>
          </w:tcPr>
          <w:p>
            <w:pPr>
              <w:pStyle w:val="TableParagraph"/>
              <w:spacing w:before="7"/>
              <w:jc w:val="left"/>
              <w:rPr>
                <w:b/>
                <w:sz w:val="19"/>
              </w:rPr>
            </w:pPr>
          </w:p>
          <w:p>
            <w:pPr>
              <w:pStyle w:val="TableParagraph"/>
              <w:spacing w:before="1"/>
              <w:ind w:left="6" w:right="7"/>
              <w:jc w:val="center"/>
              <w:rPr>
                <w:rFonts w:ascii="Calibri"/>
                <w:b/>
                <w:sz w:val="19"/>
              </w:rPr>
            </w:pPr>
            <w:r>
              <w:rPr>
                <w:rFonts w:ascii="Calibri"/>
                <w:b/>
                <w:sz w:val="19"/>
              </w:rPr>
              <w:t>REGION</w:t>
            </w:r>
          </w:p>
        </w:tc>
        <w:tc>
          <w:tcPr>
            <w:tcW w:w="536" w:type="dxa"/>
            <w:tcBorders>
              <w:left w:val="single" w:sz="5" w:space="0" w:color="000000"/>
              <w:right w:val="single" w:sz="5" w:space="0" w:color="000000"/>
            </w:tcBorders>
            <w:shd w:val="clear" w:color="auto" w:fill="D7D7D7"/>
          </w:tcPr>
          <w:p>
            <w:pPr>
              <w:pStyle w:val="TableParagraph"/>
              <w:spacing w:before="5"/>
              <w:jc w:val="left"/>
              <w:rPr>
                <w:b/>
                <w:sz w:val="23"/>
              </w:rPr>
            </w:pPr>
          </w:p>
          <w:p>
            <w:pPr>
              <w:pStyle w:val="TableParagraph"/>
              <w:ind w:left="105"/>
              <w:jc w:val="left"/>
              <w:rPr>
                <w:b/>
                <w:sz w:val="16"/>
              </w:rPr>
            </w:pPr>
            <w:r>
              <w:rPr>
                <w:b/>
                <w:sz w:val="16"/>
              </w:rPr>
              <w:t>1970</w:t>
            </w:r>
          </w:p>
        </w:tc>
        <w:tc>
          <w:tcPr>
            <w:tcW w:w="536" w:type="dxa"/>
            <w:tcBorders>
              <w:left w:val="single" w:sz="5" w:space="0" w:color="000000"/>
              <w:right w:val="single" w:sz="5" w:space="0" w:color="000000"/>
            </w:tcBorders>
            <w:shd w:val="clear" w:color="auto" w:fill="D7D7D7"/>
          </w:tcPr>
          <w:p>
            <w:pPr>
              <w:pStyle w:val="TableParagraph"/>
              <w:spacing w:before="5"/>
              <w:jc w:val="left"/>
              <w:rPr>
                <w:b/>
                <w:sz w:val="23"/>
              </w:rPr>
            </w:pPr>
          </w:p>
          <w:p>
            <w:pPr>
              <w:pStyle w:val="TableParagraph"/>
              <w:ind w:left="105"/>
              <w:jc w:val="left"/>
              <w:rPr>
                <w:b/>
                <w:sz w:val="16"/>
              </w:rPr>
            </w:pPr>
            <w:r>
              <w:rPr>
                <w:b/>
                <w:sz w:val="16"/>
              </w:rPr>
              <w:t>1975</w:t>
            </w:r>
          </w:p>
        </w:tc>
        <w:tc>
          <w:tcPr>
            <w:tcW w:w="536" w:type="dxa"/>
            <w:tcBorders>
              <w:left w:val="single" w:sz="5" w:space="0" w:color="000000"/>
              <w:right w:val="single" w:sz="5" w:space="0" w:color="000000"/>
            </w:tcBorders>
            <w:shd w:val="clear" w:color="auto" w:fill="D7D7D7"/>
          </w:tcPr>
          <w:p>
            <w:pPr>
              <w:pStyle w:val="TableParagraph"/>
              <w:spacing w:before="5"/>
              <w:jc w:val="left"/>
              <w:rPr>
                <w:b/>
                <w:sz w:val="23"/>
              </w:rPr>
            </w:pPr>
          </w:p>
          <w:p>
            <w:pPr>
              <w:pStyle w:val="TableParagraph"/>
              <w:ind w:left="104"/>
              <w:jc w:val="left"/>
              <w:rPr>
                <w:b/>
                <w:sz w:val="16"/>
              </w:rPr>
            </w:pPr>
            <w:r>
              <w:rPr>
                <w:b/>
                <w:sz w:val="16"/>
              </w:rPr>
              <w:t>1980</w:t>
            </w:r>
          </w:p>
        </w:tc>
        <w:tc>
          <w:tcPr>
            <w:tcW w:w="536" w:type="dxa"/>
            <w:tcBorders>
              <w:left w:val="single" w:sz="5" w:space="0" w:color="000000"/>
              <w:right w:val="single" w:sz="5" w:space="0" w:color="000000"/>
            </w:tcBorders>
            <w:shd w:val="clear" w:color="auto" w:fill="D7D7D7"/>
          </w:tcPr>
          <w:p>
            <w:pPr>
              <w:pStyle w:val="TableParagraph"/>
              <w:spacing w:before="5"/>
              <w:jc w:val="left"/>
              <w:rPr>
                <w:b/>
                <w:sz w:val="23"/>
              </w:rPr>
            </w:pPr>
          </w:p>
          <w:p>
            <w:pPr>
              <w:pStyle w:val="TableParagraph"/>
              <w:ind w:left="104"/>
              <w:jc w:val="left"/>
              <w:rPr>
                <w:b/>
                <w:sz w:val="16"/>
              </w:rPr>
            </w:pPr>
            <w:r>
              <w:rPr>
                <w:b/>
                <w:sz w:val="16"/>
              </w:rPr>
              <w:t>1985</w:t>
            </w:r>
          </w:p>
        </w:tc>
        <w:tc>
          <w:tcPr>
            <w:tcW w:w="536" w:type="dxa"/>
            <w:tcBorders>
              <w:left w:val="single" w:sz="5" w:space="0" w:color="000000"/>
              <w:right w:val="single" w:sz="5" w:space="0" w:color="000000"/>
            </w:tcBorders>
            <w:shd w:val="clear" w:color="auto" w:fill="D7D7D7"/>
          </w:tcPr>
          <w:p>
            <w:pPr>
              <w:pStyle w:val="TableParagraph"/>
              <w:spacing w:before="5"/>
              <w:jc w:val="left"/>
              <w:rPr>
                <w:b/>
                <w:sz w:val="23"/>
              </w:rPr>
            </w:pPr>
          </w:p>
          <w:p>
            <w:pPr>
              <w:pStyle w:val="TableParagraph"/>
              <w:ind w:right="91"/>
              <w:rPr>
                <w:b/>
                <w:sz w:val="16"/>
              </w:rPr>
            </w:pPr>
            <w:r>
              <w:rPr>
                <w:b/>
                <w:w w:val="90"/>
                <w:sz w:val="16"/>
              </w:rPr>
              <w:t>1988</w:t>
            </w:r>
          </w:p>
        </w:tc>
        <w:tc>
          <w:tcPr>
            <w:tcW w:w="535" w:type="dxa"/>
            <w:tcBorders>
              <w:left w:val="single" w:sz="5" w:space="0" w:color="000000"/>
              <w:right w:val="single" w:sz="5" w:space="0" w:color="000000"/>
            </w:tcBorders>
            <w:shd w:val="clear" w:color="auto" w:fill="D7D7D7"/>
          </w:tcPr>
          <w:p>
            <w:pPr>
              <w:pStyle w:val="TableParagraph"/>
              <w:spacing w:before="5"/>
              <w:jc w:val="left"/>
              <w:rPr>
                <w:b/>
                <w:sz w:val="23"/>
              </w:rPr>
            </w:pPr>
          </w:p>
          <w:p>
            <w:pPr>
              <w:pStyle w:val="TableParagraph"/>
              <w:ind w:left="104"/>
              <w:jc w:val="left"/>
              <w:rPr>
                <w:b/>
                <w:sz w:val="16"/>
              </w:rPr>
            </w:pPr>
            <w:r>
              <w:rPr>
                <w:b/>
                <w:sz w:val="16"/>
              </w:rPr>
              <w:t>1993</w:t>
            </w:r>
          </w:p>
        </w:tc>
        <w:tc>
          <w:tcPr>
            <w:tcW w:w="535" w:type="dxa"/>
            <w:tcBorders>
              <w:left w:val="single" w:sz="5" w:space="0" w:color="000000"/>
              <w:right w:val="single" w:sz="5" w:space="0" w:color="000000"/>
            </w:tcBorders>
            <w:shd w:val="clear" w:color="auto" w:fill="D7D7D7"/>
          </w:tcPr>
          <w:p>
            <w:pPr>
              <w:pStyle w:val="TableParagraph"/>
              <w:spacing w:before="5"/>
              <w:jc w:val="left"/>
              <w:rPr>
                <w:b/>
                <w:sz w:val="23"/>
              </w:rPr>
            </w:pPr>
          </w:p>
          <w:p>
            <w:pPr>
              <w:pStyle w:val="TableParagraph"/>
              <w:ind w:left="104"/>
              <w:jc w:val="left"/>
              <w:rPr>
                <w:b/>
                <w:sz w:val="16"/>
              </w:rPr>
            </w:pPr>
            <w:r>
              <w:rPr>
                <w:b/>
                <w:sz w:val="16"/>
              </w:rPr>
              <w:t>1998</w:t>
            </w:r>
          </w:p>
        </w:tc>
        <w:tc>
          <w:tcPr>
            <w:tcW w:w="536" w:type="dxa"/>
            <w:tcBorders>
              <w:left w:val="single" w:sz="5" w:space="0" w:color="000000"/>
              <w:right w:val="single" w:sz="5" w:space="0" w:color="000000"/>
            </w:tcBorders>
            <w:shd w:val="clear" w:color="auto" w:fill="D7D7D7"/>
          </w:tcPr>
          <w:p>
            <w:pPr>
              <w:pStyle w:val="TableParagraph"/>
              <w:spacing w:before="5"/>
              <w:jc w:val="left"/>
              <w:rPr>
                <w:b/>
                <w:sz w:val="23"/>
              </w:rPr>
            </w:pPr>
          </w:p>
          <w:p>
            <w:pPr>
              <w:pStyle w:val="TableParagraph"/>
              <w:ind w:left="105"/>
              <w:jc w:val="left"/>
              <w:rPr>
                <w:b/>
                <w:sz w:val="16"/>
              </w:rPr>
            </w:pPr>
            <w:r>
              <w:rPr>
                <w:b/>
                <w:sz w:val="16"/>
              </w:rPr>
              <w:t>2003</w:t>
            </w:r>
          </w:p>
        </w:tc>
        <w:tc>
          <w:tcPr>
            <w:tcW w:w="571" w:type="dxa"/>
            <w:tcBorders>
              <w:left w:val="single" w:sz="5" w:space="0" w:color="000000"/>
              <w:right w:val="single" w:sz="5" w:space="0" w:color="000000"/>
            </w:tcBorders>
            <w:shd w:val="clear" w:color="auto" w:fill="D7D7D7"/>
          </w:tcPr>
          <w:p>
            <w:pPr>
              <w:pStyle w:val="TableParagraph"/>
              <w:spacing w:before="5"/>
              <w:jc w:val="left"/>
              <w:rPr>
                <w:b/>
                <w:sz w:val="23"/>
              </w:rPr>
            </w:pPr>
          </w:p>
          <w:p>
            <w:pPr>
              <w:pStyle w:val="TableParagraph"/>
              <w:ind w:left="116"/>
              <w:jc w:val="left"/>
              <w:rPr>
                <w:b/>
                <w:sz w:val="16"/>
              </w:rPr>
            </w:pPr>
            <w:r>
              <w:rPr>
                <w:b/>
                <w:sz w:val="16"/>
              </w:rPr>
              <w:t>2008</w:t>
            </w:r>
          </w:p>
        </w:tc>
      </w:tr>
      <w:tr>
        <w:trPr>
          <w:trHeight w:val="216" w:hRule="exact"/>
        </w:trPr>
        <w:tc>
          <w:tcPr>
            <w:tcW w:w="932" w:type="dxa"/>
            <w:tcBorders>
              <w:left w:val="single" w:sz="5" w:space="0" w:color="000000"/>
              <w:bottom w:val="single" w:sz="5" w:space="0" w:color="000000"/>
              <w:right w:val="single" w:sz="5" w:space="0" w:color="000000"/>
            </w:tcBorders>
            <w:shd w:val="clear" w:color="auto" w:fill="DBEDF3"/>
          </w:tcPr>
          <w:p>
            <w:pPr>
              <w:pStyle w:val="TableParagraph"/>
              <w:spacing w:before="24"/>
              <w:ind w:left="6"/>
              <w:jc w:val="center"/>
              <w:rPr>
                <w:b/>
                <w:sz w:val="15"/>
              </w:rPr>
            </w:pPr>
            <w:r>
              <w:rPr>
                <w:b/>
                <w:w w:val="95"/>
                <w:sz w:val="15"/>
              </w:rPr>
              <w:t>Subsector 31</w:t>
            </w:r>
          </w:p>
        </w:tc>
        <w:tc>
          <w:tcPr>
            <w:tcW w:w="536" w:type="dxa"/>
            <w:tcBorders>
              <w:left w:val="single" w:sz="5" w:space="0" w:color="000000"/>
              <w:bottom w:val="single" w:sz="5" w:space="0" w:color="000000"/>
              <w:right w:val="single" w:sz="5" w:space="0" w:color="000000"/>
            </w:tcBorders>
          </w:tcPr>
          <w:p>
            <w:pPr>
              <w:pStyle w:val="TableParagraph"/>
              <w:spacing w:before="15"/>
              <w:ind w:right="18"/>
              <w:rPr>
                <w:sz w:val="16"/>
              </w:rPr>
            </w:pPr>
            <w:r>
              <w:rPr>
                <w:w w:val="95"/>
                <w:sz w:val="16"/>
              </w:rPr>
              <w:t>3.84</w:t>
            </w:r>
          </w:p>
        </w:tc>
        <w:tc>
          <w:tcPr>
            <w:tcW w:w="536" w:type="dxa"/>
            <w:tcBorders>
              <w:left w:val="single" w:sz="5" w:space="0" w:color="000000"/>
              <w:bottom w:val="single" w:sz="5" w:space="0" w:color="000000"/>
              <w:right w:val="single" w:sz="5" w:space="0" w:color="000000"/>
            </w:tcBorders>
          </w:tcPr>
          <w:p>
            <w:pPr>
              <w:pStyle w:val="TableParagraph"/>
              <w:spacing w:before="15"/>
              <w:ind w:right="20"/>
              <w:rPr>
                <w:sz w:val="16"/>
              </w:rPr>
            </w:pPr>
            <w:r>
              <w:rPr>
                <w:w w:val="95"/>
                <w:sz w:val="16"/>
              </w:rPr>
              <w:t>4.57</w:t>
            </w:r>
          </w:p>
        </w:tc>
        <w:tc>
          <w:tcPr>
            <w:tcW w:w="536" w:type="dxa"/>
            <w:tcBorders>
              <w:left w:val="single" w:sz="5" w:space="0" w:color="000000"/>
              <w:bottom w:val="single" w:sz="5" w:space="0" w:color="000000"/>
              <w:right w:val="single" w:sz="5" w:space="0" w:color="000000"/>
            </w:tcBorders>
          </w:tcPr>
          <w:p>
            <w:pPr>
              <w:pStyle w:val="TableParagraph"/>
              <w:spacing w:before="15"/>
              <w:ind w:right="20"/>
              <w:rPr>
                <w:sz w:val="16"/>
              </w:rPr>
            </w:pPr>
            <w:r>
              <w:rPr>
                <w:w w:val="95"/>
                <w:sz w:val="16"/>
              </w:rPr>
              <w:t>3.51</w:t>
            </w:r>
          </w:p>
        </w:tc>
        <w:tc>
          <w:tcPr>
            <w:tcW w:w="536" w:type="dxa"/>
            <w:tcBorders>
              <w:left w:val="single" w:sz="5" w:space="0" w:color="000000"/>
              <w:bottom w:val="single" w:sz="5" w:space="0" w:color="000000"/>
              <w:right w:val="single" w:sz="5" w:space="0" w:color="000000"/>
            </w:tcBorders>
          </w:tcPr>
          <w:p>
            <w:pPr>
              <w:pStyle w:val="TableParagraph"/>
              <w:spacing w:before="15"/>
              <w:ind w:right="20"/>
              <w:rPr>
                <w:sz w:val="16"/>
              </w:rPr>
            </w:pPr>
            <w:r>
              <w:rPr>
                <w:w w:val="95"/>
                <w:sz w:val="16"/>
              </w:rPr>
              <w:t>2.55</w:t>
            </w:r>
          </w:p>
        </w:tc>
        <w:tc>
          <w:tcPr>
            <w:tcW w:w="536" w:type="dxa"/>
            <w:tcBorders>
              <w:left w:val="single" w:sz="5" w:space="0" w:color="000000"/>
              <w:bottom w:val="single" w:sz="5" w:space="0" w:color="000000"/>
              <w:right w:val="single" w:sz="5" w:space="0" w:color="000000"/>
            </w:tcBorders>
          </w:tcPr>
          <w:p>
            <w:pPr>
              <w:pStyle w:val="TableParagraph"/>
              <w:spacing w:before="15"/>
              <w:ind w:right="20"/>
              <w:rPr>
                <w:sz w:val="16"/>
              </w:rPr>
            </w:pPr>
            <w:r>
              <w:rPr>
                <w:w w:val="95"/>
                <w:sz w:val="16"/>
              </w:rPr>
              <w:t>2.52</w:t>
            </w:r>
          </w:p>
        </w:tc>
        <w:tc>
          <w:tcPr>
            <w:tcW w:w="535" w:type="dxa"/>
            <w:tcBorders>
              <w:left w:val="single" w:sz="5" w:space="0" w:color="000000"/>
              <w:bottom w:val="single" w:sz="5" w:space="0" w:color="000000"/>
              <w:right w:val="single" w:sz="5" w:space="0" w:color="000000"/>
            </w:tcBorders>
          </w:tcPr>
          <w:p>
            <w:pPr>
              <w:pStyle w:val="TableParagraph"/>
              <w:spacing w:before="15"/>
              <w:ind w:right="18"/>
              <w:rPr>
                <w:sz w:val="16"/>
              </w:rPr>
            </w:pPr>
            <w:r>
              <w:rPr>
                <w:w w:val="95"/>
                <w:sz w:val="16"/>
              </w:rPr>
              <w:t>1.78</w:t>
            </w:r>
          </w:p>
        </w:tc>
        <w:tc>
          <w:tcPr>
            <w:tcW w:w="535" w:type="dxa"/>
            <w:tcBorders>
              <w:left w:val="single" w:sz="5" w:space="0" w:color="000000"/>
              <w:bottom w:val="single" w:sz="5" w:space="0" w:color="000000"/>
              <w:right w:val="single" w:sz="5" w:space="0" w:color="000000"/>
            </w:tcBorders>
          </w:tcPr>
          <w:p>
            <w:pPr>
              <w:pStyle w:val="TableParagraph"/>
              <w:spacing w:before="15"/>
              <w:ind w:right="18"/>
              <w:rPr>
                <w:sz w:val="16"/>
              </w:rPr>
            </w:pPr>
            <w:r>
              <w:rPr>
                <w:w w:val="95"/>
                <w:sz w:val="16"/>
              </w:rPr>
              <w:t>1.78</w:t>
            </w:r>
          </w:p>
        </w:tc>
        <w:tc>
          <w:tcPr>
            <w:tcW w:w="536" w:type="dxa"/>
            <w:tcBorders>
              <w:left w:val="single" w:sz="5" w:space="0" w:color="000000"/>
              <w:bottom w:val="single" w:sz="5" w:space="0" w:color="000000"/>
              <w:right w:val="single" w:sz="5" w:space="0" w:color="000000"/>
            </w:tcBorders>
          </w:tcPr>
          <w:p>
            <w:pPr>
              <w:pStyle w:val="TableParagraph"/>
              <w:spacing w:before="15"/>
              <w:ind w:right="19"/>
              <w:rPr>
                <w:sz w:val="16"/>
              </w:rPr>
            </w:pPr>
            <w:r>
              <w:rPr>
                <w:w w:val="95"/>
                <w:sz w:val="16"/>
              </w:rPr>
              <w:t>1.10</w:t>
            </w:r>
          </w:p>
        </w:tc>
        <w:tc>
          <w:tcPr>
            <w:tcW w:w="571" w:type="dxa"/>
            <w:tcBorders>
              <w:left w:val="single" w:sz="5" w:space="0" w:color="000000"/>
              <w:bottom w:val="single" w:sz="5" w:space="0" w:color="000000"/>
              <w:right w:val="single" w:sz="5" w:space="0" w:color="000000"/>
            </w:tcBorders>
          </w:tcPr>
          <w:p>
            <w:pPr>
              <w:pStyle w:val="TableParagraph"/>
              <w:spacing w:before="15"/>
              <w:ind w:right="18"/>
              <w:rPr>
                <w:sz w:val="16"/>
              </w:rPr>
            </w:pPr>
            <w:r>
              <w:rPr>
                <w:w w:val="95"/>
                <w:sz w:val="16"/>
              </w:rPr>
              <w:t>0.98</w:t>
            </w:r>
          </w:p>
        </w:tc>
      </w:tr>
      <w:tr>
        <w:trPr>
          <w:trHeight w:val="216" w:hRule="exact"/>
        </w:trPr>
        <w:tc>
          <w:tcPr>
            <w:tcW w:w="932" w:type="dxa"/>
            <w:tcBorders>
              <w:top w:val="single" w:sz="5" w:space="0" w:color="000000"/>
              <w:left w:val="single" w:sz="5" w:space="0" w:color="000000"/>
              <w:right w:val="single" w:sz="5" w:space="0" w:color="000000"/>
            </w:tcBorders>
            <w:shd w:val="clear" w:color="auto" w:fill="DBEDF3"/>
          </w:tcPr>
          <w:p>
            <w:pPr>
              <w:pStyle w:val="TableParagraph"/>
              <w:spacing w:before="24"/>
              <w:ind w:left="6"/>
              <w:jc w:val="center"/>
              <w:rPr>
                <w:b/>
                <w:sz w:val="15"/>
              </w:rPr>
            </w:pPr>
            <w:r>
              <w:rPr>
                <w:b/>
                <w:w w:val="95"/>
                <w:sz w:val="15"/>
              </w:rPr>
              <w:t>Subsector 32</w:t>
            </w:r>
          </w:p>
        </w:tc>
        <w:tc>
          <w:tcPr>
            <w:tcW w:w="536" w:type="dxa"/>
            <w:tcBorders>
              <w:top w:val="single" w:sz="5" w:space="0" w:color="000000"/>
              <w:left w:val="single" w:sz="5" w:space="0" w:color="000000"/>
              <w:right w:val="single" w:sz="5" w:space="0" w:color="000000"/>
            </w:tcBorders>
          </w:tcPr>
          <w:p>
            <w:pPr>
              <w:pStyle w:val="TableParagraph"/>
              <w:spacing w:before="15"/>
              <w:ind w:right="18"/>
              <w:rPr>
                <w:sz w:val="16"/>
              </w:rPr>
            </w:pPr>
            <w:r>
              <w:rPr>
                <w:w w:val="95"/>
                <w:sz w:val="16"/>
              </w:rPr>
              <w:t>3.73</w:t>
            </w:r>
          </w:p>
        </w:tc>
        <w:tc>
          <w:tcPr>
            <w:tcW w:w="536" w:type="dxa"/>
            <w:tcBorders>
              <w:top w:val="single" w:sz="5" w:space="0" w:color="000000"/>
              <w:left w:val="single" w:sz="5" w:space="0" w:color="000000"/>
              <w:right w:val="single" w:sz="5" w:space="0" w:color="000000"/>
            </w:tcBorders>
          </w:tcPr>
          <w:p>
            <w:pPr>
              <w:pStyle w:val="TableParagraph"/>
              <w:spacing w:before="15"/>
              <w:ind w:right="20"/>
              <w:rPr>
                <w:sz w:val="16"/>
              </w:rPr>
            </w:pPr>
            <w:r>
              <w:rPr>
                <w:w w:val="95"/>
                <w:sz w:val="16"/>
              </w:rPr>
              <w:t>4.49</w:t>
            </w:r>
          </w:p>
        </w:tc>
        <w:tc>
          <w:tcPr>
            <w:tcW w:w="536" w:type="dxa"/>
            <w:tcBorders>
              <w:top w:val="single" w:sz="5" w:space="0" w:color="000000"/>
              <w:left w:val="single" w:sz="5" w:space="0" w:color="000000"/>
              <w:right w:val="single" w:sz="5" w:space="0" w:color="000000"/>
            </w:tcBorders>
          </w:tcPr>
          <w:p>
            <w:pPr>
              <w:pStyle w:val="TableParagraph"/>
              <w:spacing w:before="15"/>
              <w:ind w:right="20"/>
              <w:rPr>
                <w:sz w:val="16"/>
              </w:rPr>
            </w:pPr>
            <w:r>
              <w:rPr>
                <w:w w:val="95"/>
                <w:sz w:val="16"/>
              </w:rPr>
              <w:t>3.68</w:t>
            </w:r>
          </w:p>
        </w:tc>
        <w:tc>
          <w:tcPr>
            <w:tcW w:w="536" w:type="dxa"/>
            <w:tcBorders>
              <w:top w:val="single" w:sz="5" w:space="0" w:color="000000"/>
              <w:left w:val="single" w:sz="5" w:space="0" w:color="000000"/>
              <w:right w:val="single" w:sz="5" w:space="0" w:color="000000"/>
            </w:tcBorders>
          </w:tcPr>
          <w:p>
            <w:pPr>
              <w:pStyle w:val="TableParagraph"/>
              <w:spacing w:before="15"/>
              <w:ind w:right="20"/>
              <w:rPr>
                <w:sz w:val="16"/>
              </w:rPr>
            </w:pPr>
            <w:r>
              <w:rPr>
                <w:w w:val="95"/>
                <w:sz w:val="16"/>
              </w:rPr>
              <w:t>2.69</w:t>
            </w:r>
          </w:p>
        </w:tc>
        <w:tc>
          <w:tcPr>
            <w:tcW w:w="536" w:type="dxa"/>
            <w:tcBorders>
              <w:top w:val="single" w:sz="5" w:space="0" w:color="000000"/>
              <w:left w:val="single" w:sz="5" w:space="0" w:color="000000"/>
              <w:right w:val="single" w:sz="5" w:space="0" w:color="000000"/>
            </w:tcBorders>
          </w:tcPr>
          <w:p>
            <w:pPr>
              <w:pStyle w:val="TableParagraph"/>
              <w:spacing w:before="15"/>
              <w:ind w:right="20"/>
              <w:rPr>
                <w:sz w:val="16"/>
              </w:rPr>
            </w:pPr>
            <w:r>
              <w:rPr>
                <w:w w:val="95"/>
                <w:sz w:val="16"/>
              </w:rPr>
              <w:t>2.74</w:t>
            </w:r>
          </w:p>
        </w:tc>
        <w:tc>
          <w:tcPr>
            <w:tcW w:w="535" w:type="dxa"/>
            <w:tcBorders>
              <w:top w:val="single" w:sz="5" w:space="0" w:color="000000"/>
              <w:left w:val="single" w:sz="5" w:space="0" w:color="000000"/>
              <w:right w:val="single" w:sz="5" w:space="0" w:color="000000"/>
            </w:tcBorders>
          </w:tcPr>
          <w:p>
            <w:pPr>
              <w:pStyle w:val="TableParagraph"/>
              <w:spacing w:before="15"/>
              <w:ind w:right="18"/>
              <w:rPr>
                <w:sz w:val="16"/>
              </w:rPr>
            </w:pPr>
            <w:r>
              <w:rPr>
                <w:w w:val="95"/>
                <w:sz w:val="16"/>
              </w:rPr>
              <w:t>1.91</w:t>
            </w:r>
          </w:p>
        </w:tc>
        <w:tc>
          <w:tcPr>
            <w:tcW w:w="535" w:type="dxa"/>
            <w:tcBorders>
              <w:top w:val="single" w:sz="5" w:space="0" w:color="000000"/>
              <w:left w:val="single" w:sz="5" w:space="0" w:color="000000"/>
              <w:right w:val="single" w:sz="5" w:space="0" w:color="000000"/>
            </w:tcBorders>
          </w:tcPr>
          <w:p>
            <w:pPr>
              <w:pStyle w:val="TableParagraph"/>
              <w:spacing w:before="15"/>
              <w:ind w:right="18"/>
              <w:rPr>
                <w:sz w:val="16"/>
              </w:rPr>
            </w:pPr>
            <w:r>
              <w:rPr>
                <w:w w:val="95"/>
                <w:sz w:val="16"/>
              </w:rPr>
              <w:t>2.07</w:t>
            </w:r>
          </w:p>
        </w:tc>
        <w:tc>
          <w:tcPr>
            <w:tcW w:w="536" w:type="dxa"/>
            <w:tcBorders>
              <w:top w:val="single" w:sz="5" w:space="0" w:color="000000"/>
              <w:left w:val="single" w:sz="5" w:space="0" w:color="000000"/>
              <w:right w:val="single" w:sz="5" w:space="0" w:color="000000"/>
            </w:tcBorders>
          </w:tcPr>
          <w:p>
            <w:pPr>
              <w:pStyle w:val="TableParagraph"/>
              <w:spacing w:before="15"/>
              <w:ind w:right="19"/>
              <w:rPr>
                <w:sz w:val="16"/>
              </w:rPr>
            </w:pPr>
            <w:r>
              <w:rPr>
                <w:w w:val="95"/>
                <w:sz w:val="16"/>
              </w:rPr>
              <w:t>1.41</w:t>
            </w:r>
          </w:p>
        </w:tc>
        <w:tc>
          <w:tcPr>
            <w:tcW w:w="571" w:type="dxa"/>
            <w:tcBorders>
              <w:top w:val="single" w:sz="5" w:space="0" w:color="000000"/>
              <w:left w:val="single" w:sz="5" w:space="0" w:color="000000"/>
              <w:right w:val="single" w:sz="5" w:space="0" w:color="000000"/>
            </w:tcBorders>
          </w:tcPr>
          <w:p>
            <w:pPr>
              <w:pStyle w:val="TableParagraph"/>
              <w:spacing w:before="15"/>
              <w:ind w:right="18"/>
              <w:rPr>
                <w:sz w:val="16"/>
              </w:rPr>
            </w:pPr>
            <w:r>
              <w:rPr>
                <w:w w:val="95"/>
                <w:sz w:val="16"/>
              </w:rPr>
              <w:t>1.34</w:t>
            </w:r>
          </w:p>
        </w:tc>
      </w:tr>
      <w:tr>
        <w:trPr>
          <w:trHeight w:val="216" w:hRule="exact"/>
        </w:trPr>
        <w:tc>
          <w:tcPr>
            <w:tcW w:w="932" w:type="dxa"/>
            <w:tcBorders>
              <w:left w:val="single" w:sz="5" w:space="0" w:color="000000"/>
              <w:right w:val="single" w:sz="5" w:space="0" w:color="000000"/>
            </w:tcBorders>
            <w:shd w:val="clear" w:color="auto" w:fill="DBEDF3"/>
          </w:tcPr>
          <w:p>
            <w:pPr>
              <w:pStyle w:val="TableParagraph"/>
              <w:spacing w:before="24"/>
              <w:ind w:left="6"/>
              <w:jc w:val="center"/>
              <w:rPr>
                <w:b/>
                <w:sz w:val="15"/>
              </w:rPr>
            </w:pPr>
            <w:r>
              <w:rPr>
                <w:b/>
                <w:w w:val="95"/>
                <w:sz w:val="15"/>
              </w:rPr>
              <w:t>Subsector 33</w:t>
            </w:r>
          </w:p>
        </w:tc>
        <w:tc>
          <w:tcPr>
            <w:tcW w:w="536" w:type="dxa"/>
            <w:tcBorders>
              <w:left w:val="single" w:sz="5" w:space="0" w:color="000000"/>
              <w:right w:val="single" w:sz="5" w:space="0" w:color="000000"/>
            </w:tcBorders>
          </w:tcPr>
          <w:p>
            <w:pPr>
              <w:pStyle w:val="TableParagraph"/>
              <w:spacing w:before="15"/>
              <w:ind w:right="18"/>
              <w:rPr>
                <w:sz w:val="16"/>
              </w:rPr>
            </w:pPr>
            <w:r>
              <w:rPr>
                <w:w w:val="95"/>
                <w:sz w:val="16"/>
              </w:rPr>
              <w:t>4.11</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4.84</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3.93</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2.95</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2.94</w:t>
            </w:r>
          </w:p>
        </w:tc>
        <w:tc>
          <w:tcPr>
            <w:tcW w:w="535" w:type="dxa"/>
            <w:tcBorders>
              <w:left w:val="single" w:sz="5" w:space="0" w:color="000000"/>
              <w:right w:val="single" w:sz="5" w:space="0" w:color="000000"/>
            </w:tcBorders>
          </w:tcPr>
          <w:p>
            <w:pPr>
              <w:pStyle w:val="TableParagraph"/>
              <w:spacing w:before="15"/>
              <w:ind w:right="18"/>
              <w:rPr>
                <w:sz w:val="16"/>
              </w:rPr>
            </w:pPr>
            <w:r>
              <w:rPr>
                <w:w w:val="95"/>
                <w:sz w:val="16"/>
              </w:rPr>
              <w:t>2.13</w:t>
            </w:r>
          </w:p>
        </w:tc>
        <w:tc>
          <w:tcPr>
            <w:tcW w:w="535" w:type="dxa"/>
            <w:tcBorders>
              <w:left w:val="single" w:sz="5" w:space="0" w:color="000000"/>
              <w:right w:val="single" w:sz="5" w:space="0" w:color="000000"/>
            </w:tcBorders>
          </w:tcPr>
          <w:p>
            <w:pPr>
              <w:pStyle w:val="TableParagraph"/>
              <w:spacing w:before="15"/>
              <w:ind w:right="18"/>
              <w:rPr>
                <w:sz w:val="16"/>
              </w:rPr>
            </w:pPr>
            <w:r>
              <w:rPr>
                <w:w w:val="95"/>
                <w:sz w:val="16"/>
              </w:rPr>
              <w:t>2.20</w:t>
            </w:r>
          </w:p>
        </w:tc>
        <w:tc>
          <w:tcPr>
            <w:tcW w:w="536" w:type="dxa"/>
            <w:tcBorders>
              <w:left w:val="single" w:sz="5" w:space="0" w:color="000000"/>
              <w:right w:val="single" w:sz="5" w:space="0" w:color="000000"/>
            </w:tcBorders>
          </w:tcPr>
          <w:p>
            <w:pPr>
              <w:pStyle w:val="TableParagraph"/>
              <w:spacing w:before="15"/>
              <w:ind w:right="19"/>
              <w:rPr>
                <w:sz w:val="16"/>
              </w:rPr>
            </w:pPr>
            <w:r>
              <w:rPr>
                <w:w w:val="95"/>
                <w:sz w:val="16"/>
              </w:rPr>
              <w:t>1.49</w:t>
            </w:r>
          </w:p>
        </w:tc>
        <w:tc>
          <w:tcPr>
            <w:tcW w:w="571" w:type="dxa"/>
            <w:tcBorders>
              <w:left w:val="single" w:sz="5" w:space="0" w:color="000000"/>
              <w:right w:val="single" w:sz="5" w:space="0" w:color="000000"/>
            </w:tcBorders>
          </w:tcPr>
          <w:p>
            <w:pPr>
              <w:pStyle w:val="TableParagraph"/>
              <w:spacing w:before="15"/>
              <w:ind w:right="18"/>
              <w:rPr>
                <w:sz w:val="16"/>
              </w:rPr>
            </w:pPr>
            <w:r>
              <w:rPr>
                <w:w w:val="95"/>
                <w:sz w:val="16"/>
              </w:rPr>
              <w:t>1.42</w:t>
            </w:r>
          </w:p>
        </w:tc>
      </w:tr>
      <w:tr>
        <w:trPr>
          <w:trHeight w:val="216" w:hRule="exact"/>
        </w:trPr>
        <w:tc>
          <w:tcPr>
            <w:tcW w:w="932" w:type="dxa"/>
            <w:tcBorders>
              <w:left w:val="single" w:sz="5" w:space="0" w:color="000000"/>
              <w:right w:val="single" w:sz="5" w:space="0" w:color="000000"/>
            </w:tcBorders>
            <w:shd w:val="clear" w:color="auto" w:fill="DBEDF3"/>
          </w:tcPr>
          <w:p>
            <w:pPr>
              <w:pStyle w:val="TableParagraph"/>
              <w:spacing w:before="24"/>
              <w:ind w:left="6"/>
              <w:jc w:val="center"/>
              <w:rPr>
                <w:b/>
                <w:sz w:val="15"/>
              </w:rPr>
            </w:pPr>
            <w:r>
              <w:rPr>
                <w:b/>
                <w:w w:val="95"/>
                <w:sz w:val="15"/>
              </w:rPr>
              <w:t>Subsector 34</w:t>
            </w:r>
          </w:p>
        </w:tc>
        <w:tc>
          <w:tcPr>
            <w:tcW w:w="536" w:type="dxa"/>
            <w:tcBorders>
              <w:left w:val="single" w:sz="5" w:space="0" w:color="000000"/>
              <w:right w:val="single" w:sz="5" w:space="0" w:color="000000"/>
            </w:tcBorders>
          </w:tcPr>
          <w:p>
            <w:pPr>
              <w:pStyle w:val="TableParagraph"/>
              <w:spacing w:before="15"/>
              <w:ind w:right="18"/>
              <w:rPr>
                <w:sz w:val="16"/>
              </w:rPr>
            </w:pPr>
            <w:r>
              <w:rPr>
                <w:w w:val="95"/>
                <w:sz w:val="16"/>
              </w:rPr>
              <w:t>3.92</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4.71</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3.71</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2.87</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2.74</w:t>
            </w:r>
          </w:p>
        </w:tc>
        <w:tc>
          <w:tcPr>
            <w:tcW w:w="535" w:type="dxa"/>
            <w:tcBorders>
              <w:left w:val="single" w:sz="5" w:space="0" w:color="000000"/>
              <w:right w:val="single" w:sz="5" w:space="0" w:color="000000"/>
            </w:tcBorders>
          </w:tcPr>
          <w:p>
            <w:pPr>
              <w:pStyle w:val="TableParagraph"/>
              <w:spacing w:before="15"/>
              <w:ind w:right="18"/>
              <w:rPr>
                <w:sz w:val="16"/>
              </w:rPr>
            </w:pPr>
            <w:r>
              <w:rPr>
                <w:w w:val="95"/>
                <w:sz w:val="16"/>
              </w:rPr>
              <w:t>2.05</w:t>
            </w:r>
          </w:p>
        </w:tc>
        <w:tc>
          <w:tcPr>
            <w:tcW w:w="535" w:type="dxa"/>
            <w:tcBorders>
              <w:left w:val="single" w:sz="5" w:space="0" w:color="000000"/>
              <w:right w:val="single" w:sz="5" w:space="0" w:color="000000"/>
            </w:tcBorders>
          </w:tcPr>
          <w:p>
            <w:pPr>
              <w:pStyle w:val="TableParagraph"/>
              <w:spacing w:before="15"/>
              <w:ind w:right="18"/>
              <w:rPr>
                <w:sz w:val="16"/>
              </w:rPr>
            </w:pPr>
            <w:r>
              <w:rPr>
                <w:w w:val="95"/>
                <w:sz w:val="16"/>
              </w:rPr>
              <w:t>2.11</w:t>
            </w:r>
          </w:p>
        </w:tc>
        <w:tc>
          <w:tcPr>
            <w:tcW w:w="536" w:type="dxa"/>
            <w:tcBorders>
              <w:left w:val="single" w:sz="5" w:space="0" w:color="000000"/>
              <w:right w:val="single" w:sz="5" w:space="0" w:color="000000"/>
            </w:tcBorders>
          </w:tcPr>
          <w:p>
            <w:pPr>
              <w:pStyle w:val="TableParagraph"/>
              <w:spacing w:before="15"/>
              <w:ind w:right="19"/>
              <w:rPr>
                <w:sz w:val="16"/>
              </w:rPr>
            </w:pPr>
            <w:r>
              <w:rPr>
                <w:w w:val="95"/>
                <w:sz w:val="16"/>
              </w:rPr>
              <w:t>1.38</w:t>
            </w:r>
          </w:p>
        </w:tc>
        <w:tc>
          <w:tcPr>
            <w:tcW w:w="571" w:type="dxa"/>
            <w:tcBorders>
              <w:left w:val="single" w:sz="5" w:space="0" w:color="000000"/>
              <w:right w:val="single" w:sz="5" w:space="0" w:color="000000"/>
            </w:tcBorders>
          </w:tcPr>
          <w:p>
            <w:pPr>
              <w:pStyle w:val="TableParagraph"/>
              <w:spacing w:before="15"/>
              <w:ind w:right="18"/>
              <w:rPr>
                <w:sz w:val="16"/>
              </w:rPr>
            </w:pPr>
            <w:r>
              <w:rPr>
                <w:w w:val="95"/>
                <w:sz w:val="16"/>
              </w:rPr>
              <w:t>1.35</w:t>
            </w:r>
          </w:p>
        </w:tc>
      </w:tr>
      <w:tr>
        <w:trPr>
          <w:trHeight w:val="217" w:hRule="exact"/>
        </w:trPr>
        <w:tc>
          <w:tcPr>
            <w:tcW w:w="932" w:type="dxa"/>
            <w:tcBorders>
              <w:left w:val="single" w:sz="5" w:space="0" w:color="000000"/>
              <w:right w:val="single" w:sz="5" w:space="0" w:color="000000"/>
            </w:tcBorders>
            <w:shd w:val="clear" w:color="auto" w:fill="DBEDF3"/>
          </w:tcPr>
          <w:p>
            <w:pPr>
              <w:pStyle w:val="TableParagraph"/>
              <w:spacing w:before="24"/>
              <w:ind w:left="6"/>
              <w:jc w:val="center"/>
              <w:rPr>
                <w:b/>
                <w:sz w:val="15"/>
              </w:rPr>
            </w:pPr>
            <w:r>
              <w:rPr>
                <w:b/>
                <w:w w:val="95"/>
                <w:sz w:val="15"/>
              </w:rPr>
              <w:t>Subsector 35</w:t>
            </w:r>
          </w:p>
        </w:tc>
        <w:tc>
          <w:tcPr>
            <w:tcW w:w="536" w:type="dxa"/>
            <w:tcBorders>
              <w:left w:val="single" w:sz="5" w:space="0" w:color="000000"/>
              <w:right w:val="single" w:sz="5" w:space="0" w:color="000000"/>
            </w:tcBorders>
          </w:tcPr>
          <w:p>
            <w:pPr>
              <w:pStyle w:val="TableParagraph"/>
              <w:spacing w:before="15"/>
              <w:ind w:right="18"/>
              <w:rPr>
                <w:sz w:val="16"/>
              </w:rPr>
            </w:pPr>
            <w:r>
              <w:rPr>
                <w:w w:val="95"/>
                <w:sz w:val="16"/>
              </w:rPr>
              <w:t>3.26</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3.77</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3.26</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2.32</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2.27</w:t>
            </w:r>
          </w:p>
        </w:tc>
        <w:tc>
          <w:tcPr>
            <w:tcW w:w="535" w:type="dxa"/>
            <w:tcBorders>
              <w:left w:val="single" w:sz="5" w:space="0" w:color="000000"/>
              <w:right w:val="single" w:sz="5" w:space="0" w:color="000000"/>
            </w:tcBorders>
          </w:tcPr>
          <w:p>
            <w:pPr>
              <w:pStyle w:val="TableParagraph"/>
              <w:spacing w:before="15"/>
              <w:ind w:right="18"/>
              <w:rPr>
                <w:sz w:val="16"/>
              </w:rPr>
            </w:pPr>
            <w:r>
              <w:rPr>
                <w:w w:val="95"/>
                <w:sz w:val="16"/>
              </w:rPr>
              <w:t>1.67</w:t>
            </w:r>
          </w:p>
        </w:tc>
        <w:tc>
          <w:tcPr>
            <w:tcW w:w="535" w:type="dxa"/>
            <w:tcBorders>
              <w:left w:val="single" w:sz="5" w:space="0" w:color="000000"/>
              <w:right w:val="single" w:sz="5" w:space="0" w:color="000000"/>
            </w:tcBorders>
          </w:tcPr>
          <w:p>
            <w:pPr>
              <w:pStyle w:val="TableParagraph"/>
              <w:spacing w:before="15"/>
              <w:ind w:right="18"/>
              <w:rPr>
                <w:sz w:val="16"/>
              </w:rPr>
            </w:pPr>
            <w:r>
              <w:rPr>
                <w:w w:val="95"/>
                <w:sz w:val="16"/>
              </w:rPr>
              <w:t>1.65</w:t>
            </w:r>
          </w:p>
        </w:tc>
        <w:tc>
          <w:tcPr>
            <w:tcW w:w="536" w:type="dxa"/>
            <w:tcBorders>
              <w:left w:val="single" w:sz="5" w:space="0" w:color="000000"/>
              <w:right w:val="single" w:sz="5" w:space="0" w:color="000000"/>
            </w:tcBorders>
          </w:tcPr>
          <w:p>
            <w:pPr>
              <w:pStyle w:val="TableParagraph"/>
              <w:spacing w:before="15"/>
              <w:ind w:right="19"/>
              <w:rPr>
                <w:sz w:val="16"/>
              </w:rPr>
            </w:pPr>
            <w:r>
              <w:rPr>
                <w:w w:val="95"/>
                <w:sz w:val="16"/>
              </w:rPr>
              <w:t>1.10</w:t>
            </w:r>
          </w:p>
        </w:tc>
        <w:tc>
          <w:tcPr>
            <w:tcW w:w="571" w:type="dxa"/>
            <w:tcBorders>
              <w:left w:val="single" w:sz="5" w:space="0" w:color="000000"/>
              <w:right w:val="single" w:sz="5" w:space="0" w:color="000000"/>
            </w:tcBorders>
          </w:tcPr>
          <w:p>
            <w:pPr>
              <w:pStyle w:val="TableParagraph"/>
              <w:spacing w:before="15"/>
              <w:ind w:right="18"/>
              <w:rPr>
                <w:sz w:val="16"/>
              </w:rPr>
            </w:pPr>
            <w:r>
              <w:rPr>
                <w:w w:val="95"/>
                <w:sz w:val="16"/>
              </w:rPr>
              <w:t>1.03</w:t>
            </w:r>
          </w:p>
        </w:tc>
      </w:tr>
      <w:tr>
        <w:trPr>
          <w:trHeight w:val="216" w:hRule="exact"/>
        </w:trPr>
        <w:tc>
          <w:tcPr>
            <w:tcW w:w="932" w:type="dxa"/>
            <w:tcBorders>
              <w:left w:val="single" w:sz="5" w:space="0" w:color="000000"/>
              <w:right w:val="single" w:sz="5" w:space="0" w:color="000000"/>
            </w:tcBorders>
            <w:shd w:val="clear" w:color="auto" w:fill="DBEDF3"/>
          </w:tcPr>
          <w:p>
            <w:pPr>
              <w:pStyle w:val="TableParagraph"/>
              <w:spacing w:before="24"/>
              <w:ind w:left="6"/>
              <w:jc w:val="center"/>
              <w:rPr>
                <w:b/>
                <w:sz w:val="15"/>
              </w:rPr>
            </w:pPr>
            <w:r>
              <w:rPr>
                <w:b/>
                <w:w w:val="95"/>
                <w:sz w:val="15"/>
              </w:rPr>
              <w:t>Subsector 36</w:t>
            </w:r>
          </w:p>
        </w:tc>
        <w:tc>
          <w:tcPr>
            <w:tcW w:w="536" w:type="dxa"/>
            <w:tcBorders>
              <w:left w:val="single" w:sz="5" w:space="0" w:color="000000"/>
              <w:right w:val="single" w:sz="5" w:space="0" w:color="000000"/>
            </w:tcBorders>
          </w:tcPr>
          <w:p>
            <w:pPr>
              <w:pStyle w:val="TableParagraph"/>
              <w:spacing w:before="15"/>
              <w:ind w:right="18"/>
              <w:rPr>
                <w:sz w:val="16"/>
              </w:rPr>
            </w:pPr>
            <w:r>
              <w:rPr>
                <w:w w:val="95"/>
                <w:sz w:val="16"/>
              </w:rPr>
              <w:t>3.92</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4.67</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3.78</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2.75</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2.80</w:t>
            </w:r>
          </w:p>
        </w:tc>
        <w:tc>
          <w:tcPr>
            <w:tcW w:w="535" w:type="dxa"/>
            <w:tcBorders>
              <w:left w:val="single" w:sz="5" w:space="0" w:color="000000"/>
              <w:right w:val="single" w:sz="5" w:space="0" w:color="000000"/>
            </w:tcBorders>
          </w:tcPr>
          <w:p>
            <w:pPr>
              <w:pStyle w:val="TableParagraph"/>
              <w:spacing w:before="15"/>
              <w:ind w:right="18"/>
              <w:rPr>
                <w:sz w:val="16"/>
              </w:rPr>
            </w:pPr>
            <w:r>
              <w:rPr>
                <w:w w:val="95"/>
                <w:sz w:val="16"/>
              </w:rPr>
              <w:t>1.99</w:t>
            </w:r>
          </w:p>
        </w:tc>
        <w:tc>
          <w:tcPr>
            <w:tcW w:w="535" w:type="dxa"/>
            <w:tcBorders>
              <w:left w:val="single" w:sz="5" w:space="0" w:color="000000"/>
              <w:right w:val="single" w:sz="5" w:space="0" w:color="000000"/>
            </w:tcBorders>
          </w:tcPr>
          <w:p>
            <w:pPr>
              <w:pStyle w:val="TableParagraph"/>
              <w:spacing w:before="15"/>
              <w:ind w:right="18"/>
              <w:rPr>
                <w:sz w:val="16"/>
              </w:rPr>
            </w:pPr>
            <w:r>
              <w:rPr>
                <w:w w:val="95"/>
                <w:sz w:val="16"/>
              </w:rPr>
              <w:t>2.13</w:t>
            </w:r>
          </w:p>
        </w:tc>
        <w:tc>
          <w:tcPr>
            <w:tcW w:w="536" w:type="dxa"/>
            <w:tcBorders>
              <w:left w:val="single" w:sz="5" w:space="0" w:color="000000"/>
              <w:right w:val="single" w:sz="5" w:space="0" w:color="000000"/>
            </w:tcBorders>
          </w:tcPr>
          <w:p>
            <w:pPr>
              <w:pStyle w:val="TableParagraph"/>
              <w:spacing w:before="15"/>
              <w:ind w:right="19"/>
              <w:rPr>
                <w:sz w:val="16"/>
              </w:rPr>
            </w:pPr>
            <w:r>
              <w:rPr>
                <w:w w:val="95"/>
                <w:sz w:val="16"/>
              </w:rPr>
              <w:t>1.40</w:t>
            </w:r>
          </w:p>
        </w:tc>
        <w:tc>
          <w:tcPr>
            <w:tcW w:w="571" w:type="dxa"/>
            <w:tcBorders>
              <w:left w:val="single" w:sz="5" w:space="0" w:color="000000"/>
              <w:right w:val="single" w:sz="5" w:space="0" w:color="000000"/>
            </w:tcBorders>
          </w:tcPr>
          <w:p>
            <w:pPr>
              <w:pStyle w:val="TableParagraph"/>
              <w:spacing w:before="15"/>
              <w:ind w:right="18"/>
              <w:rPr>
                <w:sz w:val="16"/>
              </w:rPr>
            </w:pPr>
            <w:r>
              <w:rPr>
                <w:w w:val="95"/>
                <w:sz w:val="16"/>
              </w:rPr>
              <w:t>1.37</w:t>
            </w:r>
          </w:p>
        </w:tc>
      </w:tr>
      <w:tr>
        <w:trPr>
          <w:trHeight w:val="216" w:hRule="exact"/>
        </w:trPr>
        <w:tc>
          <w:tcPr>
            <w:tcW w:w="932" w:type="dxa"/>
            <w:tcBorders>
              <w:left w:val="single" w:sz="5" w:space="0" w:color="000000"/>
              <w:right w:val="single" w:sz="5" w:space="0" w:color="000000"/>
            </w:tcBorders>
            <w:shd w:val="clear" w:color="auto" w:fill="DBEDF3"/>
          </w:tcPr>
          <w:p>
            <w:pPr>
              <w:pStyle w:val="TableParagraph"/>
              <w:spacing w:before="24"/>
              <w:ind w:left="6"/>
              <w:jc w:val="center"/>
              <w:rPr>
                <w:b/>
                <w:sz w:val="15"/>
              </w:rPr>
            </w:pPr>
            <w:r>
              <w:rPr>
                <w:b/>
                <w:w w:val="95"/>
                <w:sz w:val="15"/>
              </w:rPr>
              <w:t>Subsector 37</w:t>
            </w:r>
          </w:p>
        </w:tc>
        <w:tc>
          <w:tcPr>
            <w:tcW w:w="536" w:type="dxa"/>
            <w:tcBorders>
              <w:left w:val="single" w:sz="5" w:space="0" w:color="000000"/>
              <w:right w:val="single" w:sz="5" w:space="0" w:color="000000"/>
            </w:tcBorders>
          </w:tcPr>
          <w:p>
            <w:pPr>
              <w:pStyle w:val="TableParagraph"/>
              <w:spacing w:before="15"/>
              <w:ind w:right="18"/>
              <w:rPr>
                <w:sz w:val="16"/>
              </w:rPr>
            </w:pPr>
            <w:r>
              <w:rPr>
                <w:w w:val="95"/>
                <w:sz w:val="16"/>
              </w:rPr>
              <w:t>3.92</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4.61</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3.70</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2.88</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2.84</w:t>
            </w:r>
          </w:p>
        </w:tc>
        <w:tc>
          <w:tcPr>
            <w:tcW w:w="535" w:type="dxa"/>
            <w:tcBorders>
              <w:left w:val="single" w:sz="5" w:space="0" w:color="000000"/>
              <w:right w:val="single" w:sz="5" w:space="0" w:color="000000"/>
            </w:tcBorders>
          </w:tcPr>
          <w:p>
            <w:pPr>
              <w:pStyle w:val="TableParagraph"/>
              <w:spacing w:before="15"/>
              <w:ind w:right="18"/>
              <w:rPr>
                <w:sz w:val="16"/>
              </w:rPr>
            </w:pPr>
            <w:r>
              <w:rPr>
                <w:w w:val="95"/>
                <w:sz w:val="16"/>
              </w:rPr>
              <w:t>2.13</w:t>
            </w:r>
          </w:p>
        </w:tc>
        <w:tc>
          <w:tcPr>
            <w:tcW w:w="535" w:type="dxa"/>
            <w:tcBorders>
              <w:left w:val="single" w:sz="5" w:space="0" w:color="000000"/>
              <w:right w:val="single" w:sz="5" w:space="0" w:color="000000"/>
            </w:tcBorders>
          </w:tcPr>
          <w:p>
            <w:pPr>
              <w:pStyle w:val="TableParagraph"/>
              <w:spacing w:before="15"/>
              <w:ind w:right="18"/>
              <w:rPr>
                <w:sz w:val="16"/>
              </w:rPr>
            </w:pPr>
            <w:r>
              <w:rPr>
                <w:w w:val="95"/>
                <w:sz w:val="16"/>
              </w:rPr>
              <w:t>2.20</w:t>
            </w:r>
          </w:p>
        </w:tc>
        <w:tc>
          <w:tcPr>
            <w:tcW w:w="536" w:type="dxa"/>
            <w:tcBorders>
              <w:left w:val="single" w:sz="5" w:space="0" w:color="000000"/>
              <w:right w:val="single" w:sz="5" w:space="0" w:color="000000"/>
            </w:tcBorders>
          </w:tcPr>
          <w:p>
            <w:pPr>
              <w:pStyle w:val="TableParagraph"/>
              <w:spacing w:before="15"/>
              <w:ind w:right="19"/>
              <w:rPr>
                <w:sz w:val="16"/>
              </w:rPr>
            </w:pPr>
            <w:r>
              <w:rPr>
                <w:w w:val="95"/>
                <w:sz w:val="16"/>
              </w:rPr>
              <w:t>1.47</w:t>
            </w:r>
          </w:p>
        </w:tc>
        <w:tc>
          <w:tcPr>
            <w:tcW w:w="571" w:type="dxa"/>
            <w:tcBorders>
              <w:left w:val="single" w:sz="5" w:space="0" w:color="000000"/>
              <w:right w:val="single" w:sz="5" w:space="0" w:color="000000"/>
            </w:tcBorders>
          </w:tcPr>
          <w:p>
            <w:pPr>
              <w:pStyle w:val="TableParagraph"/>
              <w:spacing w:before="15"/>
              <w:ind w:right="18"/>
              <w:rPr>
                <w:sz w:val="16"/>
              </w:rPr>
            </w:pPr>
            <w:r>
              <w:rPr>
                <w:w w:val="95"/>
                <w:sz w:val="16"/>
              </w:rPr>
              <w:t>1.40</w:t>
            </w:r>
          </w:p>
        </w:tc>
      </w:tr>
      <w:tr>
        <w:trPr>
          <w:trHeight w:val="217" w:hRule="exact"/>
        </w:trPr>
        <w:tc>
          <w:tcPr>
            <w:tcW w:w="932" w:type="dxa"/>
            <w:tcBorders>
              <w:left w:val="single" w:sz="5" w:space="0" w:color="000000"/>
              <w:right w:val="single" w:sz="5" w:space="0" w:color="000000"/>
            </w:tcBorders>
            <w:shd w:val="clear" w:color="auto" w:fill="DBEDF3"/>
          </w:tcPr>
          <w:p>
            <w:pPr>
              <w:pStyle w:val="TableParagraph"/>
              <w:spacing w:before="24"/>
              <w:ind w:left="6"/>
              <w:jc w:val="center"/>
              <w:rPr>
                <w:b/>
                <w:sz w:val="15"/>
              </w:rPr>
            </w:pPr>
            <w:r>
              <w:rPr>
                <w:b/>
                <w:w w:val="95"/>
                <w:sz w:val="15"/>
              </w:rPr>
              <w:t>Subsector 38</w:t>
            </w:r>
          </w:p>
        </w:tc>
        <w:tc>
          <w:tcPr>
            <w:tcW w:w="536" w:type="dxa"/>
            <w:tcBorders>
              <w:left w:val="single" w:sz="5" w:space="0" w:color="000000"/>
              <w:right w:val="single" w:sz="5" w:space="0" w:color="000000"/>
            </w:tcBorders>
          </w:tcPr>
          <w:p>
            <w:pPr>
              <w:pStyle w:val="TableParagraph"/>
              <w:spacing w:before="15"/>
              <w:ind w:right="18"/>
              <w:rPr>
                <w:sz w:val="16"/>
              </w:rPr>
            </w:pPr>
            <w:r>
              <w:rPr>
                <w:w w:val="95"/>
                <w:sz w:val="16"/>
              </w:rPr>
              <w:t>2.70</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3.27</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2.45</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2.01</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1.98</w:t>
            </w:r>
          </w:p>
        </w:tc>
        <w:tc>
          <w:tcPr>
            <w:tcW w:w="535" w:type="dxa"/>
            <w:tcBorders>
              <w:left w:val="single" w:sz="5" w:space="0" w:color="000000"/>
              <w:right w:val="single" w:sz="5" w:space="0" w:color="000000"/>
            </w:tcBorders>
          </w:tcPr>
          <w:p>
            <w:pPr>
              <w:pStyle w:val="TableParagraph"/>
              <w:spacing w:before="15"/>
              <w:ind w:right="18"/>
              <w:rPr>
                <w:sz w:val="16"/>
              </w:rPr>
            </w:pPr>
            <w:r>
              <w:rPr>
                <w:w w:val="95"/>
                <w:sz w:val="16"/>
              </w:rPr>
              <w:t>1.49</w:t>
            </w:r>
          </w:p>
        </w:tc>
        <w:tc>
          <w:tcPr>
            <w:tcW w:w="535" w:type="dxa"/>
            <w:tcBorders>
              <w:left w:val="single" w:sz="5" w:space="0" w:color="000000"/>
              <w:right w:val="single" w:sz="5" w:space="0" w:color="000000"/>
            </w:tcBorders>
          </w:tcPr>
          <w:p>
            <w:pPr>
              <w:pStyle w:val="TableParagraph"/>
              <w:spacing w:before="15"/>
              <w:ind w:right="18"/>
              <w:rPr>
                <w:sz w:val="16"/>
              </w:rPr>
            </w:pPr>
            <w:r>
              <w:rPr>
                <w:w w:val="95"/>
                <w:sz w:val="16"/>
              </w:rPr>
              <w:t>1.48</w:t>
            </w:r>
          </w:p>
        </w:tc>
        <w:tc>
          <w:tcPr>
            <w:tcW w:w="536" w:type="dxa"/>
            <w:tcBorders>
              <w:left w:val="single" w:sz="5" w:space="0" w:color="000000"/>
              <w:right w:val="single" w:sz="5" w:space="0" w:color="000000"/>
            </w:tcBorders>
          </w:tcPr>
          <w:p>
            <w:pPr>
              <w:pStyle w:val="TableParagraph"/>
              <w:spacing w:before="15"/>
              <w:ind w:right="19"/>
              <w:rPr>
                <w:sz w:val="16"/>
              </w:rPr>
            </w:pPr>
            <w:r>
              <w:rPr>
                <w:w w:val="95"/>
                <w:sz w:val="16"/>
              </w:rPr>
              <w:t>1.13</w:t>
            </w:r>
          </w:p>
        </w:tc>
        <w:tc>
          <w:tcPr>
            <w:tcW w:w="571" w:type="dxa"/>
            <w:tcBorders>
              <w:left w:val="single" w:sz="5" w:space="0" w:color="000000"/>
              <w:right w:val="single" w:sz="5" w:space="0" w:color="000000"/>
            </w:tcBorders>
          </w:tcPr>
          <w:p>
            <w:pPr>
              <w:pStyle w:val="TableParagraph"/>
              <w:spacing w:before="15"/>
              <w:ind w:right="18"/>
              <w:rPr>
                <w:sz w:val="16"/>
              </w:rPr>
            </w:pPr>
            <w:r>
              <w:rPr>
                <w:w w:val="95"/>
                <w:sz w:val="16"/>
              </w:rPr>
              <w:t>1.10</w:t>
            </w:r>
          </w:p>
        </w:tc>
      </w:tr>
      <w:tr>
        <w:trPr>
          <w:trHeight w:val="216" w:hRule="exact"/>
        </w:trPr>
        <w:tc>
          <w:tcPr>
            <w:tcW w:w="932" w:type="dxa"/>
            <w:tcBorders>
              <w:left w:val="single" w:sz="5" w:space="0" w:color="000000"/>
              <w:right w:val="single" w:sz="5" w:space="0" w:color="000000"/>
            </w:tcBorders>
            <w:shd w:val="clear" w:color="auto" w:fill="DBEDF3"/>
          </w:tcPr>
          <w:p>
            <w:pPr>
              <w:pStyle w:val="TableParagraph"/>
              <w:spacing w:before="24"/>
              <w:ind w:left="6"/>
              <w:jc w:val="center"/>
              <w:rPr>
                <w:b/>
                <w:sz w:val="15"/>
              </w:rPr>
            </w:pPr>
            <w:r>
              <w:rPr>
                <w:b/>
                <w:w w:val="95"/>
                <w:sz w:val="15"/>
              </w:rPr>
              <w:t>Subsector 39</w:t>
            </w:r>
          </w:p>
        </w:tc>
        <w:tc>
          <w:tcPr>
            <w:tcW w:w="536" w:type="dxa"/>
            <w:tcBorders>
              <w:left w:val="single" w:sz="5" w:space="0" w:color="000000"/>
              <w:right w:val="single" w:sz="5" w:space="0" w:color="000000"/>
            </w:tcBorders>
          </w:tcPr>
          <w:p>
            <w:pPr>
              <w:pStyle w:val="TableParagraph"/>
              <w:spacing w:before="15"/>
              <w:ind w:right="18"/>
              <w:rPr>
                <w:sz w:val="16"/>
              </w:rPr>
            </w:pPr>
            <w:r>
              <w:rPr>
                <w:w w:val="95"/>
                <w:sz w:val="16"/>
              </w:rPr>
              <w:t>4.02</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4.79</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3.91</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2.95</w:t>
            </w:r>
          </w:p>
        </w:tc>
        <w:tc>
          <w:tcPr>
            <w:tcW w:w="536" w:type="dxa"/>
            <w:tcBorders>
              <w:left w:val="single" w:sz="5" w:space="0" w:color="000000"/>
              <w:right w:val="single" w:sz="5" w:space="0" w:color="000000"/>
            </w:tcBorders>
          </w:tcPr>
          <w:p>
            <w:pPr>
              <w:pStyle w:val="TableParagraph"/>
              <w:spacing w:before="15"/>
              <w:ind w:right="20"/>
              <w:rPr>
                <w:sz w:val="16"/>
              </w:rPr>
            </w:pPr>
            <w:r>
              <w:rPr>
                <w:w w:val="95"/>
                <w:sz w:val="16"/>
              </w:rPr>
              <w:t>2.95</w:t>
            </w:r>
          </w:p>
        </w:tc>
        <w:tc>
          <w:tcPr>
            <w:tcW w:w="535" w:type="dxa"/>
            <w:tcBorders>
              <w:left w:val="single" w:sz="5" w:space="0" w:color="000000"/>
              <w:right w:val="single" w:sz="5" w:space="0" w:color="000000"/>
            </w:tcBorders>
          </w:tcPr>
          <w:p>
            <w:pPr>
              <w:pStyle w:val="TableParagraph"/>
              <w:spacing w:before="15"/>
              <w:ind w:right="18"/>
              <w:rPr>
                <w:sz w:val="16"/>
              </w:rPr>
            </w:pPr>
            <w:r>
              <w:rPr>
                <w:w w:val="95"/>
                <w:sz w:val="16"/>
              </w:rPr>
              <w:t>2.14</w:t>
            </w:r>
          </w:p>
        </w:tc>
        <w:tc>
          <w:tcPr>
            <w:tcW w:w="535" w:type="dxa"/>
            <w:tcBorders>
              <w:left w:val="single" w:sz="5" w:space="0" w:color="000000"/>
              <w:right w:val="single" w:sz="5" w:space="0" w:color="000000"/>
            </w:tcBorders>
          </w:tcPr>
          <w:p>
            <w:pPr>
              <w:pStyle w:val="TableParagraph"/>
              <w:spacing w:before="15"/>
              <w:ind w:right="18"/>
              <w:rPr>
                <w:sz w:val="16"/>
              </w:rPr>
            </w:pPr>
            <w:r>
              <w:rPr>
                <w:w w:val="95"/>
                <w:sz w:val="16"/>
              </w:rPr>
              <w:t>2.21</w:t>
            </w:r>
          </w:p>
        </w:tc>
        <w:tc>
          <w:tcPr>
            <w:tcW w:w="536" w:type="dxa"/>
            <w:tcBorders>
              <w:left w:val="single" w:sz="5" w:space="0" w:color="000000"/>
              <w:right w:val="single" w:sz="5" w:space="0" w:color="000000"/>
            </w:tcBorders>
          </w:tcPr>
          <w:p>
            <w:pPr>
              <w:pStyle w:val="TableParagraph"/>
              <w:spacing w:before="15"/>
              <w:ind w:right="19"/>
              <w:rPr>
                <w:sz w:val="16"/>
              </w:rPr>
            </w:pPr>
            <w:r>
              <w:rPr>
                <w:w w:val="95"/>
                <w:sz w:val="16"/>
              </w:rPr>
              <w:t>1.45</w:t>
            </w:r>
          </w:p>
        </w:tc>
        <w:tc>
          <w:tcPr>
            <w:tcW w:w="571" w:type="dxa"/>
            <w:tcBorders>
              <w:left w:val="single" w:sz="5" w:space="0" w:color="000000"/>
              <w:right w:val="single" w:sz="5" w:space="0" w:color="000000"/>
            </w:tcBorders>
          </w:tcPr>
          <w:p>
            <w:pPr>
              <w:pStyle w:val="TableParagraph"/>
              <w:spacing w:before="15"/>
              <w:ind w:right="18"/>
              <w:rPr>
                <w:sz w:val="16"/>
              </w:rPr>
            </w:pPr>
            <w:r>
              <w:rPr>
                <w:w w:val="95"/>
                <w:sz w:val="16"/>
              </w:rPr>
              <w:t>1.39</w:t>
            </w:r>
          </w:p>
        </w:tc>
      </w:tr>
    </w:tbl>
    <w:p>
      <w:pPr>
        <w:pStyle w:val="BodyText"/>
        <w:spacing w:before="3"/>
        <w:rPr>
          <w:rFonts w:ascii="Arial"/>
          <w:b/>
          <w:sz w:val="21"/>
        </w:rPr>
      </w:pPr>
    </w:p>
    <w:p>
      <w:pPr>
        <w:spacing w:before="82"/>
        <w:ind w:left="844" w:right="121" w:firstLine="0"/>
        <w:jc w:val="left"/>
        <w:rPr>
          <w:rFonts w:ascii="Arial" w:hAnsi="Arial"/>
          <w:sz w:val="14"/>
        </w:rPr>
      </w:pPr>
      <w:r>
        <w:rPr>
          <w:rFonts w:ascii="Arial" w:hAnsi="Arial"/>
          <w:w w:val="95"/>
          <w:sz w:val="14"/>
        </w:rPr>
        <w:t>T-L : Región Toluca-Lerma</w:t>
      </w:r>
    </w:p>
    <w:p>
      <w:pPr>
        <w:spacing w:before="55"/>
        <w:ind w:left="844" w:right="121" w:firstLine="0"/>
        <w:jc w:val="left"/>
        <w:rPr>
          <w:rFonts w:ascii="Arial" w:hAnsi="Arial"/>
          <w:sz w:val="14"/>
        </w:rPr>
      </w:pPr>
      <w:r>
        <w:rPr>
          <w:rFonts w:ascii="Arial" w:hAnsi="Arial"/>
          <w:sz w:val="14"/>
        </w:rPr>
        <w:t>V de M : Región Valle de México</w:t>
      </w:r>
    </w:p>
    <w:p>
      <w:pPr>
        <w:spacing w:before="55"/>
        <w:ind w:left="844" w:right="0" w:firstLine="0"/>
        <w:jc w:val="left"/>
        <w:rPr>
          <w:rFonts w:ascii="Arial" w:hAnsi="Arial"/>
          <w:sz w:val="14"/>
        </w:rPr>
      </w:pPr>
      <w:r>
        <w:rPr>
          <w:rFonts w:ascii="Arial" w:hAnsi="Arial"/>
          <w:spacing w:val="-3"/>
          <w:w w:val="95"/>
          <w:sz w:val="14"/>
        </w:rPr>
        <w:t>Fuente: Elaboración </w:t>
      </w:r>
      <w:r>
        <w:rPr>
          <w:rFonts w:ascii="Arial" w:hAnsi="Arial"/>
          <w:w w:val="95"/>
          <w:sz w:val="14"/>
        </w:rPr>
        <w:t>propia con base en </w:t>
      </w:r>
      <w:r>
        <w:rPr>
          <w:rFonts w:ascii="Arial" w:hAnsi="Arial"/>
          <w:spacing w:val="-11"/>
          <w:w w:val="95"/>
          <w:sz w:val="14"/>
        </w:rPr>
        <w:t>INEGI. </w:t>
      </w:r>
      <w:r>
        <w:rPr>
          <w:rFonts w:ascii="Arial" w:hAnsi="Arial"/>
          <w:i/>
          <w:w w:val="95"/>
          <w:sz w:val="14"/>
        </w:rPr>
        <w:t>Censos industriales y económicos </w:t>
      </w:r>
      <w:r>
        <w:rPr>
          <w:rFonts w:ascii="Arial" w:hAnsi="Arial"/>
          <w:w w:val="95"/>
          <w:sz w:val="14"/>
        </w:rPr>
        <w:t>. 1971, 1976, 1981, 1986, 1989, 1994, 1999, 2004 y 2009.</w:t>
      </w:r>
    </w:p>
    <w:p>
      <w:pPr>
        <w:spacing w:after="0"/>
        <w:jc w:val="left"/>
        <w:rPr>
          <w:rFonts w:ascii="Arial" w:hAnsi="Arial"/>
          <w:sz w:val="14"/>
        </w:rPr>
        <w:sectPr>
          <w:pgSz w:w="12240" w:h="15840"/>
          <w:pgMar w:header="0" w:footer="1003" w:top="1360" w:bottom="1200" w:left="1600" w:right="1580"/>
        </w:sectPr>
      </w:pPr>
    </w:p>
    <w:p>
      <w:pPr>
        <w:pStyle w:val="BodyText"/>
        <w:spacing w:line="348" w:lineRule="auto" w:before="50"/>
        <w:ind w:left="122" w:right="115" w:firstLine="707"/>
        <w:jc w:val="both"/>
      </w:pPr>
      <w:r>
        <w:rPr/>
        <w:t>En las regiones de estudio, durante 1970-1988, los valores más altos se presentan en los subsectores: 33 Industria de la madera y productos de madera</w:t>
      </w:r>
      <w:r>
        <w:rPr>
          <w:position w:val="11"/>
          <w:sz w:val="16"/>
        </w:rPr>
        <w:t>72 </w:t>
      </w:r>
      <w:r>
        <w:rPr/>
        <w:t>y 39 Otras industrias manufactureras</w:t>
      </w:r>
      <w:r>
        <w:rPr>
          <w:position w:val="11"/>
          <w:sz w:val="16"/>
        </w:rPr>
        <w:t>73</w:t>
      </w:r>
      <w:r>
        <w:rPr>
          <w:i/>
        </w:rPr>
        <w:t>. </w:t>
      </w:r>
      <w:r>
        <w:rPr/>
        <w:t>Para 1993-2003 en los mismos subsectores anteriores, más el subsector 37 Industrias metálicas básicas, porque dada la apertura de la economía, empezaron a aumentar las exportaciones de este subsector controlados por empresas transnacionales principalmente</w:t>
      </w:r>
      <w:r>
        <w:rPr>
          <w:i/>
        </w:rPr>
        <w:t>. </w:t>
      </w:r>
      <w:r>
        <w:rPr/>
        <w:t>Véase el Cuadro</w:t>
      </w:r>
      <w:r>
        <w:rPr>
          <w:spacing w:val="-8"/>
        </w:rPr>
        <w:t> </w:t>
      </w:r>
      <w:r>
        <w:rPr/>
        <w:t>3.9.</w:t>
      </w:r>
    </w:p>
    <w:p>
      <w:pPr>
        <w:pStyle w:val="BodyText"/>
        <w:spacing w:line="360" w:lineRule="auto" w:before="17"/>
        <w:ind w:left="122" w:right="118" w:firstLine="707"/>
        <w:jc w:val="both"/>
      </w:pPr>
      <w:r>
        <w:rPr/>
        <w:t>Con base en el análisis anterior se puede decir que también en la industria de la madera y productos de madera, otras industrias manufactureras y las industrias metálicas básicas estaban mejor localizadas y concentradas respecto a otros subsectores. En estas circunstancias, los subsectores 33 y 39 eran los más aptos para definir una política de desconcentración industrial en otras regiones de la entidad mexiquense.</w:t>
      </w:r>
    </w:p>
    <w:p>
      <w:pPr>
        <w:pStyle w:val="BodyText"/>
        <w:spacing w:line="360" w:lineRule="auto" w:before="6"/>
        <w:ind w:left="122" w:right="118" w:firstLine="707"/>
        <w:jc w:val="both"/>
      </w:pPr>
      <w:r>
        <w:rPr/>
        <w:t>En resumen, tenemos que en las dos regiones y en las dos variables de estudio el subsector 38 Productos metálicos, maquinaria y equipo presenta los valores del índice más bajos, por lo cual se concluye que este subsector presenta el patrón de distribución geográfica de producción más semejante a la distribución referencial, es decir, que la producción industrial del total del estado, por lo cual sería conveniente reforzar estas actividades industriales en ambas regiones de estudio, las cuales además son importantes por  sus  grandes  volúmenes  de  exportación,  pudiendo  generar  con  ello   externalidades</w:t>
      </w:r>
    </w:p>
    <w:p>
      <w:pPr>
        <w:pStyle w:val="BodyText"/>
        <w:spacing w:line="280" w:lineRule="exact"/>
        <w:ind w:left="122" w:right="84"/>
      </w:pPr>
      <w:r>
        <w:rPr/>
        <w:t>positivas al resto de la industria manufacturera</w:t>
      </w:r>
      <w:r>
        <w:rPr>
          <w:position w:val="11"/>
          <w:sz w:val="16"/>
        </w:rPr>
        <w:t>74</w:t>
      </w:r>
      <w:r>
        <w:rPr/>
        <w:t>. Para continuar el análisis de las </w:t>
      </w:r>
      <w:r>
        <w:rPr>
          <w:spacing w:val="50"/>
        </w:rPr>
        <w:t> </w:t>
      </w:r>
      <w:r>
        <w:rPr/>
        <w:t>regiones,</w:t>
      </w:r>
    </w:p>
    <w:p>
      <w:pPr>
        <w:pStyle w:val="BodyText"/>
        <w:spacing w:line="360" w:lineRule="auto" w:before="139"/>
        <w:ind w:left="122" w:right="243"/>
      </w:pPr>
      <w:r>
        <w:rPr/>
        <w:t>en seguida se muestra otro análisis sobre la dinámica regional de ambas regiones  de estudio.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2"/>
        </w:rPr>
      </w:pPr>
      <w:r>
        <w:rPr/>
        <w:pict>
          <v:line style="position:absolute;mso-position-horizontal-relative:page;mso-position-vertical-relative:paragraph;z-index:2992;mso-wrap-distance-left:0;mso-wrap-distance-right:0" from="85.103996pt,15.275632pt" to="229.123996pt,15.275632pt" stroked="true" strokeweight=".71997pt" strokecolor="#000000">
            <w10:wrap type="topAndBottom"/>
          </v:line>
        </w:pict>
      </w:r>
    </w:p>
    <w:p>
      <w:pPr>
        <w:spacing w:before="42"/>
        <w:ind w:left="122" w:right="127" w:firstLine="0"/>
        <w:jc w:val="both"/>
        <w:rPr>
          <w:sz w:val="20"/>
        </w:rPr>
      </w:pPr>
      <w:r>
        <w:rPr>
          <w:position w:val="9"/>
          <w:sz w:val="13"/>
        </w:rPr>
        <w:t>72 </w:t>
      </w:r>
      <w:r>
        <w:rPr>
          <w:sz w:val="20"/>
        </w:rPr>
        <w:t>La producción de muebles y productos de madera se da principalmente en el municipio de Lerma, en la comunidad de San Pedro Totoltepec y San Mateo Atenco.</w:t>
      </w:r>
    </w:p>
    <w:p>
      <w:pPr>
        <w:spacing w:line="230" w:lineRule="exact" w:before="3"/>
        <w:ind w:left="122" w:right="124" w:firstLine="0"/>
        <w:jc w:val="both"/>
        <w:rPr>
          <w:sz w:val="20"/>
        </w:rPr>
      </w:pPr>
      <w:r>
        <w:rPr>
          <w:position w:val="9"/>
          <w:sz w:val="13"/>
        </w:rPr>
        <w:t>73 </w:t>
      </w:r>
      <w:r>
        <w:rPr>
          <w:sz w:val="20"/>
        </w:rPr>
        <w:t>Este subsector además de incrementar su porción del mercado doméstico, ostenta coeficientes notablemente crecientes y superiores al promedio manufacturero; ambas dimensiones de la demanda se retroalimentan en  un círculo virtuoso que incide favorablemente sobre la competitividad por medio de economías de escala (Millán,</w:t>
      </w:r>
      <w:r>
        <w:rPr>
          <w:spacing w:val="-2"/>
          <w:sz w:val="20"/>
        </w:rPr>
        <w:t> </w:t>
      </w:r>
      <w:r>
        <w:rPr>
          <w:sz w:val="20"/>
        </w:rPr>
        <w:t>1999).</w:t>
      </w:r>
    </w:p>
    <w:p>
      <w:pPr>
        <w:spacing w:line="225" w:lineRule="exact" w:before="0"/>
        <w:ind w:left="122" w:right="0" w:firstLine="0"/>
        <w:jc w:val="both"/>
        <w:rPr>
          <w:sz w:val="20"/>
        </w:rPr>
      </w:pPr>
      <w:r>
        <w:rPr>
          <w:position w:val="9"/>
          <w:sz w:val="13"/>
        </w:rPr>
        <w:t>74  </w:t>
      </w:r>
      <w:r>
        <w:rPr>
          <w:sz w:val="20"/>
        </w:rPr>
        <w:t>La experiencia concreta del Estado de México, revela dos polos regionales con diferentes características: el</w:t>
      </w:r>
    </w:p>
    <w:p>
      <w:pPr>
        <w:spacing w:before="0"/>
        <w:ind w:left="122" w:right="123" w:firstLine="0"/>
        <w:jc w:val="both"/>
        <w:rPr>
          <w:sz w:val="20"/>
        </w:rPr>
      </w:pPr>
      <w:r>
        <w:rPr>
          <w:i/>
          <w:sz w:val="20"/>
        </w:rPr>
        <w:t>cluster </w:t>
      </w:r>
      <w:r>
        <w:rPr>
          <w:sz w:val="20"/>
        </w:rPr>
        <w:t>asociado a la ciudad de Toluca se ha quedado encapsulado en el ensamble de autos y motores sin pasar a mayores efectos de derrama o integración, en tanto que Tlalnepantla y Naucalpan son municipios muy diversificados industrialmente con poca especialización o vocación específica a la automotriz (Unger, 2010: 172).</w:t>
      </w:r>
    </w:p>
    <w:p>
      <w:pPr>
        <w:spacing w:after="0"/>
        <w:jc w:val="both"/>
        <w:rPr>
          <w:sz w:val="20"/>
        </w:rPr>
        <w:sectPr>
          <w:pgSz w:w="12240" w:h="15840"/>
          <w:pgMar w:header="0" w:footer="1003" w:top="1360" w:bottom="1200" w:left="1580" w:right="1580"/>
        </w:sectPr>
      </w:pPr>
    </w:p>
    <w:p>
      <w:pPr>
        <w:pStyle w:val="Heading2"/>
        <w:numPr>
          <w:ilvl w:val="1"/>
          <w:numId w:val="17"/>
        </w:numPr>
        <w:tabs>
          <w:tab w:pos="463" w:val="left" w:leader="none"/>
        </w:tabs>
        <w:spacing w:line="240" w:lineRule="auto" w:before="55" w:after="0"/>
        <w:ind w:left="462" w:right="0" w:hanging="360"/>
        <w:jc w:val="both"/>
      </w:pPr>
      <w:r>
        <w:rPr/>
        <w:t>Dinámica</w:t>
      </w:r>
      <w:r>
        <w:rPr>
          <w:spacing w:val="-5"/>
        </w:rPr>
        <w:t> </w:t>
      </w:r>
      <w:r>
        <w:rPr/>
        <w:t>regional</w:t>
      </w:r>
    </w:p>
    <w:p>
      <w:pPr>
        <w:pStyle w:val="BodyText"/>
        <w:spacing w:line="360" w:lineRule="auto" w:before="135"/>
        <w:ind w:left="102" w:right="118"/>
        <w:jc w:val="both"/>
        <w:rPr>
          <w:i/>
        </w:rPr>
      </w:pPr>
      <w:r>
        <w:rPr/>
        <w:t>Hasta ahora se ha trabajado con una matriz SECRE, en la cual se analiza sólo un momento de tiempo, pero se puede trabajar con estudios dinámicos para enriquecer el análisis regional. Estos estudios son conocidos como de estática comparativa pues son capaces de mostrar cambios regionales en varios momentos de tiempo. Una técnica capaz de mostrar este tipo de fenómenos es la </w:t>
      </w:r>
      <w:r>
        <w:rPr>
          <w:i/>
        </w:rPr>
        <w:t>Shift-Share.</w:t>
      </w:r>
    </w:p>
    <w:p>
      <w:pPr>
        <w:pStyle w:val="BodyText"/>
        <w:spacing w:line="360" w:lineRule="auto" w:before="4"/>
        <w:ind w:left="102" w:right="120" w:firstLine="707"/>
        <w:jc w:val="both"/>
      </w:pPr>
      <w:r>
        <w:rPr/>
        <w:t>Para ello se debe contar con dos matrices SECRE idénticas para dos momentos de tiempo, y con ello se podrá observar:</w:t>
      </w:r>
    </w:p>
    <w:p>
      <w:pPr>
        <w:pStyle w:val="ListParagraph"/>
        <w:numPr>
          <w:ilvl w:val="2"/>
          <w:numId w:val="17"/>
        </w:numPr>
        <w:tabs>
          <w:tab w:pos="821" w:val="left" w:leader="none"/>
          <w:tab w:pos="822" w:val="left" w:leader="none"/>
        </w:tabs>
        <w:spacing w:line="352" w:lineRule="auto" w:before="3" w:after="0"/>
        <w:ind w:left="822" w:right="118" w:hanging="360"/>
        <w:jc w:val="left"/>
        <w:rPr>
          <w:sz w:val="24"/>
        </w:rPr>
      </w:pPr>
      <w:r>
        <w:rPr>
          <w:sz w:val="24"/>
        </w:rPr>
        <w:t>Cambios en la posición relativa de las regiones en relación a alguna variable dada o en relación a un conjunto de</w:t>
      </w:r>
      <w:r>
        <w:rPr>
          <w:spacing w:val="-8"/>
          <w:sz w:val="24"/>
        </w:rPr>
        <w:t> </w:t>
      </w:r>
      <w:r>
        <w:rPr>
          <w:sz w:val="24"/>
        </w:rPr>
        <w:t>variables.</w:t>
      </w:r>
    </w:p>
    <w:p>
      <w:pPr>
        <w:pStyle w:val="ListParagraph"/>
        <w:numPr>
          <w:ilvl w:val="2"/>
          <w:numId w:val="17"/>
        </w:numPr>
        <w:tabs>
          <w:tab w:pos="821" w:val="left" w:leader="none"/>
          <w:tab w:pos="822" w:val="left" w:leader="none"/>
        </w:tabs>
        <w:spacing w:line="352" w:lineRule="auto" w:before="11" w:after="0"/>
        <w:ind w:left="822" w:right="120" w:hanging="360"/>
        <w:jc w:val="left"/>
        <w:rPr>
          <w:sz w:val="24"/>
        </w:rPr>
      </w:pPr>
      <w:r>
        <w:rPr>
          <w:sz w:val="24"/>
        </w:rPr>
        <w:t>Cambios y modificaciones en el tiempo en la estructura regional o al menos en parte de</w:t>
      </w:r>
      <w:r>
        <w:rPr>
          <w:spacing w:val="-3"/>
          <w:sz w:val="24"/>
        </w:rPr>
        <w:t> </w:t>
      </w:r>
      <w:r>
        <w:rPr>
          <w:sz w:val="24"/>
        </w:rPr>
        <w:t>ella.</w:t>
      </w:r>
    </w:p>
    <w:p>
      <w:pPr>
        <w:pStyle w:val="BodyText"/>
        <w:spacing w:line="360" w:lineRule="auto" w:before="14"/>
        <w:ind w:left="102" w:right="121" w:firstLine="359"/>
        <w:jc w:val="both"/>
      </w:pPr>
      <w:r>
        <w:rPr/>
        <w:t>En este caso, como nuestro objetivo es analizar el comportamiento del producto manufacturero de las regiones Toluca-Lerma y Valle de México de 1970 a 2008, entonces utilizaremos esta técnica para comparar su evolución a través de los años.</w:t>
      </w:r>
    </w:p>
    <w:p>
      <w:pPr>
        <w:pStyle w:val="BodyText"/>
      </w:pPr>
    </w:p>
    <w:p>
      <w:pPr>
        <w:pStyle w:val="ListParagraph"/>
        <w:numPr>
          <w:ilvl w:val="2"/>
          <w:numId w:val="18"/>
        </w:numPr>
        <w:tabs>
          <w:tab w:pos="1350" w:val="left" w:leader="none"/>
        </w:tabs>
        <w:spacing w:line="240" w:lineRule="auto" w:before="148" w:after="0"/>
        <w:ind w:left="1350" w:right="0" w:hanging="540"/>
        <w:jc w:val="left"/>
        <w:rPr>
          <w:b/>
          <w:i/>
          <w:sz w:val="24"/>
        </w:rPr>
      </w:pPr>
      <w:r>
        <w:rPr>
          <w:b/>
          <w:i/>
          <w:sz w:val="24"/>
        </w:rPr>
        <w:t>Shift-</w:t>
      </w:r>
      <w:r>
        <w:rPr>
          <w:b/>
          <w:i/>
          <w:spacing w:val="-2"/>
          <w:sz w:val="24"/>
        </w:rPr>
        <w:t> </w:t>
      </w:r>
      <w:r>
        <w:rPr>
          <w:b/>
          <w:i/>
          <w:sz w:val="24"/>
        </w:rPr>
        <w:t>Share</w:t>
      </w:r>
    </w:p>
    <w:p>
      <w:pPr>
        <w:pStyle w:val="BodyText"/>
        <w:spacing w:line="360" w:lineRule="auto" w:before="132"/>
        <w:ind w:left="102" w:right="114"/>
        <w:jc w:val="both"/>
      </w:pPr>
      <w:r>
        <w:rPr/>
        <w:t>Un estudio dinámico que muestra la forma en cómo una estructura económica regional se va ajustando en el tiempo es posible a través del Método Diferencial-Estructural, también llamada Técnica de Cambio y Participación, ó Método de las Variaciones relativas, ó </w:t>
      </w:r>
      <w:r>
        <w:rPr>
          <w:i/>
        </w:rPr>
        <w:t>Shift- </w:t>
      </w:r>
      <w:r>
        <w:rPr>
          <w:i/>
        </w:rPr>
        <w:t>share analysis </w:t>
      </w:r>
      <w:r>
        <w:rPr/>
        <w:t>ó </w:t>
      </w:r>
      <w:r>
        <w:rPr>
          <w:i/>
        </w:rPr>
        <w:t>industrial mix and share</w:t>
      </w:r>
      <w:r>
        <w:rPr>
          <w:i/>
          <w:spacing w:val="-4"/>
        </w:rPr>
        <w:t> </w:t>
      </w:r>
      <w:r>
        <w:rPr>
          <w:i/>
        </w:rPr>
        <w:t>analysis</w:t>
      </w:r>
      <w:r>
        <w:rPr/>
        <w:t>.</w:t>
      </w:r>
    </w:p>
    <w:p>
      <w:pPr>
        <w:pStyle w:val="BodyText"/>
        <w:spacing w:line="360" w:lineRule="auto" w:before="6"/>
        <w:ind w:left="102" w:right="121" w:firstLine="707"/>
        <w:jc w:val="both"/>
      </w:pPr>
      <w:r>
        <w:rPr/>
        <w:t>Con base en las bondades de esta metodología se aplicó a las regiones de estudio con la finalidad de analizar los cambios en la estructura de actividades de cada una desde 1970 a 2008. Los resultados se muestran en el Cuadro</w:t>
      </w:r>
      <w:r>
        <w:rPr>
          <w:spacing w:val="-7"/>
        </w:rPr>
        <w:t> </w:t>
      </w:r>
      <w:r>
        <w:rPr/>
        <w:t>3.10.</w:t>
      </w:r>
    </w:p>
    <w:p>
      <w:pPr>
        <w:pStyle w:val="BodyText"/>
        <w:spacing w:line="360" w:lineRule="auto" w:before="4"/>
        <w:ind w:left="102" w:right="114" w:firstLine="707"/>
        <w:jc w:val="both"/>
      </w:pPr>
      <w:r>
        <w:rPr/>
        <w:t>Sacando las tasas de crecimiento promedio de la región por subsectores tenemos  que en la región Toluca-Lerma, los subsectores más dinámicos fueron el subsector </w:t>
      </w:r>
      <w:r>
        <w:rPr>
          <w:spacing w:val="-3"/>
        </w:rPr>
        <w:t>31 </w:t>
      </w:r>
      <w:r>
        <w:rPr/>
        <w:t>Productos alimenticios, bebidas y tabaco, en los años 1975, 1988, 1993, 2003 y 2008) y el 35 Sustancias químicas, productos derivados del petróleo y del carbón, hule y de plástico (en 1985, 1988, 1988, 2003 y 2008). Pero cabe mencionar que en 2003 el subsector 37, fue el que más creció, muy por arriba que el mismo subsector a nivel estatal. En cuanto al que creció menos fue el subsector 32 Textiles, prendas de vestir e industrias del</w:t>
      </w:r>
      <w:r>
        <w:rPr>
          <w:spacing w:val="-14"/>
        </w:rPr>
        <w:t> </w:t>
      </w:r>
      <w:r>
        <w:rPr/>
        <w:t>cuero.</w:t>
      </w:r>
    </w:p>
    <w:p>
      <w:pPr>
        <w:spacing w:after="0" w:line="360" w:lineRule="auto"/>
        <w:jc w:val="both"/>
        <w:sectPr>
          <w:pgSz w:w="12240" w:h="15840"/>
          <w:pgMar w:header="0" w:footer="1003" w:top="1360" w:bottom="1200" w:left="1600" w:right="1580"/>
        </w:sectPr>
      </w:pPr>
    </w:p>
    <w:p>
      <w:pPr>
        <w:spacing w:before="70"/>
        <w:ind w:left="843" w:right="243" w:firstLine="0"/>
        <w:jc w:val="left"/>
        <w:rPr>
          <w:rFonts w:ascii="Arial"/>
          <w:b/>
          <w:sz w:val="15"/>
        </w:rPr>
      </w:pPr>
      <w:r>
        <w:rPr>
          <w:rFonts w:ascii="Arial"/>
          <w:b/>
          <w:w w:val="95"/>
          <w:sz w:val="15"/>
        </w:rPr>
        <w:t>Cuadr 3.10</w:t>
      </w:r>
    </w:p>
    <w:p>
      <w:pPr>
        <w:spacing w:before="57"/>
        <w:ind w:left="843" w:right="243" w:firstLine="0"/>
        <w:jc w:val="left"/>
        <w:rPr>
          <w:rFonts w:ascii="Arial" w:hAnsi="Arial"/>
          <w:b/>
          <w:i/>
          <w:sz w:val="15"/>
        </w:rPr>
      </w:pPr>
      <w:r>
        <w:rPr>
          <w:rFonts w:ascii="Arial" w:hAnsi="Arial"/>
          <w:b/>
          <w:sz w:val="15"/>
        </w:rPr>
        <w:t>Método </w:t>
      </w:r>
      <w:r>
        <w:rPr>
          <w:rFonts w:ascii="Arial" w:hAnsi="Arial"/>
          <w:b/>
          <w:i/>
          <w:sz w:val="15"/>
        </w:rPr>
        <w:t>Shift -Share</w:t>
      </w:r>
    </w:p>
    <w:p>
      <w:pPr>
        <w:spacing w:before="81"/>
        <w:ind w:left="843" w:right="243" w:firstLine="0"/>
        <w:jc w:val="left"/>
        <w:rPr>
          <w:rFonts w:ascii="Arial"/>
          <w:b/>
          <w:sz w:val="15"/>
        </w:rPr>
      </w:pPr>
      <w:r>
        <w:rPr>
          <w:rFonts w:ascii="Arial"/>
          <w:b/>
          <w:w w:val="95"/>
          <w:sz w:val="15"/>
        </w:rPr>
        <w:t>Valor Agregado</w:t>
      </w:r>
    </w:p>
    <w:p>
      <w:pPr>
        <w:spacing w:line="336" w:lineRule="auto" w:before="69"/>
        <w:ind w:left="843" w:right="5384" w:firstLine="0"/>
        <w:jc w:val="left"/>
        <w:rPr>
          <w:rFonts w:ascii="Arial" w:hAnsi="Arial"/>
          <w:b/>
          <w:sz w:val="15"/>
        </w:rPr>
      </w:pPr>
      <w:r>
        <w:rPr>
          <w:rFonts w:ascii="Arial" w:hAnsi="Arial"/>
          <w:b/>
          <w:sz w:val="15"/>
        </w:rPr>
        <w:t>Región Toluca-Lerma y Valle de México 1970-2008</w:t>
      </w:r>
    </w:p>
    <w:p>
      <w:pPr>
        <w:pStyle w:val="BodyText"/>
        <w:rPr>
          <w:rFonts w:ascii="Arial"/>
          <w:b/>
          <w:sz w:val="20"/>
        </w:rPr>
      </w:pPr>
    </w:p>
    <w:p>
      <w:pPr>
        <w:pStyle w:val="BodyText"/>
        <w:spacing w:before="7" w:after="1"/>
        <w:rPr>
          <w:rFonts w:ascii="Arial"/>
          <w:b/>
          <w:sz w:val="17"/>
        </w:rPr>
      </w:pPr>
    </w:p>
    <w:tbl>
      <w:tblPr>
        <w:tblW w:w="0" w:type="auto"/>
        <w:jc w:val="left"/>
        <w:tblInd w:w="810" w:type="dxa"/>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CellMar>
          <w:top w:w="0" w:type="dxa"/>
          <w:left w:w="0" w:type="dxa"/>
          <w:bottom w:w="0" w:type="dxa"/>
          <w:right w:w="0" w:type="dxa"/>
        </w:tblCellMar>
        <w:tblLook w:val="01E0"/>
      </w:tblPr>
      <w:tblGrid>
        <w:gridCol w:w="882"/>
        <w:gridCol w:w="882"/>
        <w:gridCol w:w="882"/>
        <w:gridCol w:w="882"/>
        <w:gridCol w:w="882"/>
        <w:gridCol w:w="882"/>
        <w:gridCol w:w="882"/>
        <w:gridCol w:w="882"/>
        <w:gridCol w:w="882"/>
      </w:tblGrid>
      <w:tr>
        <w:trPr>
          <w:trHeight w:val="248" w:hRule="exact"/>
        </w:trPr>
        <w:tc>
          <w:tcPr>
            <w:tcW w:w="882" w:type="dxa"/>
            <w:vMerge w:val="restart"/>
            <w:tcBorders>
              <w:left w:val="single" w:sz="4" w:space="0" w:color="000000"/>
              <w:right w:val="single" w:sz="9" w:space="0" w:color="000000"/>
            </w:tcBorders>
            <w:shd w:val="clear" w:color="auto" w:fill="D7D7D7"/>
          </w:tcPr>
          <w:p>
            <w:pPr>
              <w:pStyle w:val="TableParagraph"/>
              <w:jc w:val="left"/>
              <w:rPr>
                <w:b/>
                <w:sz w:val="18"/>
              </w:rPr>
            </w:pPr>
          </w:p>
          <w:p>
            <w:pPr>
              <w:pStyle w:val="TableParagraph"/>
              <w:jc w:val="left"/>
              <w:rPr>
                <w:b/>
                <w:sz w:val="18"/>
              </w:rPr>
            </w:pPr>
          </w:p>
          <w:p>
            <w:pPr>
              <w:pStyle w:val="TableParagraph"/>
              <w:spacing w:before="9"/>
              <w:jc w:val="left"/>
              <w:rPr>
                <w:b/>
                <w:sz w:val="23"/>
              </w:rPr>
            </w:pPr>
          </w:p>
          <w:p>
            <w:pPr>
              <w:pStyle w:val="TableParagraph"/>
              <w:ind w:left="242"/>
              <w:jc w:val="left"/>
              <w:rPr>
                <w:rFonts w:ascii="Calibri"/>
                <w:b/>
                <w:sz w:val="18"/>
              </w:rPr>
            </w:pPr>
            <w:r>
              <w:rPr>
                <w:rFonts w:ascii="Calibri"/>
                <w:b/>
                <w:sz w:val="18"/>
              </w:rPr>
              <w:t>censo</w:t>
            </w:r>
          </w:p>
        </w:tc>
        <w:tc>
          <w:tcPr>
            <w:tcW w:w="7055" w:type="dxa"/>
            <w:gridSpan w:val="8"/>
            <w:tcBorders>
              <w:left w:val="single" w:sz="9" w:space="0" w:color="000000"/>
              <w:bottom w:val="single" w:sz="5" w:space="0" w:color="000000"/>
              <w:right w:val="single" w:sz="9" w:space="0" w:color="000000"/>
            </w:tcBorders>
            <w:shd w:val="clear" w:color="auto" w:fill="D7D7D7"/>
          </w:tcPr>
          <w:p>
            <w:pPr>
              <w:pStyle w:val="TableParagraph"/>
              <w:spacing w:before="41"/>
              <w:ind w:left="2807" w:right="2807"/>
              <w:jc w:val="center"/>
              <w:rPr>
                <w:b/>
                <w:sz w:val="15"/>
              </w:rPr>
            </w:pPr>
            <w:r>
              <w:rPr>
                <w:b/>
                <w:w w:val="95"/>
                <w:sz w:val="15"/>
              </w:rPr>
              <w:t>VALOR AGREGADO</w:t>
            </w:r>
          </w:p>
        </w:tc>
      </w:tr>
      <w:tr>
        <w:trPr>
          <w:trHeight w:val="254" w:hRule="exact"/>
        </w:trPr>
        <w:tc>
          <w:tcPr>
            <w:tcW w:w="882" w:type="dxa"/>
            <w:vMerge/>
            <w:tcBorders>
              <w:left w:val="single" w:sz="4" w:space="0" w:color="000000"/>
              <w:right w:val="single" w:sz="9" w:space="0" w:color="000000"/>
            </w:tcBorders>
            <w:shd w:val="clear" w:color="auto" w:fill="D7D7D7"/>
          </w:tcPr>
          <w:p>
            <w:pPr/>
          </w:p>
        </w:tc>
        <w:tc>
          <w:tcPr>
            <w:tcW w:w="3528" w:type="dxa"/>
            <w:gridSpan w:val="4"/>
            <w:tcBorders>
              <w:top w:val="single" w:sz="5" w:space="0" w:color="000000"/>
              <w:left w:val="single" w:sz="9" w:space="0" w:color="000000"/>
              <w:bottom w:val="single" w:sz="5" w:space="0" w:color="000000"/>
              <w:right w:val="single" w:sz="4" w:space="0" w:color="000000"/>
            </w:tcBorders>
            <w:shd w:val="clear" w:color="auto" w:fill="D7D7D7"/>
          </w:tcPr>
          <w:p>
            <w:pPr>
              <w:pStyle w:val="TableParagraph"/>
              <w:spacing w:before="12"/>
              <w:ind w:left="1201" w:right="1200"/>
              <w:jc w:val="center"/>
              <w:rPr>
                <w:rFonts w:ascii="Calibri"/>
                <w:b/>
                <w:sz w:val="19"/>
              </w:rPr>
            </w:pPr>
            <w:r>
              <w:rPr>
                <w:rFonts w:ascii="Calibri"/>
                <w:b/>
                <w:sz w:val="19"/>
              </w:rPr>
              <w:t>Toluca-Lerma</w:t>
            </w:r>
          </w:p>
        </w:tc>
        <w:tc>
          <w:tcPr>
            <w:tcW w:w="3527" w:type="dxa"/>
            <w:gridSpan w:val="4"/>
            <w:tcBorders>
              <w:top w:val="single" w:sz="5" w:space="0" w:color="000000"/>
              <w:left w:val="single" w:sz="4" w:space="0" w:color="000000"/>
              <w:bottom w:val="single" w:sz="5" w:space="0" w:color="000000"/>
              <w:right w:val="single" w:sz="9" w:space="0" w:color="000000"/>
            </w:tcBorders>
            <w:shd w:val="clear" w:color="auto" w:fill="D7D7D7"/>
          </w:tcPr>
          <w:p>
            <w:pPr>
              <w:pStyle w:val="TableParagraph"/>
              <w:spacing w:before="12"/>
              <w:ind w:left="1168"/>
              <w:jc w:val="left"/>
              <w:rPr>
                <w:rFonts w:ascii="Calibri" w:hAnsi="Calibri"/>
                <w:b/>
                <w:sz w:val="19"/>
              </w:rPr>
            </w:pPr>
            <w:r>
              <w:rPr>
                <w:rFonts w:ascii="Calibri" w:hAnsi="Calibri"/>
                <w:b/>
                <w:w w:val="95"/>
                <w:sz w:val="19"/>
              </w:rPr>
              <w:t>Valle de México</w:t>
            </w:r>
          </w:p>
        </w:tc>
      </w:tr>
      <w:tr>
        <w:trPr>
          <w:trHeight w:val="424" w:hRule="exact"/>
        </w:trPr>
        <w:tc>
          <w:tcPr>
            <w:tcW w:w="882" w:type="dxa"/>
            <w:vMerge/>
            <w:tcBorders>
              <w:left w:val="single" w:sz="4" w:space="0" w:color="000000"/>
              <w:bottom w:val="single" w:sz="5" w:space="0" w:color="000000"/>
              <w:right w:val="single" w:sz="9" w:space="0" w:color="000000"/>
            </w:tcBorders>
            <w:shd w:val="clear" w:color="auto" w:fill="D7D7D7"/>
          </w:tcPr>
          <w:p>
            <w:pPr/>
          </w:p>
        </w:tc>
        <w:tc>
          <w:tcPr>
            <w:tcW w:w="882" w:type="dxa"/>
            <w:tcBorders>
              <w:top w:val="single" w:sz="5" w:space="0" w:color="000000"/>
              <w:left w:val="single" w:sz="9" w:space="0" w:color="000000"/>
              <w:bottom w:val="single" w:sz="5" w:space="0" w:color="000000"/>
              <w:right w:val="single" w:sz="4" w:space="0" w:color="000000"/>
            </w:tcBorders>
            <w:shd w:val="clear" w:color="auto" w:fill="D7D7D7"/>
          </w:tcPr>
          <w:p>
            <w:pPr>
              <w:pStyle w:val="TableParagraph"/>
              <w:spacing w:before="7"/>
              <w:jc w:val="left"/>
              <w:rPr>
                <w:b/>
                <w:sz w:val="16"/>
              </w:rPr>
            </w:pPr>
          </w:p>
          <w:p>
            <w:pPr>
              <w:pStyle w:val="TableParagraph"/>
              <w:ind w:right="7"/>
              <w:jc w:val="center"/>
              <w:rPr>
                <w:rFonts w:ascii="Calibri" w:hAnsi="Calibri"/>
                <w:b/>
                <w:sz w:val="18"/>
              </w:rPr>
            </w:pPr>
            <w:r>
              <w:rPr>
                <w:rFonts w:ascii="Calibri" w:hAnsi="Calibri"/>
                <w:b/>
                <w:w w:val="91"/>
                <w:sz w:val="18"/>
              </w:rPr>
              <w:t>π</w:t>
            </w:r>
          </w:p>
        </w:tc>
        <w:tc>
          <w:tcPr>
            <w:tcW w:w="882"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7"/>
              <w:jc w:val="left"/>
              <w:rPr>
                <w:b/>
                <w:sz w:val="16"/>
              </w:rPr>
            </w:pPr>
          </w:p>
          <w:p>
            <w:pPr>
              <w:pStyle w:val="TableParagraph"/>
              <w:ind w:left="10"/>
              <w:jc w:val="center"/>
              <w:rPr>
                <w:rFonts w:ascii="Calibri" w:hAnsi="Calibri"/>
                <w:b/>
                <w:sz w:val="18"/>
              </w:rPr>
            </w:pPr>
            <w:r>
              <w:rPr>
                <w:rFonts w:ascii="Calibri" w:hAnsi="Calibri"/>
                <w:b/>
                <w:w w:val="92"/>
                <w:sz w:val="18"/>
              </w:rPr>
              <w:t>δ</w:t>
            </w:r>
          </w:p>
        </w:tc>
        <w:tc>
          <w:tcPr>
            <w:tcW w:w="882"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7"/>
              <w:jc w:val="left"/>
              <w:rPr>
                <w:b/>
                <w:sz w:val="16"/>
              </w:rPr>
            </w:pPr>
          </w:p>
          <w:p>
            <w:pPr>
              <w:pStyle w:val="TableParagraph"/>
              <w:ind w:left="4"/>
              <w:jc w:val="center"/>
              <w:rPr>
                <w:rFonts w:ascii="Calibri"/>
                <w:b/>
                <w:sz w:val="18"/>
              </w:rPr>
            </w:pPr>
            <w:r>
              <w:rPr>
                <w:rFonts w:ascii="Calibri"/>
                <w:b/>
                <w:w w:val="91"/>
                <w:sz w:val="18"/>
              </w:rPr>
              <w:t>T</w:t>
            </w:r>
          </w:p>
        </w:tc>
        <w:tc>
          <w:tcPr>
            <w:tcW w:w="882"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line="285" w:lineRule="auto" w:before="4"/>
              <w:ind w:left="209" w:hanging="45"/>
              <w:jc w:val="left"/>
              <w:rPr>
                <w:b/>
                <w:sz w:val="15"/>
              </w:rPr>
            </w:pPr>
            <w:r>
              <w:rPr>
                <w:b/>
                <w:sz w:val="15"/>
              </w:rPr>
              <w:t>Tipo de región</w:t>
            </w:r>
          </w:p>
        </w:tc>
        <w:tc>
          <w:tcPr>
            <w:tcW w:w="882"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7"/>
              <w:jc w:val="left"/>
              <w:rPr>
                <w:b/>
                <w:sz w:val="16"/>
              </w:rPr>
            </w:pPr>
          </w:p>
          <w:p>
            <w:pPr>
              <w:pStyle w:val="TableParagraph"/>
              <w:ind w:right="1"/>
              <w:jc w:val="center"/>
              <w:rPr>
                <w:rFonts w:ascii="Calibri" w:hAnsi="Calibri"/>
                <w:b/>
                <w:sz w:val="18"/>
              </w:rPr>
            </w:pPr>
            <w:r>
              <w:rPr>
                <w:rFonts w:ascii="Calibri" w:hAnsi="Calibri"/>
                <w:b/>
                <w:w w:val="91"/>
                <w:sz w:val="18"/>
              </w:rPr>
              <w:t>π</w:t>
            </w:r>
          </w:p>
        </w:tc>
        <w:tc>
          <w:tcPr>
            <w:tcW w:w="882"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7"/>
              <w:jc w:val="left"/>
              <w:rPr>
                <w:b/>
                <w:sz w:val="16"/>
              </w:rPr>
            </w:pPr>
          </w:p>
          <w:p>
            <w:pPr>
              <w:pStyle w:val="TableParagraph"/>
              <w:ind w:left="10"/>
              <w:jc w:val="center"/>
              <w:rPr>
                <w:rFonts w:ascii="Calibri" w:hAnsi="Calibri"/>
                <w:b/>
                <w:sz w:val="18"/>
              </w:rPr>
            </w:pPr>
            <w:r>
              <w:rPr>
                <w:rFonts w:ascii="Calibri" w:hAnsi="Calibri"/>
                <w:b/>
                <w:w w:val="92"/>
                <w:sz w:val="18"/>
              </w:rPr>
              <w:t>δ</w:t>
            </w:r>
          </w:p>
        </w:tc>
        <w:tc>
          <w:tcPr>
            <w:tcW w:w="882"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before="7"/>
              <w:jc w:val="left"/>
              <w:rPr>
                <w:b/>
                <w:sz w:val="16"/>
              </w:rPr>
            </w:pPr>
          </w:p>
          <w:p>
            <w:pPr>
              <w:pStyle w:val="TableParagraph"/>
              <w:ind w:left="4"/>
              <w:jc w:val="center"/>
              <w:rPr>
                <w:rFonts w:ascii="Calibri"/>
                <w:b/>
                <w:sz w:val="18"/>
              </w:rPr>
            </w:pPr>
            <w:r>
              <w:rPr>
                <w:rFonts w:ascii="Calibri"/>
                <w:b/>
                <w:w w:val="91"/>
                <w:sz w:val="18"/>
              </w:rPr>
              <w:t>T</w:t>
            </w:r>
          </w:p>
        </w:tc>
        <w:tc>
          <w:tcPr>
            <w:tcW w:w="882" w:type="dxa"/>
            <w:tcBorders>
              <w:top w:val="single" w:sz="5" w:space="0" w:color="000000"/>
              <w:left w:val="single" w:sz="4" w:space="0" w:color="000000"/>
              <w:bottom w:val="single" w:sz="5" w:space="0" w:color="000000"/>
              <w:right w:val="single" w:sz="4" w:space="0" w:color="000000"/>
            </w:tcBorders>
            <w:shd w:val="clear" w:color="auto" w:fill="D7D7D7"/>
          </w:tcPr>
          <w:p>
            <w:pPr>
              <w:pStyle w:val="TableParagraph"/>
              <w:spacing w:line="285" w:lineRule="auto" w:before="4"/>
              <w:ind w:left="209" w:hanging="45"/>
              <w:jc w:val="left"/>
              <w:rPr>
                <w:b/>
                <w:sz w:val="15"/>
              </w:rPr>
            </w:pPr>
            <w:r>
              <w:rPr>
                <w:b/>
                <w:sz w:val="15"/>
              </w:rPr>
              <w:t>Tipo de región</w:t>
            </w:r>
          </w:p>
        </w:tc>
      </w:tr>
      <w:tr>
        <w:trPr>
          <w:trHeight w:val="242" w:hRule="exact"/>
        </w:trPr>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28"/>
              <w:ind w:right="20"/>
              <w:rPr>
                <w:sz w:val="15"/>
              </w:rPr>
            </w:pPr>
            <w:r>
              <w:rPr>
                <w:w w:val="95"/>
                <w:sz w:val="15"/>
              </w:rPr>
              <w:t>1975</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89,151.5</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682,544.5</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771,696.0</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41"/>
              <w:ind w:left="6"/>
              <w:jc w:val="center"/>
              <w:rPr>
                <w:b/>
                <w:sz w:val="15"/>
              </w:rPr>
            </w:pPr>
            <w:r>
              <w:rPr>
                <w:b/>
                <w:w w:val="95"/>
                <w:sz w:val="15"/>
              </w:rPr>
              <w:t>I</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196,749.9</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20"/>
              <w:rPr>
                <w:sz w:val="13"/>
              </w:rPr>
            </w:pPr>
            <w:r>
              <w:rPr>
                <w:w w:val="90"/>
                <w:sz w:val="13"/>
              </w:rPr>
              <w:t>525,661.7</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722,411.6</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41"/>
              <w:ind w:left="6"/>
              <w:jc w:val="center"/>
              <w:rPr>
                <w:b/>
                <w:sz w:val="15"/>
              </w:rPr>
            </w:pPr>
            <w:r>
              <w:rPr>
                <w:b/>
                <w:w w:val="95"/>
                <w:sz w:val="15"/>
              </w:rPr>
              <w:t>I</w:t>
            </w:r>
          </w:p>
        </w:tc>
      </w:tr>
      <w:tr>
        <w:trPr>
          <w:trHeight w:val="242" w:hRule="exact"/>
        </w:trPr>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28"/>
              <w:ind w:right="20"/>
              <w:rPr>
                <w:sz w:val="15"/>
              </w:rPr>
            </w:pPr>
            <w:r>
              <w:rPr>
                <w:w w:val="95"/>
                <w:sz w:val="15"/>
              </w:rPr>
              <w:t>1980</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232,335.7</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-140,139.7</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92,196.0</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40"/>
              <w:ind w:left="287" w:right="285"/>
              <w:jc w:val="center"/>
              <w:rPr>
                <w:b/>
                <w:sz w:val="15"/>
              </w:rPr>
            </w:pPr>
            <w:r>
              <w:rPr>
                <w:b/>
                <w:sz w:val="15"/>
              </w:rPr>
              <w:t>II-a</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-207,210.5</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20"/>
              <w:rPr>
                <w:sz w:val="13"/>
              </w:rPr>
            </w:pPr>
            <w:r>
              <w:rPr>
                <w:w w:val="90"/>
                <w:sz w:val="13"/>
              </w:rPr>
              <w:t>230,277.9</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23,067.5</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40"/>
              <w:ind w:left="279" w:right="277"/>
              <w:jc w:val="center"/>
              <w:rPr>
                <w:b/>
                <w:sz w:val="15"/>
              </w:rPr>
            </w:pPr>
            <w:r>
              <w:rPr>
                <w:b/>
                <w:sz w:val="15"/>
              </w:rPr>
              <w:t>III-a</w:t>
            </w:r>
          </w:p>
        </w:tc>
      </w:tr>
      <w:tr>
        <w:trPr>
          <w:trHeight w:val="242" w:hRule="exact"/>
        </w:trPr>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28"/>
              <w:ind w:right="20"/>
              <w:rPr>
                <w:sz w:val="15"/>
              </w:rPr>
            </w:pPr>
            <w:r>
              <w:rPr>
                <w:w w:val="95"/>
                <w:sz w:val="15"/>
              </w:rPr>
              <w:t>1985</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60"/>
              <w:ind w:right="19"/>
              <w:rPr>
                <w:sz w:val="13"/>
              </w:rPr>
            </w:pPr>
            <w:r>
              <w:rPr>
                <w:w w:val="90"/>
                <w:sz w:val="13"/>
              </w:rPr>
              <w:t>19,785.7</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60"/>
              <w:ind w:right="19"/>
              <w:rPr>
                <w:sz w:val="13"/>
              </w:rPr>
            </w:pPr>
            <w:r>
              <w:rPr>
                <w:w w:val="90"/>
                <w:sz w:val="13"/>
              </w:rPr>
              <w:t>418,968.8</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60"/>
              <w:ind w:right="19"/>
              <w:rPr>
                <w:sz w:val="13"/>
              </w:rPr>
            </w:pPr>
            <w:r>
              <w:rPr>
                <w:w w:val="90"/>
                <w:sz w:val="13"/>
              </w:rPr>
              <w:t>438,754.5</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41"/>
              <w:ind w:left="6"/>
              <w:jc w:val="center"/>
              <w:rPr>
                <w:b/>
                <w:sz w:val="15"/>
              </w:rPr>
            </w:pPr>
            <w:r>
              <w:rPr>
                <w:b/>
                <w:w w:val="95"/>
                <w:sz w:val="15"/>
              </w:rPr>
              <w:t>I</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60"/>
              <w:ind w:right="19"/>
              <w:rPr>
                <w:sz w:val="13"/>
              </w:rPr>
            </w:pPr>
            <w:r>
              <w:rPr>
                <w:w w:val="90"/>
                <w:sz w:val="13"/>
              </w:rPr>
              <w:t>-227,179.1</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60"/>
              <w:ind w:right="19"/>
              <w:rPr>
                <w:sz w:val="13"/>
              </w:rPr>
            </w:pPr>
            <w:r>
              <w:rPr>
                <w:w w:val="90"/>
                <w:sz w:val="13"/>
              </w:rPr>
              <w:t>-1,376,434.2</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60"/>
              <w:ind w:right="19"/>
              <w:rPr>
                <w:sz w:val="13"/>
              </w:rPr>
            </w:pPr>
            <w:r>
              <w:rPr>
                <w:w w:val="90"/>
                <w:sz w:val="13"/>
              </w:rPr>
              <w:t>-1,603,613.3</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41"/>
              <w:ind w:left="277" w:right="277"/>
              <w:jc w:val="center"/>
              <w:rPr>
                <w:b/>
                <w:sz w:val="15"/>
              </w:rPr>
            </w:pPr>
            <w:r>
              <w:rPr>
                <w:b/>
                <w:sz w:val="15"/>
              </w:rPr>
              <w:t>IV</w:t>
            </w:r>
          </w:p>
        </w:tc>
      </w:tr>
      <w:tr>
        <w:trPr>
          <w:trHeight w:val="242" w:hRule="exact"/>
        </w:trPr>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28"/>
              <w:ind w:right="20"/>
              <w:rPr>
                <w:sz w:val="15"/>
              </w:rPr>
            </w:pPr>
            <w:r>
              <w:rPr>
                <w:w w:val="95"/>
                <w:sz w:val="15"/>
              </w:rPr>
              <w:t>1988</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8"/>
              <w:rPr>
                <w:sz w:val="13"/>
              </w:rPr>
            </w:pPr>
            <w:r>
              <w:rPr>
                <w:w w:val="90"/>
                <w:sz w:val="13"/>
              </w:rPr>
              <w:t>5,764.3</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458,862.9</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464,627.1</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40"/>
              <w:ind w:left="6"/>
              <w:jc w:val="center"/>
              <w:rPr>
                <w:b/>
                <w:sz w:val="15"/>
              </w:rPr>
            </w:pPr>
            <w:r>
              <w:rPr>
                <w:b/>
                <w:w w:val="95"/>
                <w:sz w:val="15"/>
              </w:rPr>
              <w:t>I</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72,873.4</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20"/>
              <w:rPr>
                <w:sz w:val="13"/>
              </w:rPr>
            </w:pPr>
            <w:r>
              <w:rPr>
                <w:w w:val="90"/>
                <w:sz w:val="13"/>
              </w:rPr>
              <w:t>357,789.9</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430,663.3</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40"/>
              <w:ind w:left="6"/>
              <w:jc w:val="center"/>
              <w:rPr>
                <w:b/>
                <w:sz w:val="15"/>
              </w:rPr>
            </w:pPr>
            <w:r>
              <w:rPr>
                <w:b/>
                <w:w w:val="95"/>
                <w:sz w:val="15"/>
              </w:rPr>
              <w:t>I</w:t>
            </w:r>
          </w:p>
        </w:tc>
      </w:tr>
      <w:tr>
        <w:trPr>
          <w:trHeight w:val="242" w:hRule="exact"/>
        </w:trPr>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28"/>
              <w:ind w:right="20"/>
              <w:rPr>
                <w:sz w:val="15"/>
              </w:rPr>
            </w:pPr>
            <w:r>
              <w:rPr>
                <w:w w:val="95"/>
                <w:sz w:val="15"/>
              </w:rPr>
              <w:t>1993</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92,992.7</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1,279,341.4</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1,372,334.1</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40"/>
              <w:ind w:left="6"/>
              <w:jc w:val="center"/>
              <w:rPr>
                <w:b/>
                <w:sz w:val="15"/>
              </w:rPr>
            </w:pPr>
            <w:r>
              <w:rPr>
                <w:b/>
                <w:w w:val="95"/>
                <w:sz w:val="15"/>
              </w:rPr>
              <w:t>I</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-271,042.8</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-2,822,447.6</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-3,093,490.4</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40"/>
              <w:ind w:left="277" w:right="277"/>
              <w:jc w:val="center"/>
              <w:rPr>
                <w:b/>
                <w:sz w:val="15"/>
              </w:rPr>
            </w:pPr>
            <w:r>
              <w:rPr>
                <w:b/>
                <w:sz w:val="15"/>
              </w:rPr>
              <w:t>IV</w:t>
            </w:r>
          </w:p>
        </w:tc>
      </w:tr>
      <w:tr>
        <w:trPr>
          <w:trHeight w:val="242" w:hRule="exact"/>
        </w:trPr>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28"/>
              <w:ind w:right="20"/>
              <w:rPr>
                <w:sz w:val="15"/>
              </w:rPr>
            </w:pPr>
            <w:r>
              <w:rPr>
                <w:w w:val="95"/>
                <w:sz w:val="15"/>
              </w:rPr>
              <w:t>1998</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345,425.9</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162,490.4</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507,916.3</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40"/>
              <w:ind w:left="6"/>
              <w:jc w:val="center"/>
              <w:rPr>
                <w:b/>
                <w:sz w:val="15"/>
              </w:rPr>
            </w:pPr>
            <w:r>
              <w:rPr>
                <w:b/>
                <w:w w:val="95"/>
                <w:sz w:val="15"/>
              </w:rPr>
              <w:t>I</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-265,890.6</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20"/>
              <w:rPr>
                <w:sz w:val="13"/>
              </w:rPr>
            </w:pPr>
            <w:r>
              <w:rPr>
                <w:w w:val="90"/>
                <w:sz w:val="13"/>
              </w:rPr>
              <w:t>255,683.5</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5"/>
                <w:sz w:val="13"/>
              </w:rPr>
              <w:t>-10,207.1</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40"/>
              <w:ind w:left="286" w:right="277"/>
              <w:jc w:val="center"/>
              <w:rPr>
                <w:b/>
                <w:sz w:val="15"/>
              </w:rPr>
            </w:pPr>
            <w:r>
              <w:rPr>
                <w:b/>
                <w:sz w:val="15"/>
              </w:rPr>
              <w:t>III-b</w:t>
            </w:r>
          </w:p>
        </w:tc>
      </w:tr>
      <w:tr>
        <w:trPr>
          <w:trHeight w:val="242" w:hRule="exact"/>
        </w:trPr>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28"/>
              <w:ind w:right="20"/>
              <w:rPr>
                <w:sz w:val="15"/>
              </w:rPr>
            </w:pPr>
            <w:r>
              <w:rPr>
                <w:w w:val="95"/>
                <w:sz w:val="15"/>
              </w:rPr>
              <w:t>2003</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-290,424.7</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1,545,284.1</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1,254,859.4</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40"/>
              <w:ind w:left="287" w:right="285"/>
              <w:jc w:val="center"/>
              <w:rPr>
                <w:b/>
                <w:sz w:val="15"/>
              </w:rPr>
            </w:pPr>
            <w:r>
              <w:rPr>
                <w:b/>
                <w:sz w:val="15"/>
              </w:rPr>
              <w:t>III-a</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347,405.9</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-2,596,526.4</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-2,249,120.5</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40"/>
              <w:ind w:left="286" w:right="276"/>
              <w:jc w:val="center"/>
              <w:rPr>
                <w:b/>
                <w:sz w:val="15"/>
              </w:rPr>
            </w:pPr>
            <w:r>
              <w:rPr>
                <w:b/>
                <w:sz w:val="15"/>
              </w:rPr>
              <w:t>II-b</w:t>
            </w:r>
          </w:p>
        </w:tc>
      </w:tr>
      <w:tr>
        <w:trPr>
          <w:trHeight w:val="254" w:hRule="exact"/>
        </w:trPr>
        <w:tc>
          <w:tcPr>
            <w:tcW w:w="882" w:type="dxa"/>
            <w:tcBorders>
              <w:top w:val="single" w:sz="5" w:space="0" w:color="000000"/>
              <w:left w:val="single" w:sz="4" w:space="0" w:color="000000"/>
              <w:right w:val="single" w:sz="4" w:space="0" w:color="000000"/>
            </w:tcBorders>
          </w:tcPr>
          <w:p>
            <w:pPr>
              <w:pStyle w:val="TableParagraph"/>
              <w:spacing w:before="40"/>
              <w:ind w:right="20"/>
              <w:rPr>
                <w:sz w:val="15"/>
              </w:rPr>
            </w:pPr>
            <w:r>
              <w:rPr>
                <w:w w:val="95"/>
                <w:sz w:val="15"/>
              </w:rPr>
              <w:t>2008</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371,298.9</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3,169,222.1</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3,540,521.0</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40"/>
              <w:ind w:left="6"/>
              <w:jc w:val="center"/>
              <w:rPr>
                <w:b/>
                <w:sz w:val="15"/>
              </w:rPr>
            </w:pPr>
            <w:r>
              <w:rPr>
                <w:b/>
                <w:w w:val="95"/>
                <w:sz w:val="15"/>
              </w:rPr>
              <w:t>I</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-375,222.0</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-2,966,527.8</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59"/>
              <w:ind w:right="19"/>
              <w:rPr>
                <w:sz w:val="13"/>
              </w:rPr>
            </w:pPr>
            <w:r>
              <w:rPr>
                <w:w w:val="90"/>
                <w:sz w:val="13"/>
              </w:rPr>
              <w:t>-3,341,749.9</w:t>
            </w:r>
          </w:p>
        </w:tc>
        <w:tc>
          <w:tcPr>
            <w:tcW w:w="882" w:type="dxa"/>
            <w:tcBorders>
              <w:top w:val="single" w:sz="5" w:space="0" w:color="000000"/>
              <w:left w:val="single" w:sz="4" w:space="0" w:color="000000"/>
              <w:bottom w:val="single" w:sz="5" w:space="0" w:color="000000"/>
              <w:right w:val="single" w:sz="4" w:space="0" w:color="000000"/>
            </w:tcBorders>
          </w:tcPr>
          <w:p>
            <w:pPr>
              <w:pStyle w:val="TableParagraph"/>
              <w:spacing w:before="40"/>
              <w:ind w:left="277" w:right="277"/>
              <w:jc w:val="center"/>
              <w:rPr>
                <w:b/>
                <w:sz w:val="15"/>
              </w:rPr>
            </w:pPr>
            <w:r>
              <w:rPr>
                <w:b/>
                <w:sz w:val="15"/>
              </w:rPr>
              <w:t>IV</w:t>
            </w:r>
          </w:p>
        </w:tc>
      </w:tr>
    </w:tbl>
    <w:p>
      <w:pPr>
        <w:pStyle w:val="BodyText"/>
        <w:spacing w:before="2"/>
        <w:rPr>
          <w:rFonts w:ascii="Arial"/>
          <w:b/>
          <w:sz w:val="17"/>
        </w:rPr>
      </w:pPr>
    </w:p>
    <w:p>
      <w:pPr>
        <w:spacing w:before="86"/>
        <w:ind w:left="843" w:right="118" w:firstLine="0"/>
        <w:jc w:val="left"/>
        <w:rPr>
          <w:rFonts w:ascii="Arial" w:hAnsi="Arial"/>
          <w:sz w:val="13"/>
        </w:rPr>
      </w:pPr>
      <w:r>
        <w:rPr>
          <w:rFonts w:ascii="Arial" w:hAnsi="Arial"/>
          <w:spacing w:val="-3"/>
          <w:w w:val="95"/>
          <w:sz w:val="13"/>
        </w:rPr>
        <w:t>Fuente:</w:t>
      </w:r>
      <w:r>
        <w:rPr>
          <w:rFonts w:ascii="Arial" w:hAnsi="Arial"/>
          <w:spacing w:val="-10"/>
          <w:w w:val="95"/>
          <w:sz w:val="13"/>
        </w:rPr>
        <w:t> </w:t>
      </w:r>
      <w:r>
        <w:rPr>
          <w:rFonts w:ascii="Arial" w:hAnsi="Arial"/>
          <w:spacing w:val="-3"/>
          <w:w w:val="95"/>
          <w:sz w:val="13"/>
        </w:rPr>
        <w:t>Elaboración</w:t>
      </w:r>
      <w:r>
        <w:rPr>
          <w:rFonts w:ascii="Arial" w:hAnsi="Arial"/>
          <w:spacing w:val="-11"/>
          <w:w w:val="95"/>
          <w:sz w:val="13"/>
        </w:rPr>
        <w:t> </w:t>
      </w:r>
      <w:r>
        <w:rPr>
          <w:rFonts w:ascii="Arial" w:hAnsi="Arial"/>
          <w:w w:val="95"/>
          <w:sz w:val="13"/>
        </w:rPr>
        <w:t>propia</w:t>
      </w:r>
      <w:r>
        <w:rPr>
          <w:rFonts w:ascii="Arial" w:hAnsi="Arial"/>
          <w:spacing w:val="-11"/>
          <w:w w:val="95"/>
          <w:sz w:val="13"/>
        </w:rPr>
        <w:t> </w:t>
      </w:r>
      <w:r>
        <w:rPr>
          <w:rFonts w:ascii="Arial" w:hAnsi="Arial"/>
          <w:w w:val="95"/>
          <w:sz w:val="13"/>
        </w:rPr>
        <w:t>con</w:t>
      </w:r>
      <w:r>
        <w:rPr>
          <w:rFonts w:ascii="Arial" w:hAnsi="Arial"/>
          <w:spacing w:val="-11"/>
          <w:w w:val="95"/>
          <w:sz w:val="13"/>
        </w:rPr>
        <w:t> </w:t>
      </w:r>
      <w:r>
        <w:rPr>
          <w:rFonts w:ascii="Arial" w:hAnsi="Arial"/>
          <w:w w:val="95"/>
          <w:sz w:val="13"/>
        </w:rPr>
        <w:t>base</w:t>
      </w:r>
      <w:r>
        <w:rPr>
          <w:rFonts w:ascii="Arial" w:hAnsi="Arial"/>
          <w:spacing w:val="-11"/>
          <w:w w:val="95"/>
          <w:sz w:val="13"/>
        </w:rPr>
        <w:t> </w:t>
      </w:r>
      <w:r>
        <w:rPr>
          <w:rFonts w:ascii="Arial" w:hAnsi="Arial"/>
          <w:w w:val="95"/>
          <w:sz w:val="13"/>
        </w:rPr>
        <w:t>en</w:t>
      </w:r>
      <w:r>
        <w:rPr>
          <w:rFonts w:ascii="Arial" w:hAnsi="Arial"/>
          <w:spacing w:val="-11"/>
          <w:w w:val="95"/>
          <w:sz w:val="13"/>
        </w:rPr>
        <w:t> </w:t>
      </w:r>
      <w:r>
        <w:rPr>
          <w:rFonts w:ascii="Arial" w:hAnsi="Arial"/>
          <w:spacing w:val="-3"/>
          <w:w w:val="95"/>
          <w:sz w:val="13"/>
        </w:rPr>
        <w:t>los</w:t>
      </w:r>
      <w:r>
        <w:rPr>
          <w:rFonts w:ascii="Arial" w:hAnsi="Arial"/>
          <w:spacing w:val="-6"/>
          <w:w w:val="95"/>
          <w:sz w:val="13"/>
        </w:rPr>
        <w:t> </w:t>
      </w:r>
      <w:r>
        <w:rPr>
          <w:rFonts w:ascii="Arial" w:hAnsi="Arial"/>
          <w:w w:val="95"/>
          <w:sz w:val="13"/>
        </w:rPr>
        <w:t>datos</w:t>
      </w:r>
      <w:r>
        <w:rPr>
          <w:rFonts w:ascii="Arial" w:hAnsi="Arial"/>
          <w:spacing w:val="-6"/>
          <w:w w:val="95"/>
          <w:sz w:val="13"/>
        </w:rPr>
        <w:t> </w:t>
      </w:r>
      <w:r>
        <w:rPr>
          <w:rFonts w:ascii="Arial" w:hAnsi="Arial"/>
          <w:w w:val="95"/>
          <w:sz w:val="13"/>
        </w:rPr>
        <w:t>de</w:t>
      </w:r>
      <w:r>
        <w:rPr>
          <w:rFonts w:ascii="Arial" w:hAnsi="Arial"/>
          <w:spacing w:val="-11"/>
          <w:w w:val="95"/>
          <w:sz w:val="13"/>
        </w:rPr>
        <w:t> </w:t>
      </w:r>
      <w:r>
        <w:rPr>
          <w:rFonts w:ascii="Arial" w:hAnsi="Arial"/>
          <w:spacing w:val="-10"/>
          <w:w w:val="95"/>
          <w:sz w:val="13"/>
        </w:rPr>
        <w:t>INEGI.</w:t>
      </w:r>
      <w:r>
        <w:rPr>
          <w:rFonts w:ascii="Arial" w:hAnsi="Arial"/>
          <w:spacing w:val="-7"/>
          <w:w w:val="95"/>
          <w:sz w:val="13"/>
        </w:rPr>
        <w:t> </w:t>
      </w:r>
      <w:r>
        <w:rPr>
          <w:rFonts w:ascii="Arial" w:hAnsi="Arial"/>
          <w:i/>
          <w:w w:val="95"/>
          <w:sz w:val="13"/>
        </w:rPr>
        <w:t>Censos</w:t>
      </w:r>
      <w:r>
        <w:rPr>
          <w:rFonts w:ascii="Arial" w:hAnsi="Arial"/>
          <w:i/>
          <w:spacing w:val="-6"/>
          <w:w w:val="95"/>
          <w:sz w:val="13"/>
        </w:rPr>
        <w:t> </w:t>
      </w:r>
      <w:r>
        <w:rPr>
          <w:rFonts w:ascii="Arial" w:hAnsi="Arial"/>
          <w:i/>
          <w:w w:val="95"/>
          <w:sz w:val="13"/>
        </w:rPr>
        <w:t>industriales</w:t>
      </w:r>
      <w:r>
        <w:rPr>
          <w:rFonts w:ascii="Arial" w:hAnsi="Arial"/>
          <w:i/>
          <w:spacing w:val="-6"/>
          <w:w w:val="95"/>
          <w:sz w:val="13"/>
        </w:rPr>
        <w:t> </w:t>
      </w:r>
      <w:r>
        <w:rPr>
          <w:rFonts w:ascii="Arial" w:hAnsi="Arial"/>
          <w:i/>
          <w:w w:val="95"/>
          <w:sz w:val="13"/>
        </w:rPr>
        <w:t>y</w:t>
      </w:r>
      <w:r>
        <w:rPr>
          <w:rFonts w:ascii="Arial" w:hAnsi="Arial"/>
          <w:i/>
          <w:spacing w:val="-14"/>
          <w:w w:val="95"/>
          <w:sz w:val="13"/>
        </w:rPr>
        <w:t> </w:t>
      </w:r>
      <w:r>
        <w:rPr>
          <w:rFonts w:ascii="Arial" w:hAnsi="Arial"/>
          <w:i/>
          <w:w w:val="95"/>
          <w:sz w:val="13"/>
        </w:rPr>
        <w:t>económicos</w:t>
      </w:r>
      <w:r>
        <w:rPr>
          <w:rFonts w:ascii="Arial" w:hAnsi="Arial"/>
          <w:i/>
          <w:spacing w:val="-12"/>
          <w:w w:val="95"/>
          <w:sz w:val="13"/>
        </w:rPr>
        <w:t> </w:t>
      </w:r>
      <w:r>
        <w:rPr>
          <w:rFonts w:ascii="Arial" w:hAnsi="Arial"/>
          <w:w w:val="95"/>
          <w:sz w:val="13"/>
        </w:rPr>
        <w:t>.</w:t>
      </w:r>
      <w:r>
        <w:rPr>
          <w:rFonts w:ascii="Arial" w:hAnsi="Arial"/>
          <w:spacing w:val="-10"/>
          <w:w w:val="95"/>
          <w:sz w:val="13"/>
        </w:rPr>
        <w:t> </w:t>
      </w:r>
      <w:r>
        <w:rPr>
          <w:rFonts w:ascii="Arial" w:hAnsi="Arial"/>
          <w:w w:val="95"/>
          <w:sz w:val="13"/>
        </w:rPr>
        <w:t>1971,</w:t>
      </w:r>
      <w:r>
        <w:rPr>
          <w:rFonts w:ascii="Arial" w:hAnsi="Arial"/>
          <w:spacing w:val="-10"/>
          <w:w w:val="95"/>
          <w:sz w:val="13"/>
        </w:rPr>
        <w:t> </w:t>
      </w:r>
      <w:r>
        <w:rPr>
          <w:rFonts w:ascii="Arial" w:hAnsi="Arial"/>
          <w:w w:val="95"/>
          <w:sz w:val="13"/>
        </w:rPr>
        <w:t>1976,</w:t>
      </w:r>
      <w:r>
        <w:rPr>
          <w:rFonts w:ascii="Arial" w:hAnsi="Arial"/>
          <w:spacing w:val="-10"/>
          <w:w w:val="95"/>
          <w:sz w:val="13"/>
        </w:rPr>
        <w:t> </w:t>
      </w:r>
      <w:r>
        <w:rPr>
          <w:rFonts w:ascii="Arial" w:hAnsi="Arial"/>
          <w:w w:val="95"/>
          <w:sz w:val="13"/>
        </w:rPr>
        <w:t>1981,</w:t>
      </w:r>
      <w:r>
        <w:rPr>
          <w:rFonts w:ascii="Arial" w:hAnsi="Arial"/>
          <w:spacing w:val="-10"/>
          <w:w w:val="95"/>
          <w:sz w:val="13"/>
        </w:rPr>
        <w:t> </w:t>
      </w:r>
      <w:r>
        <w:rPr>
          <w:rFonts w:ascii="Arial" w:hAnsi="Arial"/>
          <w:w w:val="95"/>
          <w:sz w:val="13"/>
        </w:rPr>
        <w:t>1986,</w:t>
      </w:r>
      <w:r>
        <w:rPr>
          <w:rFonts w:ascii="Arial" w:hAnsi="Arial"/>
          <w:spacing w:val="-10"/>
          <w:w w:val="95"/>
          <w:sz w:val="13"/>
        </w:rPr>
        <w:t> </w:t>
      </w:r>
      <w:r>
        <w:rPr>
          <w:rFonts w:ascii="Arial" w:hAnsi="Arial"/>
          <w:w w:val="95"/>
          <w:sz w:val="13"/>
        </w:rPr>
        <w:t>1989,</w:t>
      </w:r>
      <w:r>
        <w:rPr>
          <w:rFonts w:ascii="Arial" w:hAnsi="Arial"/>
          <w:spacing w:val="-10"/>
          <w:w w:val="95"/>
          <w:sz w:val="13"/>
        </w:rPr>
        <w:t> </w:t>
      </w:r>
      <w:r>
        <w:rPr>
          <w:rFonts w:ascii="Arial" w:hAnsi="Arial"/>
          <w:w w:val="95"/>
          <w:sz w:val="13"/>
        </w:rPr>
        <w:t>1994,</w:t>
      </w:r>
      <w:r>
        <w:rPr>
          <w:rFonts w:ascii="Arial" w:hAnsi="Arial"/>
          <w:spacing w:val="-10"/>
          <w:w w:val="95"/>
          <w:sz w:val="13"/>
        </w:rPr>
        <w:t> </w:t>
      </w:r>
      <w:r>
        <w:rPr>
          <w:rFonts w:ascii="Arial" w:hAnsi="Arial"/>
          <w:w w:val="95"/>
          <w:sz w:val="13"/>
        </w:rPr>
        <w:t>1999,</w:t>
      </w:r>
      <w:r>
        <w:rPr>
          <w:rFonts w:ascii="Arial" w:hAnsi="Arial"/>
          <w:spacing w:val="-10"/>
          <w:w w:val="95"/>
          <w:sz w:val="13"/>
        </w:rPr>
        <w:t> </w:t>
      </w:r>
      <w:r>
        <w:rPr>
          <w:rFonts w:ascii="Arial" w:hAnsi="Arial"/>
          <w:w w:val="95"/>
          <w:sz w:val="13"/>
        </w:rPr>
        <w:t>2004</w:t>
      </w:r>
      <w:r>
        <w:rPr>
          <w:rFonts w:ascii="Arial" w:hAnsi="Arial"/>
          <w:spacing w:val="-11"/>
          <w:w w:val="95"/>
          <w:sz w:val="13"/>
        </w:rPr>
        <w:t> </w:t>
      </w:r>
      <w:r>
        <w:rPr>
          <w:rFonts w:ascii="Arial" w:hAnsi="Arial"/>
          <w:w w:val="95"/>
          <w:sz w:val="13"/>
        </w:rPr>
        <w:t>y</w:t>
      </w:r>
      <w:r>
        <w:rPr>
          <w:rFonts w:ascii="Arial" w:hAnsi="Arial"/>
          <w:spacing w:val="-6"/>
          <w:w w:val="95"/>
          <w:sz w:val="13"/>
        </w:rPr>
        <w:t> </w:t>
      </w:r>
      <w:r>
        <w:rPr>
          <w:rFonts w:ascii="Arial" w:hAnsi="Arial"/>
          <w:w w:val="95"/>
          <w:sz w:val="13"/>
        </w:rPr>
        <w:t>2009.</w:t>
      </w:r>
    </w:p>
    <w:p>
      <w:pPr>
        <w:pStyle w:val="BodyText"/>
        <w:rPr>
          <w:rFonts w:ascii="Arial"/>
          <w:sz w:val="20"/>
        </w:rPr>
      </w:pPr>
    </w:p>
    <w:p>
      <w:pPr>
        <w:pStyle w:val="BodyText"/>
        <w:spacing w:before="5"/>
        <w:rPr>
          <w:rFonts w:ascii="Arial"/>
          <w:sz w:val="25"/>
        </w:rPr>
      </w:pPr>
    </w:p>
    <w:p>
      <w:pPr>
        <w:pStyle w:val="BodyText"/>
        <w:spacing w:line="360" w:lineRule="auto" w:before="70"/>
        <w:ind w:left="102" w:right="141" w:firstLine="707"/>
        <w:jc w:val="both"/>
      </w:pPr>
      <w:r>
        <w:rPr/>
        <w:t>Particularizando, tenemos que (a excepción de 2003), el efecto estructural positivo (π) en la región Toluca- Lerma indica que había especialización en actividades de crecimiento acelerado. Esto es, los índices de especialización más altos se dan en la industria de elaboración de bebidas (3.5), lo que indica que el total de la producción de la economía recaía en ese sector que se caracteriza por ser de grandes empresas privadas nacionales.</w:t>
      </w:r>
    </w:p>
    <w:p>
      <w:pPr>
        <w:pStyle w:val="BodyText"/>
        <w:spacing w:line="360" w:lineRule="auto" w:before="6"/>
        <w:ind w:left="102" w:right="138" w:firstLine="707"/>
        <w:jc w:val="both"/>
      </w:pPr>
      <w:r>
        <w:rPr/>
        <w:t>En la región Valle de México también el subsector más dinámico fue el 31, porque en todos los años (a excepción de 1988) fue el que más creció en la región para ambas variables. El subsector 39, presentó la evolución más negativa en los años 1975, 1980 y 1988.</w:t>
      </w:r>
    </w:p>
    <w:p>
      <w:pPr>
        <w:pStyle w:val="BodyText"/>
        <w:spacing w:line="360" w:lineRule="auto" w:before="6"/>
        <w:ind w:left="102" w:right="136" w:firstLine="707"/>
        <w:jc w:val="both"/>
      </w:pPr>
      <w:r>
        <w:rPr/>
        <w:t>Tenemos entonces, que la estructura y evolución por subsector en cada una de las regiones difiere, siendo el subsector 31 Productos alimenticios, bebidas y tabaco el que sostiene el crecimiento de ambas regiones y le inyecta el dinamismo.</w:t>
      </w:r>
    </w:p>
    <w:p>
      <w:pPr>
        <w:pStyle w:val="BodyText"/>
        <w:spacing w:line="360" w:lineRule="auto" w:before="4"/>
        <w:ind w:left="102" w:right="137" w:firstLine="707"/>
        <w:jc w:val="both"/>
      </w:pPr>
      <w:r>
        <w:rPr/>
        <w:t>La producción de la región Toluca-Lerma (a excepción de 1980) tuvo subsectores con ritmo de crecimiento superiores a las estatales. Este efecto diferencial positivo en la mayoría de los años muestra la existencia de economías de aglomeración presentes en la región Toluca-Lerma y también polos de crecimiento (ya expuestas en el Capítulo 1) lo que indica un mayor acceso a los mercados.</w:t>
      </w:r>
    </w:p>
    <w:p>
      <w:pPr>
        <w:spacing w:after="0" w:line="360" w:lineRule="auto"/>
        <w:jc w:val="both"/>
        <w:sectPr>
          <w:pgSz w:w="12240" w:h="15840"/>
          <w:pgMar w:header="0" w:footer="1003" w:top="1400" w:bottom="1200" w:left="1600" w:right="1560"/>
        </w:sectPr>
      </w:pPr>
    </w:p>
    <w:p>
      <w:pPr>
        <w:pStyle w:val="BodyText"/>
        <w:spacing w:line="355" w:lineRule="auto" w:before="50"/>
        <w:ind w:left="122" w:right="120" w:firstLine="707"/>
        <w:jc w:val="both"/>
      </w:pPr>
      <w:r>
        <w:rPr/>
        <w:t>En este sentido, en la región Toluca-Lerma se muestra que la producción regional  en la industria manufacturera, creció más que la estatal. Dados los signos del efecto estructural en el periodo de estudio, podría decirse que la región se especializó en sectores atrasados</w:t>
      </w:r>
      <w:r>
        <w:rPr>
          <w:position w:val="11"/>
          <w:sz w:val="16"/>
        </w:rPr>
        <w:t>75 </w:t>
      </w:r>
      <w:r>
        <w:rPr/>
        <w:t>en 1988 y 2003. </w:t>
      </w:r>
      <w:r>
        <w:rPr>
          <w:spacing w:val="-3"/>
        </w:rPr>
        <w:t>Lo </w:t>
      </w:r>
      <w:r>
        <w:rPr/>
        <w:t>anterior indica que a la fecha la región ha sabido sortear las dificultades tanto internas como externas. El efecto total positivo en la mayoría de los años de estudio indica el mayor dinamismo de esta</w:t>
      </w:r>
      <w:r>
        <w:rPr>
          <w:spacing w:val="-10"/>
        </w:rPr>
        <w:t> </w:t>
      </w:r>
      <w:r>
        <w:rPr/>
        <w:t>región.</w:t>
      </w:r>
    </w:p>
    <w:p>
      <w:pPr>
        <w:pStyle w:val="BodyText"/>
        <w:spacing w:line="360" w:lineRule="auto" w:before="9"/>
        <w:ind w:left="122" w:right="117" w:firstLine="707"/>
        <w:jc w:val="both"/>
      </w:pPr>
      <w:r>
        <w:rPr/>
        <w:t>Por su parte, en la región Valle de México sobresalen los años de 1975 y 1988 con efectos totales positivos, así como en el efecto diferencial y efecto estructural también positivos, con un buen ritmo de crecimiento, el cual le imprimió un gran dinamismo económico a la región estos años. Pero en general se tiene que la producción manufacturera medida en valor agregado de 1970 a 2008 fue más desfavorable en la Región Valle de México. La estructura de la producción regional es menos dinámica que el crecimiento de  la estructura estatal, es decir, que en estos años el Estado de México y la región Toluca- Lerma han sido más dinámicos que la región Valle de</w:t>
      </w:r>
      <w:r>
        <w:rPr>
          <w:spacing w:val="-12"/>
        </w:rPr>
        <w:t> </w:t>
      </w:r>
      <w:r>
        <w:rPr/>
        <w:t>México.</w:t>
      </w:r>
    </w:p>
    <w:p>
      <w:pPr>
        <w:pStyle w:val="BodyText"/>
      </w:pPr>
    </w:p>
    <w:p>
      <w:pPr>
        <w:pStyle w:val="Heading2"/>
        <w:numPr>
          <w:ilvl w:val="2"/>
          <w:numId w:val="18"/>
        </w:numPr>
        <w:tabs>
          <w:tab w:pos="663" w:val="left" w:leader="none"/>
        </w:tabs>
        <w:spacing w:line="240" w:lineRule="auto" w:before="148" w:after="0"/>
        <w:ind w:left="662" w:right="0" w:hanging="540"/>
        <w:jc w:val="both"/>
      </w:pPr>
      <w:r>
        <w:rPr/>
        <w:t>Tipología de las</w:t>
      </w:r>
      <w:r>
        <w:rPr>
          <w:spacing w:val="-7"/>
        </w:rPr>
        <w:t> </w:t>
      </w:r>
      <w:r>
        <w:rPr/>
        <w:t>regiones</w:t>
      </w:r>
    </w:p>
    <w:p>
      <w:pPr>
        <w:pStyle w:val="BodyText"/>
        <w:spacing w:line="360" w:lineRule="auto" w:before="132"/>
        <w:ind w:left="122" w:right="122"/>
        <w:jc w:val="both"/>
      </w:pPr>
      <w:r>
        <w:rPr/>
        <w:t>Para la definición de las políticas regionales es de utilidad clasificar a las regiones de acuerdo con su dinamismo económico. Se caracteriza el territorio con base en los efectos estructural y diferencial; y pueden clasificarse seis situaciones diferentes, dependiendo de los signos y magnitudes de estos efectos.</w:t>
      </w:r>
    </w:p>
    <w:p>
      <w:pPr>
        <w:pStyle w:val="BodyText"/>
        <w:spacing w:line="360" w:lineRule="auto" w:before="4"/>
        <w:ind w:left="122" w:right="128" w:firstLine="707"/>
        <w:jc w:val="both"/>
      </w:pPr>
      <w:r>
        <w:rPr/>
        <w:t>Teniendo en cuenta lo anterior, se realizó una tipología de regiones a partir de los resultados del método diferencial-estructural. La clasificación se presenta en la Tabla 3.1.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3016;mso-wrap-distance-left:0;mso-wrap-distance-right:0" from="85.103996pt,17.458458pt" to="229.123996pt,17.458458pt" stroked="true" strokeweight=".72003pt" strokecolor="#000000">
            <w10:wrap type="topAndBottom"/>
          </v:line>
        </w:pict>
      </w:r>
    </w:p>
    <w:p>
      <w:pPr>
        <w:spacing w:before="42"/>
        <w:ind w:left="122" w:right="118" w:firstLine="0"/>
        <w:jc w:val="left"/>
        <w:rPr>
          <w:sz w:val="20"/>
        </w:rPr>
      </w:pPr>
      <w:r>
        <w:rPr>
          <w:position w:val="9"/>
          <w:sz w:val="13"/>
        </w:rPr>
        <w:t>75 </w:t>
      </w:r>
      <w:r>
        <w:rPr>
          <w:sz w:val="20"/>
        </w:rPr>
        <w:t>La contracción del mercado, hace que disminuya la producción y con ello disminuye la contratación de personal en los subsectores deprimidos, y no aumenta a su vez la producción, generando así círculos viciosos.</w:t>
      </w:r>
    </w:p>
    <w:p>
      <w:pPr>
        <w:spacing w:after="0"/>
        <w:jc w:val="left"/>
        <w:rPr>
          <w:sz w:val="20"/>
        </w:rPr>
        <w:sectPr>
          <w:footerReference w:type="default" r:id="rId37"/>
          <w:pgSz w:w="12240" w:h="15840"/>
          <w:pgMar w:footer="1003" w:header="0" w:top="1360" w:bottom="1200" w:left="1580" w:right="1580"/>
          <w:pgNumType w:start="110"/>
        </w:sectPr>
      </w:pPr>
    </w:p>
    <w:p>
      <w:pPr>
        <w:spacing w:line="273" w:lineRule="auto" w:before="62"/>
        <w:ind w:left="1789" w:right="5528" w:firstLine="0"/>
        <w:jc w:val="left"/>
        <w:rPr>
          <w:rFonts w:ascii="Arial" w:hAnsi="Arial"/>
          <w:b/>
          <w:sz w:val="20"/>
        </w:rPr>
      </w:pPr>
      <w:r>
        <w:rPr>
          <w:rFonts w:ascii="Arial" w:hAnsi="Arial"/>
          <w:b/>
          <w:sz w:val="20"/>
        </w:rPr>
        <w:t>Tabla 3.1 Tipología regional</w:t>
      </w:r>
    </w:p>
    <w:p>
      <w:pPr>
        <w:pStyle w:val="BodyText"/>
        <w:spacing w:before="7"/>
        <w:rPr>
          <w:rFonts w:ascii="Arial"/>
          <w:b/>
          <w:sz w:val="19"/>
        </w:rPr>
      </w:pPr>
    </w:p>
    <w:tbl>
      <w:tblPr>
        <w:tblW w:w="0" w:type="auto"/>
        <w:jc w:val="left"/>
        <w:tblInd w:w="1739" w:type="dxa"/>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CellMar>
          <w:top w:w="0" w:type="dxa"/>
          <w:left w:w="0" w:type="dxa"/>
          <w:bottom w:w="0" w:type="dxa"/>
          <w:right w:w="0" w:type="dxa"/>
        </w:tblCellMar>
        <w:tblLook w:val="01E0"/>
      </w:tblPr>
      <w:tblGrid>
        <w:gridCol w:w="252"/>
        <w:gridCol w:w="2350"/>
        <w:gridCol w:w="299"/>
        <w:gridCol w:w="2348"/>
        <w:gridCol w:w="1001"/>
      </w:tblGrid>
      <w:tr>
        <w:trPr>
          <w:trHeight w:val="319" w:hRule="exact"/>
        </w:trPr>
        <w:tc>
          <w:tcPr>
            <w:tcW w:w="5249" w:type="dxa"/>
            <w:gridSpan w:val="4"/>
            <w:tcBorders>
              <w:left w:val="single" w:sz="5" w:space="0" w:color="000000"/>
              <w:bottom w:val="single" w:sz="5" w:space="0" w:color="000000"/>
            </w:tcBorders>
            <w:shd w:val="clear" w:color="auto" w:fill="DDD9C4"/>
          </w:tcPr>
          <w:p>
            <w:pPr>
              <w:pStyle w:val="TableParagraph"/>
              <w:spacing w:before="81"/>
              <w:ind w:left="1739"/>
              <w:jc w:val="left"/>
              <w:rPr>
                <w:b/>
                <w:sz w:val="18"/>
              </w:rPr>
            </w:pPr>
            <w:r>
              <w:rPr>
                <w:b/>
                <w:w w:val="105"/>
                <w:sz w:val="18"/>
              </w:rPr>
              <w:t>Efecto total positivo</w:t>
            </w:r>
          </w:p>
        </w:tc>
        <w:tc>
          <w:tcPr>
            <w:tcW w:w="1001" w:type="dxa"/>
            <w:tcBorders>
              <w:bottom w:val="single" w:sz="5" w:space="0" w:color="000000"/>
            </w:tcBorders>
            <w:shd w:val="clear" w:color="auto" w:fill="DDD9C4"/>
          </w:tcPr>
          <w:p>
            <w:pPr>
              <w:pStyle w:val="TableParagraph"/>
              <w:spacing w:before="81"/>
              <w:ind w:right="158"/>
              <w:rPr>
                <w:b/>
                <w:sz w:val="18"/>
              </w:rPr>
            </w:pPr>
            <w:r>
              <w:rPr>
                <w:b/>
                <w:sz w:val="18"/>
              </w:rPr>
              <w:t>Región</w:t>
            </w:r>
          </w:p>
        </w:tc>
      </w:tr>
      <w:tr>
        <w:trPr>
          <w:trHeight w:val="373" w:hRule="exact"/>
        </w:trPr>
        <w:tc>
          <w:tcPr>
            <w:tcW w:w="252" w:type="dxa"/>
            <w:tcBorders>
              <w:top w:val="single" w:sz="5" w:space="0" w:color="000000"/>
              <w:left w:val="single" w:sz="5" w:space="0" w:color="000000"/>
              <w:bottom w:val="nil"/>
              <w:right w:val="nil"/>
            </w:tcBorders>
          </w:tcPr>
          <w:p>
            <w:pPr>
              <w:pStyle w:val="TableParagraph"/>
              <w:spacing w:before="93"/>
              <w:ind w:left="24"/>
              <w:jc w:val="left"/>
              <w:rPr>
                <w:sz w:val="18"/>
              </w:rPr>
            </w:pPr>
            <w:r>
              <w:rPr>
                <w:w w:val="104"/>
                <w:sz w:val="18"/>
              </w:rPr>
              <w:t>1</w:t>
            </w:r>
          </w:p>
        </w:tc>
        <w:tc>
          <w:tcPr>
            <w:tcW w:w="2350" w:type="dxa"/>
            <w:tcBorders>
              <w:top w:val="single" w:sz="5" w:space="0" w:color="000000"/>
              <w:left w:val="nil"/>
              <w:bottom w:val="nil"/>
              <w:right w:val="nil"/>
            </w:tcBorders>
          </w:tcPr>
          <w:p>
            <w:pPr>
              <w:pStyle w:val="TableParagraph"/>
              <w:spacing w:before="93"/>
              <w:ind w:left="51" w:right="100"/>
              <w:jc w:val="center"/>
              <w:rPr>
                <w:sz w:val="18"/>
              </w:rPr>
            </w:pPr>
            <w:r>
              <w:rPr>
                <w:w w:val="105"/>
                <w:sz w:val="18"/>
              </w:rPr>
              <w:t>Efecto diferencial positivo</w:t>
            </w:r>
          </w:p>
        </w:tc>
        <w:tc>
          <w:tcPr>
            <w:tcW w:w="299" w:type="dxa"/>
            <w:tcBorders>
              <w:top w:val="single" w:sz="5" w:space="0" w:color="000000"/>
              <w:left w:val="nil"/>
              <w:bottom w:val="nil"/>
              <w:right w:val="nil"/>
            </w:tcBorders>
          </w:tcPr>
          <w:p>
            <w:pPr>
              <w:pStyle w:val="TableParagraph"/>
              <w:spacing w:before="93"/>
              <w:ind w:right="80"/>
              <w:rPr>
                <w:sz w:val="18"/>
              </w:rPr>
            </w:pPr>
            <w:r>
              <w:rPr>
                <w:w w:val="104"/>
                <w:sz w:val="18"/>
              </w:rPr>
              <w:t>+</w:t>
            </w:r>
          </w:p>
        </w:tc>
        <w:tc>
          <w:tcPr>
            <w:tcW w:w="2348" w:type="dxa"/>
            <w:tcBorders>
              <w:top w:val="single" w:sz="5" w:space="0" w:color="000000"/>
              <w:left w:val="nil"/>
              <w:bottom w:val="nil"/>
            </w:tcBorders>
          </w:tcPr>
          <w:p>
            <w:pPr>
              <w:pStyle w:val="TableParagraph"/>
              <w:spacing w:before="93"/>
              <w:ind w:left="27" w:right="92"/>
              <w:jc w:val="center"/>
              <w:rPr>
                <w:sz w:val="18"/>
              </w:rPr>
            </w:pPr>
            <w:r>
              <w:rPr>
                <w:w w:val="105"/>
                <w:sz w:val="18"/>
              </w:rPr>
              <w:t>Efecto estructural positivo</w:t>
            </w:r>
          </w:p>
        </w:tc>
        <w:tc>
          <w:tcPr>
            <w:tcW w:w="1001" w:type="dxa"/>
            <w:tcBorders>
              <w:top w:val="single" w:sz="5" w:space="0" w:color="000000"/>
              <w:bottom w:val="nil"/>
            </w:tcBorders>
          </w:tcPr>
          <w:p>
            <w:pPr>
              <w:pStyle w:val="TableParagraph"/>
              <w:spacing w:before="93"/>
              <w:ind w:left="24"/>
              <w:jc w:val="left"/>
              <w:rPr>
                <w:sz w:val="18"/>
              </w:rPr>
            </w:pPr>
            <w:r>
              <w:rPr>
                <w:w w:val="105"/>
                <w:sz w:val="18"/>
              </w:rPr>
              <w:t>Tipo I</w:t>
            </w:r>
          </w:p>
        </w:tc>
      </w:tr>
      <w:tr>
        <w:trPr>
          <w:trHeight w:val="319" w:hRule="exact"/>
        </w:trPr>
        <w:tc>
          <w:tcPr>
            <w:tcW w:w="252" w:type="dxa"/>
            <w:tcBorders>
              <w:top w:val="nil"/>
              <w:left w:val="single" w:sz="5" w:space="0" w:color="000000"/>
              <w:bottom w:val="nil"/>
              <w:right w:val="nil"/>
            </w:tcBorders>
          </w:tcPr>
          <w:p>
            <w:pPr>
              <w:pStyle w:val="TableParagraph"/>
              <w:spacing w:before="51"/>
              <w:ind w:left="24"/>
              <w:jc w:val="left"/>
              <w:rPr>
                <w:sz w:val="18"/>
              </w:rPr>
            </w:pPr>
            <w:r>
              <w:rPr>
                <w:w w:val="104"/>
                <w:sz w:val="18"/>
              </w:rPr>
              <w:t>2</w:t>
            </w:r>
          </w:p>
        </w:tc>
        <w:tc>
          <w:tcPr>
            <w:tcW w:w="2350" w:type="dxa"/>
            <w:tcBorders>
              <w:top w:val="nil"/>
              <w:left w:val="nil"/>
              <w:bottom w:val="nil"/>
              <w:right w:val="nil"/>
            </w:tcBorders>
          </w:tcPr>
          <w:p>
            <w:pPr>
              <w:pStyle w:val="TableParagraph"/>
              <w:spacing w:before="51"/>
              <w:ind w:left="51" w:right="100"/>
              <w:jc w:val="center"/>
              <w:rPr>
                <w:sz w:val="18"/>
              </w:rPr>
            </w:pPr>
            <w:r>
              <w:rPr>
                <w:w w:val="105"/>
                <w:sz w:val="18"/>
              </w:rPr>
              <w:t>Efecto diferencial positivo</w:t>
            </w:r>
          </w:p>
        </w:tc>
        <w:tc>
          <w:tcPr>
            <w:tcW w:w="299" w:type="dxa"/>
            <w:tcBorders>
              <w:top w:val="nil"/>
              <w:left w:val="nil"/>
              <w:bottom w:val="nil"/>
              <w:right w:val="nil"/>
            </w:tcBorders>
          </w:tcPr>
          <w:p>
            <w:pPr>
              <w:pStyle w:val="TableParagraph"/>
              <w:spacing w:before="51"/>
              <w:ind w:right="80"/>
              <w:rPr>
                <w:sz w:val="18"/>
              </w:rPr>
            </w:pPr>
            <w:r>
              <w:rPr>
                <w:w w:val="104"/>
                <w:sz w:val="18"/>
              </w:rPr>
              <w:t>+</w:t>
            </w:r>
          </w:p>
        </w:tc>
        <w:tc>
          <w:tcPr>
            <w:tcW w:w="2348" w:type="dxa"/>
            <w:tcBorders>
              <w:top w:val="nil"/>
              <w:left w:val="nil"/>
              <w:bottom w:val="nil"/>
            </w:tcBorders>
          </w:tcPr>
          <w:p>
            <w:pPr>
              <w:pStyle w:val="TableParagraph"/>
              <w:spacing w:before="51"/>
              <w:ind w:left="27" w:right="30"/>
              <w:jc w:val="center"/>
              <w:rPr>
                <w:sz w:val="18"/>
              </w:rPr>
            </w:pPr>
            <w:r>
              <w:rPr>
                <w:w w:val="105"/>
                <w:sz w:val="18"/>
              </w:rPr>
              <w:t>Efecto estructural negativo</w:t>
            </w:r>
          </w:p>
        </w:tc>
        <w:tc>
          <w:tcPr>
            <w:tcW w:w="1001" w:type="dxa"/>
            <w:tcBorders>
              <w:top w:val="nil"/>
              <w:bottom w:val="nil"/>
            </w:tcBorders>
          </w:tcPr>
          <w:p>
            <w:pPr>
              <w:pStyle w:val="TableParagraph"/>
              <w:spacing w:before="51"/>
              <w:ind w:left="24"/>
              <w:jc w:val="left"/>
              <w:rPr>
                <w:sz w:val="18"/>
              </w:rPr>
            </w:pPr>
            <w:r>
              <w:rPr>
                <w:w w:val="105"/>
                <w:sz w:val="18"/>
              </w:rPr>
              <w:t>Tipo III-a</w:t>
            </w:r>
          </w:p>
        </w:tc>
      </w:tr>
      <w:tr>
        <w:trPr>
          <w:trHeight w:val="283" w:hRule="exact"/>
        </w:trPr>
        <w:tc>
          <w:tcPr>
            <w:tcW w:w="252" w:type="dxa"/>
            <w:tcBorders>
              <w:top w:val="nil"/>
              <w:left w:val="single" w:sz="5" w:space="0" w:color="000000"/>
              <w:bottom w:val="single" w:sz="5" w:space="0" w:color="000000"/>
              <w:right w:val="nil"/>
            </w:tcBorders>
          </w:tcPr>
          <w:p>
            <w:pPr>
              <w:pStyle w:val="TableParagraph"/>
              <w:spacing w:before="45"/>
              <w:ind w:left="24"/>
              <w:jc w:val="left"/>
              <w:rPr>
                <w:sz w:val="18"/>
              </w:rPr>
            </w:pPr>
            <w:r>
              <w:rPr>
                <w:w w:val="104"/>
                <w:sz w:val="18"/>
              </w:rPr>
              <w:t>3</w:t>
            </w:r>
          </w:p>
        </w:tc>
        <w:tc>
          <w:tcPr>
            <w:tcW w:w="2350" w:type="dxa"/>
            <w:tcBorders>
              <w:top w:val="nil"/>
              <w:left w:val="nil"/>
              <w:bottom w:val="single" w:sz="5" w:space="0" w:color="000000"/>
              <w:right w:val="nil"/>
            </w:tcBorders>
          </w:tcPr>
          <w:p>
            <w:pPr>
              <w:pStyle w:val="TableParagraph"/>
              <w:spacing w:before="45"/>
              <w:ind w:left="51" w:right="41"/>
              <w:jc w:val="center"/>
              <w:rPr>
                <w:sz w:val="18"/>
              </w:rPr>
            </w:pPr>
            <w:r>
              <w:rPr>
                <w:w w:val="105"/>
                <w:sz w:val="18"/>
              </w:rPr>
              <w:t>Efecto diferencial negativo</w:t>
            </w:r>
          </w:p>
        </w:tc>
        <w:tc>
          <w:tcPr>
            <w:tcW w:w="299" w:type="dxa"/>
            <w:tcBorders>
              <w:top w:val="nil"/>
              <w:left w:val="nil"/>
              <w:bottom w:val="single" w:sz="5" w:space="0" w:color="000000"/>
              <w:right w:val="nil"/>
            </w:tcBorders>
          </w:tcPr>
          <w:p>
            <w:pPr>
              <w:pStyle w:val="TableParagraph"/>
              <w:spacing w:before="45"/>
              <w:ind w:right="80"/>
              <w:rPr>
                <w:sz w:val="18"/>
              </w:rPr>
            </w:pPr>
            <w:r>
              <w:rPr>
                <w:w w:val="104"/>
                <w:sz w:val="18"/>
              </w:rPr>
              <w:t>+</w:t>
            </w:r>
          </w:p>
        </w:tc>
        <w:tc>
          <w:tcPr>
            <w:tcW w:w="2348" w:type="dxa"/>
            <w:tcBorders>
              <w:top w:val="nil"/>
              <w:left w:val="nil"/>
              <w:bottom w:val="single" w:sz="5" w:space="0" w:color="000000"/>
            </w:tcBorders>
          </w:tcPr>
          <w:p>
            <w:pPr>
              <w:pStyle w:val="TableParagraph"/>
              <w:spacing w:before="45"/>
              <w:ind w:left="27" w:right="92"/>
              <w:jc w:val="center"/>
              <w:rPr>
                <w:sz w:val="18"/>
              </w:rPr>
            </w:pPr>
            <w:r>
              <w:rPr>
                <w:w w:val="105"/>
                <w:sz w:val="18"/>
              </w:rPr>
              <w:t>Efecto estructural positivo</w:t>
            </w:r>
          </w:p>
        </w:tc>
        <w:tc>
          <w:tcPr>
            <w:tcW w:w="1001" w:type="dxa"/>
            <w:tcBorders>
              <w:top w:val="nil"/>
            </w:tcBorders>
          </w:tcPr>
          <w:p>
            <w:pPr>
              <w:pStyle w:val="TableParagraph"/>
              <w:spacing w:before="45"/>
              <w:ind w:left="24"/>
              <w:jc w:val="left"/>
              <w:rPr>
                <w:sz w:val="18"/>
              </w:rPr>
            </w:pPr>
            <w:r>
              <w:rPr>
                <w:w w:val="105"/>
                <w:sz w:val="18"/>
              </w:rPr>
              <w:t>Tipo II-a</w:t>
            </w:r>
          </w:p>
        </w:tc>
      </w:tr>
      <w:tr>
        <w:trPr>
          <w:trHeight w:val="325" w:hRule="exact"/>
        </w:trPr>
        <w:tc>
          <w:tcPr>
            <w:tcW w:w="5249" w:type="dxa"/>
            <w:gridSpan w:val="4"/>
            <w:tcBorders>
              <w:top w:val="single" w:sz="5" w:space="0" w:color="000000"/>
              <w:left w:val="single" w:sz="5" w:space="0" w:color="000000"/>
              <w:bottom w:val="single" w:sz="5" w:space="0" w:color="000000"/>
            </w:tcBorders>
            <w:shd w:val="clear" w:color="auto" w:fill="DDD9C4"/>
          </w:tcPr>
          <w:p>
            <w:pPr>
              <w:pStyle w:val="TableParagraph"/>
              <w:spacing w:before="93"/>
              <w:ind w:left="1701"/>
              <w:jc w:val="left"/>
              <w:rPr>
                <w:b/>
                <w:sz w:val="18"/>
              </w:rPr>
            </w:pPr>
            <w:r>
              <w:rPr>
                <w:b/>
                <w:w w:val="105"/>
                <w:sz w:val="18"/>
              </w:rPr>
              <w:t>Efecto total negativo</w:t>
            </w:r>
          </w:p>
        </w:tc>
        <w:tc>
          <w:tcPr>
            <w:tcW w:w="1001" w:type="dxa"/>
            <w:tcBorders>
              <w:bottom w:val="single" w:sz="5" w:space="0" w:color="000000"/>
            </w:tcBorders>
            <w:shd w:val="clear" w:color="auto" w:fill="DDD9C4"/>
          </w:tcPr>
          <w:p>
            <w:pPr>
              <w:pStyle w:val="TableParagraph"/>
              <w:spacing w:before="87"/>
              <w:ind w:right="158"/>
              <w:rPr>
                <w:b/>
                <w:sz w:val="18"/>
              </w:rPr>
            </w:pPr>
            <w:r>
              <w:rPr>
                <w:b/>
                <w:sz w:val="18"/>
              </w:rPr>
              <w:t>Región</w:t>
            </w:r>
          </w:p>
        </w:tc>
      </w:tr>
      <w:tr>
        <w:trPr>
          <w:trHeight w:val="373" w:hRule="exact"/>
        </w:trPr>
        <w:tc>
          <w:tcPr>
            <w:tcW w:w="252" w:type="dxa"/>
            <w:tcBorders>
              <w:top w:val="single" w:sz="5" w:space="0" w:color="000000"/>
              <w:left w:val="single" w:sz="5" w:space="0" w:color="000000"/>
              <w:bottom w:val="nil"/>
              <w:right w:val="nil"/>
            </w:tcBorders>
          </w:tcPr>
          <w:p>
            <w:pPr>
              <w:pStyle w:val="TableParagraph"/>
              <w:spacing w:before="93"/>
              <w:ind w:left="24"/>
              <w:jc w:val="left"/>
              <w:rPr>
                <w:sz w:val="18"/>
              </w:rPr>
            </w:pPr>
            <w:r>
              <w:rPr>
                <w:w w:val="104"/>
                <w:sz w:val="18"/>
              </w:rPr>
              <w:t>1</w:t>
            </w:r>
          </w:p>
        </w:tc>
        <w:tc>
          <w:tcPr>
            <w:tcW w:w="2350" w:type="dxa"/>
            <w:tcBorders>
              <w:top w:val="single" w:sz="5" w:space="0" w:color="000000"/>
              <w:left w:val="nil"/>
              <w:bottom w:val="nil"/>
              <w:right w:val="nil"/>
            </w:tcBorders>
          </w:tcPr>
          <w:p>
            <w:pPr>
              <w:pStyle w:val="TableParagraph"/>
              <w:spacing w:before="93"/>
              <w:ind w:left="51" w:right="41"/>
              <w:jc w:val="center"/>
              <w:rPr>
                <w:sz w:val="18"/>
              </w:rPr>
            </w:pPr>
            <w:r>
              <w:rPr>
                <w:w w:val="105"/>
                <w:sz w:val="18"/>
              </w:rPr>
              <w:t>Efecto diferencial negativo</w:t>
            </w:r>
          </w:p>
        </w:tc>
        <w:tc>
          <w:tcPr>
            <w:tcW w:w="299" w:type="dxa"/>
            <w:tcBorders>
              <w:top w:val="single" w:sz="5" w:space="0" w:color="000000"/>
              <w:left w:val="nil"/>
              <w:bottom w:val="nil"/>
              <w:right w:val="nil"/>
            </w:tcBorders>
          </w:tcPr>
          <w:p>
            <w:pPr>
              <w:pStyle w:val="TableParagraph"/>
              <w:spacing w:before="93"/>
              <w:ind w:right="80"/>
              <w:rPr>
                <w:sz w:val="18"/>
              </w:rPr>
            </w:pPr>
            <w:r>
              <w:rPr>
                <w:w w:val="104"/>
                <w:sz w:val="18"/>
              </w:rPr>
              <w:t>+</w:t>
            </w:r>
          </w:p>
        </w:tc>
        <w:tc>
          <w:tcPr>
            <w:tcW w:w="2348" w:type="dxa"/>
            <w:tcBorders>
              <w:top w:val="single" w:sz="5" w:space="0" w:color="000000"/>
              <w:left w:val="nil"/>
              <w:bottom w:val="nil"/>
            </w:tcBorders>
          </w:tcPr>
          <w:p>
            <w:pPr>
              <w:pStyle w:val="TableParagraph"/>
              <w:spacing w:before="93"/>
              <w:ind w:left="27" w:right="30"/>
              <w:jc w:val="center"/>
              <w:rPr>
                <w:sz w:val="18"/>
              </w:rPr>
            </w:pPr>
            <w:r>
              <w:rPr>
                <w:w w:val="105"/>
                <w:sz w:val="18"/>
              </w:rPr>
              <w:t>Efecto estructural negativo</w:t>
            </w:r>
          </w:p>
        </w:tc>
        <w:tc>
          <w:tcPr>
            <w:tcW w:w="1001" w:type="dxa"/>
            <w:tcBorders>
              <w:top w:val="single" w:sz="5" w:space="0" w:color="000000"/>
              <w:bottom w:val="nil"/>
            </w:tcBorders>
          </w:tcPr>
          <w:p>
            <w:pPr>
              <w:pStyle w:val="TableParagraph"/>
              <w:spacing w:before="93"/>
              <w:ind w:left="24"/>
              <w:jc w:val="left"/>
              <w:rPr>
                <w:sz w:val="18"/>
              </w:rPr>
            </w:pPr>
            <w:r>
              <w:rPr>
                <w:w w:val="105"/>
                <w:sz w:val="18"/>
              </w:rPr>
              <w:t>Tipo IV</w:t>
            </w:r>
          </w:p>
        </w:tc>
      </w:tr>
      <w:tr>
        <w:trPr>
          <w:trHeight w:val="319" w:hRule="exact"/>
        </w:trPr>
        <w:tc>
          <w:tcPr>
            <w:tcW w:w="252" w:type="dxa"/>
            <w:tcBorders>
              <w:top w:val="nil"/>
              <w:left w:val="single" w:sz="5" w:space="0" w:color="000000"/>
              <w:bottom w:val="nil"/>
              <w:right w:val="nil"/>
            </w:tcBorders>
          </w:tcPr>
          <w:p>
            <w:pPr>
              <w:pStyle w:val="TableParagraph"/>
              <w:spacing w:before="51"/>
              <w:ind w:left="24"/>
              <w:jc w:val="left"/>
              <w:rPr>
                <w:sz w:val="18"/>
              </w:rPr>
            </w:pPr>
            <w:r>
              <w:rPr>
                <w:w w:val="104"/>
                <w:sz w:val="18"/>
              </w:rPr>
              <w:t>2</w:t>
            </w:r>
          </w:p>
        </w:tc>
        <w:tc>
          <w:tcPr>
            <w:tcW w:w="2350" w:type="dxa"/>
            <w:tcBorders>
              <w:top w:val="nil"/>
              <w:left w:val="nil"/>
              <w:bottom w:val="nil"/>
              <w:right w:val="nil"/>
            </w:tcBorders>
          </w:tcPr>
          <w:p>
            <w:pPr>
              <w:pStyle w:val="TableParagraph"/>
              <w:spacing w:before="51"/>
              <w:ind w:left="51" w:right="41"/>
              <w:jc w:val="center"/>
              <w:rPr>
                <w:sz w:val="18"/>
              </w:rPr>
            </w:pPr>
            <w:r>
              <w:rPr>
                <w:w w:val="105"/>
                <w:sz w:val="18"/>
              </w:rPr>
              <w:t>Efecto diferencial negativo</w:t>
            </w:r>
          </w:p>
        </w:tc>
        <w:tc>
          <w:tcPr>
            <w:tcW w:w="299" w:type="dxa"/>
            <w:tcBorders>
              <w:top w:val="nil"/>
              <w:left w:val="nil"/>
              <w:bottom w:val="nil"/>
              <w:right w:val="nil"/>
            </w:tcBorders>
          </w:tcPr>
          <w:p>
            <w:pPr>
              <w:pStyle w:val="TableParagraph"/>
              <w:spacing w:before="51"/>
              <w:ind w:right="80"/>
              <w:rPr>
                <w:sz w:val="18"/>
              </w:rPr>
            </w:pPr>
            <w:r>
              <w:rPr>
                <w:w w:val="104"/>
                <w:sz w:val="18"/>
              </w:rPr>
              <w:t>+</w:t>
            </w:r>
          </w:p>
        </w:tc>
        <w:tc>
          <w:tcPr>
            <w:tcW w:w="2348" w:type="dxa"/>
            <w:tcBorders>
              <w:top w:val="nil"/>
              <w:left w:val="nil"/>
              <w:bottom w:val="nil"/>
            </w:tcBorders>
          </w:tcPr>
          <w:p>
            <w:pPr>
              <w:pStyle w:val="TableParagraph"/>
              <w:spacing w:before="51"/>
              <w:ind w:left="27" w:right="92"/>
              <w:jc w:val="center"/>
              <w:rPr>
                <w:sz w:val="18"/>
              </w:rPr>
            </w:pPr>
            <w:r>
              <w:rPr>
                <w:w w:val="105"/>
                <w:sz w:val="18"/>
              </w:rPr>
              <w:t>Efecto estructural positivo</w:t>
            </w:r>
          </w:p>
        </w:tc>
        <w:tc>
          <w:tcPr>
            <w:tcW w:w="1001" w:type="dxa"/>
            <w:tcBorders>
              <w:top w:val="nil"/>
              <w:bottom w:val="nil"/>
            </w:tcBorders>
          </w:tcPr>
          <w:p>
            <w:pPr>
              <w:pStyle w:val="TableParagraph"/>
              <w:spacing w:before="51"/>
              <w:ind w:left="24"/>
              <w:jc w:val="left"/>
              <w:rPr>
                <w:sz w:val="18"/>
              </w:rPr>
            </w:pPr>
            <w:r>
              <w:rPr>
                <w:w w:val="105"/>
                <w:sz w:val="18"/>
              </w:rPr>
              <w:t>Tipo II-b</w:t>
            </w:r>
          </w:p>
        </w:tc>
      </w:tr>
      <w:tr>
        <w:trPr>
          <w:trHeight w:val="277" w:hRule="exact"/>
        </w:trPr>
        <w:tc>
          <w:tcPr>
            <w:tcW w:w="252" w:type="dxa"/>
            <w:tcBorders>
              <w:top w:val="nil"/>
              <w:left w:val="single" w:sz="5" w:space="0" w:color="000000"/>
              <w:right w:val="nil"/>
            </w:tcBorders>
          </w:tcPr>
          <w:p>
            <w:pPr>
              <w:pStyle w:val="TableParagraph"/>
              <w:spacing w:before="45"/>
              <w:ind w:left="24"/>
              <w:jc w:val="left"/>
              <w:rPr>
                <w:sz w:val="18"/>
              </w:rPr>
            </w:pPr>
            <w:r>
              <w:rPr>
                <w:w w:val="104"/>
                <w:sz w:val="18"/>
              </w:rPr>
              <w:t>3</w:t>
            </w:r>
          </w:p>
        </w:tc>
        <w:tc>
          <w:tcPr>
            <w:tcW w:w="2350" w:type="dxa"/>
            <w:tcBorders>
              <w:top w:val="nil"/>
              <w:left w:val="nil"/>
              <w:right w:val="nil"/>
            </w:tcBorders>
          </w:tcPr>
          <w:p>
            <w:pPr>
              <w:pStyle w:val="TableParagraph"/>
              <w:spacing w:before="45"/>
              <w:ind w:left="51" w:right="100"/>
              <w:jc w:val="center"/>
              <w:rPr>
                <w:sz w:val="18"/>
              </w:rPr>
            </w:pPr>
            <w:r>
              <w:rPr>
                <w:w w:val="105"/>
                <w:sz w:val="18"/>
              </w:rPr>
              <w:t>Efecto diferencial positivo</w:t>
            </w:r>
          </w:p>
        </w:tc>
        <w:tc>
          <w:tcPr>
            <w:tcW w:w="299" w:type="dxa"/>
            <w:tcBorders>
              <w:top w:val="nil"/>
              <w:left w:val="nil"/>
              <w:right w:val="nil"/>
            </w:tcBorders>
          </w:tcPr>
          <w:p>
            <w:pPr>
              <w:pStyle w:val="TableParagraph"/>
              <w:spacing w:before="45"/>
              <w:ind w:right="80"/>
              <w:rPr>
                <w:sz w:val="18"/>
              </w:rPr>
            </w:pPr>
            <w:r>
              <w:rPr>
                <w:w w:val="104"/>
                <w:sz w:val="18"/>
              </w:rPr>
              <w:t>+</w:t>
            </w:r>
          </w:p>
        </w:tc>
        <w:tc>
          <w:tcPr>
            <w:tcW w:w="2348" w:type="dxa"/>
            <w:tcBorders>
              <w:top w:val="nil"/>
              <w:left w:val="nil"/>
            </w:tcBorders>
          </w:tcPr>
          <w:p>
            <w:pPr>
              <w:pStyle w:val="TableParagraph"/>
              <w:spacing w:before="45"/>
              <w:ind w:left="27" w:right="30"/>
              <w:jc w:val="center"/>
              <w:rPr>
                <w:sz w:val="18"/>
              </w:rPr>
            </w:pPr>
            <w:r>
              <w:rPr>
                <w:w w:val="105"/>
                <w:sz w:val="18"/>
              </w:rPr>
              <w:t>Efecto estructural negativo</w:t>
            </w:r>
          </w:p>
        </w:tc>
        <w:tc>
          <w:tcPr>
            <w:tcW w:w="1001" w:type="dxa"/>
            <w:tcBorders>
              <w:top w:val="nil"/>
            </w:tcBorders>
          </w:tcPr>
          <w:p>
            <w:pPr>
              <w:pStyle w:val="TableParagraph"/>
              <w:spacing w:before="45"/>
              <w:ind w:left="24"/>
              <w:jc w:val="left"/>
              <w:rPr>
                <w:sz w:val="18"/>
              </w:rPr>
            </w:pPr>
            <w:r>
              <w:rPr>
                <w:w w:val="105"/>
                <w:sz w:val="18"/>
              </w:rPr>
              <w:t>Tipo III-b</w:t>
            </w:r>
          </w:p>
        </w:tc>
      </w:tr>
    </w:tbl>
    <w:p>
      <w:pPr>
        <w:pStyle w:val="BodyText"/>
        <w:spacing w:before="1"/>
        <w:rPr>
          <w:rFonts w:ascii="Arial"/>
          <w:b/>
          <w:sz w:val="16"/>
        </w:rPr>
      </w:pPr>
    </w:p>
    <w:p>
      <w:pPr>
        <w:spacing w:before="83"/>
        <w:ind w:left="1776" w:right="121" w:firstLine="0"/>
        <w:jc w:val="left"/>
        <w:rPr>
          <w:rFonts w:ascii="Arial"/>
          <w:sz w:val="18"/>
        </w:rPr>
      </w:pPr>
      <w:r>
        <w:rPr>
          <w:rFonts w:ascii="Arial"/>
          <w:w w:val="105"/>
          <w:sz w:val="18"/>
        </w:rPr>
        <w:t>Fuente: Boisier (1980: 83).</w:t>
      </w:r>
    </w:p>
    <w:p>
      <w:pPr>
        <w:pStyle w:val="BodyText"/>
        <w:rPr>
          <w:rFonts w:ascii="Arial"/>
          <w:sz w:val="20"/>
        </w:rPr>
      </w:pPr>
    </w:p>
    <w:p>
      <w:pPr>
        <w:pStyle w:val="BodyText"/>
        <w:spacing w:before="8"/>
        <w:rPr>
          <w:rFonts w:ascii="Arial"/>
        </w:rPr>
      </w:pPr>
    </w:p>
    <w:p>
      <w:pPr>
        <w:pStyle w:val="BodyText"/>
        <w:spacing w:line="360" w:lineRule="auto" w:before="70"/>
        <w:ind w:left="102" w:right="118" w:firstLine="707"/>
        <w:jc w:val="both"/>
      </w:pPr>
      <w:r>
        <w:rPr/>
        <w:t>Ahora bien, de acuerdo con la tipología anterior, tenemos que las regiones tipo I, II- a y III-a, están creciendo. Asimismo, están especializadas en subsectores dinámicos y modernos que impulsan su crecimiento. Sin embargo, debe ponerse atención a la región III- a, porque en ésta hay que promover la reconversión productiva de la región a través de mayor inversión. A su vez, las regiones III-b, IV y II-b son regiones deprimidas, de lento crecimiento, especialmente la región tipo IV. Aplicando estos criterios se ubicó a las regiones tal y como se muestra en las figuras 3.1 y 3.2.</w:t>
      </w:r>
    </w:p>
    <w:p>
      <w:pPr>
        <w:pStyle w:val="BodyText"/>
        <w:spacing w:line="360" w:lineRule="auto" w:before="6"/>
        <w:ind w:left="102" w:right="115" w:firstLine="707"/>
        <w:jc w:val="both"/>
      </w:pPr>
      <w:r>
        <w:rPr/>
        <w:t>En la figura 3.1 se aprecia que la región Toluca-Lerma ha sido más dinámica que la región Valle de México en la estructura y evolución por subsector. Específicamente, aplicando estos criterios a las regiones de estudio se tiene que la región Toluca-Lerma se puede clasificar como región tipo I en la mayoría de los años de estudio, excepto en 1980 y 2003 cuando se puede considerar como región tipo II-a y III-b, respectivamente. Este crecimiento en estos subsectores se debe a que entre 1983 y 1985 se mantuvo una política industrial activa, se trató de reducir los programas a unas cuantas industrias prioritarias: automotriz, farmacéutica y bienes de capital (Lustig, 1994).</w:t>
      </w:r>
    </w:p>
    <w:p>
      <w:pPr>
        <w:spacing w:after="0" w:line="360" w:lineRule="auto"/>
        <w:jc w:val="both"/>
        <w:sectPr>
          <w:pgSz w:w="12240" w:h="15840"/>
          <w:pgMar w:header="0" w:footer="1003" w:top="1380" w:bottom="1200" w:left="1600" w:right="1580"/>
        </w:sectPr>
      </w:pPr>
    </w:p>
    <w:p>
      <w:pPr>
        <w:spacing w:line="170" w:lineRule="exact" w:before="54"/>
        <w:ind w:left="675" w:right="0" w:firstLine="0"/>
        <w:jc w:val="center"/>
        <w:rPr>
          <w:rFonts w:ascii="Calibri"/>
          <w:b/>
          <w:sz w:val="14"/>
        </w:rPr>
      </w:pPr>
      <w:r>
        <w:rPr>
          <w:rFonts w:ascii="Calibri"/>
          <w:b/>
          <w:sz w:val="14"/>
        </w:rPr>
        <w:t>Figura 3.1</w:t>
      </w:r>
    </w:p>
    <w:p>
      <w:pPr>
        <w:spacing w:line="169" w:lineRule="exact" w:before="0"/>
        <w:ind w:left="675" w:right="0" w:firstLine="0"/>
        <w:jc w:val="center"/>
        <w:rPr>
          <w:rFonts w:ascii="Calibri" w:hAnsi="Calibri"/>
          <w:b/>
          <w:i/>
          <w:sz w:val="14"/>
        </w:rPr>
      </w:pPr>
      <w:r>
        <w:rPr>
          <w:rFonts w:ascii="Calibri" w:hAnsi="Calibri"/>
          <w:b/>
          <w:sz w:val="14"/>
        </w:rPr>
        <w:t>Tipología Regional </w:t>
      </w:r>
      <w:r>
        <w:rPr>
          <w:rFonts w:ascii="Calibri" w:hAnsi="Calibri"/>
          <w:b/>
          <w:i/>
          <w:sz w:val="14"/>
        </w:rPr>
        <w:t>Shift-Share</w:t>
      </w:r>
    </w:p>
    <w:p>
      <w:pPr>
        <w:spacing w:line="237" w:lineRule="auto" w:before="1"/>
        <w:ind w:left="4139" w:right="3464" w:firstLine="0"/>
        <w:jc w:val="center"/>
        <w:rPr>
          <w:rFonts w:ascii="Calibri" w:hAnsi="Calibri"/>
          <w:b/>
          <w:sz w:val="14"/>
        </w:rPr>
      </w:pPr>
      <w:r>
        <w:rPr>
          <w:rFonts w:ascii="Calibri" w:hAnsi="Calibri"/>
          <w:b/>
          <w:sz w:val="14"/>
        </w:rPr>
        <w:t>Región Toluca - Lerma Valor Agregado</w:t>
      </w:r>
    </w:p>
    <w:p>
      <w:pPr>
        <w:spacing w:line="169" w:lineRule="exact" w:before="0" w:after="60"/>
        <w:ind w:left="675" w:right="0" w:firstLine="0"/>
        <w:jc w:val="center"/>
        <w:rPr>
          <w:rFonts w:ascii="Calibri"/>
          <w:b/>
          <w:sz w:val="14"/>
        </w:rPr>
      </w:pPr>
      <w:r>
        <w:rPr>
          <w:rFonts w:ascii="Calibri"/>
          <w:b/>
          <w:sz w:val="14"/>
        </w:rPr>
        <w:t>1970 -2008</w:t>
      </w:r>
    </w:p>
    <w:tbl>
      <w:tblPr>
        <w:tblW w:w="0" w:type="auto"/>
        <w:jc w:val="left"/>
        <w:tblInd w:w="270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36"/>
        <w:gridCol w:w="359"/>
        <w:gridCol w:w="1533"/>
        <w:gridCol w:w="888"/>
        <w:gridCol w:w="169"/>
        <w:gridCol w:w="916"/>
      </w:tblGrid>
      <w:tr>
        <w:trPr>
          <w:trHeight w:val="430" w:hRule="exact"/>
        </w:trPr>
        <w:tc>
          <w:tcPr>
            <w:tcW w:w="4199" w:type="dxa"/>
            <w:gridSpan w:val="6"/>
          </w:tcPr>
          <w:p>
            <w:pPr>
              <w:pStyle w:val="TableParagraph"/>
              <w:spacing w:before="9"/>
              <w:jc w:val="left"/>
              <w:rPr>
                <w:rFonts w:ascii="Calibri"/>
                <w:b/>
                <w:sz w:val="11"/>
              </w:rPr>
            </w:pPr>
          </w:p>
          <w:p>
            <w:pPr>
              <w:pStyle w:val="TableParagraph"/>
              <w:ind w:left="1391" w:right="1831"/>
              <w:jc w:val="center"/>
              <w:rPr>
                <w:rFonts w:ascii="Times New Roman"/>
                <w:b/>
                <w:i/>
                <w:sz w:val="12"/>
              </w:rPr>
            </w:pPr>
            <w:r>
              <w:rPr>
                <w:rFonts w:ascii="Times New Roman"/>
                <w:b/>
                <w:i/>
                <w:w w:val="105"/>
                <w:sz w:val="12"/>
              </w:rPr>
              <w:t>Efecto diferencial</w:t>
            </w:r>
          </w:p>
        </w:tc>
      </w:tr>
      <w:tr>
        <w:trPr>
          <w:trHeight w:val="338" w:hRule="exact"/>
        </w:trPr>
        <w:tc>
          <w:tcPr>
            <w:tcW w:w="336" w:type="dxa"/>
            <w:vMerge w:val="restart"/>
          </w:tcPr>
          <w:p>
            <w:pPr>
              <w:pStyle w:val="TableParagraph"/>
              <w:spacing w:before="89"/>
              <w:ind w:left="157"/>
              <w:jc w:val="left"/>
              <w:rPr>
                <w:rFonts w:ascii="Times New Roman"/>
                <w:b/>
                <w:i/>
                <w:sz w:val="12"/>
              </w:rPr>
            </w:pPr>
            <w:r>
              <w:rPr>
                <w:rFonts w:ascii="Times New Roman"/>
                <w:b/>
                <w:i/>
                <w:w w:val="105"/>
                <w:sz w:val="12"/>
              </w:rPr>
              <w:t>E</w:t>
            </w:r>
          </w:p>
          <w:p>
            <w:pPr>
              <w:pStyle w:val="TableParagraph"/>
              <w:spacing w:line="290" w:lineRule="auto" w:before="30"/>
              <w:ind w:left="157" w:right="104"/>
              <w:jc w:val="both"/>
              <w:rPr>
                <w:rFonts w:ascii="Times New Roman"/>
                <w:b/>
                <w:i/>
                <w:sz w:val="12"/>
              </w:rPr>
            </w:pPr>
            <w:r>
              <w:rPr>
                <w:rFonts w:ascii="Times New Roman"/>
                <w:b/>
                <w:i/>
                <w:w w:val="105"/>
                <w:sz w:val="12"/>
              </w:rPr>
              <w:t>f </w:t>
            </w:r>
            <w:r>
              <w:rPr>
                <w:rFonts w:ascii="Times New Roman"/>
                <w:b/>
                <w:i/>
                <w:w w:val="105"/>
                <w:sz w:val="12"/>
              </w:rPr>
              <w:t>e c t o</w:t>
            </w:r>
          </w:p>
          <w:p>
            <w:pPr>
              <w:pStyle w:val="TableParagraph"/>
              <w:spacing w:before="11"/>
              <w:jc w:val="left"/>
              <w:rPr>
                <w:rFonts w:ascii="Calibri"/>
                <w:b/>
                <w:sz w:val="13"/>
              </w:rPr>
            </w:pPr>
          </w:p>
          <w:p>
            <w:pPr>
              <w:pStyle w:val="TableParagraph"/>
              <w:spacing w:line="290" w:lineRule="auto"/>
              <w:ind w:left="157" w:right="85"/>
              <w:jc w:val="left"/>
              <w:rPr>
                <w:rFonts w:ascii="Times New Roman"/>
                <w:b/>
                <w:i/>
                <w:sz w:val="12"/>
              </w:rPr>
            </w:pPr>
            <w:r>
              <w:rPr>
                <w:rFonts w:ascii="Times New Roman"/>
                <w:b/>
                <w:i/>
                <w:w w:val="105"/>
                <w:sz w:val="12"/>
              </w:rPr>
              <w:t>e </w:t>
            </w:r>
            <w:r>
              <w:rPr>
                <w:rFonts w:ascii="Times New Roman"/>
                <w:b/>
                <w:i/>
                <w:w w:val="105"/>
                <w:sz w:val="12"/>
              </w:rPr>
              <w:t>s t r u c t u r a l</w:t>
            </w:r>
          </w:p>
        </w:tc>
        <w:tc>
          <w:tcPr>
            <w:tcW w:w="359" w:type="dxa"/>
          </w:tcPr>
          <w:p>
            <w:pPr/>
          </w:p>
        </w:tc>
        <w:tc>
          <w:tcPr>
            <w:tcW w:w="1533" w:type="dxa"/>
            <w:tcBorders>
              <w:right w:val="nil"/>
            </w:tcBorders>
          </w:tcPr>
          <w:p>
            <w:pPr>
              <w:pStyle w:val="TableParagraph"/>
              <w:spacing w:before="7"/>
              <w:jc w:val="left"/>
              <w:rPr>
                <w:rFonts w:ascii="Calibri"/>
                <w:b/>
                <w:sz w:val="12"/>
              </w:rPr>
            </w:pPr>
          </w:p>
          <w:p>
            <w:pPr>
              <w:pStyle w:val="TableParagraph"/>
              <w:ind w:right="422"/>
              <w:jc w:val="center"/>
              <w:rPr>
                <w:rFonts w:ascii="Calibri"/>
                <w:b/>
                <w:sz w:val="11"/>
              </w:rPr>
            </w:pPr>
            <w:r>
              <w:rPr>
                <w:rFonts w:ascii="Calibri"/>
                <w:b/>
                <w:w w:val="104"/>
                <w:sz w:val="11"/>
              </w:rPr>
              <w:t>+</w:t>
            </w:r>
          </w:p>
        </w:tc>
        <w:tc>
          <w:tcPr>
            <w:tcW w:w="888" w:type="dxa"/>
            <w:tcBorders>
              <w:left w:val="nil"/>
              <w:right w:val="nil"/>
            </w:tcBorders>
          </w:tcPr>
          <w:p>
            <w:pPr/>
          </w:p>
        </w:tc>
        <w:tc>
          <w:tcPr>
            <w:tcW w:w="169" w:type="dxa"/>
            <w:tcBorders>
              <w:left w:val="nil"/>
              <w:right w:val="nil"/>
            </w:tcBorders>
          </w:tcPr>
          <w:p>
            <w:pPr>
              <w:pStyle w:val="TableParagraph"/>
              <w:spacing w:before="7"/>
              <w:jc w:val="left"/>
              <w:rPr>
                <w:rFonts w:ascii="Calibri"/>
                <w:b/>
                <w:sz w:val="12"/>
              </w:rPr>
            </w:pPr>
          </w:p>
          <w:p>
            <w:pPr>
              <w:pStyle w:val="TableParagraph"/>
              <w:ind w:left="52"/>
              <w:jc w:val="left"/>
              <w:rPr>
                <w:rFonts w:ascii="Calibri"/>
                <w:b/>
                <w:sz w:val="11"/>
              </w:rPr>
            </w:pPr>
            <w:r>
              <w:rPr>
                <w:rFonts w:ascii="Calibri"/>
                <w:b/>
                <w:w w:val="104"/>
                <w:sz w:val="11"/>
              </w:rPr>
              <w:t>-</w:t>
            </w:r>
          </w:p>
        </w:tc>
        <w:tc>
          <w:tcPr>
            <w:tcW w:w="916" w:type="dxa"/>
            <w:tcBorders>
              <w:left w:val="nil"/>
            </w:tcBorders>
          </w:tcPr>
          <w:p>
            <w:pPr/>
          </w:p>
        </w:tc>
      </w:tr>
      <w:tr>
        <w:trPr>
          <w:trHeight w:val="373" w:hRule="exact"/>
        </w:trPr>
        <w:tc>
          <w:tcPr>
            <w:tcW w:w="336" w:type="dxa"/>
            <w:vMerge/>
          </w:tcPr>
          <w:p>
            <w:pPr/>
          </w:p>
        </w:tc>
        <w:tc>
          <w:tcPr>
            <w:tcW w:w="359" w:type="dxa"/>
            <w:tcBorders>
              <w:bottom w:val="nil"/>
            </w:tcBorders>
          </w:tcPr>
          <w:p>
            <w:pPr/>
          </w:p>
        </w:tc>
        <w:tc>
          <w:tcPr>
            <w:tcW w:w="1533" w:type="dxa"/>
            <w:tcBorders>
              <w:bottom w:val="nil"/>
              <w:right w:val="nil"/>
            </w:tcBorders>
          </w:tcPr>
          <w:p>
            <w:pPr>
              <w:pStyle w:val="TableParagraph"/>
              <w:spacing w:before="4"/>
              <w:jc w:val="left"/>
              <w:rPr>
                <w:rFonts w:ascii="Calibri"/>
                <w:b/>
                <w:sz w:val="10"/>
              </w:rPr>
            </w:pPr>
          </w:p>
          <w:p>
            <w:pPr>
              <w:pStyle w:val="TableParagraph"/>
              <w:ind w:left="141"/>
              <w:jc w:val="left"/>
              <w:rPr>
                <w:rFonts w:ascii="Times New Roman"/>
                <w:b/>
                <w:sz w:val="12"/>
              </w:rPr>
            </w:pPr>
            <w:r>
              <w:rPr>
                <w:rFonts w:ascii="Times New Roman"/>
                <w:b/>
                <w:w w:val="105"/>
                <w:sz w:val="12"/>
              </w:rPr>
              <w:t>TIPO I</w:t>
            </w:r>
          </w:p>
        </w:tc>
        <w:tc>
          <w:tcPr>
            <w:tcW w:w="888" w:type="dxa"/>
            <w:tcBorders>
              <w:left w:val="nil"/>
              <w:bottom w:val="nil"/>
              <w:right w:val="nil"/>
            </w:tcBorders>
          </w:tcPr>
          <w:p>
            <w:pPr>
              <w:pStyle w:val="TableParagraph"/>
              <w:spacing w:before="4"/>
              <w:jc w:val="left"/>
              <w:rPr>
                <w:rFonts w:ascii="Calibri"/>
                <w:b/>
                <w:sz w:val="10"/>
              </w:rPr>
            </w:pPr>
          </w:p>
          <w:p>
            <w:pPr>
              <w:pStyle w:val="TableParagraph"/>
              <w:ind w:left="288"/>
              <w:jc w:val="left"/>
              <w:rPr>
                <w:rFonts w:ascii="Times New Roman"/>
                <w:b/>
                <w:sz w:val="12"/>
              </w:rPr>
            </w:pPr>
            <w:r>
              <w:rPr>
                <w:rFonts w:ascii="Times New Roman"/>
                <w:b/>
                <w:w w:val="105"/>
                <w:sz w:val="12"/>
              </w:rPr>
              <w:t>TIPO II-a</w:t>
            </w:r>
          </w:p>
        </w:tc>
        <w:tc>
          <w:tcPr>
            <w:tcW w:w="169" w:type="dxa"/>
            <w:tcBorders>
              <w:left w:val="nil"/>
              <w:bottom w:val="nil"/>
              <w:right w:val="nil"/>
            </w:tcBorders>
          </w:tcPr>
          <w:p>
            <w:pPr/>
          </w:p>
        </w:tc>
        <w:tc>
          <w:tcPr>
            <w:tcW w:w="916" w:type="dxa"/>
            <w:tcBorders>
              <w:left w:val="nil"/>
              <w:bottom w:val="nil"/>
            </w:tcBorders>
          </w:tcPr>
          <w:p>
            <w:pPr/>
          </w:p>
        </w:tc>
      </w:tr>
      <w:tr>
        <w:trPr>
          <w:trHeight w:val="233" w:hRule="exact"/>
        </w:trPr>
        <w:tc>
          <w:tcPr>
            <w:tcW w:w="336" w:type="dxa"/>
            <w:vMerge/>
          </w:tcPr>
          <w:p>
            <w:pPr/>
          </w:p>
        </w:tc>
        <w:tc>
          <w:tcPr>
            <w:tcW w:w="359" w:type="dxa"/>
            <w:tcBorders>
              <w:top w:val="nil"/>
              <w:bottom w:val="nil"/>
            </w:tcBorders>
            <w:textDirection w:val="btLr"/>
          </w:tcPr>
          <w:p>
            <w:pPr>
              <w:pStyle w:val="TableParagraph"/>
              <w:spacing w:before="10"/>
              <w:jc w:val="left"/>
              <w:rPr>
                <w:rFonts w:ascii="Calibri"/>
                <w:b/>
                <w:sz w:val="10"/>
              </w:rPr>
            </w:pPr>
          </w:p>
          <w:p>
            <w:pPr>
              <w:pStyle w:val="TableParagraph"/>
              <w:ind w:left="-28"/>
              <w:jc w:val="left"/>
              <w:rPr>
                <w:rFonts w:ascii="Calibri"/>
                <w:b/>
                <w:sz w:val="11"/>
              </w:rPr>
            </w:pPr>
            <w:r>
              <w:rPr>
                <w:rFonts w:ascii="Calibri"/>
                <w:b/>
                <w:w w:val="104"/>
                <w:sz w:val="11"/>
              </w:rPr>
              <w:t>+</w:t>
            </w:r>
          </w:p>
        </w:tc>
        <w:tc>
          <w:tcPr>
            <w:tcW w:w="1533" w:type="dxa"/>
            <w:tcBorders>
              <w:top w:val="nil"/>
              <w:bottom w:val="nil"/>
              <w:right w:val="nil"/>
            </w:tcBorders>
          </w:tcPr>
          <w:p>
            <w:pPr>
              <w:pStyle w:val="TableParagraph"/>
              <w:spacing w:before="86"/>
              <w:ind w:right="895"/>
              <w:rPr>
                <w:rFonts w:ascii="Calibri"/>
                <w:sz w:val="11"/>
              </w:rPr>
            </w:pPr>
            <w:r>
              <w:rPr>
                <w:rFonts w:ascii="Calibri"/>
                <w:w w:val="105"/>
                <w:sz w:val="11"/>
              </w:rPr>
              <w:t>1975</w:t>
            </w:r>
          </w:p>
        </w:tc>
        <w:tc>
          <w:tcPr>
            <w:tcW w:w="888" w:type="dxa"/>
            <w:tcBorders>
              <w:top w:val="nil"/>
              <w:left w:val="nil"/>
              <w:bottom w:val="nil"/>
              <w:right w:val="nil"/>
            </w:tcBorders>
          </w:tcPr>
          <w:p>
            <w:pPr>
              <w:pStyle w:val="TableParagraph"/>
              <w:spacing w:before="86"/>
              <w:ind w:left="190"/>
              <w:jc w:val="left"/>
              <w:rPr>
                <w:rFonts w:ascii="Calibri"/>
                <w:sz w:val="11"/>
              </w:rPr>
            </w:pPr>
            <w:r>
              <w:rPr>
                <w:rFonts w:ascii="Calibri"/>
                <w:w w:val="105"/>
                <w:sz w:val="11"/>
              </w:rPr>
              <w:t>1980</w:t>
            </w:r>
          </w:p>
        </w:tc>
        <w:tc>
          <w:tcPr>
            <w:tcW w:w="169" w:type="dxa"/>
            <w:tcBorders>
              <w:top w:val="nil"/>
              <w:left w:val="nil"/>
              <w:bottom w:val="nil"/>
              <w:right w:val="nil"/>
            </w:tcBorders>
          </w:tcPr>
          <w:p>
            <w:pPr/>
          </w:p>
        </w:tc>
        <w:tc>
          <w:tcPr>
            <w:tcW w:w="916" w:type="dxa"/>
            <w:tcBorders>
              <w:top w:val="nil"/>
              <w:left w:val="nil"/>
              <w:bottom w:val="nil"/>
            </w:tcBorders>
          </w:tcPr>
          <w:p>
            <w:pPr/>
          </w:p>
        </w:tc>
      </w:tr>
      <w:tr>
        <w:trPr>
          <w:trHeight w:val="140" w:hRule="exact"/>
        </w:trPr>
        <w:tc>
          <w:tcPr>
            <w:tcW w:w="336" w:type="dxa"/>
            <w:vMerge/>
          </w:tcPr>
          <w:p>
            <w:pPr/>
          </w:p>
        </w:tc>
        <w:tc>
          <w:tcPr>
            <w:tcW w:w="359" w:type="dxa"/>
            <w:tcBorders>
              <w:top w:val="nil"/>
              <w:bottom w:val="nil"/>
            </w:tcBorders>
          </w:tcPr>
          <w:p>
            <w:pPr/>
          </w:p>
        </w:tc>
        <w:tc>
          <w:tcPr>
            <w:tcW w:w="1533" w:type="dxa"/>
            <w:tcBorders>
              <w:top w:val="nil"/>
              <w:bottom w:val="nil"/>
              <w:right w:val="nil"/>
            </w:tcBorders>
          </w:tcPr>
          <w:p>
            <w:pPr>
              <w:pStyle w:val="TableParagraph"/>
              <w:spacing w:line="129" w:lineRule="exact"/>
              <w:ind w:right="895"/>
              <w:rPr>
                <w:rFonts w:ascii="Calibri"/>
                <w:sz w:val="11"/>
              </w:rPr>
            </w:pPr>
            <w:r>
              <w:rPr>
                <w:rFonts w:ascii="Calibri"/>
                <w:w w:val="105"/>
                <w:sz w:val="11"/>
              </w:rPr>
              <w:t>1985</w:t>
            </w:r>
          </w:p>
        </w:tc>
        <w:tc>
          <w:tcPr>
            <w:tcW w:w="888" w:type="dxa"/>
            <w:tcBorders>
              <w:top w:val="nil"/>
              <w:left w:val="nil"/>
              <w:bottom w:val="nil"/>
              <w:right w:val="nil"/>
            </w:tcBorders>
          </w:tcPr>
          <w:p>
            <w:pPr/>
          </w:p>
        </w:tc>
        <w:tc>
          <w:tcPr>
            <w:tcW w:w="169" w:type="dxa"/>
            <w:tcBorders>
              <w:top w:val="nil"/>
              <w:left w:val="nil"/>
              <w:bottom w:val="nil"/>
              <w:right w:val="nil"/>
            </w:tcBorders>
          </w:tcPr>
          <w:p>
            <w:pPr/>
          </w:p>
        </w:tc>
        <w:tc>
          <w:tcPr>
            <w:tcW w:w="916" w:type="dxa"/>
            <w:tcBorders>
              <w:top w:val="nil"/>
              <w:left w:val="nil"/>
              <w:bottom w:val="nil"/>
            </w:tcBorders>
          </w:tcPr>
          <w:p>
            <w:pPr/>
          </w:p>
        </w:tc>
      </w:tr>
      <w:tr>
        <w:trPr>
          <w:trHeight w:val="140" w:hRule="exact"/>
        </w:trPr>
        <w:tc>
          <w:tcPr>
            <w:tcW w:w="336" w:type="dxa"/>
            <w:vMerge/>
          </w:tcPr>
          <w:p>
            <w:pPr/>
          </w:p>
        </w:tc>
        <w:tc>
          <w:tcPr>
            <w:tcW w:w="359" w:type="dxa"/>
            <w:tcBorders>
              <w:top w:val="nil"/>
              <w:bottom w:val="nil"/>
            </w:tcBorders>
          </w:tcPr>
          <w:p>
            <w:pPr/>
          </w:p>
        </w:tc>
        <w:tc>
          <w:tcPr>
            <w:tcW w:w="1533" w:type="dxa"/>
            <w:tcBorders>
              <w:top w:val="nil"/>
              <w:bottom w:val="nil"/>
              <w:right w:val="nil"/>
            </w:tcBorders>
          </w:tcPr>
          <w:p>
            <w:pPr>
              <w:pStyle w:val="TableParagraph"/>
              <w:spacing w:line="128" w:lineRule="exact"/>
              <w:ind w:right="894"/>
              <w:rPr>
                <w:rFonts w:ascii="Calibri"/>
                <w:sz w:val="11"/>
              </w:rPr>
            </w:pPr>
            <w:r>
              <w:rPr>
                <w:rFonts w:ascii="Calibri"/>
                <w:sz w:val="11"/>
              </w:rPr>
              <w:t>1988</w:t>
            </w:r>
          </w:p>
        </w:tc>
        <w:tc>
          <w:tcPr>
            <w:tcW w:w="888" w:type="dxa"/>
            <w:tcBorders>
              <w:top w:val="nil"/>
              <w:left w:val="nil"/>
              <w:bottom w:val="nil"/>
              <w:right w:val="nil"/>
            </w:tcBorders>
          </w:tcPr>
          <w:p>
            <w:pPr/>
          </w:p>
        </w:tc>
        <w:tc>
          <w:tcPr>
            <w:tcW w:w="169" w:type="dxa"/>
            <w:tcBorders>
              <w:top w:val="nil"/>
              <w:left w:val="nil"/>
              <w:bottom w:val="nil"/>
              <w:right w:val="nil"/>
            </w:tcBorders>
          </w:tcPr>
          <w:p>
            <w:pPr/>
          </w:p>
        </w:tc>
        <w:tc>
          <w:tcPr>
            <w:tcW w:w="916" w:type="dxa"/>
            <w:tcBorders>
              <w:top w:val="nil"/>
              <w:left w:val="nil"/>
              <w:bottom w:val="nil"/>
            </w:tcBorders>
          </w:tcPr>
          <w:p>
            <w:pPr/>
          </w:p>
        </w:tc>
      </w:tr>
      <w:tr>
        <w:trPr>
          <w:trHeight w:val="126" w:hRule="exact"/>
        </w:trPr>
        <w:tc>
          <w:tcPr>
            <w:tcW w:w="336" w:type="dxa"/>
            <w:vMerge/>
          </w:tcPr>
          <w:p>
            <w:pPr/>
          </w:p>
        </w:tc>
        <w:tc>
          <w:tcPr>
            <w:tcW w:w="359" w:type="dxa"/>
            <w:tcBorders>
              <w:top w:val="nil"/>
              <w:bottom w:val="nil"/>
            </w:tcBorders>
          </w:tcPr>
          <w:p>
            <w:pPr/>
          </w:p>
        </w:tc>
        <w:tc>
          <w:tcPr>
            <w:tcW w:w="1533" w:type="dxa"/>
            <w:tcBorders>
              <w:top w:val="nil"/>
              <w:bottom w:val="nil"/>
              <w:right w:val="nil"/>
            </w:tcBorders>
          </w:tcPr>
          <w:p>
            <w:pPr>
              <w:pStyle w:val="TableParagraph"/>
              <w:spacing w:line="129" w:lineRule="exact"/>
              <w:ind w:right="895"/>
              <w:rPr>
                <w:rFonts w:ascii="Calibri"/>
                <w:sz w:val="11"/>
              </w:rPr>
            </w:pPr>
            <w:r>
              <w:rPr>
                <w:rFonts w:ascii="Calibri"/>
                <w:w w:val="105"/>
                <w:sz w:val="11"/>
              </w:rPr>
              <w:t>1993</w:t>
            </w:r>
          </w:p>
        </w:tc>
        <w:tc>
          <w:tcPr>
            <w:tcW w:w="888" w:type="dxa"/>
            <w:tcBorders>
              <w:top w:val="nil"/>
              <w:left w:val="nil"/>
              <w:bottom w:val="nil"/>
              <w:right w:val="nil"/>
            </w:tcBorders>
          </w:tcPr>
          <w:p>
            <w:pPr/>
          </w:p>
        </w:tc>
        <w:tc>
          <w:tcPr>
            <w:tcW w:w="169" w:type="dxa"/>
            <w:tcBorders>
              <w:top w:val="nil"/>
              <w:left w:val="nil"/>
              <w:bottom w:val="nil"/>
              <w:right w:val="nil"/>
            </w:tcBorders>
          </w:tcPr>
          <w:p>
            <w:pPr/>
          </w:p>
        </w:tc>
        <w:tc>
          <w:tcPr>
            <w:tcW w:w="916" w:type="dxa"/>
            <w:tcBorders>
              <w:top w:val="nil"/>
              <w:left w:val="nil"/>
              <w:bottom w:val="nil"/>
            </w:tcBorders>
          </w:tcPr>
          <w:p>
            <w:pPr/>
          </w:p>
        </w:tc>
      </w:tr>
      <w:tr>
        <w:trPr>
          <w:trHeight w:val="156" w:hRule="exact"/>
        </w:trPr>
        <w:tc>
          <w:tcPr>
            <w:tcW w:w="336" w:type="dxa"/>
            <w:vMerge/>
          </w:tcPr>
          <w:p>
            <w:pPr/>
          </w:p>
        </w:tc>
        <w:tc>
          <w:tcPr>
            <w:tcW w:w="359" w:type="dxa"/>
            <w:tcBorders>
              <w:top w:val="nil"/>
              <w:bottom w:val="nil"/>
            </w:tcBorders>
          </w:tcPr>
          <w:p>
            <w:pPr/>
          </w:p>
        </w:tc>
        <w:tc>
          <w:tcPr>
            <w:tcW w:w="1533" w:type="dxa"/>
            <w:tcBorders>
              <w:top w:val="nil"/>
              <w:bottom w:val="nil"/>
              <w:right w:val="nil"/>
            </w:tcBorders>
          </w:tcPr>
          <w:p>
            <w:pPr>
              <w:pStyle w:val="TableParagraph"/>
              <w:spacing w:before="9"/>
              <w:ind w:right="895"/>
              <w:rPr>
                <w:rFonts w:ascii="Calibri"/>
                <w:sz w:val="11"/>
              </w:rPr>
            </w:pPr>
            <w:r>
              <w:rPr>
                <w:rFonts w:ascii="Calibri"/>
                <w:w w:val="105"/>
                <w:sz w:val="11"/>
              </w:rPr>
              <w:t>1998</w:t>
            </w:r>
          </w:p>
        </w:tc>
        <w:tc>
          <w:tcPr>
            <w:tcW w:w="888" w:type="dxa"/>
            <w:tcBorders>
              <w:top w:val="nil"/>
              <w:left w:val="nil"/>
              <w:bottom w:val="nil"/>
              <w:right w:val="nil"/>
            </w:tcBorders>
          </w:tcPr>
          <w:p>
            <w:pPr/>
          </w:p>
        </w:tc>
        <w:tc>
          <w:tcPr>
            <w:tcW w:w="169" w:type="dxa"/>
            <w:tcBorders>
              <w:top w:val="nil"/>
              <w:left w:val="nil"/>
              <w:bottom w:val="nil"/>
              <w:right w:val="nil"/>
            </w:tcBorders>
          </w:tcPr>
          <w:p>
            <w:pPr/>
          </w:p>
        </w:tc>
        <w:tc>
          <w:tcPr>
            <w:tcW w:w="916" w:type="dxa"/>
            <w:tcBorders>
              <w:top w:val="nil"/>
              <w:left w:val="nil"/>
              <w:bottom w:val="nil"/>
            </w:tcBorders>
          </w:tcPr>
          <w:p>
            <w:pPr>
              <w:pStyle w:val="TableParagraph"/>
              <w:spacing w:line="126" w:lineRule="exact"/>
              <w:ind w:left="81"/>
              <w:jc w:val="left"/>
              <w:rPr>
                <w:rFonts w:ascii="Times New Roman"/>
                <w:b/>
                <w:sz w:val="12"/>
              </w:rPr>
            </w:pPr>
            <w:r>
              <w:rPr>
                <w:rFonts w:ascii="Times New Roman"/>
                <w:b/>
                <w:w w:val="105"/>
                <w:sz w:val="12"/>
              </w:rPr>
              <w:t>TIPO II-b</w:t>
            </w:r>
          </w:p>
        </w:tc>
      </w:tr>
      <w:tr>
        <w:trPr>
          <w:trHeight w:val="382" w:hRule="exact"/>
        </w:trPr>
        <w:tc>
          <w:tcPr>
            <w:tcW w:w="336" w:type="dxa"/>
            <w:vMerge/>
          </w:tcPr>
          <w:p>
            <w:pPr/>
          </w:p>
        </w:tc>
        <w:tc>
          <w:tcPr>
            <w:tcW w:w="359" w:type="dxa"/>
            <w:tcBorders>
              <w:top w:val="nil"/>
              <w:bottom w:val="single" w:sz="7" w:space="0" w:color="000000"/>
            </w:tcBorders>
          </w:tcPr>
          <w:p>
            <w:pPr/>
          </w:p>
        </w:tc>
        <w:tc>
          <w:tcPr>
            <w:tcW w:w="1533" w:type="dxa"/>
            <w:tcBorders>
              <w:top w:val="nil"/>
              <w:bottom w:val="single" w:sz="7" w:space="0" w:color="000000"/>
              <w:right w:val="nil"/>
            </w:tcBorders>
          </w:tcPr>
          <w:p>
            <w:pPr>
              <w:pStyle w:val="TableParagraph"/>
              <w:spacing w:line="129" w:lineRule="exact"/>
              <w:ind w:right="895"/>
              <w:rPr>
                <w:rFonts w:ascii="Calibri"/>
                <w:sz w:val="11"/>
              </w:rPr>
            </w:pPr>
            <w:r>
              <w:rPr>
                <w:rFonts w:ascii="Calibri"/>
                <w:w w:val="105"/>
                <w:sz w:val="11"/>
              </w:rPr>
              <w:t>2008</w:t>
            </w:r>
          </w:p>
        </w:tc>
        <w:tc>
          <w:tcPr>
            <w:tcW w:w="888" w:type="dxa"/>
            <w:tcBorders>
              <w:top w:val="nil"/>
              <w:left w:val="nil"/>
              <w:bottom w:val="single" w:sz="7" w:space="0" w:color="000000"/>
              <w:right w:val="nil"/>
            </w:tcBorders>
          </w:tcPr>
          <w:p>
            <w:pPr/>
          </w:p>
        </w:tc>
        <w:tc>
          <w:tcPr>
            <w:tcW w:w="169" w:type="dxa"/>
            <w:tcBorders>
              <w:top w:val="nil"/>
              <w:left w:val="nil"/>
              <w:bottom w:val="single" w:sz="7" w:space="0" w:color="000000"/>
              <w:right w:val="nil"/>
            </w:tcBorders>
          </w:tcPr>
          <w:p>
            <w:pPr/>
          </w:p>
        </w:tc>
        <w:tc>
          <w:tcPr>
            <w:tcW w:w="916" w:type="dxa"/>
            <w:tcBorders>
              <w:top w:val="nil"/>
              <w:left w:val="nil"/>
              <w:bottom w:val="single" w:sz="7" w:space="0" w:color="000000"/>
            </w:tcBorders>
          </w:tcPr>
          <w:p>
            <w:pPr/>
          </w:p>
        </w:tc>
      </w:tr>
      <w:tr>
        <w:trPr>
          <w:trHeight w:val="1333" w:hRule="exact"/>
        </w:trPr>
        <w:tc>
          <w:tcPr>
            <w:tcW w:w="336" w:type="dxa"/>
            <w:vMerge/>
          </w:tcPr>
          <w:p>
            <w:pPr/>
          </w:p>
        </w:tc>
        <w:tc>
          <w:tcPr>
            <w:tcW w:w="359" w:type="dxa"/>
            <w:tcBorders>
              <w:top w:val="single" w:sz="7" w:space="0" w:color="000000"/>
            </w:tcBorders>
          </w:tcPr>
          <w:p>
            <w:pPr>
              <w:pStyle w:val="TableParagraph"/>
              <w:jc w:val="left"/>
              <w:rPr>
                <w:rFonts w:ascii="Calibri"/>
                <w:b/>
                <w:sz w:val="10"/>
              </w:rPr>
            </w:pPr>
          </w:p>
          <w:p>
            <w:pPr>
              <w:pStyle w:val="TableParagraph"/>
              <w:jc w:val="left"/>
              <w:rPr>
                <w:rFonts w:ascii="Calibri"/>
                <w:b/>
                <w:sz w:val="10"/>
              </w:rPr>
            </w:pPr>
          </w:p>
          <w:p>
            <w:pPr>
              <w:pStyle w:val="TableParagraph"/>
              <w:jc w:val="left"/>
              <w:rPr>
                <w:rFonts w:ascii="Calibri"/>
                <w:b/>
                <w:sz w:val="10"/>
              </w:rPr>
            </w:pPr>
          </w:p>
          <w:p>
            <w:pPr>
              <w:pStyle w:val="TableParagraph"/>
              <w:spacing w:before="4"/>
              <w:jc w:val="left"/>
              <w:rPr>
                <w:rFonts w:ascii="Calibri"/>
                <w:b/>
                <w:sz w:val="7"/>
              </w:rPr>
            </w:pPr>
          </w:p>
          <w:p>
            <w:pPr>
              <w:pStyle w:val="TableParagraph"/>
              <w:ind w:left="9"/>
              <w:jc w:val="center"/>
              <w:rPr>
                <w:rFonts w:ascii="Calibri"/>
                <w:b/>
                <w:sz w:val="11"/>
              </w:rPr>
            </w:pPr>
            <w:r>
              <w:rPr>
                <w:rFonts w:ascii="Calibri"/>
                <w:b/>
                <w:w w:val="104"/>
                <w:sz w:val="11"/>
              </w:rPr>
              <w:t>-</w:t>
            </w:r>
          </w:p>
        </w:tc>
        <w:tc>
          <w:tcPr>
            <w:tcW w:w="1533" w:type="dxa"/>
            <w:tcBorders>
              <w:top w:val="single" w:sz="7" w:space="0" w:color="000000"/>
              <w:right w:val="nil"/>
            </w:tcBorders>
          </w:tcPr>
          <w:p>
            <w:pPr>
              <w:pStyle w:val="TableParagraph"/>
              <w:spacing w:before="89"/>
              <w:ind w:left="211"/>
              <w:jc w:val="left"/>
              <w:rPr>
                <w:rFonts w:ascii="Times New Roman"/>
                <w:b/>
                <w:sz w:val="12"/>
              </w:rPr>
            </w:pPr>
            <w:r>
              <w:rPr>
                <w:rFonts w:ascii="Times New Roman"/>
                <w:b/>
                <w:w w:val="105"/>
                <w:sz w:val="12"/>
              </w:rPr>
              <w:t>TIPO III-a</w:t>
            </w:r>
          </w:p>
          <w:p>
            <w:pPr>
              <w:pStyle w:val="TableParagraph"/>
              <w:spacing w:before="105"/>
              <w:ind w:left="141"/>
              <w:jc w:val="left"/>
              <w:rPr>
                <w:rFonts w:ascii="Calibri"/>
                <w:sz w:val="11"/>
              </w:rPr>
            </w:pPr>
            <w:r>
              <w:rPr>
                <w:rFonts w:ascii="Calibri"/>
                <w:w w:val="105"/>
                <w:sz w:val="11"/>
              </w:rPr>
              <w:t>2003</w:t>
            </w:r>
          </w:p>
          <w:p>
            <w:pPr>
              <w:pStyle w:val="TableParagraph"/>
              <w:jc w:val="left"/>
              <w:rPr>
                <w:rFonts w:ascii="Calibri"/>
                <w:b/>
                <w:sz w:val="10"/>
              </w:rPr>
            </w:pPr>
          </w:p>
          <w:p>
            <w:pPr>
              <w:pStyle w:val="TableParagraph"/>
              <w:jc w:val="left"/>
              <w:rPr>
                <w:rFonts w:ascii="Calibri"/>
                <w:b/>
                <w:sz w:val="10"/>
              </w:rPr>
            </w:pPr>
          </w:p>
          <w:p>
            <w:pPr>
              <w:pStyle w:val="TableParagraph"/>
              <w:jc w:val="left"/>
              <w:rPr>
                <w:rFonts w:ascii="Calibri"/>
                <w:b/>
                <w:sz w:val="10"/>
              </w:rPr>
            </w:pPr>
          </w:p>
          <w:p>
            <w:pPr>
              <w:pStyle w:val="TableParagraph"/>
              <w:spacing w:before="4"/>
              <w:jc w:val="left"/>
              <w:rPr>
                <w:rFonts w:ascii="Calibri"/>
                <w:b/>
                <w:sz w:val="7"/>
              </w:rPr>
            </w:pPr>
          </w:p>
          <w:p>
            <w:pPr>
              <w:pStyle w:val="TableParagraph"/>
              <w:ind w:left="734"/>
              <w:jc w:val="left"/>
              <w:rPr>
                <w:rFonts w:ascii="Times New Roman"/>
                <w:b/>
                <w:sz w:val="12"/>
              </w:rPr>
            </w:pPr>
            <w:r>
              <w:rPr>
                <w:rFonts w:ascii="Times New Roman"/>
                <w:b/>
                <w:w w:val="105"/>
                <w:sz w:val="12"/>
              </w:rPr>
              <w:t>TIPO III-b</w:t>
            </w:r>
          </w:p>
        </w:tc>
        <w:tc>
          <w:tcPr>
            <w:tcW w:w="888" w:type="dxa"/>
            <w:tcBorders>
              <w:top w:val="single" w:sz="7" w:space="0" w:color="000000"/>
              <w:left w:val="nil"/>
              <w:right w:val="nil"/>
            </w:tcBorders>
          </w:tcPr>
          <w:p>
            <w:pPr>
              <w:pStyle w:val="TableParagraph"/>
              <w:jc w:val="left"/>
              <w:rPr>
                <w:rFonts w:ascii="Calibri"/>
                <w:b/>
                <w:sz w:val="12"/>
              </w:rPr>
            </w:pPr>
          </w:p>
          <w:p>
            <w:pPr>
              <w:pStyle w:val="TableParagraph"/>
              <w:spacing w:before="92"/>
              <w:ind w:left="288"/>
              <w:jc w:val="left"/>
              <w:rPr>
                <w:rFonts w:ascii="Times New Roman"/>
                <w:b/>
                <w:sz w:val="12"/>
              </w:rPr>
            </w:pPr>
            <w:r>
              <w:rPr>
                <w:rFonts w:ascii="Times New Roman"/>
                <w:b/>
                <w:w w:val="105"/>
                <w:sz w:val="12"/>
              </w:rPr>
              <w:t>TIPO IV</w:t>
            </w:r>
          </w:p>
        </w:tc>
        <w:tc>
          <w:tcPr>
            <w:tcW w:w="169" w:type="dxa"/>
            <w:tcBorders>
              <w:top w:val="single" w:sz="7" w:space="0" w:color="000000"/>
              <w:left w:val="nil"/>
              <w:right w:val="nil"/>
            </w:tcBorders>
          </w:tcPr>
          <w:p>
            <w:pPr/>
          </w:p>
        </w:tc>
        <w:tc>
          <w:tcPr>
            <w:tcW w:w="916" w:type="dxa"/>
            <w:tcBorders>
              <w:top w:val="single" w:sz="7" w:space="0" w:color="000000"/>
              <w:left w:val="nil"/>
            </w:tcBorders>
          </w:tcPr>
          <w:p>
            <w:pPr/>
          </w:p>
        </w:tc>
      </w:tr>
    </w:tbl>
    <w:p>
      <w:pPr>
        <w:spacing w:before="65"/>
        <w:ind w:left="2423" w:right="121" w:firstLine="0"/>
        <w:jc w:val="left"/>
        <w:rPr>
          <w:rFonts w:ascii="Calibri" w:hAnsi="Calibri"/>
          <w:sz w:val="9"/>
        </w:rPr>
      </w:pPr>
      <w:r>
        <w:rPr/>
        <w:pict>
          <v:line style="position:absolute;mso-position-horizontal-relative:page;mso-position-vertical-relative:paragraph;z-index:-463936" from="250.247498pt,-1.373954pt" to="425.488566pt,-144.338089pt" stroked="true" strokeweight=".431306pt" strokecolor="#000000">
            <w10:wrap type="none"/>
          </v:line>
        </w:pict>
      </w:r>
      <w:r>
        <w:rPr>
          <w:rFonts w:ascii="Calibri" w:hAnsi="Calibri"/>
          <w:sz w:val="9"/>
        </w:rPr>
        <w:t>Fuente: Elaboración propia.</w:t>
      </w:r>
    </w:p>
    <w:p>
      <w:pPr>
        <w:pStyle w:val="BodyText"/>
        <w:spacing w:before="10"/>
        <w:rPr>
          <w:rFonts w:ascii="Calibri"/>
          <w:sz w:val="16"/>
        </w:rPr>
      </w:pPr>
    </w:p>
    <w:p>
      <w:pPr>
        <w:spacing w:before="75"/>
        <w:ind w:left="674" w:right="0" w:firstLine="0"/>
        <w:jc w:val="center"/>
        <w:rPr>
          <w:rFonts w:ascii="Calibri"/>
          <w:b/>
          <w:sz w:val="14"/>
        </w:rPr>
      </w:pPr>
      <w:r>
        <w:rPr>
          <w:rFonts w:ascii="Calibri"/>
          <w:b/>
          <w:w w:val="105"/>
          <w:sz w:val="14"/>
        </w:rPr>
        <w:t>Figura 3.2</w:t>
      </w:r>
    </w:p>
    <w:p>
      <w:pPr>
        <w:spacing w:before="5"/>
        <w:ind w:left="675" w:right="0" w:firstLine="0"/>
        <w:jc w:val="center"/>
        <w:rPr>
          <w:rFonts w:ascii="Calibri" w:hAnsi="Calibri"/>
          <w:b/>
          <w:i/>
          <w:sz w:val="14"/>
        </w:rPr>
      </w:pPr>
      <w:r>
        <w:rPr>
          <w:rFonts w:ascii="Calibri" w:hAnsi="Calibri"/>
          <w:b/>
          <w:sz w:val="14"/>
        </w:rPr>
        <w:t>Tipología  Regional </w:t>
      </w:r>
      <w:r>
        <w:rPr>
          <w:rFonts w:ascii="Calibri" w:hAnsi="Calibri"/>
          <w:b/>
          <w:i/>
          <w:sz w:val="14"/>
        </w:rPr>
        <w:t>Shift-Share</w:t>
      </w:r>
    </w:p>
    <w:p>
      <w:pPr>
        <w:spacing w:line="247" w:lineRule="auto" w:before="6"/>
        <w:ind w:left="4139" w:right="3466" w:firstLine="0"/>
        <w:jc w:val="center"/>
        <w:rPr>
          <w:rFonts w:ascii="Calibri" w:hAnsi="Calibri"/>
          <w:b/>
          <w:sz w:val="14"/>
        </w:rPr>
      </w:pPr>
      <w:r>
        <w:rPr>
          <w:rFonts w:ascii="Calibri" w:hAnsi="Calibri"/>
          <w:b/>
          <w:w w:val="105"/>
          <w:sz w:val="14"/>
        </w:rPr>
        <w:t>Región Valle de México </w:t>
      </w:r>
      <w:r>
        <w:rPr>
          <w:rFonts w:ascii="Calibri" w:hAnsi="Calibri"/>
          <w:b/>
          <w:sz w:val="14"/>
        </w:rPr>
        <w:t>Valor Agregado</w:t>
      </w:r>
    </w:p>
    <w:p>
      <w:pPr>
        <w:spacing w:before="0"/>
        <w:ind w:left="674" w:right="0" w:firstLine="0"/>
        <w:jc w:val="center"/>
        <w:rPr>
          <w:rFonts w:ascii="Calibri"/>
          <w:b/>
          <w:sz w:val="14"/>
        </w:rPr>
      </w:pPr>
      <w:r>
        <w:rPr>
          <w:rFonts w:ascii="Calibri"/>
          <w:b/>
          <w:w w:val="105"/>
          <w:sz w:val="14"/>
        </w:rPr>
        <w:t>1970 -2008</w:t>
      </w:r>
    </w:p>
    <w:p>
      <w:pPr>
        <w:pStyle w:val="BodyText"/>
        <w:spacing w:before="3"/>
        <w:rPr>
          <w:rFonts w:ascii="Calibri"/>
          <w:b/>
          <w:sz w:val="5"/>
        </w:rPr>
      </w:pPr>
    </w:p>
    <w:tbl>
      <w:tblPr>
        <w:tblW w:w="0" w:type="auto"/>
        <w:jc w:val="left"/>
        <w:tblInd w:w="26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1"/>
        <w:gridCol w:w="375"/>
        <w:gridCol w:w="1580"/>
        <w:gridCol w:w="913"/>
        <w:gridCol w:w="279"/>
        <w:gridCol w:w="891"/>
      </w:tblGrid>
      <w:tr>
        <w:trPr>
          <w:trHeight w:val="475" w:hRule="exact"/>
        </w:trPr>
        <w:tc>
          <w:tcPr>
            <w:tcW w:w="4390" w:type="dxa"/>
            <w:gridSpan w:val="6"/>
          </w:tcPr>
          <w:p>
            <w:pPr>
              <w:pStyle w:val="TableParagraph"/>
              <w:spacing w:before="11"/>
              <w:jc w:val="left"/>
              <w:rPr>
                <w:rFonts w:ascii="Calibri"/>
                <w:b/>
                <w:sz w:val="11"/>
              </w:rPr>
            </w:pPr>
          </w:p>
          <w:p>
            <w:pPr>
              <w:pStyle w:val="TableParagraph"/>
              <w:ind w:left="1461" w:right="1922"/>
              <w:jc w:val="center"/>
              <w:rPr>
                <w:rFonts w:ascii="Times New Roman"/>
                <w:b/>
                <w:i/>
                <w:sz w:val="13"/>
              </w:rPr>
            </w:pPr>
            <w:r>
              <w:rPr>
                <w:rFonts w:ascii="Times New Roman"/>
                <w:b/>
                <w:i/>
                <w:sz w:val="13"/>
              </w:rPr>
              <w:t>Efecto diferencial</w:t>
            </w:r>
          </w:p>
        </w:tc>
      </w:tr>
      <w:tr>
        <w:trPr>
          <w:trHeight w:val="353" w:hRule="exact"/>
        </w:trPr>
        <w:tc>
          <w:tcPr>
            <w:tcW w:w="351" w:type="dxa"/>
            <w:vMerge w:val="restart"/>
          </w:tcPr>
          <w:p>
            <w:pPr>
              <w:pStyle w:val="TableParagraph"/>
              <w:spacing w:before="88"/>
              <w:ind w:left="164"/>
              <w:jc w:val="both"/>
              <w:rPr>
                <w:rFonts w:ascii="Times New Roman"/>
                <w:b/>
                <w:i/>
                <w:sz w:val="13"/>
              </w:rPr>
            </w:pPr>
            <w:r>
              <w:rPr>
                <w:rFonts w:ascii="Times New Roman"/>
                <w:b/>
                <w:i/>
                <w:w w:val="102"/>
                <w:sz w:val="13"/>
              </w:rPr>
              <w:t>E</w:t>
            </w:r>
          </w:p>
          <w:p>
            <w:pPr>
              <w:pStyle w:val="TableParagraph"/>
              <w:spacing w:line="280" w:lineRule="auto" w:before="27"/>
              <w:ind w:left="164" w:right="108"/>
              <w:jc w:val="both"/>
              <w:rPr>
                <w:rFonts w:ascii="Times New Roman"/>
                <w:b/>
                <w:i/>
                <w:sz w:val="13"/>
              </w:rPr>
            </w:pPr>
            <w:r>
              <w:rPr>
                <w:rFonts w:ascii="Times New Roman"/>
                <w:b/>
                <w:i/>
                <w:sz w:val="13"/>
              </w:rPr>
              <w:t>f </w:t>
            </w:r>
            <w:r>
              <w:rPr>
                <w:rFonts w:ascii="Times New Roman"/>
                <w:b/>
                <w:i/>
                <w:sz w:val="13"/>
              </w:rPr>
              <w:t>e c t o</w:t>
            </w:r>
          </w:p>
          <w:p>
            <w:pPr>
              <w:pStyle w:val="TableParagraph"/>
              <w:spacing w:before="4"/>
              <w:jc w:val="left"/>
              <w:rPr>
                <w:rFonts w:ascii="Calibri"/>
                <w:b/>
                <w:sz w:val="14"/>
              </w:rPr>
            </w:pPr>
          </w:p>
          <w:p>
            <w:pPr>
              <w:pStyle w:val="TableParagraph"/>
              <w:spacing w:line="280" w:lineRule="auto" w:before="1"/>
              <w:ind w:left="164" w:right="101"/>
              <w:jc w:val="both"/>
              <w:rPr>
                <w:rFonts w:ascii="Times New Roman"/>
                <w:b/>
                <w:i/>
                <w:sz w:val="13"/>
              </w:rPr>
            </w:pPr>
            <w:r>
              <w:rPr>
                <w:rFonts w:ascii="Times New Roman"/>
                <w:b/>
                <w:i/>
                <w:sz w:val="13"/>
              </w:rPr>
              <w:t>e </w:t>
            </w:r>
            <w:r>
              <w:rPr>
                <w:rFonts w:ascii="Times New Roman"/>
                <w:b/>
                <w:i/>
                <w:sz w:val="13"/>
              </w:rPr>
              <w:t>s t r u c t u r a l</w:t>
            </w:r>
          </w:p>
        </w:tc>
        <w:tc>
          <w:tcPr>
            <w:tcW w:w="375" w:type="dxa"/>
          </w:tcPr>
          <w:p>
            <w:pPr/>
          </w:p>
        </w:tc>
        <w:tc>
          <w:tcPr>
            <w:tcW w:w="1580" w:type="dxa"/>
            <w:tcBorders>
              <w:right w:val="nil"/>
            </w:tcBorders>
          </w:tcPr>
          <w:p>
            <w:pPr>
              <w:pStyle w:val="TableParagraph"/>
              <w:spacing w:before="9"/>
              <w:jc w:val="left"/>
              <w:rPr>
                <w:rFonts w:ascii="Calibri"/>
                <w:b/>
                <w:sz w:val="12"/>
              </w:rPr>
            </w:pPr>
          </w:p>
          <w:p>
            <w:pPr>
              <w:pStyle w:val="TableParagraph"/>
              <w:spacing w:before="1"/>
              <w:ind w:right="419"/>
              <w:jc w:val="center"/>
              <w:rPr>
                <w:rFonts w:ascii="Calibri"/>
                <w:b/>
                <w:sz w:val="12"/>
              </w:rPr>
            </w:pPr>
            <w:r>
              <w:rPr>
                <w:rFonts w:ascii="Calibri"/>
                <w:b/>
                <w:w w:val="99"/>
                <w:sz w:val="12"/>
              </w:rPr>
              <w:t>+</w:t>
            </w:r>
          </w:p>
        </w:tc>
        <w:tc>
          <w:tcPr>
            <w:tcW w:w="913" w:type="dxa"/>
            <w:tcBorders>
              <w:left w:val="nil"/>
              <w:right w:val="nil"/>
            </w:tcBorders>
          </w:tcPr>
          <w:p>
            <w:pPr/>
          </w:p>
        </w:tc>
        <w:tc>
          <w:tcPr>
            <w:tcW w:w="279" w:type="dxa"/>
            <w:tcBorders>
              <w:left w:val="nil"/>
              <w:right w:val="nil"/>
            </w:tcBorders>
          </w:tcPr>
          <w:p>
            <w:pPr>
              <w:pStyle w:val="TableParagraph"/>
              <w:spacing w:before="9"/>
              <w:jc w:val="left"/>
              <w:rPr>
                <w:rFonts w:ascii="Calibri"/>
                <w:b/>
                <w:sz w:val="12"/>
              </w:rPr>
            </w:pPr>
          </w:p>
          <w:p>
            <w:pPr>
              <w:pStyle w:val="TableParagraph"/>
              <w:spacing w:before="1"/>
              <w:ind w:right="57"/>
              <w:jc w:val="center"/>
              <w:rPr>
                <w:rFonts w:ascii="Calibri"/>
                <w:sz w:val="12"/>
              </w:rPr>
            </w:pPr>
            <w:r>
              <w:rPr>
                <w:rFonts w:ascii="Calibri"/>
                <w:w w:val="99"/>
                <w:sz w:val="12"/>
              </w:rPr>
              <w:t>-</w:t>
            </w:r>
          </w:p>
        </w:tc>
        <w:tc>
          <w:tcPr>
            <w:tcW w:w="891" w:type="dxa"/>
            <w:tcBorders>
              <w:left w:val="nil"/>
            </w:tcBorders>
          </w:tcPr>
          <w:p>
            <w:pPr/>
          </w:p>
        </w:tc>
      </w:tr>
      <w:tr>
        <w:trPr>
          <w:trHeight w:val="341" w:hRule="exact"/>
        </w:trPr>
        <w:tc>
          <w:tcPr>
            <w:tcW w:w="351" w:type="dxa"/>
            <w:vMerge/>
          </w:tcPr>
          <w:p>
            <w:pPr/>
          </w:p>
        </w:tc>
        <w:tc>
          <w:tcPr>
            <w:tcW w:w="375" w:type="dxa"/>
            <w:tcBorders>
              <w:bottom w:val="nil"/>
            </w:tcBorders>
          </w:tcPr>
          <w:p>
            <w:pPr/>
          </w:p>
        </w:tc>
        <w:tc>
          <w:tcPr>
            <w:tcW w:w="1580" w:type="dxa"/>
            <w:tcBorders>
              <w:bottom w:val="nil"/>
              <w:right w:val="nil"/>
            </w:tcBorders>
          </w:tcPr>
          <w:p>
            <w:pPr>
              <w:pStyle w:val="TableParagraph"/>
              <w:spacing w:before="6"/>
              <w:jc w:val="left"/>
              <w:rPr>
                <w:rFonts w:ascii="Calibri"/>
                <w:b/>
                <w:sz w:val="10"/>
              </w:rPr>
            </w:pPr>
          </w:p>
          <w:p>
            <w:pPr>
              <w:pStyle w:val="TableParagraph"/>
              <w:ind w:left="147"/>
              <w:jc w:val="left"/>
              <w:rPr>
                <w:rFonts w:ascii="Times New Roman"/>
                <w:b/>
                <w:sz w:val="13"/>
              </w:rPr>
            </w:pPr>
            <w:r>
              <w:rPr>
                <w:rFonts w:ascii="Times New Roman"/>
                <w:b/>
                <w:sz w:val="13"/>
              </w:rPr>
              <w:t>TIPO I</w:t>
            </w:r>
          </w:p>
        </w:tc>
        <w:tc>
          <w:tcPr>
            <w:tcW w:w="913" w:type="dxa"/>
            <w:tcBorders>
              <w:left w:val="nil"/>
              <w:bottom w:val="nil"/>
              <w:right w:val="nil"/>
            </w:tcBorders>
          </w:tcPr>
          <w:p>
            <w:pPr>
              <w:pStyle w:val="TableParagraph"/>
              <w:spacing w:before="6"/>
              <w:jc w:val="left"/>
              <w:rPr>
                <w:rFonts w:ascii="Calibri"/>
                <w:b/>
                <w:sz w:val="10"/>
              </w:rPr>
            </w:pPr>
          </w:p>
          <w:p>
            <w:pPr>
              <w:pStyle w:val="TableParagraph"/>
              <w:ind w:left="324"/>
              <w:jc w:val="left"/>
              <w:rPr>
                <w:rFonts w:ascii="Times New Roman"/>
                <w:b/>
                <w:sz w:val="13"/>
              </w:rPr>
            </w:pPr>
            <w:r>
              <w:rPr>
                <w:rFonts w:ascii="Times New Roman"/>
                <w:b/>
                <w:sz w:val="13"/>
              </w:rPr>
              <w:t>TIPO II-a</w:t>
            </w:r>
          </w:p>
        </w:tc>
        <w:tc>
          <w:tcPr>
            <w:tcW w:w="279" w:type="dxa"/>
            <w:tcBorders>
              <w:left w:val="nil"/>
              <w:bottom w:val="nil"/>
              <w:right w:val="nil"/>
            </w:tcBorders>
          </w:tcPr>
          <w:p>
            <w:pPr/>
          </w:p>
        </w:tc>
        <w:tc>
          <w:tcPr>
            <w:tcW w:w="891" w:type="dxa"/>
            <w:tcBorders>
              <w:left w:val="nil"/>
              <w:bottom w:val="nil"/>
            </w:tcBorders>
          </w:tcPr>
          <w:p>
            <w:pPr/>
          </w:p>
        </w:tc>
      </w:tr>
      <w:tr>
        <w:trPr>
          <w:trHeight w:val="193" w:hRule="exact"/>
        </w:trPr>
        <w:tc>
          <w:tcPr>
            <w:tcW w:w="351" w:type="dxa"/>
            <w:vMerge/>
          </w:tcPr>
          <w:p>
            <w:pPr/>
          </w:p>
        </w:tc>
        <w:tc>
          <w:tcPr>
            <w:tcW w:w="375" w:type="dxa"/>
            <w:tcBorders>
              <w:top w:val="nil"/>
              <w:bottom w:val="nil"/>
            </w:tcBorders>
          </w:tcPr>
          <w:p>
            <w:pPr/>
          </w:p>
        </w:tc>
        <w:tc>
          <w:tcPr>
            <w:tcW w:w="1580" w:type="dxa"/>
            <w:tcBorders>
              <w:top w:val="nil"/>
              <w:bottom w:val="nil"/>
              <w:right w:val="nil"/>
            </w:tcBorders>
          </w:tcPr>
          <w:p>
            <w:pPr>
              <w:pStyle w:val="TableParagraph"/>
              <w:spacing w:before="36"/>
              <w:ind w:left="510" w:right="663"/>
              <w:jc w:val="center"/>
              <w:rPr>
                <w:rFonts w:ascii="Calibri"/>
                <w:sz w:val="12"/>
              </w:rPr>
            </w:pPr>
            <w:r>
              <w:rPr>
                <w:rFonts w:ascii="Calibri"/>
                <w:sz w:val="12"/>
              </w:rPr>
              <w:t>1975</w:t>
            </w:r>
          </w:p>
        </w:tc>
        <w:tc>
          <w:tcPr>
            <w:tcW w:w="913" w:type="dxa"/>
            <w:tcBorders>
              <w:top w:val="nil"/>
              <w:left w:val="nil"/>
              <w:bottom w:val="nil"/>
              <w:right w:val="nil"/>
            </w:tcBorders>
          </w:tcPr>
          <w:p>
            <w:pPr/>
          </w:p>
        </w:tc>
        <w:tc>
          <w:tcPr>
            <w:tcW w:w="279" w:type="dxa"/>
            <w:tcBorders>
              <w:top w:val="nil"/>
              <w:left w:val="nil"/>
              <w:bottom w:val="nil"/>
              <w:right w:val="nil"/>
            </w:tcBorders>
          </w:tcPr>
          <w:p>
            <w:pPr/>
          </w:p>
        </w:tc>
        <w:tc>
          <w:tcPr>
            <w:tcW w:w="891" w:type="dxa"/>
            <w:tcBorders>
              <w:top w:val="nil"/>
              <w:left w:val="nil"/>
              <w:bottom w:val="nil"/>
            </w:tcBorders>
          </w:tcPr>
          <w:p>
            <w:pPr/>
          </w:p>
        </w:tc>
      </w:tr>
      <w:tr>
        <w:trPr>
          <w:trHeight w:val="217" w:hRule="exact"/>
        </w:trPr>
        <w:tc>
          <w:tcPr>
            <w:tcW w:w="351" w:type="dxa"/>
            <w:vMerge/>
          </w:tcPr>
          <w:p>
            <w:pPr/>
          </w:p>
        </w:tc>
        <w:tc>
          <w:tcPr>
            <w:tcW w:w="375" w:type="dxa"/>
            <w:tcBorders>
              <w:top w:val="nil"/>
              <w:bottom w:val="nil"/>
            </w:tcBorders>
            <w:textDirection w:val="btLr"/>
          </w:tcPr>
          <w:p>
            <w:pPr>
              <w:pStyle w:val="TableParagraph"/>
              <w:spacing w:before="11"/>
              <w:jc w:val="left"/>
              <w:rPr>
                <w:rFonts w:ascii="Calibri"/>
                <w:b/>
                <w:sz w:val="10"/>
              </w:rPr>
            </w:pPr>
          </w:p>
          <w:p>
            <w:pPr>
              <w:pStyle w:val="TableParagraph"/>
              <w:ind w:left="89"/>
              <w:jc w:val="left"/>
              <w:rPr>
                <w:rFonts w:ascii="Calibri"/>
                <w:b/>
                <w:sz w:val="12"/>
              </w:rPr>
            </w:pPr>
            <w:r>
              <w:rPr>
                <w:rFonts w:ascii="Calibri"/>
                <w:b/>
                <w:w w:val="99"/>
                <w:sz w:val="12"/>
              </w:rPr>
              <w:t>+</w:t>
            </w:r>
          </w:p>
        </w:tc>
        <w:tc>
          <w:tcPr>
            <w:tcW w:w="1580" w:type="dxa"/>
            <w:tcBorders>
              <w:top w:val="nil"/>
              <w:bottom w:val="nil"/>
              <w:right w:val="nil"/>
            </w:tcBorders>
          </w:tcPr>
          <w:p>
            <w:pPr>
              <w:pStyle w:val="TableParagraph"/>
              <w:spacing w:line="134" w:lineRule="exact"/>
              <w:ind w:left="510" w:right="663"/>
              <w:jc w:val="center"/>
              <w:rPr>
                <w:rFonts w:ascii="Calibri"/>
                <w:sz w:val="12"/>
              </w:rPr>
            </w:pPr>
            <w:r>
              <w:rPr>
                <w:rFonts w:ascii="Calibri"/>
                <w:sz w:val="12"/>
              </w:rPr>
              <w:t>1988</w:t>
            </w:r>
          </w:p>
        </w:tc>
        <w:tc>
          <w:tcPr>
            <w:tcW w:w="913" w:type="dxa"/>
            <w:tcBorders>
              <w:top w:val="nil"/>
              <w:left w:val="nil"/>
              <w:bottom w:val="nil"/>
              <w:right w:val="nil"/>
            </w:tcBorders>
          </w:tcPr>
          <w:p>
            <w:pPr/>
          </w:p>
        </w:tc>
        <w:tc>
          <w:tcPr>
            <w:tcW w:w="279" w:type="dxa"/>
            <w:tcBorders>
              <w:top w:val="nil"/>
              <w:left w:val="nil"/>
              <w:bottom w:val="nil"/>
              <w:right w:val="nil"/>
            </w:tcBorders>
          </w:tcPr>
          <w:p>
            <w:pPr/>
          </w:p>
        </w:tc>
        <w:tc>
          <w:tcPr>
            <w:tcW w:w="891" w:type="dxa"/>
            <w:tcBorders>
              <w:top w:val="nil"/>
              <w:left w:val="nil"/>
              <w:bottom w:val="nil"/>
            </w:tcBorders>
          </w:tcPr>
          <w:p>
            <w:pPr/>
          </w:p>
        </w:tc>
      </w:tr>
      <w:tr>
        <w:trPr>
          <w:trHeight w:val="332" w:hRule="exact"/>
        </w:trPr>
        <w:tc>
          <w:tcPr>
            <w:tcW w:w="351" w:type="dxa"/>
            <w:vMerge/>
          </w:tcPr>
          <w:p>
            <w:pPr/>
          </w:p>
        </w:tc>
        <w:tc>
          <w:tcPr>
            <w:tcW w:w="375" w:type="dxa"/>
            <w:tcBorders>
              <w:top w:val="nil"/>
              <w:bottom w:val="nil"/>
            </w:tcBorders>
          </w:tcPr>
          <w:p>
            <w:pPr/>
          </w:p>
        </w:tc>
        <w:tc>
          <w:tcPr>
            <w:tcW w:w="1580" w:type="dxa"/>
            <w:tcBorders>
              <w:top w:val="nil"/>
              <w:bottom w:val="nil"/>
              <w:right w:val="nil"/>
            </w:tcBorders>
          </w:tcPr>
          <w:p>
            <w:pPr/>
          </w:p>
        </w:tc>
        <w:tc>
          <w:tcPr>
            <w:tcW w:w="913" w:type="dxa"/>
            <w:tcBorders>
              <w:top w:val="nil"/>
              <w:left w:val="nil"/>
              <w:bottom w:val="nil"/>
              <w:right w:val="nil"/>
            </w:tcBorders>
          </w:tcPr>
          <w:p>
            <w:pPr/>
          </w:p>
        </w:tc>
        <w:tc>
          <w:tcPr>
            <w:tcW w:w="279" w:type="dxa"/>
            <w:tcBorders>
              <w:top w:val="nil"/>
              <w:left w:val="nil"/>
              <w:bottom w:val="nil"/>
              <w:right w:val="nil"/>
            </w:tcBorders>
          </w:tcPr>
          <w:p>
            <w:pPr/>
          </w:p>
        </w:tc>
        <w:tc>
          <w:tcPr>
            <w:tcW w:w="891" w:type="dxa"/>
            <w:tcBorders>
              <w:top w:val="nil"/>
              <w:left w:val="nil"/>
              <w:bottom w:val="nil"/>
            </w:tcBorders>
          </w:tcPr>
          <w:p>
            <w:pPr>
              <w:pStyle w:val="TableParagraph"/>
              <w:spacing w:before="61"/>
              <w:ind w:left="73"/>
              <w:jc w:val="left"/>
              <w:rPr>
                <w:rFonts w:ascii="Calibri"/>
                <w:sz w:val="12"/>
              </w:rPr>
            </w:pPr>
            <w:r>
              <w:rPr>
                <w:rFonts w:ascii="Calibri"/>
                <w:sz w:val="12"/>
              </w:rPr>
              <w:t>2003</w:t>
            </w:r>
          </w:p>
        </w:tc>
      </w:tr>
      <w:tr>
        <w:trPr>
          <w:trHeight w:val="537" w:hRule="exact"/>
        </w:trPr>
        <w:tc>
          <w:tcPr>
            <w:tcW w:w="351" w:type="dxa"/>
            <w:vMerge/>
          </w:tcPr>
          <w:p>
            <w:pPr/>
          </w:p>
        </w:tc>
        <w:tc>
          <w:tcPr>
            <w:tcW w:w="375" w:type="dxa"/>
            <w:tcBorders>
              <w:top w:val="nil"/>
              <w:bottom w:val="single" w:sz="7" w:space="0" w:color="000000"/>
            </w:tcBorders>
          </w:tcPr>
          <w:p>
            <w:pPr/>
          </w:p>
        </w:tc>
        <w:tc>
          <w:tcPr>
            <w:tcW w:w="1580" w:type="dxa"/>
            <w:tcBorders>
              <w:top w:val="nil"/>
              <w:bottom w:val="single" w:sz="7" w:space="0" w:color="000000"/>
              <w:right w:val="nil"/>
            </w:tcBorders>
          </w:tcPr>
          <w:p>
            <w:pPr/>
          </w:p>
        </w:tc>
        <w:tc>
          <w:tcPr>
            <w:tcW w:w="913" w:type="dxa"/>
            <w:tcBorders>
              <w:top w:val="nil"/>
              <w:left w:val="nil"/>
              <w:bottom w:val="single" w:sz="7" w:space="0" w:color="000000"/>
              <w:right w:val="nil"/>
            </w:tcBorders>
          </w:tcPr>
          <w:p>
            <w:pPr/>
          </w:p>
        </w:tc>
        <w:tc>
          <w:tcPr>
            <w:tcW w:w="279" w:type="dxa"/>
            <w:tcBorders>
              <w:top w:val="nil"/>
              <w:left w:val="nil"/>
              <w:bottom w:val="single" w:sz="7" w:space="0" w:color="000000"/>
              <w:right w:val="nil"/>
            </w:tcBorders>
          </w:tcPr>
          <w:p>
            <w:pPr/>
          </w:p>
        </w:tc>
        <w:tc>
          <w:tcPr>
            <w:tcW w:w="891" w:type="dxa"/>
            <w:tcBorders>
              <w:top w:val="nil"/>
              <w:left w:val="nil"/>
              <w:bottom w:val="single" w:sz="7" w:space="0" w:color="000000"/>
            </w:tcBorders>
          </w:tcPr>
          <w:p>
            <w:pPr>
              <w:pStyle w:val="TableParagraph"/>
              <w:spacing w:before="3"/>
              <w:jc w:val="left"/>
              <w:rPr>
                <w:rFonts w:ascii="Calibri"/>
                <w:b/>
                <w:sz w:val="9"/>
              </w:rPr>
            </w:pPr>
          </w:p>
          <w:p>
            <w:pPr>
              <w:pStyle w:val="TableParagraph"/>
              <w:ind w:left="18"/>
              <w:jc w:val="left"/>
              <w:rPr>
                <w:rFonts w:ascii="Times New Roman"/>
                <w:b/>
                <w:sz w:val="13"/>
              </w:rPr>
            </w:pPr>
            <w:r>
              <w:rPr>
                <w:rFonts w:ascii="Times New Roman"/>
                <w:b/>
                <w:sz w:val="13"/>
              </w:rPr>
              <w:t>TIPO II-b</w:t>
            </w:r>
          </w:p>
        </w:tc>
      </w:tr>
      <w:tr>
        <w:trPr>
          <w:trHeight w:val="300" w:hRule="exact"/>
        </w:trPr>
        <w:tc>
          <w:tcPr>
            <w:tcW w:w="351" w:type="dxa"/>
            <w:vMerge/>
          </w:tcPr>
          <w:p>
            <w:pPr/>
          </w:p>
        </w:tc>
        <w:tc>
          <w:tcPr>
            <w:tcW w:w="375" w:type="dxa"/>
            <w:tcBorders>
              <w:top w:val="single" w:sz="7" w:space="0" w:color="000000"/>
              <w:bottom w:val="nil"/>
            </w:tcBorders>
          </w:tcPr>
          <w:p>
            <w:pPr/>
          </w:p>
        </w:tc>
        <w:tc>
          <w:tcPr>
            <w:tcW w:w="1580" w:type="dxa"/>
            <w:tcBorders>
              <w:top w:val="single" w:sz="7" w:space="0" w:color="000000"/>
              <w:bottom w:val="nil"/>
              <w:right w:val="nil"/>
            </w:tcBorders>
          </w:tcPr>
          <w:p>
            <w:pPr>
              <w:pStyle w:val="TableParagraph"/>
              <w:spacing w:before="90"/>
              <w:ind w:left="221"/>
              <w:jc w:val="left"/>
              <w:rPr>
                <w:rFonts w:ascii="Times New Roman"/>
                <w:b/>
                <w:sz w:val="13"/>
              </w:rPr>
            </w:pPr>
            <w:r>
              <w:rPr>
                <w:rFonts w:ascii="Times New Roman"/>
                <w:b/>
                <w:sz w:val="13"/>
              </w:rPr>
              <w:t>TIPO III-a</w:t>
            </w:r>
          </w:p>
        </w:tc>
        <w:tc>
          <w:tcPr>
            <w:tcW w:w="913" w:type="dxa"/>
            <w:tcBorders>
              <w:top w:val="single" w:sz="7" w:space="0" w:color="000000"/>
              <w:left w:val="nil"/>
              <w:bottom w:val="nil"/>
              <w:right w:val="nil"/>
            </w:tcBorders>
          </w:tcPr>
          <w:p>
            <w:pPr>
              <w:pStyle w:val="TableParagraph"/>
              <w:spacing w:before="90"/>
              <w:ind w:left="233"/>
              <w:jc w:val="left"/>
              <w:rPr>
                <w:rFonts w:ascii="Times New Roman"/>
                <w:b/>
                <w:sz w:val="13"/>
              </w:rPr>
            </w:pPr>
            <w:r>
              <w:rPr>
                <w:rFonts w:ascii="Times New Roman"/>
                <w:b/>
                <w:sz w:val="13"/>
              </w:rPr>
              <w:t>TIPO IV</w:t>
            </w:r>
          </w:p>
        </w:tc>
        <w:tc>
          <w:tcPr>
            <w:tcW w:w="279" w:type="dxa"/>
            <w:tcBorders>
              <w:top w:val="single" w:sz="7" w:space="0" w:color="000000"/>
              <w:left w:val="nil"/>
              <w:bottom w:val="nil"/>
              <w:right w:val="nil"/>
            </w:tcBorders>
          </w:tcPr>
          <w:p>
            <w:pPr/>
          </w:p>
        </w:tc>
        <w:tc>
          <w:tcPr>
            <w:tcW w:w="891" w:type="dxa"/>
            <w:tcBorders>
              <w:top w:val="single" w:sz="7" w:space="0" w:color="000000"/>
              <w:left w:val="nil"/>
              <w:bottom w:val="nil"/>
            </w:tcBorders>
          </w:tcPr>
          <w:p>
            <w:pPr/>
          </w:p>
        </w:tc>
      </w:tr>
      <w:tr>
        <w:trPr>
          <w:trHeight w:val="201" w:hRule="exact"/>
        </w:trPr>
        <w:tc>
          <w:tcPr>
            <w:tcW w:w="351" w:type="dxa"/>
            <w:vMerge/>
          </w:tcPr>
          <w:p>
            <w:pPr/>
          </w:p>
        </w:tc>
        <w:tc>
          <w:tcPr>
            <w:tcW w:w="375" w:type="dxa"/>
            <w:tcBorders>
              <w:top w:val="nil"/>
              <w:bottom w:val="nil"/>
            </w:tcBorders>
          </w:tcPr>
          <w:p>
            <w:pPr/>
          </w:p>
        </w:tc>
        <w:tc>
          <w:tcPr>
            <w:tcW w:w="1580" w:type="dxa"/>
            <w:tcBorders>
              <w:top w:val="nil"/>
              <w:bottom w:val="nil"/>
              <w:right w:val="nil"/>
            </w:tcBorders>
          </w:tcPr>
          <w:p>
            <w:pPr>
              <w:pStyle w:val="TableParagraph"/>
              <w:spacing w:before="29"/>
              <w:ind w:left="452" w:right="722"/>
              <w:jc w:val="center"/>
              <w:rPr>
                <w:rFonts w:ascii="Calibri"/>
                <w:sz w:val="12"/>
              </w:rPr>
            </w:pPr>
            <w:r>
              <w:rPr>
                <w:rFonts w:ascii="Calibri"/>
                <w:sz w:val="12"/>
              </w:rPr>
              <w:t>1980</w:t>
            </w:r>
          </w:p>
        </w:tc>
        <w:tc>
          <w:tcPr>
            <w:tcW w:w="913" w:type="dxa"/>
            <w:tcBorders>
              <w:top w:val="nil"/>
              <w:left w:val="nil"/>
              <w:bottom w:val="nil"/>
              <w:right w:val="nil"/>
            </w:tcBorders>
          </w:tcPr>
          <w:p>
            <w:pPr/>
          </w:p>
        </w:tc>
        <w:tc>
          <w:tcPr>
            <w:tcW w:w="279" w:type="dxa"/>
            <w:tcBorders>
              <w:top w:val="nil"/>
              <w:left w:val="nil"/>
              <w:bottom w:val="nil"/>
              <w:right w:val="nil"/>
            </w:tcBorders>
          </w:tcPr>
          <w:p>
            <w:pPr>
              <w:pStyle w:val="TableParagraph"/>
              <w:spacing w:before="50"/>
              <w:jc w:val="center"/>
              <w:rPr>
                <w:rFonts w:ascii="Calibri"/>
                <w:sz w:val="12"/>
              </w:rPr>
            </w:pPr>
            <w:r>
              <w:rPr>
                <w:rFonts w:ascii="Calibri"/>
                <w:sz w:val="12"/>
              </w:rPr>
              <w:t>1985</w:t>
            </w:r>
          </w:p>
        </w:tc>
        <w:tc>
          <w:tcPr>
            <w:tcW w:w="891" w:type="dxa"/>
            <w:tcBorders>
              <w:top w:val="nil"/>
              <w:left w:val="nil"/>
              <w:bottom w:val="nil"/>
            </w:tcBorders>
          </w:tcPr>
          <w:p>
            <w:pPr/>
          </w:p>
        </w:tc>
      </w:tr>
      <w:tr>
        <w:trPr>
          <w:trHeight w:val="155" w:hRule="exact"/>
        </w:trPr>
        <w:tc>
          <w:tcPr>
            <w:tcW w:w="351" w:type="dxa"/>
            <w:vMerge/>
          </w:tcPr>
          <w:p>
            <w:pPr/>
          </w:p>
        </w:tc>
        <w:tc>
          <w:tcPr>
            <w:tcW w:w="375" w:type="dxa"/>
            <w:tcBorders>
              <w:top w:val="nil"/>
              <w:bottom w:val="nil"/>
            </w:tcBorders>
          </w:tcPr>
          <w:p>
            <w:pPr>
              <w:pStyle w:val="TableParagraph"/>
              <w:spacing w:line="128" w:lineRule="exact"/>
              <w:ind w:left="9"/>
              <w:jc w:val="center"/>
              <w:rPr>
                <w:rFonts w:ascii="Calibri"/>
                <w:b/>
                <w:sz w:val="12"/>
              </w:rPr>
            </w:pPr>
            <w:r>
              <w:rPr>
                <w:rFonts w:ascii="Calibri"/>
                <w:b/>
                <w:w w:val="99"/>
                <w:sz w:val="12"/>
              </w:rPr>
              <w:t>-</w:t>
            </w:r>
          </w:p>
        </w:tc>
        <w:tc>
          <w:tcPr>
            <w:tcW w:w="1580" w:type="dxa"/>
            <w:tcBorders>
              <w:top w:val="nil"/>
              <w:bottom w:val="nil"/>
              <w:right w:val="nil"/>
            </w:tcBorders>
          </w:tcPr>
          <w:p>
            <w:pPr/>
          </w:p>
        </w:tc>
        <w:tc>
          <w:tcPr>
            <w:tcW w:w="913" w:type="dxa"/>
            <w:tcBorders>
              <w:top w:val="nil"/>
              <w:left w:val="nil"/>
              <w:bottom w:val="nil"/>
              <w:right w:val="nil"/>
            </w:tcBorders>
          </w:tcPr>
          <w:p>
            <w:pPr/>
          </w:p>
        </w:tc>
        <w:tc>
          <w:tcPr>
            <w:tcW w:w="279" w:type="dxa"/>
            <w:tcBorders>
              <w:top w:val="nil"/>
              <w:left w:val="nil"/>
              <w:bottom w:val="nil"/>
              <w:right w:val="nil"/>
            </w:tcBorders>
          </w:tcPr>
          <w:p>
            <w:pPr>
              <w:pStyle w:val="TableParagraph"/>
              <w:spacing w:line="144" w:lineRule="exact"/>
              <w:jc w:val="center"/>
              <w:rPr>
                <w:rFonts w:ascii="Calibri"/>
                <w:sz w:val="12"/>
              </w:rPr>
            </w:pPr>
            <w:r>
              <w:rPr>
                <w:rFonts w:ascii="Calibri"/>
                <w:sz w:val="12"/>
              </w:rPr>
              <w:t>1993</w:t>
            </w:r>
          </w:p>
        </w:tc>
        <w:tc>
          <w:tcPr>
            <w:tcW w:w="891" w:type="dxa"/>
            <w:tcBorders>
              <w:top w:val="nil"/>
              <w:left w:val="nil"/>
              <w:bottom w:val="nil"/>
            </w:tcBorders>
          </w:tcPr>
          <w:p>
            <w:pPr/>
          </w:p>
        </w:tc>
      </w:tr>
      <w:tr>
        <w:trPr>
          <w:trHeight w:val="144" w:hRule="exact"/>
        </w:trPr>
        <w:tc>
          <w:tcPr>
            <w:tcW w:w="351" w:type="dxa"/>
            <w:vMerge/>
          </w:tcPr>
          <w:p>
            <w:pPr/>
          </w:p>
        </w:tc>
        <w:tc>
          <w:tcPr>
            <w:tcW w:w="375" w:type="dxa"/>
            <w:tcBorders>
              <w:top w:val="nil"/>
              <w:bottom w:val="nil"/>
            </w:tcBorders>
          </w:tcPr>
          <w:p>
            <w:pPr/>
          </w:p>
        </w:tc>
        <w:tc>
          <w:tcPr>
            <w:tcW w:w="1580" w:type="dxa"/>
            <w:tcBorders>
              <w:top w:val="nil"/>
              <w:bottom w:val="nil"/>
              <w:right w:val="nil"/>
            </w:tcBorders>
          </w:tcPr>
          <w:p>
            <w:pPr/>
          </w:p>
        </w:tc>
        <w:tc>
          <w:tcPr>
            <w:tcW w:w="913" w:type="dxa"/>
            <w:tcBorders>
              <w:top w:val="nil"/>
              <w:left w:val="nil"/>
              <w:bottom w:val="nil"/>
              <w:right w:val="nil"/>
            </w:tcBorders>
          </w:tcPr>
          <w:p>
            <w:pPr/>
          </w:p>
        </w:tc>
        <w:tc>
          <w:tcPr>
            <w:tcW w:w="279" w:type="dxa"/>
            <w:tcBorders>
              <w:top w:val="nil"/>
              <w:left w:val="nil"/>
              <w:bottom w:val="nil"/>
              <w:right w:val="nil"/>
            </w:tcBorders>
          </w:tcPr>
          <w:p>
            <w:pPr>
              <w:pStyle w:val="TableParagraph"/>
              <w:spacing w:line="136" w:lineRule="exact"/>
              <w:jc w:val="center"/>
              <w:rPr>
                <w:rFonts w:ascii="Calibri"/>
                <w:sz w:val="12"/>
              </w:rPr>
            </w:pPr>
            <w:r>
              <w:rPr>
                <w:rFonts w:ascii="Calibri"/>
                <w:sz w:val="12"/>
              </w:rPr>
              <w:t>2008</w:t>
            </w:r>
          </w:p>
        </w:tc>
        <w:tc>
          <w:tcPr>
            <w:tcW w:w="891" w:type="dxa"/>
            <w:tcBorders>
              <w:top w:val="nil"/>
              <w:left w:val="nil"/>
              <w:bottom w:val="nil"/>
            </w:tcBorders>
          </w:tcPr>
          <w:p>
            <w:pPr/>
          </w:p>
        </w:tc>
      </w:tr>
      <w:tr>
        <w:trPr>
          <w:trHeight w:val="220" w:hRule="exact"/>
        </w:trPr>
        <w:tc>
          <w:tcPr>
            <w:tcW w:w="351" w:type="dxa"/>
            <w:vMerge/>
          </w:tcPr>
          <w:p>
            <w:pPr/>
          </w:p>
        </w:tc>
        <w:tc>
          <w:tcPr>
            <w:tcW w:w="375" w:type="dxa"/>
            <w:tcBorders>
              <w:top w:val="nil"/>
              <w:bottom w:val="nil"/>
            </w:tcBorders>
          </w:tcPr>
          <w:p>
            <w:pPr/>
          </w:p>
        </w:tc>
        <w:tc>
          <w:tcPr>
            <w:tcW w:w="1580" w:type="dxa"/>
            <w:tcBorders>
              <w:top w:val="nil"/>
              <w:bottom w:val="nil"/>
              <w:right w:val="nil"/>
            </w:tcBorders>
          </w:tcPr>
          <w:p>
            <w:pPr>
              <w:pStyle w:val="TableParagraph"/>
              <w:spacing w:line="132" w:lineRule="exact"/>
              <w:ind w:left="867"/>
              <w:jc w:val="left"/>
              <w:rPr>
                <w:rFonts w:ascii="Calibri"/>
                <w:sz w:val="12"/>
              </w:rPr>
            </w:pPr>
            <w:r>
              <w:rPr>
                <w:rFonts w:ascii="Calibri"/>
                <w:sz w:val="12"/>
              </w:rPr>
              <w:t>1998</w:t>
            </w:r>
          </w:p>
        </w:tc>
        <w:tc>
          <w:tcPr>
            <w:tcW w:w="913" w:type="dxa"/>
            <w:tcBorders>
              <w:top w:val="nil"/>
              <w:left w:val="nil"/>
              <w:bottom w:val="nil"/>
              <w:right w:val="nil"/>
            </w:tcBorders>
          </w:tcPr>
          <w:p>
            <w:pPr/>
          </w:p>
        </w:tc>
        <w:tc>
          <w:tcPr>
            <w:tcW w:w="279" w:type="dxa"/>
            <w:tcBorders>
              <w:top w:val="nil"/>
              <w:left w:val="nil"/>
              <w:bottom w:val="nil"/>
              <w:right w:val="nil"/>
            </w:tcBorders>
          </w:tcPr>
          <w:p>
            <w:pPr/>
          </w:p>
        </w:tc>
        <w:tc>
          <w:tcPr>
            <w:tcW w:w="891" w:type="dxa"/>
            <w:tcBorders>
              <w:top w:val="nil"/>
              <w:left w:val="nil"/>
              <w:bottom w:val="nil"/>
            </w:tcBorders>
          </w:tcPr>
          <w:p>
            <w:pPr/>
          </w:p>
        </w:tc>
      </w:tr>
      <w:tr>
        <w:trPr>
          <w:trHeight w:val="350" w:hRule="exact"/>
        </w:trPr>
        <w:tc>
          <w:tcPr>
            <w:tcW w:w="351" w:type="dxa"/>
            <w:vMerge/>
          </w:tcPr>
          <w:p>
            <w:pPr/>
          </w:p>
        </w:tc>
        <w:tc>
          <w:tcPr>
            <w:tcW w:w="375" w:type="dxa"/>
            <w:tcBorders>
              <w:top w:val="nil"/>
            </w:tcBorders>
          </w:tcPr>
          <w:p>
            <w:pPr/>
          </w:p>
        </w:tc>
        <w:tc>
          <w:tcPr>
            <w:tcW w:w="1580" w:type="dxa"/>
            <w:tcBorders>
              <w:top w:val="nil"/>
              <w:right w:val="nil"/>
            </w:tcBorders>
          </w:tcPr>
          <w:p>
            <w:pPr>
              <w:pStyle w:val="TableParagraph"/>
              <w:spacing w:before="76"/>
              <w:ind w:left="711"/>
              <w:jc w:val="left"/>
              <w:rPr>
                <w:rFonts w:ascii="Times New Roman"/>
                <w:b/>
                <w:sz w:val="13"/>
              </w:rPr>
            </w:pPr>
            <w:r>
              <w:rPr>
                <w:rFonts w:ascii="Times New Roman"/>
                <w:b/>
                <w:sz w:val="13"/>
              </w:rPr>
              <w:t>TIPO III-b</w:t>
            </w:r>
          </w:p>
        </w:tc>
        <w:tc>
          <w:tcPr>
            <w:tcW w:w="913" w:type="dxa"/>
            <w:tcBorders>
              <w:top w:val="nil"/>
              <w:left w:val="nil"/>
              <w:right w:val="nil"/>
            </w:tcBorders>
          </w:tcPr>
          <w:p>
            <w:pPr/>
          </w:p>
        </w:tc>
        <w:tc>
          <w:tcPr>
            <w:tcW w:w="279" w:type="dxa"/>
            <w:tcBorders>
              <w:top w:val="nil"/>
              <w:left w:val="nil"/>
              <w:right w:val="nil"/>
            </w:tcBorders>
          </w:tcPr>
          <w:p>
            <w:pPr/>
          </w:p>
        </w:tc>
        <w:tc>
          <w:tcPr>
            <w:tcW w:w="891" w:type="dxa"/>
            <w:tcBorders>
              <w:top w:val="nil"/>
              <w:left w:val="nil"/>
            </w:tcBorders>
          </w:tcPr>
          <w:p>
            <w:pPr/>
          </w:p>
        </w:tc>
      </w:tr>
    </w:tbl>
    <w:p>
      <w:pPr>
        <w:pStyle w:val="BodyText"/>
        <w:spacing w:before="11"/>
        <w:rPr>
          <w:rFonts w:ascii="Calibri"/>
          <w:b/>
          <w:sz w:val="7"/>
        </w:rPr>
      </w:pPr>
    </w:p>
    <w:p>
      <w:pPr>
        <w:spacing w:before="0"/>
        <w:ind w:left="2312" w:right="121" w:firstLine="0"/>
        <w:jc w:val="left"/>
        <w:rPr>
          <w:rFonts w:ascii="Calibri" w:hAnsi="Calibri"/>
          <w:sz w:val="9"/>
        </w:rPr>
      </w:pPr>
      <w:r>
        <w:rPr/>
        <w:pict>
          <v:line style="position:absolute;mso-position-horizontal-relative:page;mso-position-vertical-relative:paragraph;z-index:-463912" from="246.918671pt,-5.039403pt" to="430.092473pt,-154.532684pt" stroked="true" strokeweight=".45094pt" strokecolor="#000000">
            <w10:wrap type="none"/>
          </v:line>
        </w:pict>
      </w:r>
      <w:r>
        <w:rPr>
          <w:rFonts w:ascii="Calibri" w:hAnsi="Calibri"/>
          <w:w w:val="105"/>
          <w:sz w:val="9"/>
        </w:rPr>
        <w:t>Fuente: Elaboración propia.</w:t>
      </w:r>
    </w:p>
    <w:p>
      <w:pPr>
        <w:pStyle w:val="BodyText"/>
        <w:spacing w:before="1"/>
        <w:rPr>
          <w:rFonts w:ascii="Calibri"/>
          <w:sz w:val="17"/>
        </w:rPr>
      </w:pPr>
    </w:p>
    <w:p>
      <w:pPr>
        <w:pStyle w:val="BodyText"/>
        <w:spacing w:line="360" w:lineRule="auto" w:before="70"/>
        <w:ind w:left="102" w:right="116" w:firstLine="707"/>
        <w:jc w:val="both"/>
      </w:pPr>
      <w:r>
        <w:rPr/>
        <w:t>En cuanto al desempeño del año 2003, fue resultado de la recesión de Estados Unidos y sus impactos negativos en las exportaciones mexicanas, tal como se explicó en el segundo capítulo, además de ello la economía mexicana completó en 2003 un trienio de virtual estancamiento, ya que el PIB, sólo se elevó 0.8% en 2002. En este resultado se conjugaron la lenta evolución del consumo, el retroceso de la inversión por segundo año seguido y el mal desempeño de las exportaciones no petroleras y la disminución de las tasas</w:t>
      </w:r>
    </w:p>
    <w:p>
      <w:pPr>
        <w:spacing w:after="0" w:line="360" w:lineRule="auto"/>
        <w:jc w:val="both"/>
        <w:sectPr>
          <w:pgSz w:w="12240" w:h="15840"/>
          <w:pgMar w:header="0" w:footer="1003" w:top="1360" w:bottom="1200" w:left="1600" w:right="1580"/>
        </w:sectPr>
      </w:pPr>
    </w:p>
    <w:p>
      <w:pPr>
        <w:pStyle w:val="BodyText"/>
        <w:spacing w:line="362" w:lineRule="auto" w:before="50"/>
        <w:ind w:left="102" w:right="121"/>
      </w:pPr>
      <w:r>
        <w:rPr/>
        <w:t>de interés internacionales contrastaron con una situación externa desfavorable (CEPAL, 2003).</w:t>
      </w:r>
    </w:p>
    <w:p>
      <w:pPr>
        <w:pStyle w:val="BodyText"/>
        <w:spacing w:line="360" w:lineRule="auto" w:before="1"/>
        <w:ind w:left="102" w:right="122" w:firstLine="707"/>
        <w:jc w:val="both"/>
      </w:pPr>
      <w:r>
        <w:rPr/>
        <w:t>Considerando lo anterior se corrobora el resultado del cociente de localización, pues la región Toluca-Lerma se especializa en subsectores modernos y dinámicos (subsector 31, 35 y 38). Como la mayoría de los años la región se clasifica como región tipo I, entonces se demuestra que la región está creciendo, pero hay que promover efectos multiplicadores hacia otras regiones del Estado de México.</w:t>
      </w:r>
    </w:p>
    <w:p>
      <w:pPr>
        <w:pStyle w:val="BodyText"/>
        <w:spacing w:line="360" w:lineRule="auto" w:before="6"/>
        <w:ind w:left="102" w:right="118" w:firstLine="707"/>
        <w:jc w:val="both"/>
      </w:pPr>
      <w:r>
        <w:rPr/>
        <w:t>Como se observa en la figura 3.2, la región Valle de México en los años de 1985, 1993 y 2008 la región se ubica como región tipo IV. El único año que esta región cae  dentro de la tipología de región tipo III-a, con efecto estructural negativo y efecto diferencial positivo es 1980. En 1975 y 1988 es región tipo </w:t>
      </w:r>
      <w:r>
        <w:rPr>
          <w:spacing w:val="-3"/>
        </w:rPr>
        <w:t>I; </w:t>
      </w:r>
      <w:r>
        <w:rPr/>
        <w:t>estos años presenta efectos diferenciales y estructurales positivos y por consiguiente, un efecto total positivo. Es importante hacer notar que esto ocurrió antes de una apertura comercial</w:t>
      </w:r>
      <w:r>
        <w:rPr>
          <w:spacing w:val="-14"/>
        </w:rPr>
        <w:t> </w:t>
      </w:r>
      <w:r>
        <w:rPr/>
        <w:t>plena.</w:t>
      </w:r>
    </w:p>
    <w:p>
      <w:pPr>
        <w:pStyle w:val="BodyText"/>
        <w:spacing w:line="360" w:lineRule="auto" w:before="6"/>
        <w:ind w:left="102" w:right="118" w:firstLine="707"/>
        <w:jc w:val="both"/>
      </w:pPr>
      <w:r>
        <w:rPr/>
        <w:t>La región Valle de México, sólo en 2003 se clasifica como región tipo II-b, lo cual explica el escaso dinamismo de la mayoría de los subsectores. Estos años el efecto total negativo resulta de un efecto diferencial negativo superior al efecto estructural positivo, lo cual puede indicar la posibilidad de superar el rezago de </w:t>
      </w:r>
      <w:r>
        <w:rPr>
          <w:spacing w:val="3"/>
        </w:rPr>
        <w:t>la </w:t>
      </w:r>
      <w:r>
        <w:rPr/>
        <w:t>región por medio de un crecimiento de la demanda global a nivel nacional. Es importante mencionar que a través  de la implementación de políticas regionales focalizadas se puede revertir la tendencia en los próximos años para no caer nuevamente en regiones tipo II-b, III-b y IV. En este sentido, para las regiones tipo III-b la política podría haberse orientado a promover a los sectores más deprimidos, apoyar a los microempresarios, promover la inversión, estímulos fiscales, y apoyos crediticios y también fomentando la productividad a través del aumento de los salarios reales, lo que a su vez reactivaría la economía</w:t>
      </w:r>
      <w:r>
        <w:rPr>
          <w:spacing w:val="-16"/>
        </w:rPr>
        <w:t> </w:t>
      </w:r>
      <w:r>
        <w:rPr/>
        <w:t>regional.</w:t>
      </w:r>
    </w:p>
    <w:p>
      <w:pPr>
        <w:pStyle w:val="BodyText"/>
        <w:spacing w:line="360" w:lineRule="auto" w:before="4"/>
        <w:ind w:left="102" w:right="117" w:firstLine="566"/>
        <w:jc w:val="both"/>
      </w:pPr>
      <w:r>
        <w:rPr/>
        <w:t>Para las regiones IV, consideradas regiones deprimidas pudo haberse aplicado una política social activa, para sacarlas del atraso, canalizando recursos hacia los sectores manufactureros más dinámicos, promoviendo la exportación de sus productos, así como apoyando la investigación científica y tecnológica; entre otras medidas. Hay que fortalecer la producción de los municipios vía la coordinación intergubernamental a través de los tres niveles de gobierno para la formulación y puesta en marcha de una política industrial regional acorde a las necesidades de las regiones.</w:t>
      </w:r>
    </w:p>
    <w:p>
      <w:pPr>
        <w:spacing w:after="0" w:line="360" w:lineRule="auto"/>
        <w:jc w:val="both"/>
        <w:sectPr>
          <w:pgSz w:w="12240" w:h="15840"/>
          <w:pgMar w:header="0" w:footer="1003" w:top="1360" w:bottom="1200" w:left="1600" w:right="1580"/>
        </w:sectPr>
      </w:pPr>
    </w:p>
    <w:p>
      <w:pPr>
        <w:spacing w:before="164"/>
        <w:ind w:left="668" w:right="683" w:firstLine="0"/>
        <w:jc w:val="both"/>
        <w:rPr>
          <w:sz w:val="22"/>
        </w:rPr>
      </w:pPr>
      <w:r>
        <w:rPr>
          <w:sz w:val="22"/>
        </w:rPr>
        <w:t>De acuerdo con Richardson (1986: 158): “La técnica </w:t>
      </w:r>
      <w:r>
        <w:rPr>
          <w:i/>
          <w:sz w:val="22"/>
        </w:rPr>
        <w:t>Shift-Share </w:t>
      </w:r>
      <w:r>
        <w:rPr>
          <w:sz w:val="22"/>
        </w:rPr>
        <w:t>refleja el impacto de las ventajas locacionales relativas y explica la tendencia de las industrias a ser atraídas a unas regiones y no a otras, pero que crecen más rápidamente en unas regiones que en otras. El único resultado sustantivo a que han dado lugar ciertas aplicaciones de este método es que la mezcla industrial por sí sola no explica las diferencias</w:t>
      </w:r>
      <w:r>
        <w:rPr>
          <w:spacing w:val="-23"/>
          <w:sz w:val="22"/>
        </w:rPr>
        <w:t> </w:t>
      </w:r>
      <w:r>
        <w:rPr>
          <w:sz w:val="22"/>
        </w:rPr>
        <w:t>regionales”.</w:t>
      </w:r>
    </w:p>
    <w:p>
      <w:pPr>
        <w:pStyle w:val="BodyText"/>
        <w:rPr>
          <w:sz w:val="22"/>
        </w:rPr>
      </w:pPr>
    </w:p>
    <w:p>
      <w:pPr>
        <w:pStyle w:val="BodyText"/>
        <w:spacing w:line="360" w:lineRule="auto" w:before="1"/>
        <w:ind w:left="102" w:right="117" w:firstLine="566"/>
        <w:jc w:val="both"/>
      </w:pPr>
      <w:r>
        <w:rPr/>
        <w:t>Tomando en cuenta la cita anterior, en esta investigación se optó por un análisis más profundo del sector manufacturero de ambas regiones de estudio, a través de los seis indicadores que forman el indicador total de industrias motrices.</w:t>
      </w:r>
    </w:p>
    <w:p>
      <w:pPr>
        <w:pStyle w:val="BodyText"/>
      </w:pPr>
    </w:p>
    <w:p>
      <w:pPr>
        <w:pStyle w:val="Heading2"/>
        <w:spacing w:before="148"/>
        <w:ind w:right="0"/>
        <w:jc w:val="both"/>
      </w:pPr>
      <w:r>
        <w:rPr/>
        <w:t>3.5   Industrias motrices</w:t>
      </w:r>
    </w:p>
    <w:p>
      <w:pPr>
        <w:pStyle w:val="BodyText"/>
        <w:spacing w:line="360" w:lineRule="auto" w:before="134"/>
        <w:ind w:left="102" w:right="116"/>
        <w:jc w:val="both"/>
      </w:pPr>
      <w:r>
        <w:rPr/>
        <w:t>Con base en el marco teórico planteado en el Capítulo 1, tenemos que uno de los aspectos importantes que deben tomarse en cuenta para el crecimiento económico regional es el impulso de las industrias claves, propulsoras o motrices del sector manufacturero. De acuerdo con Perroux (1955) citado por Richardson (1975: 112), el factor principal en la expansión regional es la interacción entre las industrias clave (industrias propulsoras) que forman el núcleo del polo de desarrollo. Estas industrias tienen ciertas características: un alto grado de concentración, alta elasticidad renta de la demanda para sus productos que suelen ser vendidos en los mercados estatales, fuerte multiplicador local y efectos de polarización, un nivel avanzado de tecnología y pericia tecnológica y directiva que por fuerza del ejemplo se difunden a otros sectores de la región.</w:t>
      </w:r>
    </w:p>
    <w:p>
      <w:pPr>
        <w:pStyle w:val="BodyText"/>
        <w:spacing w:line="360" w:lineRule="auto" w:before="6"/>
        <w:ind w:left="102" w:right="116" w:firstLine="707"/>
        <w:jc w:val="both"/>
      </w:pPr>
      <w:r>
        <w:rPr/>
        <w:t>Por todo lo anterior es importante conocer cuáles subsectores de la industria manufacturera de ambas regiones de estudio presentan estas características, medidas a través de los siguientes índices (ver el apartado metodológico para más detalles). Indicador Componente Nacional (ICN); Indicador Componente Diferencial (ICD); Indicador Alto Incremento Neto Real (IAINR); Índice de Especialización Local (IEL); Índice de Incremento del Índice de Especialización Local (IIEL) y el Índice de Posición Competitiva (IPC).</w:t>
      </w:r>
    </w:p>
    <w:p>
      <w:pPr>
        <w:pStyle w:val="BodyText"/>
        <w:spacing w:line="360" w:lineRule="auto" w:before="6"/>
        <w:ind w:left="102" w:right="116" w:firstLine="707"/>
        <w:jc w:val="both"/>
      </w:pPr>
      <w:r>
        <w:rPr/>
        <w:t>El análisis de estos índices se hizo en dos periodos de estudio, el primer periodo de 1970 a 1985, el segundo de 1988 a 2008. De acuerdo con los datos obtenidos se puede apreciar en el Cuadro 3.11, que los subsectores motrices en la región Toluca-Lerma, para el periodo de 1970-1985, fueron el subsector 31 Productos alimenticios, bebidas y tabaco (20.7);  el  33  Industria  de  la  madera  y  productos  de  madera  (20.1)  y  el  36 Productos</w:t>
      </w:r>
    </w:p>
    <w:p>
      <w:pPr>
        <w:spacing w:after="0" w:line="360" w:lineRule="auto"/>
        <w:jc w:val="both"/>
        <w:sectPr>
          <w:pgSz w:w="12240" w:h="15840"/>
          <w:pgMar w:header="0" w:footer="1003" w:top="1500" w:bottom="1200" w:left="1600" w:right="1580"/>
        </w:sectPr>
      </w:pPr>
    </w:p>
    <w:p>
      <w:pPr>
        <w:pStyle w:val="BodyText"/>
        <w:spacing w:line="360" w:lineRule="auto" w:before="50"/>
        <w:ind w:left="102" w:right="221"/>
        <w:jc w:val="both"/>
      </w:pPr>
      <w:r>
        <w:rPr/>
        <w:t>minerales no metálicos (12.9); elegidos por representar los valores más altos. En contraparte, el 39 Industrias metálicas básicas era el subsector más deprimido pues arrojó el valor más bajo en este periodo (4.0). Cabe mencionar que el subsector 37 Industrias metálicas básicas no presentó datos al inicio del periodo de estudio.</w:t>
      </w:r>
    </w:p>
    <w:p>
      <w:pPr>
        <w:spacing w:before="35"/>
        <w:ind w:left="844" w:right="5686" w:firstLine="0"/>
        <w:jc w:val="left"/>
        <w:rPr>
          <w:rFonts w:ascii="Arial"/>
          <w:b/>
          <w:sz w:val="16"/>
        </w:rPr>
      </w:pPr>
      <w:r>
        <w:rPr>
          <w:rFonts w:ascii="Arial"/>
          <w:b/>
          <w:w w:val="85"/>
          <w:sz w:val="16"/>
        </w:rPr>
        <w:t>Cuadro 3.11</w:t>
      </w:r>
    </w:p>
    <w:p>
      <w:pPr>
        <w:spacing w:line="283" w:lineRule="auto" w:before="33"/>
        <w:ind w:left="844" w:right="5686" w:firstLine="0"/>
        <w:jc w:val="left"/>
        <w:rPr>
          <w:rFonts w:ascii="Arial" w:hAnsi="Arial"/>
          <w:b/>
          <w:sz w:val="16"/>
        </w:rPr>
      </w:pPr>
      <w:r>
        <w:rPr>
          <w:rFonts w:ascii="Arial" w:hAnsi="Arial"/>
          <w:b/>
          <w:w w:val="85"/>
          <w:sz w:val="16"/>
        </w:rPr>
        <w:t>Industrias Motrices región Toluca-Lerma </w:t>
      </w:r>
      <w:r>
        <w:rPr>
          <w:rFonts w:ascii="Arial" w:hAnsi="Arial"/>
          <w:b/>
          <w:w w:val="95"/>
          <w:sz w:val="16"/>
        </w:rPr>
        <w:t>1970-2008</w:t>
      </w:r>
    </w:p>
    <w:p>
      <w:pPr>
        <w:pStyle w:val="BodyText"/>
        <w:spacing w:before="9"/>
        <w:rPr>
          <w:rFonts w:ascii="Arial"/>
          <w:b/>
          <w:sz w:val="15"/>
        </w:rPr>
      </w:pPr>
    </w:p>
    <w:tbl>
      <w:tblPr>
        <w:tblW w:w="0" w:type="auto"/>
        <w:jc w:val="left"/>
        <w:tblInd w:w="8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9"/>
        <w:gridCol w:w="463"/>
        <w:gridCol w:w="463"/>
        <w:gridCol w:w="463"/>
        <w:gridCol w:w="463"/>
        <w:gridCol w:w="463"/>
        <w:gridCol w:w="463"/>
        <w:gridCol w:w="463"/>
        <w:gridCol w:w="94"/>
        <w:gridCol w:w="798"/>
        <w:gridCol w:w="472"/>
        <w:gridCol w:w="472"/>
        <w:gridCol w:w="472"/>
        <w:gridCol w:w="472"/>
        <w:gridCol w:w="472"/>
        <w:gridCol w:w="472"/>
        <w:gridCol w:w="472"/>
      </w:tblGrid>
      <w:tr>
        <w:trPr>
          <w:trHeight w:val="207" w:hRule="exact"/>
        </w:trPr>
        <w:tc>
          <w:tcPr>
            <w:tcW w:w="8227" w:type="dxa"/>
            <w:gridSpan w:val="17"/>
            <w:tcBorders>
              <w:left w:val="single" w:sz="3" w:space="0" w:color="000000"/>
              <w:right w:val="single" w:sz="3" w:space="0" w:color="000000"/>
            </w:tcBorders>
            <w:shd w:val="clear" w:color="auto" w:fill="C5D9F0"/>
          </w:tcPr>
          <w:p>
            <w:pPr>
              <w:pStyle w:val="TableParagraph"/>
              <w:spacing w:before="12"/>
              <w:ind w:left="1664"/>
              <w:jc w:val="left"/>
              <w:rPr>
                <w:rFonts w:ascii="Calibri" w:hAnsi="Calibri"/>
                <w:b/>
                <w:sz w:val="15"/>
              </w:rPr>
            </w:pPr>
            <w:r>
              <w:rPr>
                <w:rFonts w:ascii="Calibri" w:hAnsi="Calibri"/>
                <w:b/>
                <w:w w:val="85"/>
                <w:sz w:val="15"/>
              </w:rPr>
              <w:t>INDICADORES PARA DETERMINAR LAS INDUSTRIAS MOTRICES EN LA REGIÓN TOLUCA- LERMA</w:t>
            </w:r>
          </w:p>
        </w:tc>
      </w:tr>
      <w:tr>
        <w:trPr>
          <w:trHeight w:val="206" w:hRule="exact"/>
        </w:trPr>
        <w:tc>
          <w:tcPr>
            <w:tcW w:w="4032" w:type="dxa"/>
            <w:gridSpan w:val="8"/>
            <w:tcBorders>
              <w:left w:val="single" w:sz="3" w:space="0" w:color="000000"/>
              <w:right w:val="single" w:sz="3" w:space="0" w:color="000000"/>
            </w:tcBorders>
            <w:shd w:val="clear" w:color="auto" w:fill="C5D9F0"/>
          </w:tcPr>
          <w:p>
            <w:pPr>
              <w:pStyle w:val="TableParagraph"/>
              <w:spacing w:before="12"/>
              <w:ind w:left="1683" w:right="1679"/>
              <w:jc w:val="center"/>
              <w:rPr>
                <w:rFonts w:ascii="Calibri"/>
                <w:b/>
                <w:sz w:val="15"/>
              </w:rPr>
            </w:pPr>
            <w:r>
              <w:rPr>
                <w:rFonts w:ascii="Calibri"/>
                <w:b/>
                <w:w w:val="95"/>
                <w:sz w:val="15"/>
              </w:rPr>
              <w:t>1970-1985</w:t>
            </w:r>
          </w:p>
        </w:tc>
        <w:tc>
          <w:tcPr>
            <w:tcW w:w="94" w:type="dxa"/>
            <w:vMerge w:val="restart"/>
            <w:tcBorders>
              <w:top w:val="nil"/>
              <w:left w:val="single" w:sz="3" w:space="0" w:color="000000"/>
              <w:right w:val="single" w:sz="3" w:space="0" w:color="000000"/>
            </w:tcBorders>
            <w:shd w:val="clear" w:color="auto" w:fill="C5D9F0"/>
          </w:tcPr>
          <w:p>
            <w:pPr/>
          </w:p>
        </w:tc>
        <w:tc>
          <w:tcPr>
            <w:tcW w:w="4101" w:type="dxa"/>
            <w:gridSpan w:val="8"/>
            <w:tcBorders>
              <w:left w:val="single" w:sz="3" w:space="0" w:color="000000"/>
              <w:right w:val="single" w:sz="3" w:space="0" w:color="000000"/>
            </w:tcBorders>
            <w:shd w:val="clear" w:color="auto" w:fill="C5D9F0"/>
          </w:tcPr>
          <w:p>
            <w:pPr>
              <w:pStyle w:val="TableParagraph"/>
              <w:spacing w:before="12"/>
              <w:ind w:left="1717" w:right="1712"/>
              <w:jc w:val="center"/>
              <w:rPr>
                <w:rFonts w:ascii="Calibri"/>
                <w:b/>
                <w:sz w:val="15"/>
              </w:rPr>
            </w:pPr>
            <w:r>
              <w:rPr>
                <w:rFonts w:ascii="Calibri"/>
                <w:b/>
                <w:w w:val="95"/>
                <w:sz w:val="15"/>
              </w:rPr>
              <w:t>1988-2008</w:t>
            </w:r>
          </w:p>
        </w:tc>
      </w:tr>
      <w:tr>
        <w:trPr>
          <w:trHeight w:val="212" w:hRule="exact"/>
        </w:trPr>
        <w:tc>
          <w:tcPr>
            <w:tcW w:w="789" w:type="dxa"/>
            <w:tcBorders>
              <w:left w:val="single" w:sz="3" w:space="0" w:color="000000"/>
              <w:right w:val="single" w:sz="3" w:space="0" w:color="000000"/>
            </w:tcBorders>
            <w:shd w:val="clear" w:color="auto" w:fill="C5D9F0"/>
          </w:tcPr>
          <w:p>
            <w:pPr>
              <w:pStyle w:val="TableParagraph"/>
              <w:spacing w:before="12"/>
              <w:ind w:right="72"/>
              <w:rPr>
                <w:rFonts w:ascii="Calibri"/>
                <w:b/>
                <w:sz w:val="15"/>
              </w:rPr>
            </w:pPr>
            <w:r>
              <w:rPr>
                <w:rFonts w:ascii="Calibri"/>
                <w:b/>
                <w:w w:val="85"/>
                <w:sz w:val="15"/>
              </w:rPr>
              <w:t>SUBSECTOR</w:t>
            </w:r>
          </w:p>
        </w:tc>
        <w:tc>
          <w:tcPr>
            <w:tcW w:w="463" w:type="dxa"/>
            <w:tcBorders>
              <w:left w:val="single" w:sz="3" w:space="0" w:color="000000"/>
              <w:right w:val="single" w:sz="3" w:space="0" w:color="000000"/>
            </w:tcBorders>
            <w:shd w:val="clear" w:color="auto" w:fill="C5D9F0"/>
          </w:tcPr>
          <w:p>
            <w:pPr>
              <w:pStyle w:val="TableParagraph"/>
              <w:spacing w:before="12"/>
              <w:ind w:left="137" w:right="-19"/>
              <w:jc w:val="left"/>
              <w:rPr>
                <w:rFonts w:ascii="Calibri"/>
                <w:b/>
                <w:sz w:val="15"/>
              </w:rPr>
            </w:pPr>
            <w:r>
              <w:rPr>
                <w:rFonts w:ascii="Calibri"/>
                <w:b/>
                <w:w w:val="95"/>
                <w:sz w:val="15"/>
              </w:rPr>
              <w:t>ICD</w:t>
            </w:r>
          </w:p>
        </w:tc>
        <w:tc>
          <w:tcPr>
            <w:tcW w:w="463" w:type="dxa"/>
            <w:tcBorders>
              <w:left w:val="single" w:sz="3" w:space="0" w:color="000000"/>
              <w:right w:val="single" w:sz="3" w:space="0" w:color="000000"/>
            </w:tcBorders>
            <w:shd w:val="clear" w:color="auto" w:fill="C5D9F0"/>
          </w:tcPr>
          <w:p>
            <w:pPr>
              <w:pStyle w:val="TableParagraph"/>
              <w:spacing w:before="12"/>
              <w:ind w:left="137"/>
              <w:jc w:val="left"/>
              <w:rPr>
                <w:rFonts w:ascii="Calibri"/>
                <w:b/>
                <w:sz w:val="15"/>
              </w:rPr>
            </w:pPr>
            <w:r>
              <w:rPr>
                <w:rFonts w:ascii="Calibri"/>
                <w:b/>
                <w:w w:val="95"/>
                <w:sz w:val="15"/>
              </w:rPr>
              <w:t>ICN</w:t>
            </w:r>
          </w:p>
        </w:tc>
        <w:tc>
          <w:tcPr>
            <w:tcW w:w="463" w:type="dxa"/>
            <w:tcBorders>
              <w:left w:val="single" w:sz="3" w:space="0" w:color="000000"/>
              <w:right w:val="single" w:sz="3" w:space="0" w:color="000000"/>
            </w:tcBorders>
            <w:shd w:val="clear" w:color="auto" w:fill="C5D9F0"/>
          </w:tcPr>
          <w:p>
            <w:pPr>
              <w:pStyle w:val="TableParagraph"/>
              <w:spacing w:before="12"/>
              <w:ind w:left="77"/>
              <w:jc w:val="left"/>
              <w:rPr>
                <w:rFonts w:ascii="Calibri"/>
                <w:b/>
                <w:sz w:val="15"/>
              </w:rPr>
            </w:pPr>
            <w:r>
              <w:rPr>
                <w:rFonts w:ascii="Calibri"/>
                <w:b/>
                <w:w w:val="95"/>
                <w:sz w:val="15"/>
              </w:rPr>
              <w:t>IAINR</w:t>
            </w:r>
          </w:p>
        </w:tc>
        <w:tc>
          <w:tcPr>
            <w:tcW w:w="463" w:type="dxa"/>
            <w:tcBorders>
              <w:left w:val="single" w:sz="3" w:space="0" w:color="000000"/>
              <w:right w:val="single" w:sz="3" w:space="0" w:color="000000"/>
            </w:tcBorders>
            <w:shd w:val="clear" w:color="auto" w:fill="C5D9F0"/>
          </w:tcPr>
          <w:p>
            <w:pPr>
              <w:pStyle w:val="TableParagraph"/>
              <w:spacing w:before="12"/>
              <w:ind w:left="154"/>
              <w:jc w:val="left"/>
              <w:rPr>
                <w:rFonts w:ascii="Calibri"/>
                <w:b/>
                <w:sz w:val="15"/>
              </w:rPr>
            </w:pPr>
            <w:r>
              <w:rPr>
                <w:rFonts w:ascii="Calibri"/>
                <w:b/>
                <w:w w:val="95"/>
                <w:sz w:val="15"/>
              </w:rPr>
              <w:t>IEL</w:t>
            </w:r>
          </w:p>
        </w:tc>
        <w:tc>
          <w:tcPr>
            <w:tcW w:w="463" w:type="dxa"/>
            <w:tcBorders>
              <w:left w:val="single" w:sz="3" w:space="0" w:color="000000"/>
              <w:right w:val="single" w:sz="3" w:space="0" w:color="000000"/>
            </w:tcBorders>
            <w:shd w:val="clear" w:color="auto" w:fill="C5D9F0"/>
          </w:tcPr>
          <w:p>
            <w:pPr>
              <w:pStyle w:val="TableParagraph"/>
              <w:spacing w:before="12"/>
              <w:ind w:left="137"/>
              <w:jc w:val="left"/>
              <w:rPr>
                <w:rFonts w:ascii="Calibri"/>
                <w:b/>
                <w:sz w:val="15"/>
              </w:rPr>
            </w:pPr>
            <w:r>
              <w:rPr>
                <w:rFonts w:ascii="Calibri"/>
                <w:b/>
                <w:w w:val="95"/>
                <w:sz w:val="15"/>
              </w:rPr>
              <w:t>IIEL</w:t>
            </w:r>
          </w:p>
        </w:tc>
        <w:tc>
          <w:tcPr>
            <w:tcW w:w="463" w:type="dxa"/>
            <w:tcBorders>
              <w:left w:val="single" w:sz="3" w:space="0" w:color="000000"/>
              <w:right w:val="single" w:sz="3" w:space="0" w:color="000000"/>
            </w:tcBorders>
            <w:shd w:val="clear" w:color="auto" w:fill="C5D9F0"/>
          </w:tcPr>
          <w:p>
            <w:pPr>
              <w:pStyle w:val="TableParagraph"/>
              <w:spacing w:before="12"/>
              <w:ind w:left="146"/>
              <w:jc w:val="left"/>
              <w:rPr>
                <w:rFonts w:ascii="Calibri"/>
                <w:b/>
                <w:sz w:val="15"/>
              </w:rPr>
            </w:pPr>
            <w:r>
              <w:rPr>
                <w:rFonts w:ascii="Calibri"/>
                <w:b/>
                <w:w w:val="95"/>
                <w:sz w:val="15"/>
              </w:rPr>
              <w:t>IPC</w:t>
            </w:r>
          </w:p>
        </w:tc>
        <w:tc>
          <w:tcPr>
            <w:tcW w:w="463" w:type="dxa"/>
            <w:tcBorders>
              <w:left w:val="single" w:sz="3" w:space="0" w:color="000000"/>
              <w:right w:val="single" w:sz="3" w:space="0" w:color="000000"/>
            </w:tcBorders>
            <w:shd w:val="clear" w:color="auto" w:fill="C5D9F0"/>
          </w:tcPr>
          <w:p>
            <w:pPr>
              <w:pStyle w:val="TableParagraph"/>
              <w:spacing w:before="12"/>
              <w:ind w:right="55"/>
              <w:rPr>
                <w:rFonts w:ascii="Calibri"/>
                <w:b/>
                <w:sz w:val="15"/>
              </w:rPr>
            </w:pPr>
            <w:r>
              <w:rPr>
                <w:rFonts w:ascii="Calibri"/>
                <w:b/>
                <w:w w:val="85"/>
                <w:sz w:val="15"/>
              </w:rPr>
              <w:t>TOTAL</w:t>
            </w:r>
          </w:p>
        </w:tc>
        <w:tc>
          <w:tcPr>
            <w:tcW w:w="94" w:type="dxa"/>
            <w:vMerge/>
            <w:tcBorders>
              <w:left w:val="single" w:sz="3" w:space="0" w:color="000000"/>
              <w:bottom w:val="nil"/>
              <w:right w:val="single" w:sz="3" w:space="0" w:color="000000"/>
            </w:tcBorders>
            <w:shd w:val="clear" w:color="auto" w:fill="C5D9F0"/>
          </w:tcPr>
          <w:p>
            <w:pPr/>
          </w:p>
        </w:tc>
        <w:tc>
          <w:tcPr>
            <w:tcW w:w="798" w:type="dxa"/>
            <w:tcBorders>
              <w:left w:val="single" w:sz="3" w:space="0" w:color="000000"/>
              <w:right w:val="single" w:sz="3" w:space="0" w:color="000000"/>
            </w:tcBorders>
            <w:shd w:val="clear" w:color="auto" w:fill="C5D9F0"/>
          </w:tcPr>
          <w:p>
            <w:pPr>
              <w:pStyle w:val="TableParagraph"/>
              <w:spacing w:before="12"/>
              <w:ind w:left="85"/>
              <w:jc w:val="left"/>
              <w:rPr>
                <w:rFonts w:ascii="Calibri"/>
                <w:b/>
                <w:sz w:val="15"/>
              </w:rPr>
            </w:pPr>
            <w:r>
              <w:rPr>
                <w:rFonts w:ascii="Calibri"/>
                <w:b/>
                <w:w w:val="90"/>
                <w:sz w:val="15"/>
              </w:rPr>
              <w:t>SUBSECTOR</w:t>
            </w:r>
          </w:p>
        </w:tc>
        <w:tc>
          <w:tcPr>
            <w:tcW w:w="472" w:type="dxa"/>
            <w:tcBorders>
              <w:left w:val="single" w:sz="3" w:space="0" w:color="000000"/>
              <w:right w:val="single" w:sz="3" w:space="0" w:color="000000"/>
            </w:tcBorders>
            <w:shd w:val="clear" w:color="auto" w:fill="C5D9F0"/>
          </w:tcPr>
          <w:p>
            <w:pPr>
              <w:pStyle w:val="TableParagraph"/>
              <w:spacing w:before="12"/>
              <w:ind w:left="146" w:right="-16"/>
              <w:jc w:val="left"/>
              <w:rPr>
                <w:rFonts w:ascii="Calibri"/>
                <w:b/>
                <w:sz w:val="15"/>
              </w:rPr>
            </w:pPr>
            <w:r>
              <w:rPr>
                <w:rFonts w:ascii="Calibri"/>
                <w:b/>
                <w:w w:val="95"/>
                <w:sz w:val="15"/>
              </w:rPr>
              <w:t>ICD</w:t>
            </w:r>
          </w:p>
        </w:tc>
        <w:tc>
          <w:tcPr>
            <w:tcW w:w="472" w:type="dxa"/>
            <w:tcBorders>
              <w:left w:val="single" w:sz="3" w:space="0" w:color="000000"/>
              <w:right w:val="single" w:sz="3" w:space="0" w:color="000000"/>
            </w:tcBorders>
            <w:shd w:val="clear" w:color="auto" w:fill="C5D9F0"/>
          </w:tcPr>
          <w:p>
            <w:pPr>
              <w:pStyle w:val="TableParagraph"/>
              <w:spacing w:before="12"/>
              <w:ind w:left="137"/>
              <w:jc w:val="left"/>
              <w:rPr>
                <w:rFonts w:ascii="Calibri"/>
                <w:b/>
                <w:sz w:val="15"/>
              </w:rPr>
            </w:pPr>
            <w:r>
              <w:rPr>
                <w:rFonts w:ascii="Calibri"/>
                <w:b/>
                <w:w w:val="95"/>
                <w:sz w:val="15"/>
              </w:rPr>
              <w:t>ICN</w:t>
            </w:r>
          </w:p>
        </w:tc>
        <w:tc>
          <w:tcPr>
            <w:tcW w:w="472" w:type="dxa"/>
            <w:tcBorders>
              <w:left w:val="single" w:sz="3" w:space="0" w:color="000000"/>
              <w:right w:val="single" w:sz="3" w:space="0" w:color="000000"/>
            </w:tcBorders>
            <w:shd w:val="clear" w:color="auto" w:fill="C5D9F0"/>
          </w:tcPr>
          <w:p>
            <w:pPr>
              <w:pStyle w:val="TableParagraph"/>
              <w:spacing w:before="12"/>
              <w:ind w:left="85"/>
              <w:jc w:val="left"/>
              <w:rPr>
                <w:rFonts w:ascii="Calibri"/>
                <w:b/>
                <w:sz w:val="15"/>
              </w:rPr>
            </w:pPr>
            <w:r>
              <w:rPr>
                <w:rFonts w:ascii="Calibri"/>
                <w:b/>
                <w:w w:val="95"/>
                <w:sz w:val="15"/>
              </w:rPr>
              <w:t>IAINR</w:t>
            </w:r>
          </w:p>
        </w:tc>
        <w:tc>
          <w:tcPr>
            <w:tcW w:w="472" w:type="dxa"/>
            <w:tcBorders>
              <w:left w:val="single" w:sz="3" w:space="0" w:color="000000"/>
              <w:right w:val="single" w:sz="3" w:space="0" w:color="000000"/>
            </w:tcBorders>
            <w:shd w:val="clear" w:color="auto" w:fill="C5D9F0"/>
          </w:tcPr>
          <w:p>
            <w:pPr>
              <w:pStyle w:val="TableParagraph"/>
              <w:spacing w:before="12"/>
              <w:ind w:left="163" w:right="-16"/>
              <w:jc w:val="left"/>
              <w:rPr>
                <w:rFonts w:ascii="Calibri"/>
                <w:b/>
                <w:sz w:val="15"/>
              </w:rPr>
            </w:pPr>
            <w:r>
              <w:rPr>
                <w:rFonts w:ascii="Calibri"/>
                <w:b/>
                <w:w w:val="95"/>
                <w:sz w:val="15"/>
              </w:rPr>
              <w:t>IEL</w:t>
            </w:r>
          </w:p>
        </w:tc>
        <w:tc>
          <w:tcPr>
            <w:tcW w:w="472" w:type="dxa"/>
            <w:tcBorders>
              <w:left w:val="single" w:sz="3" w:space="0" w:color="000000"/>
              <w:right w:val="single" w:sz="3" w:space="0" w:color="000000"/>
            </w:tcBorders>
            <w:shd w:val="clear" w:color="auto" w:fill="C5D9F0"/>
          </w:tcPr>
          <w:p>
            <w:pPr>
              <w:pStyle w:val="TableParagraph"/>
              <w:spacing w:before="12"/>
              <w:ind w:left="145"/>
              <w:jc w:val="left"/>
              <w:rPr>
                <w:rFonts w:ascii="Calibri"/>
                <w:b/>
                <w:sz w:val="15"/>
              </w:rPr>
            </w:pPr>
            <w:r>
              <w:rPr>
                <w:rFonts w:ascii="Calibri"/>
                <w:b/>
                <w:w w:val="95"/>
                <w:sz w:val="15"/>
              </w:rPr>
              <w:t>IIEL</w:t>
            </w:r>
          </w:p>
        </w:tc>
        <w:tc>
          <w:tcPr>
            <w:tcW w:w="472" w:type="dxa"/>
            <w:tcBorders>
              <w:left w:val="single" w:sz="3" w:space="0" w:color="000000"/>
              <w:right w:val="single" w:sz="3" w:space="0" w:color="000000"/>
            </w:tcBorders>
            <w:shd w:val="clear" w:color="auto" w:fill="C5D9F0"/>
          </w:tcPr>
          <w:p>
            <w:pPr>
              <w:pStyle w:val="TableParagraph"/>
              <w:spacing w:before="12"/>
              <w:ind w:left="145"/>
              <w:jc w:val="left"/>
              <w:rPr>
                <w:rFonts w:ascii="Calibri"/>
                <w:b/>
                <w:sz w:val="15"/>
              </w:rPr>
            </w:pPr>
            <w:r>
              <w:rPr>
                <w:rFonts w:ascii="Calibri"/>
                <w:b/>
                <w:w w:val="95"/>
                <w:sz w:val="15"/>
              </w:rPr>
              <w:t>IPC</w:t>
            </w:r>
          </w:p>
        </w:tc>
        <w:tc>
          <w:tcPr>
            <w:tcW w:w="472" w:type="dxa"/>
            <w:tcBorders>
              <w:left w:val="single" w:sz="3" w:space="0" w:color="000000"/>
              <w:right w:val="single" w:sz="3" w:space="0" w:color="000000"/>
            </w:tcBorders>
            <w:shd w:val="clear" w:color="auto" w:fill="C5D9F0"/>
          </w:tcPr>
          <w:p>
            <w:pPr>
              <w:pStyle w:val="TableParagraph"/>
              <w:spacing w:before="12"/>
              <w:ind w:right="55"/>
              <w:rPr>
                <w:rFonts w:ascii="Calibri"/>
                <w:b/>
                <w:sz w:val="15"/>
              </w:rPr>
            </w:pPr>
            <w:r>
              <w:rPr>
                <w:rFonts w:ascii="Calibri"/>
                <w:b/>
                <w:w w:val="85"/>
                <w:sz w:val="15"/>
              </w:rPr>
              <w:t>TOTAL</w:t>
            </w:r>
          </w:p>
        </w:tc>
      </w:tr>
      <w:tr>
        <w:trPr>
          <w:trHeight w:val="201" w:hRule="exact"/>
        </w:trPr>
        <w:tc>
          <w:tcPr>
            <w:tcW w:w="789" w:type="dxa"/>
            <w:tcBorders>
              <w:left w:val="single" w:sz="3" w:space="0" w:color="000000"/>
              <w:right w:val="single" w:sz="3" w:space="0" w:color="000000"/>
            </w:tcBorders>
            <w:shd w:val="clear" w:color="auto" w:fill="DBEDF3"/>
          </w:tcPr>
          <w:p>
            <w:pPr>
              <w:pStyle w:val="TableParagraph"/>
              <w:spacing w:before="27"/>
              <w:ind w:right="65"/>
              <w:rPr>
                <w:b/>
                <w:sz w:val="13"/>
              </w:rPr>
            </w:pPr>
            <w:r>
              <w:rPr>
                <w:b/>
                <w:w w:val="85"/>
                <w:sz w:val="13"/>
              </w:rPr>
              <w:t>Subsector 31</w:t>
            </w:r>
          </w:p>
        </w:tc>
        <w:tc>
          <w:tcPr>
            <w:tcW w:w="463" w:type="dxa"/>
            <w:tcBorders>
              <w:left w:val="single" w:sz="3" w:space="0" w:color="000000"/>
              <w:right w:val="single" w:sz="3" w:space="0" w:color="000000"/>
            </w:tcBorders>
          </w:tcPr>
          <w:p>
            <w:pPr>
              <w:pStyle w:val="TableParagraph"/>
              <w:spacing w:before="6"/>
              <w:ind w:left="163" w:right="-19"/>
              <w:jc w:val="left"/>
              <w:rPr>
                <w:rFonts w:ascii="Calibri"/>
                <w:sz w:val="15"/>
              </w:rPr>
            </w:pPr>
            <w:r>
              <w:rPr>
                <w:rFonts w:ascii="Calibri"/>
                <w:w w:val="85"/>
                <w:sz w:val="15"/>
              </w:rPr>
              <w:t>17.32</w:t>
            </w:r>
          </w:p>
        </w:tc>
        <w:tc>
          <w:tcPr>
            <w:tcW w:w="463" w:type="dxa"/>
            <w:tcBorders>
              <w:left w:val="single" w:sz="3" w:space="0" w:color="000000"/>
              <w:right w:val="single" w:sz="3" w:space="0" w:color="000000"/>
            </w:tcBorders>
          </w:tcPr>
          <w:p>
            <w:pPr>
              <w:pStyle w:val="TableParagraph"/>
              <w:spacing w:before="6"/>
              <w:ind w:right="10"/>
              <w:rPr>
                <w:rFonts w:ascii="Calibri"/>
                <w:sz w:val="15"/>
              </w:rPr>
            </w:pPr>
            <w:r>
              <w:rPr>
                <w:rFonts w:ascii="Calibri"/>
                <w:w w:val="85"/>
                <w:sz w:val="15"/>
              </w:rPr>
              <w:t>0.67</w:t>
            </w:r>
          </w:p>
        </w:tc>
        <w:tc>
          <w:tcPr>
            <w:tcW w:w="463" w:type="dxa"/>
            <w:tcBorders>
              <w:left w:val="single" w:sz="3" w:space="0" w:color="000000"/>
              <w:right w:val="single" w:sz="3" w:space="0" w:color="000000"/>
            </w:tcBorders>
          </w:tcPr>
          <w:p>
            <w:pPr>
              <w:pStyle w:val="TableParagraph"/>
              <w:spacing w:before="6"/>
              <w:ind w:right="10"/>
              <w:rPr>
                <w:rFonts w:ascii="Calibri"/>
                <w:sz w:val="15"/>
              </w:rPr>
            </w:pPr>
            <w:r>
              <w:rPr>
                <w:rFonts w:ascii="Calibri"/>
                <w:w w:val="85"/>
                <w:sz w:val="15"/>
              </w:rPr>
              <w:t>-0.23</w:t>
            </w:r>
          </w:p>
        </w:tc>
        <w:tc>
          <w:tcPr>
            <w:tcW w:w="463" w:type="dxa"/>
            <w:tcBorders>
              <w:left w:val="single" w:sz="3" w:space="0" w:color="000000"/>
              <w:right w:val="single" w:sz="3" w:space="0" w:color="000000"/>
            </w:tcBorders>
          </w:tcPr>
          <w:p>
            <w:pPr>
              <w:pStyle w:val="TableParagraph"/>
              <w:spacing w:before="6"/>
              <w:ind w:right="10"/>
              <w:rPr>
                <w:rFonts w:ascii="Calibri"/>
                <w:sz w:val="15"/>
              </w:rPr>
            </w:pPr>
            <w:r>
              <w:rPr>
                <w:rFonts w:ascii="Calibri"/>
                <w:w w:val="85"/>
                <w:sz w:val="15"/>
              </w:rPr>
              <w:t>1.29</w:t>
            </w:r>
          </w:p>
        </w:tc>
        <w:tc>
          <w:tcPr>
            <w:tcW w:w="463" w:type="dxa"/>
            <w:tcBorders>
              <w:left w:val="single" w:sz="3" w:space="0" w:color="000000"/>
              <w:right w:val="single" w:sz="3" w:space="0" w:color="000000"/>
            </w:tcBorders>
          </w:tcPr>
          <w:p>
            <w:pPr>
              <w:pStyle w:val="TableParagraph"/>
              <w:spacing w:before="6"/>
              <w:ind w:right="9"/>
              <w:rPr>
                <w:rFonts w:ascii="Calibri"/>
                <w:sz w:val="15"/>
              </w:rPr>
            </w:pPr>
            <w:r>
              <w:rPr>
                <w:rFonts w:ascii="Calibri"/>
                <w:w w:val="85"/>
                <w:sz w:val="15"/>
              </w:rPr>
              <w:t>0.90</w:t>
            </w:r>
          </w:p>
        </w:tc>
        <w:tc>
          <w:tcPr>
            <w:tcW w:w="463" w:type="dxa"/>
            <w:tcBorders>
              <w:left w:val="single" w:sz="3" w:space="0" w:color="000000"/>
              <w:right w:val="single" w:sz="3" w:space="0" w:color="000000"/>
            </w:tcBorders>
          </w:tcPr>
          <w:p>
            <w:pPr>
              <w:pStyle w:val="TableParagraph"/>
              <w:spacing w:before="6"/>
              <w:ind w:right="10"/>
              <w:rPr>
                <w:rFonts w:ascii="Calibri"/>
                <w:sz w:val="15"/>
              </w:rPr>
            </w:pPr>
            <w:r>
              <w:rPr>
                <w:rFonts w:ascii="Calibri"/>
                <w:w w:val="85"/>
                <w:sz w:val="15"/>
              </w:rPr>
              <w:t>0.73</w:t>
            </w:r>
          </w:p>
        </w:tc>
        <w:tc>
          <w:tcPr>
            <w:tcW w:w="463" w:type="dxa"/>
            <w:tcBorders>
              <w:left w:val="single" w:sz="3" w:space="0" w:color="000000"/>
              <w:right w:val="single" w:sz="3" w:space="0" w:color="000000"/>
            </w:tcBorders>
            <w:shd w:val="clear" w:color="auto" w:fill="FFC000"/>
          </w:tcPr>
          <w:p>
            <w:pPr>
              <w:pStyle w:val="TableParagraph"/>
              <w:spacing w:before="6"/>
              <w:ind w:right="10"/>
              <w:rPr>
                <w:rFonts w:ascii="Calibri"/>
                <w:sz w:val="15"/>
              </w:rPr>
            </w:pPr>
            <w:r>
              <w:rPr>
                <w:rFonts w:ascii="Calibri"/>
                <w:w w:val="85"/>
                <w:sz w:val="15"/>
              </w:rPr>
              <w:t>20.7</w:t>
            </w:r>
          </w:p>
        </w:tc>
        <w:tc>
          <w:tcPr>
            <w:tcW w:w="94" w:type="dxa"/>
            <w:vMerge w:val="restart"/>
            <w:tcBorders>
              <w:top w:val="nil"/>
              <w:left w:val="single" w:sz="3" w:space="0" w:color="000000"/>
              <w:right w:val="single" w:sz="3" w:space="0" w:color="000000"/>
            </w:tcBorders>
            <w:shd w:val="clear" w:color="auto" w:fill="DBEDF3"/>
          </w:tcPr>
          <w:p>
            <w:pPr/>
          </w:p>
        </w:tc>
        <w:tc>
          <w:tcPr>
            <w:tcW w:w="798" w:type="dxa"/>
            <w:tcBorders>
              <w:left w:val="single" w:sz="3" w:space="0" w:color="000000"/>
              <w:right w:val="single" w:sz="3" w:space="0" w:color="000000"/>
            </w:tcBorders>
            <w:shd w:val="clear" w:color="auto" w:fill="DBEDF3"/>
          </w:tcPr>
          <w:p>
            <w:pPr>
              <w:pStyle w:val="TableParagraph"/>
              <w:spacing w:before="27"/>
              <w:ind w:left="17"/>
              <w:jc w:val="left"/>
              <w:rPr>
                <w:b/>
                <w:sz w:val="13"/>
              </w:rPr>
            </w:pPr>
            <w:r>
              <w:rPr>
                <w:b/>
                <w:w w:val="85"/>
                <w:sz w:val="13"/>
              </w:rPr>
              <w:t>Subsector 31</w:t>
            </w:r>
          </w:p>
        </w:tc>
        <w:tc>
          <w:tcPr>
            <w:tcW w:w="472" w:type="dxa"/>
            <w:tcBorders>
              <w:left w:val="single" w:sz="3" w:space="0" w:color="000000"/>
              <w:right w:val="single" w:sz="3" w:space="0" w:color="000000"/>
            </w:tcBorders>
          </w:tcPr>
          <w:p>
            <w:pPr>
              <w:pStyle w:val="TableParagraph"/>
              <w:spacing w:before="6"/>
              <w:ind w:left="231" w:right="-16"/>
              <w:jc w:val="left"/>
              <w:rPr>
                <w:rFonts w:ascii="Calibri"/>
                <w:sz w:val="15"/>
              </w:rPr>
            </w:pPr>
            <w:r>
              <w:rPr>
                <w:rFonts w:ascii="Calibri"/>
                <w:spacing w:val="-3"/>
                <w:w w:val="90"/>
                <w:sz w:val="15"/>
              </w:rPr>
              <w:t>0.68</w:t>
            </w:r>
          </w:p>
        </w:tc>
        <w:tc>
          <w:tcPr>
            <w:tcW w:w="472" w:type="dxa"/>
            <w:tcBorders>
              <w:left w:val="single" w:sz="3" w:space="0" w:color="000000"/>
              <w:right w:val="single" w:sz="3" w:space="0" w:color="000000"/>
            </w:tcBorders>
          </w:tcPr>
          <w:p>
            <w:pPr>
              <w:pStyle w:val="TableParagraph"/>
              <w:spacing w:before="6"/>
              <w:ind w:right="10"/>
              <w:rPr>
                <w:rFonts w:ascii="Calibri"/>
                <w:sz w:val="15"/>
              </w:rPr>
            </w:pPr>
            <w:r>
              <w:rPr>
                <w:rFonts w:ascii="Calibri"/>
                <w:w w:val="85"/>
                <w:sz w:val="15"/>
              </w:rPr>
              <w:t>4.68</w:t>
            </w:r>
          </w:p>
        </w:tc>
        <w:tc>
          <w:tcPr>
            <w:tcW w:w="472" w:type="dxa"/>
            <w:tcBorders>
              <w:left w:val="single" w:sz="3" w:space="0" w:color="000000"/>
              <w:right w:val="single" w:sz="3" w:space="0" w:color="000000"/>
            </w:tcBorders>
          </w:tcPr>
          <w:p>
            <w:pPr>
              <w:pStyle w:val="TableParagraph"/>
              <w:spacing w:before="6"/>
              <w:ind w:right="10"/>
              <w:rPr>
                <w:rFonts w:ascii="Calibri"/>
                <w:sz w:val="15"/>
              </w:rPr>
            </w:pPr>
            <w:r>
              <w:rPr>
                <w:rFonts w:ascii="Calibri"/>
                <w:w w:val="85"/>
                <w:sz w:val="15"/>
              </w:rPr>
              <w:t>4.16</w:t>
            </w:r>
          </w:p>
        </w:tc>
        <w:tc>
          <w:tcPr>
            <w:tcW w:w="472" w:type="dxa"/>
            <w:tcBorders>
              <w:left w:val="single" w:sz="3" w:space="0" w:color="000000"/>
              <w:right w:val="single" w:sz="3" w:space="0" w:color="000000"/>
            </w:tcBorders>
          </w:tcPr>
          <w:p>
            <w:pPr>
              <w:pStyle w:val="TableParagraph"/>
              <w:spacing w:before="6"/>
              <w:ind w:left="231" w:right="-16"/>
              <w:jc w:val="left"/>
              <w:rPr>
                <w:rFonts w:ascii="Calibri"/>
                <w:sz w:val="15"/>
              </w:rPr>
            </w:pPr>
            <w:r>
              <w:rPr>
                <w:rFonts w:ascii="Calibri"/>
                <w:spacing w:val="-3"/>
                <w:w w:val="90"/>
                <w:sz w:val="15"/>
              </w:rPr>
              <w:t>2.66</w:t>
            </w:r>
          </w:p>
        </w:tc>
        <w:tc>
          <w:tcPr>
            <w:tcW w:w="472" w:type="dxa"/>
            <w:tcBorders>
              <w:left w:val="single" w:sz="3" w:space="0" w:color="000000"/>
              <w:right w:val="single" w:sz="3" w:space="0" w:color="000000"/>
            </w:tcBorders>
          </w:tcPr>
          <w:p>
            <w:pPr>
              <w:pStyle w:val="TableParagraph"/>
              <w:spacing w:before="6"/>
              <w:ind w:right="10"/>
              <w:rPr>
                <w:rFonts w:ascii="Calibri"/>
                <w:sz w:val="15"/>
              </w:rPr>
            </w:pPr>
            <w:r>
              <w:rPr>
                <w:rFonts w:ascii="Calibri"/>
                <w:w w:val="85"/>
                <w:sz w:val="15"/>
              </w:rPr>
              <w:t>2.15</w:t>
            </w:r>
          </w:p>
        </w:tc>
        <w:tc>
          <w:tcPr>
            <w:tcW w:w="472" w:type="dxa"/>
            <w:tcBorders>
              <w:left w:val="single" w:sz="3" w:space="0" w:color="000000"/>
              <w:right w:val="single" w:sz="3" w:space="0" w:color="000000"/>
            </w:tcBorders>
          </w:tcPr>
          <w:p>
            <w:pPr>
              <w:pStyle w:val="TableParagraph"/>
              <w:spacing w:before="6"/>
              <w:ind w:right="10"/>
              <w:rPr>
                <w:rFonts w:ascii="Calibri"/>
                <w:sz w:val="15"/>
              </w:rPr>
            </w:pPr>
            <w:r>
              <w:rPr>
                <w:rFonts w:ascii="Calibri"/>
                <w:w w:val="85"/>
                <w:sz w:val="15"/>
              </w:rPr>
              <w:t>1.74</w:t>
            </w:r>
          </w:p>
        </w:tc>
        <w:tc>
          <w:tcPr>
            <w:tcW w:w="472" w:type="dxa"/>
            <w:tcBorders>
              <w:left w:val="single" w:sz="3" w:space="0" w:color="000000"/>
              <w:right w:val="single" w:sz="3" w:space="0" w:color="000000"/>
            </w:tcBorders>
            <w:shd w:val="clear" w:color="auto" w:fill="FFC000"/>
          </w:tcPr>
          <w:p>
            <w:pPr>
              <w:pStyle w:val="TableParagraph"/>
              <w:spacing w:before="6"/>
              <w:ind w:right="10"/>
              <w:rPr>
                <w:rFonts w:ascii="Calibri"/>
                <w:sz w:val="15"/>
              </w:rPr>
            </w:pPr>
            <w:r>
              <w:rPr>
                <w:rFonts w:ascii="Calibri"/>
                <w:w w:val="85"/>
                <w:sz w:val="15"/>
              </w:rPr>
              <w:t>16.1</w:t>
            </w:r>
          </w:p>
        </w:tc>
      </w:tr>
      <w:tr>
        <w:trPr>
          <w:trHeight w:val="206" w:hRule="exact"/>
        </w:trPr>
        <w:tc>
          <w:tcPr>
            <w:tcW w:w="789" w:type="dxa"/>
            <w:tcBorders>
              <w:left w:val="single" w:sz="3" w:space="0" w:color="000000"/>
              <w:right w:val="single" w:sz="3" w:space="0" w:color="000000"/>
            </w:tcBorders>
            <w:shd w:val="clear" w:color="auto" w:fill="DBEDF3"/>
          </w:tcPr>
          <w:p>
            <w:pPr>
              <w:pStyle w:val="TableParagraph"/>
              <w:spacing w:before="33"/>
              <w:ind w:right="65"/>
              <w:rPr>
                <w:b/>
                <w:sz w:val="13"/>
              </w:rPr>
            </w:pPr>
            <w:r>
              <w:rPr>
                <w:b/>
                <w:w w:val="85"/>
                <w:sz w:val="13"/>
              </w:rPr>
              <w:t>Subsector 32</w:t>
            </w:r>
          </w:p>
        </w:tc>
        <w:tc>
          <w:tcPr>
            <w:tcW w:w="463" w:type="dxa"/>
            <w:tcBorders>
              <w:left w:val="single" w:sz="3" w:space="0" w:color="000000"/>
              <w:right w:val="single" w:sz="3" w:space="0" w:color="000000"/>
            </w:tcBorders>
          </w:tcPr>
          <w:p>
            <w:pPr>
              <w:pStyle w:val="TableParagraph"/>
              <w:spacing w:before="12"/>
              <w:ind w:left="223" w:right="-15"/>
              <w:jc w:val="left"/>
              <w:rPr>
                <w:rFonts w:ascii="Calibri"/>
                <w:sz w:val="15"/>
              </w:rPr>
            </w:pPr>
            <w:r>
              <w:rPr>
                <w:rFonts w:ascii="Calibri"/>
                <w:w w:val="85"/>
                <w:sz w:val="15"/>
              </w:rPr>
              <w:t>0.79</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2.12</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1.55</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0.96</w:t>
            </w:r>
          </w:p>
        </w:tc>
        <w:tc>
          <w:tcPr>
            <w:tcW w:w="463"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1.46</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1.50</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8.4</w:t>
            </w:r>
          </w:p>
        </w:tc>
        <w:tc>
          <w:tcPr>
            <w:tcW w:w="94" w:type="dxa"/>
            <w:vMerge/>
            <w:tcBorders>
              <w:left w:val="single" w:sz="3" w:space="0" w:color="000000"/>
              <w:right w:val="single" w:sz="3" w:space="0" w:color="000000"/>
            </w:tcBorders>
            <w:shd w:val="clear" w:color="auto" w:fill="DBEDF3"/>
          </w:tcPr>
          <w:p>
            <w:pPr/>
          </w:p>
        </w:tc>
        <w:tc>
          <w:tcPr>
            <w:tcW w:w="798" w:type="dxa"/>
            <w:tcBorders>
              <w:left w:val="single" w:sz="3" w:space="0" w:color="000000"/>
              <w:right w:val="single" w:sz="3" w:space="0" w:color="000000"/>
            </w:tcBorders>
            <w:shd w:val="clear" w:color="auto" w:fill="DBEDF3"/>
          </w:tcPr>
          <w:p>
            <w:pPr>
              <w:pStyle w:val="TableParagraph"/>
              <w:spacing w:before="33"/>
              <w:ind w:left="17"/>
              <w:jc w:val="left"/>
              <w:rPr>
                <w:b/>
                <w:sz w:val="13"/>
              </w:rPr>
            </w:pPr>
            <w:r>
              <w:rPr>
                <w:b/>
                <w:w w:val="85"/>
                <w:sz w:val="13"/>
              </w:rPr>
              <w:t>Subsector 32</w:t>
            </w:r>
          </w:p>
        </w:tc>
        <w:tc>
          <w:tcPr>
            <w:tcW w:w="472" w:type="dxa"/>
            <w:tcBorders>
              <w:left w:val="single" w:sz="3" w:space="0" w:color="000000"/>
              <w:right w:val="single" w:sz="3" w:space="0" w:color="000000"/>
            </w:tcBorders>
          </w:tcPr>
          <w:p>
            <w:pPr>
              <w:pStyle w:val="TableParagraph"/>
              <w:spacing w:before="12"/>
              <w:ind w:left="231" w:right="-16"/>
              <w:jc w:val="left"/>
              <w:rPr>
                <w:rFonts w:ascii="Calibri"/>
                <w:sz w:val="15"/>
              </w:rPr>
            </w:pPr>
            <w:r>
              <w:rPr>
                <w:rFonts w:ascii="Calibri"/>
                <w:spacing w:val="-3"/>
                <w:w w:val="90"/>
                <w:sz w:val="15"/>
              </w:rPr>
              <w:t>0.92</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1.91</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0.39</w:t>
            </w:r>
          </w:p>
        </w:tc>
        <w:tc>
          <w:tcPr>
            <w:tcW w:w="472" w:type="dxa"/>
            <w:tcBorders>
              <w:left w:val="single" w:sz="3" w:space="0" w:color="000000"/>
              <w:right w:val="single" w:sz="3" w:space="0" w:color="000000"/>
            </w:tcBorders>
          </w:tcPr>
          <w:p>
            <w:pPr>
              <w:pStyle w:val="TableParagraph"/>
              <w:spacing w:before="12"/>
              <w:ind w:left="231" w:right="-16"/>
              <w:jc w:val="left"/>
              <w:rPr>
                <w:rFonts w:ascii="Calibri"/>
                <w:sz w:val="15"/>
              </w:rPr>
            </w:pPr>
            <w:r>
              <w:rPr>
                <w:rFonts w:ascii="Calibri"/>
                <w:spacing w:val="-3"/>
                <w:w w:val="90"/>
                <w:sz w:val="15"/>
              </w:rPr>
              <w:t>1.62</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2.09</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1.70</w:t>
            </w:r>
          </w:p>
        </w:tc>
        <w:tc>
          <w:tcPr>
            <w:tcW w:w="472"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8.6</w:t>
            </w:r>
          </w:p>
        </w:tc>
      </w:tr>
      <w:tr>
        <w:trPr>
          <w:trHeight w:val="207" w:hRule="exact"/>
        </w:trPr>
        <w:tc>
          <w:tcPr>
            <w:tcW w:w="789" w:type="dxa"/>
            <w:tcBorders>
              <w:left w:val="single" w:sz="3" w:space="0" w:color="000000"/>
              <w:right w:val="single" w:sz="3" w:space="0" w:color="000000"/>
            </w:tcBorders>
            <w:shd w:val="clear" w:color="auto" w:fill="DBEDF3"/>
          </w:tcPr>
          <w:p>
            <w:pPr>
              <w:pStyle w:val="TableParagraph"/>
              <w:spacing w:before="33"/>
              <w:ind w:right="65"/>
              <w:rPr>
                <w:b/>
                <w:sz w:val="13"/>
              </w:rPr>
            </w:pPr>
            <w:r>
              <w:rPr>
                <w:b/>
                <w:w w:val="85"/>
                <w:sz w:val="13"/>
              </w:rPr>
              <w:t>Subsector 33</w:t>
            </w:r>
          </w:p>
        </w:tc>
        <w:tc>
          <w:tcPr>
            <w:tcW w:w="463" w:type="dxa"/>
            <w:tcBorders>
              <w:left w:val="single" w:sz="3" w:space="0" w:color="000000"/>
              <w:right w:val="single" w:sz="3" w:space="0" w:color="000000"/>
            </w:tcBorders>
          </w:tcPr>
          <w:p>
            <w:pPr>
              <w:pStyle w:val="TableParagraph"/>
              <w:spacing w:before="12"/>
              <w:ind w:left="223" w:right="-15"/>
              <w:jc w:val="left"/>
              <w:rPr>
                <w:rFonts w:ascii="Calibri"/>
                <w:sz w:val="15"/>
              </w:rPr>
            </w:pPr>
            <w:r>
              <w:rPr>
                <w:rFonts w:ascii="Calibri"/>
                <w:w w:val="85"/>
                <w:sz w:val="15"/>
              </w:rPr>
              <w:t>0.98</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8.18</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0.28</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1.08</w:t>
            </w:r>
          </w:p>
        </w:tc>
        <w:tc>
          <w:tcPr>
            <w:tcW w:w="463"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6.45</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3.10</w:t>
            </w:r>
          </w:p>
        </w:tc>
        <w:tc>
          <w:tcPr>
            <w:tcW w:w="463" w:type="dxa"/>
            <w:tcBorders>
              <w:left w:val="single" w:sz="3" w:space="0" w:color="000000"/>
              <w:right w:val="single" w:sz="3" w:space="0" w:color="000000"/>
            </w:tcBorders>
            <w:shd w:val="clear" w:color="auto" w:fill="FFC000"/>
          </w:tcPr>
          <w:p>
            <w:pPr>
              <w:pStyle w:val="TableParagraph"/>
              <w:spacing w:before="12"/>
              <w:ind w:right="10"/>
              <w:rPr>
                <w:rFonts w:ascii="Calibri"/>
                <w:sz w:val="15"/>
              </w:rPr>
            </w:pPr>
            <w:r>
              <w:rPr>
                <w:rFonts w:ascii="Calibri"/>
                <w:w w:val="85"/>
                <w:sz w:val="15"/>
              </w:rPr>
              <w:t>20.1</w:t>
            </w:r>
          </w:p>
        </w:tc>
        <w:tc>
          <w:tcPr>
            <w:tcW w:w="94" w:type="dxa"/>
            <w:vMerge/>
            <w:tcBorders>
              <w:left w:val="single" w:sz="3" w:space="0" w:color="000000"/>
              <w:right w:val="single" w:sz="3" w:space="0" w:color="000000"/>
            </w:tcBorders>
            <w:shd w:val="clear" w:color="auto" w:fill="DBEDF3"/>
          </w:tcPr>
          <w:p>
            <w:pPr/>
          </w:p>
        </w:tc>
        <w:tc>
          <w:tcPr>
            <w:tcW w:w="798" w:type="dxa"/>
            <w:tcBorders>
              <w:left w:val="single" w:sz="3" w:space="0" w:color="000000"/>
              <w:right w:val="single" w:sz="3" w:space="0" w:color="000000"/>
            </w:tcBorders>
            <w:shd w:val="clear" w:color="auto" w:fill="DBEDF3"/>
          </w:tcPr>
          <w:p>
            <w:pPr>
              <w:pStyle w:val="TableParagraph"/>
              <w:spacing w:before="33"/>
              <w:ind w:left="17"/>
              <w:jc w:val="left"/>
              <w:rPr>
                <w:b/>
                <w:sz w:val="13"/>
              </w:rPr>
            </w:pPr>
            <w:r>
              <w:rPr>
                <w:b/>
                <w:w w:val="85"/>
                <w:sz w:val="13"/>
              </w:rPr>
              <w:t>Subsector 33</w:t>
            </w:r>
          </w:p>
        </w:tc>
        <w:tc>
          <w:tcPr>
            <w:tcW w:w="472" w:type="dxa"/>
            <w:tcBorders>
              <w:left w:val="single" w:sz="3" w:space="0" w:color="000000"/>
              <w:right w:val="single" w:sz="3" w:space="0" w:color="000000"/>
            </w:tcBorders>
          </w:tcPr>
          <w:p>
            <w:pPr>
              <w:pStyle w:val="TableParagraph"/>
              <w:spacing w:before="12"/>
              <w:ind w:left="188" w:right="-10"/>
              <w:jc w:val="left"/>
              <w:rPr>
                <w:rFonts w:ascii="Calibri"/>
                <w:sz w:val="15"/>
              </w:rPr>
            </w:pPr>
            <w:r>
              <w:rPr>
                <w:rFonts w:ascii="Calibri"/>
                <w:w w:val="85"/>
                <w:sz w:val="15"/>
              </w:rPr>
              <w:t>-0.35</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0.29</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-0.01</w:t>
            </w:r>
          </w:p>
        </w:tc>
        <w:tc>
          <w:tcPr>
            <w:tcW w:w="472" w:type="dxa"/>
            <w:tcBorders>
              <w:left w:val="single" w:sz="3" w:space="0" w:color="000000"/>
              <w:right w:val="single" w:sz="3" w:space="0" w:color="000000"/>
            </w:tcBorders>
          </w:tcPr>
          <w:p>
            <w:pPr>
              <w:pStyle w:val="TableParagraph"/>
              <w:spacing w:before="12"/>
              <w:ind w:left="231" w:right="-16"/>
              <w:jc w:val="left"/>
              <w:rPr>
                <w:rFonts w:ascii="Calibri"/>
                <w:sz w:val="15"/>
              </w:rPr>
            </w:pPr>
            <w:r>
              <w:rPr>
                <w:rFonts w:ascii="Calibri"/>
                <w:spacing w:val="-3"/>
                <w:w w:val="90"/>
                <w:sz w:val="15"/>
              </w:rPr>
              <w:t>0.86</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1.62</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1.16</w:t>
            </w:r>
          </w:p>
        </w:tc>
        <w:tc>
          <w:tcPr>
            <w:tcW w:w="472"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3.6</w:t>
            </w:r>
          </w:p>
        </w:tc>
      </w:tr>
      <w:tr>
        <w:trPr>
          <w:trHeight w:val="207" w:hRule="exact"/>
        </w:trPr>
        <w:tc>
          <w:tcPr>
            <w:tcW w:w="789" w:type="dxa"/>
            <w:tcBorders>
              <w:left w:val="single" w:sz="3" w:space="0" w:color="000000"/>
              <w:right w:val="single" w:sz="3" w:space="0" w:color="000000"/>
            </w:tcBorders>
            <w:shd w:val="clear" w:color="auto" w:fill="DBEDF3"/>
          </w:tcPr>
          <w:p>
            <w:pPr>
              <w:pStyle w:val="TableParagraph"/>
              <w:spacing w:before="33"/>
              <w:ind w:right="65"/>
              <w:rPr>
                <w:b/>
                <w:sz w:val="13"/>
              </w:rPr>
            </w:pPr>
            <w:r>
              <w:rPr>
                <w:b/>
                <w:w w:val="85"/>
                <w:sz w:val="13"/>
              </w:rPr>
              <w:t>Subsector 34</w:t>
            </w:r>
          </w:p>
        </w:tc>
        <w:tc>
          <w:tcPr>
            <w:tcW w:w="463" w:type="dxa"/>
            <w:tcBorders>
              <w:left w:val="single" w:sz="3" w:space="0" w:color="000000"/>
              <w:right w:val="single" w:sz="3" w:space="0" w:color="000000"/>
            </w:tcBorders>
          </w:tcPr>
          <w:p>
            <w:pPr>
              <w:pStyle w:val="TableParagraph"/>
              <w:spacing w:before="12"/>
              <w:ind w:left="223" w:right="-15"/>
              <w:jc w:val="left"/>
              <w:rPr>
                <w:rFonts w:ascii="Calibri"/>
                <w:sz w:val="15"/>
              </w:rPr>
            </w:pPr>
            <w:r>
              <w:rPr>
                <w:rFonts w:ascii="Calibri"/>
                <w:w w:val="85"/>
                <w:sz w:val="15"/>
              </w:rPr>
              <w:t>1.02</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3.71</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0.29</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0.33</w:t>
            </w:r>
          </w:p>
        </w:tc>
        <w:tc>
          <w:tcPr>
            <w:tcW w:w="463"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1.85</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5.37</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12.6</w:t>
            </w:r>
          </w:p>
        </w:tc>
        <w:tc>
          <w:tcPr>
            <w:tcW w:w="94" w:type="dxa"/>
            <w:vMerge/>
            <w:tcBorders>
              <w:left w:val="single" w:sz="3" w:space="0" w:color="000000"/>
              <w:right w:val="single" w:sz="3" w:space="0" w:color="000000"/>
            </w:tcBorders>
            <w:shd w:val="clear" w:color="auto" w:fill="DBEDF3"/>
          </w:tcPr>
          <w:p>
            <w:pPr/>
          </w:p>
        </w:tc>
        <w:tc>
          <w:tcPr>
            <w:tcW w:w="798" w:type="dxa"/>
            <w:tcBorders>
              <w:left w:val="single" w:sz="3" w:space="0" w:color="000000"/>
              <w:right w:val="single" w:sz="3" w:space="0" w:color="000000"/>
            </w:tcBorders>
            <w:shd w:val="clear" w:color="auto" w:fill="DBEDF3"/>
          </w:tcPr>
          <w:p>
            <w:pPr>
              <w:pStyle w:val="TableParagraph"/>
              <w:spacing w:before="33"/>
              <w:ind w:left="17"/>
              <w:jc w:val="left"/>
              <w:rPr>
                <w:b/>
                <w:sz w:val="13"/>
              </w:rPr>
            </w:pPr>
            <w:r>
              <w:rPr>
                <w:b/>
                <w:w w:val="85"/>
                <w:sz w:val="13"/>
              </w:rPr>
              <w:t>Subsector 34</w:t>
            </w:r>
          </w:p>
        </w:tc>
        <w:tc>
          <w:tcPr>
            <w:tcW w:w="472" w:type="dxa"/>
            <w:tcBorders>
              <w:left w:val="single" w:sz="3" w:space="0" w:color="000000"/>
              <w:right w:val="single" w:sz="3" w:space="0" w:color="000000"/>
            </w:tcBorders>
          </w:tcPr>
          <w:p>
            <w:pPr>
              <w:pStyle w:val="TableParagraph"/>
              <w:spacing w:before="12"/>
              <w:ind w:left="231" w:right="-16"/>
              <w:jc w:val="left"/>
              <w:rPr>
                <w:rFonts w:ascii="Calibri"/>
                <w:sz w:val="15"/>
              </w:rPr>
            </w:pPr>
            <w:r>
              <w:rPr>
                <w:rFonts w:ascii="Calibri"/>
                <w:spacing w:val="-3"/>
                <w:w w:val="90"/>
                <w:sz w:val="15"/>
              </w:rPr>
              <w:t>0.99</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3.47</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0.17</w:t>
            </w:r>
          </w:p>
        </w:tc>
        <w:tc>
          <w:tcPr>
            <w:tcW w:w="472" w:type="dxa"/>
            <w:tcBorders>
              <w:left w:val="single" w:sz="3" w:space="0" w:color="000000"/>
              <w:right w:val="single" w:sz="3" w:space="0" w:color="000000"/>
            </w:tcBorders>
          </w:tcPr>
          <w:p>
            <w:pPr>
              <w:pStyle w:val="TableParagraph"/>
              <w:spacing w:before="12"/>
              <w:ind w:left="231" w:right="-16"/>
              <w:jc w:val="left"/>
              <w:rPr>
                <w:rFonts w:ascii="Calibri"/>
                <w:sz w:val="15"/>
              </w:rPr>
            </w:pPr>
            <w:r>
              <w:rPr>
                <w:rFonts w:ascii="Calibri"/>
                <w:spacing w:val="-3"/>
                <w:w w:val="90"/>
                <w:sz w:val="15"/>
              </w:rPr>
              <w:t>0.66</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1.40</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2.81</w:t>
            </w:r>
          </w:p>
        </w:tc>
        <w:tc>
          <w:tcPr>
            <w:tcW w:w="472"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9.5</w:t>
            </w:r>
          </w:p>
        </w:tc>
      </w:tr>
      <w:tr>
        <w:trPr>
          <w:trHeight w:val="206" w:hRule="exact"/>
        </w:trPr>
        <w:tc>
          <w:tcPr>
            <w:tcW w:w="789" w:type="dxa"/>
            <w:tcBorders>
              <w:left w:val="single" w:sz="3" w:space="0" w:color="000000"/>
              <w:right w:val="single" w:sz="3" w:space="0" w:color="000000"/>
            </w:tcBorders>
            <w:shd w:val="clear" w:color="auto" w:fill="DBEDF3"/>
          </w:tcPr>
          <w:p>
            <w:pPr>
              <w:pStyle w:val="TableParagraph"/>
              <w:spacing w:before="33"/>
              <w:ind w:right="65"/>
              <w:rPr>
                <w:b/>
                <w:sz w:val="13"/>
              </w:rPr>
            </w:pPr>
            <w:r>
              <w:rPr>
                <w:b/>
                <w:w w:val="85"/>
                <w:sz w:val="13"/>
              </w:rPr>
              <w:t>Subsector 35</w:t>
            </w:r>
          </w:p>
        </w:tc>
        <w:tc>
          <w:tcPr>
            <w:tcW w:w="463" w:type="dxa"/>
            <w:tcBorders>
              <w:left w:val="single" w:sz="3" w:space="0" w:color="000000"/>
              <w:right w:val="single" w:sz="3" w:space="0" w:color="000000"/>
            </w:tcBorders>
          </w:tcPr>
          <w:p>
            <w:pPr>
              <w:pStyle w:val="TableParagraph"/>
              <w:spacing w:before="12"/>
              <w:ind w:left="223" w:right="-15"/>
              <w:jc w:val="left"/>
              <w:rPr>
                <w:rFonts w:ascii="Calibri"/>
                <w:sz w:val="15"/>
              </w:rPr>
            </w:pPr>
            <w:r>
              <w:rPr>
                <w:rFonts w:ascii="Calibri"/>
                <w:w w:val="85"/>
                <w:sz w:val="15"/>
              </w:rPr>
              <w:t>0.49</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1.37</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3.01</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1.45</w:t>
            </w:r>
          </w:p>
        </w:tc>
        <w:tc>
          <w:tcPr>
            <w:tcW w:w="463"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1.00</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1.17</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8.5</w:t>
            </w:r>
          </w:p>
        </w:tc>
        <w:tc>
          <w:tcPr>
            <w:tcW w:w="94" w:type="dxa"/>
            <w:vMerge/>
            <w:tcBorders>
              <w:left w:val="single" w:sz="3" w:space="0" w:color="000000"/>
              <w:right w:val="single" w:sz="3" w:space="0" w:color="000000"/>
            </w:tcBorders>
            <w:shd w:val="clear" w:color="auto" w:fill="DBEDF3"/>
          </w:tcPr>
          <w:p>
            <w:pPr/>
          </w:p>
        </w:tc>
        <w:tc>
          <w:tcPr>
            <w:tcW w:w="798" w:type="dxa"/>
            <w:tcBorders>
              <w:left w:val="single" w:sz="3" w:space="0" w:color="000000"/>
              <w:right w:val="single" w:sz="3" w:space="0" w:color="000000"/>
            </w:tcBorders>
            <w:shd w:val="clear" w:color="auto" w:fill="DBEDF3"/>
          </w:tcPr>
          <w:p>
            <w:pPr>
              <w:pStyle w:val="TableParagraph"/>
              <w:spacing w:before="33"/>
              <w:ind w:left="17"/>
              <w:jc w:val="left"/>
              <w:rPr>
                <w:b/>
                <w:sz w:val="13"/>
              </w:rPr>
            </w:pPr>
            <w:r>
              <w:rPr>
                <w:b/>
                <w:w w:val="85"/>
                <w:sz w:val="13"/>
              </w:rPr>
              <w:t>Subsector 35</w:t>
            </w:r>
          </w:p>
        </w:tc>
        <w:tc>
          <w:tcPr>
            <w:tcW w:w="472" w:type="dxa"/>
            <w:tcBorders>
              <w:left w:val="single" w:sz="3" w:space="0" w:color="000000"/>
              <w:right w:val="single" w:sz="3" w:space="0" w:color="000000"/>
            </w:tcBorders>
          </w:tcPr>
          <w:p>
            <w:pPr>
              <w:pStyle w:val="TableParagraph"/>
              <w:spacing w:before="12"/>
              <w:ind w:left="231" w:right="-16"/>
              <w:jc w:val="left"/>
              <w:rPr>
                <w:rFonts w:ascii="Calibri"/>
                <w:sz w:val="15"/>
              </w:rPr>
            </w:pPr>
            <w:r>
              <w:rPr>
                <w:rFonts w:ascii="Calibri"/>
                <w:spacing w:val="-3"/>
                <w:w w:val="90"/>
                <w:sz w:val="15"/>
              </w:rPr>
              <w:t>0.74</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2.46</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2.96</w:t>
            </w:r>
          </w:p>
        </w:tc>
        <w:tc>
          <w:tcPr>
            <w:tcW w:w="472" w:type="dxa"/>
            <w:tcBorders>
              <w:left w:val="single" w:sz="3" w:space="0" w:color="000000"/>
              <w:right w:val="single" w:sz="3" w:space="0" w:color="000000"/>
            </w:tcBorders>
          </w:tcPr>
          <w:p>
            <w:pPr>
              <w:pStyle w:val="TableParagraph"/>
              <w:spacing w:before="12"/>
              <w:ind w:left="231" w:right="-16"/>
              <w:jc w:val="left"/>
              <w:rPr>
                <w:rFonts w:ascii="Calibri"/>
                <w:sz w:val="15"/>
              </w:rPr>
            </w:pPr>
            <w:r>
              <w:rPr>
                <w:rFonts w:ascii="Calibri"/>
                <w:spacing w:val="-3"/>
                <w:w w:val="90"/>
                <w:sz w:val="15"/>
              </w:rPr>
              <w:t>2.61</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2.92</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1.62</w:t>
            </w:r>
          </w:p>
        </w:tc>
        <w:tc>
          <w:tcPr>
            <w:tcW w:w="472" w:type="dxa"/>
            <w:tcBorders>
              <w:left w:val="single" w:sz="3" w:space="0" w:color="000000"/>
              <w:right w:val="single" w:sz="3" w:space="0" w:color="000000"/>
            </w:tcBorders>
            <w:shd w:val="clear" w:color="auto" w:fill="FFC000"/>
          </w:tcPr>
          <w:p>
            <w:pPr>
              <w:pStyle w:val="TableParagraph"/>
              <w:spacing w:before="12"/>
              <w:ind w:right="10"/>
              <w:rPr>
                <w:rFonts w:ascii="Calibri"/>
                <w:sz w:val="15"/>
              </w:rPr>
            </w:pPr>
            <w:r>
              <w:rPr>
                <w:rFonts w:ascii="Calibri"/>
                <w:w w:val="85"/>
                <w:sz w:val="15"/>
              </w:rPr>
              <w:t>13.3</w:t>
            </w:r>
          </w:p>
        </w:tc>
      </w:tr>
      <w:tr>
        <w:trPr>
          <w:trHeight w:val="207" w:hRule="exact"/>
        </w:trPr>
        <w:tc>
          <w:tcPr>
            <w:tcW w:w="789" w:type="dxa"/>
            <w:tcBorders>
              <w:left w:val="single" w:sz="3" w:space="0" w:color="000000"/>
              <w:right w:val="single" w:sz="3" w:space="0" w:color="000000"/>
            </w:tcBorders>
            <w:shd w:val="clear" w:color="auto" w:fill="DBEDF3"/>
          </w:tcPr>
          <w:p>
            <w:pPr>
              <w:pStyle w:val="TableParagraph"/>
              <w:spacing w:before="33"/>
              <w:ind w:right="65"/>
              <w:rPr>
                <w:b/>
                <w:sz w:val="13"/>
              </w:rPr>
            </w:pPr>
            <w:r>
              <w:rPr>
                <w:b/>
                <w:w w:val="85"/>
                <w:sz w:val="13"/>
              </w:rPr>
              <w:t>Subsector 36</w:t>
            </w:r>
          </w:p>
        </w:tc>
        <w:tc>
          <w:tcPr>
            <w:tcW w:w="463" w:type="dxa"/>
            <w:tcBorders>
              <w:left w:val="single" w:sz="3" w:space="0" w:color="000000"/>
              <w:right w:val="single" w:sz="3" w:space="0" w:color="000000"/>
            </w:tcBorders>
          </w:tcPr>
          <w:p>
            <w:pPr>
              <w:pStyle w:val="TableParagraph"/>
              <w:spacing w:before="12"/>
              <w:ind w:left="223" w:right="-15"/>
              <w:jc w:val="left"/>
              <w:rPr>
                <w:rFonts w:ascii="Calibri"/>
                <w:sz w:val="15"/>
              </w:rPr>
            </w:pPr>
            <w:r>
              <w:rPr>
                <w:rFonts w:ascii="Calibri"/>
                <w:w w:val="85"/>
                <w:sz w:val="15"/>
              </w:rPr>
              <w:t>0.88</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6.17</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1.09</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0.71</w:t>
            </w:r>
          </w:p>
        </w:tc>
        <w:tc>
          <w:tcPr>
            <w:tcW w:w="463"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1.81</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2.27</w:t>
            </w:r>
          </w:p>
        </w:tc>
        <w:tc>
          <w:tcPr>
            <w:tcW w:w="463" w:type="dxa"/>
            <w:tcBorders>
              <w:left w:val="single" w:sz="3" w:space="0" w:color="000000"/>
              <w:right w:val="single" w:sz="3" w:space="0" w:color="000000"/>
            </w:tcBorders>
            <w:shd w:val="clear" w:color="auto" w:fill="FFC000"/>
          </w:tcPr>
          <w:p>
            <w:pPr>
              <w:pStyle w:val="TableParagraph"/>
              <w:spacing w:before="12"/>
              <w:ind w:right="10"/>
              <w:rPr>
                <w:rFonts w:ascii="Calibri"/>
                <w:sz w:val="15"/>
              </w:rPr>
            </w:pPr>
            <w:r>
              <w:rPr>
                <w:rFonts w:ascii="Calibri"/>
                <w:w w:val="85"/>
                <w:sz w:val="15"/>
              </w:rPr>
              <w:t>12.9</w:t>
            </w:r>
          </w:p>
        </w:tc>
        <w:tc>
          <w:tcPr>
            <w:tcW w:w="94" w:type="dxa"/>
            <w:vMerge/>
            <w:tcBorders>
              <w:left w:val="single" w:sz="3" w:space="0" w:color="000000"/>
              <w:right w:val="single" w:sz="3" w:space="0" w:color="000000"/>
            </w:tcBorders>
            <w:shd w:val="clear" w:color="auto" w:fill="DBEDF3"/>
          </w:tcPr>
          <w:p>
            <w:pPr/>
          </w:p>
        </w:tc>
        <w:tc>
          <w:tcPr>
            <w:tcW w:w="798" w:type="dxa"/>
            <w:tcBorders>
              <w:left w:val="single" w:sz="3" w:space="0" w:color="000000"/>
              <w:right w:val="single" w:sz="3" w:space="0" w:color="000000"/>
            </w:tcBorders>
            <w:shd w:val="clear" w:color="auto" w:fill="DBEDF3"/>
          </w:tcPr>
          <w:p>
            <w:pPr>
              <w:pStyle w:val="TableParagraph"/>
              <w:spacing w:before="33"/>
              <w:ind w:left="17"/>
              <w:jc w:val="left"/>
              <w:rPr>
                <w:b/>
                <w:sz w:val="13"/>
              </w:rPr>
            </w:pPr>
            <w:r>
              <w:rPr>
                <w:b/>
                <w:w w:val="85"/>
                <w:sz w:val="13"/>
              </w:rPr>
              <w:t>Subsector 36</w:t>
            </w:r>
          </w:p>
        </w:tc>
        <w:tc>
          <w:tcPr>
            <w:tcW w:w="472" w:type="dxa"/>
            <w:tcBorders>
              <w:left w:val="single" w:sz="3" w:space="0" w:color="000000"/>
              <w:right w:val="single" w:sz="3" w:space="0" w:color="000000"/>
            </w:tcBorders>
          </w:tcPr>
          <w:p>
            <w:pPr>
              <w:pStyle w:val="TableParagraph"/>
              <w:spacing w:before="12"/>
              <w:ind w:left="231" w:right="-16"/>
              <w:jc w:val="left"/>
              <w:rPr>
                <w:rFonts w:ascii="Calibri"/>
                <w:sz w:val="15"/>
              </w:rPr>
            </w:pPr>
            <w:r>
              <w:rPr>
                <w:rFonts w:ascii="Calibri"/>
                <w:spacing w:val="-3"/>
                <w:w w:val="90"/>
                <w:sz w:val="15"/>
              </w:rPr>
              <w:t>1.00</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2.17</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0.30</w:t>
            </w:r>
          </w:p>
        </w:tc>
        <w:tc>
          <w:tcPr>
            <w:tcW w:w="472" w:type="dxa"/>
            <w:tcBorders>
              <w:left w:val="single" w:sz="3" w:space="0" w:color="000000"/>
              <w:right w:val="single" w:sz="3" w:space="0" w:color="000000"/>
            </w:tcBorders>
          </w:tcPr>
          <w:p>
            <w:pPr>
              <w:pStyle w:val="TableParagraph"/>
              <w:spacing w:before="12"/>
              <w:ind w:left="231" w:right="-16"/>
              <w:jc w:val="left"/>
              <w:rPr>
                <w:rFonts w:ascii="Calibri"/>
                <w:sz w:val="15"/>
              </w:rPr>
            </w:pPr>
            <w:r>
              <w:rPr>
                <w:rFonts w:ascii="Calibri"/>
                <w:spacing w:val="-3"/>
                <w:w w:val="90"/>
                <w:sz w:val="15"/>
              </w:rPr>
              <w:t>1.64</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3.24</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2.12</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10.5</w:t>
            </w:r>
          </w:p>
        </w:tc>
      </w:tr>
      <w:tr>
        <w:trPr>
          <w:trHeight w:val="207" w:hRule="exact"/>
        </w:trPr>
        <w:tc>
          <w:tcPr>
            <w:tcW w:w="789" w:type="dxa"/>
            <w:tcBorders>
              <w:left w:val="single" w:sz="3" w:space="0" w:color="000000"/>
              <w:right w:val="single" w:sz="3" w:space="0" w:color="000000"/>
            </w:tcBorders>
            <w:shd w:val="clear" w:color="auto" w:fill="DBEDF3"/>
          </w:tcPr>
          <w:p>
            <w:pPr>
              <w:pStyle w:val="TableParagraph"/>
              <w:spacing w:before="33"/>
              <w:ind w:right="65"/>
              <w:rPr>
                <w:b/>
                <w:sz w:val="13"/>
              </w:rPr>
            </w:pPr>
            <w:r>
              <w:rPr>
                <w:b/>
                <w:w w:val="85"/>
                <w:sz w:val="13"/>
              </w:rPr>
              <w:t>Subsector 37</w:t>
            </w:r>
          </w:p>
        </w:tc>
        <w:tc>
          <w:tcPr>
            <w:tcW w:w="463" w:type="dxa"/>
            <w:tcBorders>
              <w:left w:val="single" w:sz="3" w:space="0" w:color="000000"/>
              <w:right w:val="single" w:sz="3" w:space="0" w:color="000000"/>
            </w:tcBorders>
          </w:tcPr>
          <w:p>
            <w:pPr>
              <w:pStyle w:val="TableParagraph"/>
              <w:spacing w:before="12"/>
              <w:ind w:left="223" w:right="-15"/>
              <w:jc w:val="left"/>
              <w:rPr>
                <w:rFonts w:ascii="Calibri"/>
                <w:sz w:val="15"/>
              </w:rPr>
            </w:pPr>
            <w:r>
              <w:rPr>
                <w:rFonts w:ascii="Calibri"/>
                <w:w w:val="85"/>
                <w:sz w:val="15"/>
              </w:rPr>
              <w:t>0.00</w:t>
            </w:r>
          </w:p>
        </w:tc>
        <w:tc>
          <w:tcPr>
            <w:tcW w:w="463" w:type="dxa"/>
            <w:tcBorders>
              <w:left w:val="single" w:sz="3" w:space="0" w:color="000000"/>
              <w:right w:val="single" w:sz="3" w:space="0" w:color="000000"/>
            </w:tcBorders>
          </w:tcPr>
          <w:p>
            <w:pPr>
              <w:pStyle w:val="TableParagraph"/>
              <w:spacing w:before="12"/>
              <w:ind w:left="17"/>
              <w:jc w:val="left"/>
              <w:rPr>
                <w:rFonts w:ascii="Calibri"/>
                <w:sz w:val="15"/>
              </w:rPr>
            </w:pPr>
            <w:r>
              <w:rPr>
                <w:rFonts w:ascii="Calibri"/>
                <w:w w:val="85"/>
                <w:sz w:val="15"/>
              </w:rPr>
              <w:t>-</w:t>
            </w:r>
          </w:p>
        </w:tc>
        <w:tc>
          <w:tcPr>
            <w:tcW w:w="463" w:type="dxa"/>
            <w:tcBorders>
              <w:left w:val="single" w:sz="3" w:space="0" w:color="000000"/>
              <w:right w:val="single" w:sz="3" w:space="0" w:color="000000"/>
            </w:tcBorders>
          </w:tcPr>
          <w:p>
            <w:pPr>
              <w:pStyle w:val="TableParagraph"/>
              <w:spacing w:before="12"/>
              <w:ind w:left="17"/>
              <w:jc w:val="left"/>
              <w:rPr>
                <w:rFonts w:ascii="Calibri"/>
                <w:sz w:val="15"/>
              </w:rPr>
            </w:pPr>
            <w:r>
              <w:rPr>
                <w:rFonts w:ascii="Calibri"/>
                <w:w w:val="85"/>
                <w:sz w:val="15"/>
              </w:rPr>
              <w:t>-</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0.05</w:t>
            </w:r>
          </w:p>
        </w:tc>
        <w:tc>
          <w:tcPr>
            <w:tcW w:w="463"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0.00</w:t>
            </w:r>
          </w:p>
        </w:tc>
        <w:tc>
          <w:tcPr>
            <w:tcW w:w="463" w:type="dxa"/>
            <w:tcBorders>
              <w:left w:val="single" w:sz="3" w:space="0" w:color="000000"/>
              <w:right w:val="single" w:sz="3" w:space="0" w:color="000000"/>
            </w:tcBorders>
          </w:tcPr>
          <w:p>
            <w:pPr>
              <w:pStyle w:val="TableParagraph"/>
              <w:spacing w:before="12"/>
              <w:ind w:left="17"/>
              <w:jc w:val="left"/>
              <w:rPr>
                <w:rFonts w:ascii="Calibri"/>
                <w:sz w:val="15"/>
              </w:rPr>
            </w:pPr>
            <w:r>
              <w:rPr>
                <w:rFonts w:ascii="Calibri"/>
                <w:w w:val="85"/>
                <w:sz w:val="15"/>
              </w:rPr>
              <w:t>-</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0.0</w:t>
            </w:r>
          </w:p>
        </w:tc>
        <w:tc>
          <w:tcPr>
            <w:tcW w:w="94" w:type="dxa"/>
            <w:vMerge/>
            <w:tcBorders>
              <w:left w:val="single" w:sz="3" w:space="0" w:color="000000"/>
              <w:right w:val="single" w:sz="3" w:space="0" w:color="000000"/>
            </w:tcBorders>
            <w:shd w:val="clear" w:color="auto" w:fill="DBEDF3"/>
          </w:tcPr>
          <w:p>
            <w:pPr/>
          </w:p>
        </w:tc>
        <w:tc>
          <w:tcPr>
            <w:tcW w:w="798" w:type="dxa"/>
            <w:tcBorders>
              <w:left w:val="single" w:sz="3" w:space="0" w:color="000000"/>
              <w:right w:val="single" w:sz="3" w:space="0" w:color="000000"/>
            </w:tcBorders>
            <w:shd w:val="clear" w:color="auto" w:fill="DBEDF3"/>
          </w:tcPr>
          <w:p>
            <w:pPr>
              <w:pStyle w:val="TableParagraph"/>
              <w:spacing w:before="33"/>
              <w:ind w:left="17"/>
              <w:jc w:val="left"/>
              <w:rPr>
                <w:b/>
                <w:sz w:val="13"/>
              </w:rPr>
            </w:pPr>
            <w:r>
              <w:rPr>
                <w:b/>
                <w:w w:val="85"/>
                <w:sz w:val="13"/>
              </w:rPr>
              <w:t>Subsector 37</w:t>
            </w:r>
          </w:p>
        </w:tc>
        <w:tc>
          <w:tcPr>
            <w:tcW w:w="472" w:type="dxa"/>
            <w:tcBorders>
              <w:left w:val="single" w:sz="3" w:space="0" w:color="000000"/>
              <w:right w:val="single" w:sz="3" w:space="0" w:color="000000"/>
            </w:tcBorders>
          </w:tcPr>
          <w:p>
            <w:pPr>
              <w:pStyle w:val="TableParagraph"/>
              <w:spacing w:before="12"/>
              <w:ind w:left="231" w:right="-16"/>
              <w:jc w:val="left"/>
              <w:rPr>
                <w:rFonts w:ascii="Calibri"/>
                <w:sz w:val="15"/>
              </w:rPr>
            </w:pPr>
            <w:r>
              <w:rPr>
                <w:rFonts w:ascii="Calibri"/>
                <w:spacing w:val="-3"/>
                <w:w w:val="90"/>
                <w:sz w:val="15"/>
              </w:rPr>
              <w:t>0.72</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0.35</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-0.02</w:t>
            </w:r>
          </w:p>
        </w:tc>
        <w:tc>
          <w:tcPr>
            <w:tcW w:w="472" w:type="dxa"/>
            <w:tcBorders>
              <w:left w:val="single" w:sz="3" w:space="0" w:color="000000"/>
              <w:right w:val="single" w:sz="3" w:space="0" w:color="000000"/>
            </w:tcBorders>
          </w:tcPr>
          <w:p>
            <w:pPr>
              <w:pStyle w:val="TableParagraph"/>
              <w:spacing w:before="12"/>
              <w:ind w:left="231" w:right="-16"/>
              <w:jc w:val="left"/>
              <w:rPr>
                <w:rFonts w:ascii="Calibri"/>
                <w:sz w:val="15"/>
              </w:rPr>
            </w:pPr>
            <w:r>
              <w:rPr>
                <w:rFonts w:ascii="Calibri"/>
                <w:spacing w:val="-3"/>
                <w:w w:val="90"/>
                <w:sz w:val="15"/>
              </w:rPr>
              <w:t>0.18</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0.73</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4.00</w:t>
            </w:r>
          </w:p>
        </w:tc>
        <w:tc>
          <w:tcPr>
            <w:tcW w:w="472"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5.9</w:t>
            </w:r>
          </w:p>
        </w:tc>
      </w:tr>
      <w:tr>
        <w:trPr>
          <w:trHeight w:val="206" w:hRule="exact"/>
        </w:trPr>
        <w:tc>
          <w:tcPr>
            <w:tcW w:w="789" w:type="dxa"/>
            <w:tcBorders>
              <w:left w:val="single" w:sz="3" w:space="0" w:color="000000"/>
              <w:right w:val="single" w:sz="3" w:space="0" w:color="000000"/>
            </w:tcBorders>
            <w:shd w:val="clear" w:color="auto" w:fill="DBEDF3"/>
          </w:tcPr>
          <w:p>
            <w:pPr>
              <w:pStyle w:val="TableParagraph"/>
              <w:spacing w:before="33"/>
              <w:ind w:right="65"/>
              <w:rPr>
                <w:b/>
                <w:sz w:val="13"/>
              </w:rPr>
            </w:pPr>
            <w:r>
              <w:rPr>
                <w:b/>
                <w:w w:val="85"/>
                <w:sz w:val="13"/>
              </w:rPr>
              <w:t>Subsector 38</w:t>
            </w:r>
          </w:p>
        </w:tc>
        <w:tc>
          <w:tcPr>
            <w:tcW w:w="463" w:type="dxa"/>
            <w:tcBorders>
              <w:left w:val="single" w:sz="3" w:space="0" w:color="000000"/>
              <w:right w:val="single" w:sz="3" w:space="0" w:color="000000"/>
            </w:tcBorders>
          </w:tcPr>
          <w:p>
            <w:pPr>
              <w:pStyle w:val="TableParagraph"/>
              <w:spacing w:before="12"/>
              <w:ind w:left="223" w:right="-15"/>
              <w:jc w:val="left"/>
              <w:rPr>
                <w:rFonts w:ascii="Calibri"/>
                <w:sz w:val="15"/>
              </w:rPr>
            </w:pPr>
            <w:r>
              <w:rPr>
                <w:rFonts w:ascii="Calibri"/>
                <w:w w:val="85"/>
                <w:sz w:val="15"/>
              </w:rPr>
              <w:t>0.46</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1.19</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3.90</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1.53</w:t>
            </w:r>
          </w:p>
        </w:tc>
        <w:tc>
          <w:tcPr>
            <w:tcW w:w="463"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0.94</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1.11</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9.1</w:t>
            </w:r>
          </w:p>
        </w:tc>
        <w:tc>
          <w:tcPr>
            <w:tcW w:w="94" w:type="dxa"/>
            <w:vMerge/>
            <w:tcBorders>
              <w:left w:val="single" w:sz="3" w:space="0" w:color="000000"/>
              <w:right w:val="single" w:sz="3" w:space="0" w:color="000000"/>
            </w:tcBorders>
            <w:shd w:val="clear" w:color="auto" w:fill="DBEDF3"/>
          </w:tcPr>
          <w:p>
            <w:pPr/>
          </w:p>
        </w:tc>
        <w:tc>
          <w:tcPr>
            <w:tcW w:w="798" w:type="dxa"/>
            <w:tcBorders>
              <w:left w:val="single" w:sz="3" w:space="0" w:color="000000"/>
              <w:right w:val="single" w:sz="3" w:space="0" w:color="000000"/>
            </w:tcBorders>
            <w:shd w:val="clear" w:color="auto" w:fill="DBEDF3"/>
          </w:tcPr>
          <w:p>
            <w:pPr>
              <w:pStyle w:val="TableParagraph"/>
              <w:spacing w:before="33"/>
              <w:ind w:left="17"/>
              <w:jc w:val="left"/>
              <w:rPr>
                <w:b/>
                <w:sz w:val="13"/>
              </w:rPr>
            </w:pPr>
            <w:r>
              <w:rPr>
                <w:b/>
                <w:w w:val="85"/>
                <w:sz w:val="13"/>
              </w:rPr>
              <w:t>Subsector 38</w:t>
            </w:r>
          </w:p>
        </w:tc>
        <w:tc>
          <w:tcPr>
            <w:tcW w:w="472" w:type="dxa"/>
            <w:tcBorders>
              <w:left w:val="single" w:sz="3" w:space="0" w:color="000000"/>
              <w:right w:val="single" w:sz="3" w:space="0" w:color="000000"/>
            </w:tcBorders>
          </w:tcPr>
          <w:p>
            <w:pPr>
              <w:pStyle w:val="TableParagraph"/>
              <w:spacing w:before="12"/>
              <w:ind w:left="231" w:right="-16"/>
              <w:jc w:val="left"/>
              <w:rPr>
                <w:rFonts w:ascii="Calibri"/>
                <w:sz w:val="15"/>
              </w:rPr>
            </w:pPr>
            <w:r>
              <w:rPr>
                <w:rFonts w:ascii="Calibri"/>
                <w:spacing w:val="-3"/>
                <w:w w:val="90"/>
                <w:sz w:val="15"/>
              </w:rPr>
              <w:t>0.88</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1.40</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2.00</w:t>
            </w:r>
          </w:p>
        </w:tc>
        <w:tc>
          <w:tcPr>
            <w:tcW w:w="472" w:type="dxa"/>
            <w:tcBorders>
              <w:left w:val="single" w:sz="3" w:space="0" w:color="000000"/>
              <w:right w:val="single" w:sz="3" w:space="0" w:color="000000"/>
            </w:tcBorders>
          </w:tcPr>
          <w:p>
            <w:pPr>
              <w:pStyle w:val="TableParagraph"/>
              <w:spacing w:before="12"/>
              <w:ind w:left="231" w:right="-16"/>
              <w:jc w:val="left"/>
              <w:rPr>
                <w:rFonts w:ascii="Calibri"/>
                <w:sz w:val="15"/>
              </w:rPr>
            </w:pPr>
            <w:r>
              <w:rPr>
                <w:rFonts w:ascii="Calibri"/>
                <w:spacing w:val="-3"/>
                <w:w w:val="90"/>
                <w:sz w:val="15"/>
              </w:rPr>
              <w:t>2.58</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2.42</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1.51</w:t>
            </w:r>
          </w:p>
        </w:tc>
        <w:tc>
          <w:tcPr>
            <w:tcW w:w="472" w:type="dxa"/>
            <w:tcBorders>
              <w:left w:val="single" w:sz="3" w:space="0" w:color="000000"/>
              <w:right w:val="single" w:sz="3" w:space="0" w:color="000000"/>
            </w:tcBorders>
            <w:shd w:val="clear" w:color="auto" w:fill="FFC000"/>
          </w:tcPr>
          <w:p>
            <w:pPr>
              <w:pStyle w:val="TableParagraph"/>
              <w:spacing w:before="12"/>
              <w:ind w:right="10"/>
              <w:rPr>
                <w:rFonts w:ascii="Calibri"/>
                <w:sz w:val="15"/>
              </w:rPr>
            </w:pPr>
            <w:r>
              <w:rPr>
                <w:rFonts w:ascii="Calibri"/>
                <w:w w:val="85"/>
                <w:sz w:val="15"/>
              </w:rPr>
              <w:t>10.8</w:t>
            </w:r>
          </w:p>
        </w:tc>
      </w:tr>
      <w:tr>
        <w:trPr>
          <w:trHeight w:val="207" w:hRule="exact"/>
        </w:trPr>
        <w:tc>
          <w:tcPr>
            <w:tcW w:w="789" w:type="dxa"/>
            <w:tcBorders>
              <w:left w:val="single" w:sz="3" w:space="0" w:color="000000"/>
              <w:right w:val="single" w:sz="3" w:space="0" w:color="000000"/>
            </w:tcBorders>
            <w:shd w:val="clear" w:color="auto" w:fill="DBEDF3"/>
          </w:tcPr>
          <w:p>
            <w:pPr>
              <w:pStyle w:val="TableParagraph"/>
              <w:spacing w:before="33"/>
              <w:ind w:right="65"/>
              <w:rPr>
                <w:b/>
                <w:sz w:val="13"/>
              </w:rPr>
            </w:pPr>
            <w:r>
              <w:rPr>
                <w:b/>
                <w:w w:val="85"/>
                <w:sz w:val="13"/>
              </w:rPr>
              <w:t>Subsector 39</w:t>
            </w:r>
          </w:p>
        </w:tc>
        <w:tc>
          <w:tcPr>
            <w:tcW w:w="463" w:type="dxa"/>
            <w:tcBorders>
              <w:left w:val="single" w:sz="3" w:space="0" w:color="000000"/>
              <w:right w:val="single" w:sz="3" w:space="0" w:color="000000"/>
            </w:tcBorders>
          </w:tcPr>
          <w:p>
            <w:pPr>
              <w:pStyle w:val="TableParagraph"/>
              <w:spacing w:before="12"/>
              <w:ind w:left="223" w:right="-15"/>
              <w:jc w:val="left"/>
              <w:rPr>
                <w:rFonts w:ascii="Calibri"/>
                <w:sz w:val="15"/>
              </w:rPr>
            </w:pPr>
            <w:r>
              <w:rPr>
                <w:rFonts w:ascii="Calibri"/>
                <w:w w:val="85"/>
                <w:sz w:val="15"/>
              </w:rPr>
              <w:t>0.58</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0.95</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0.08</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0.96</w:t>
            </w:r>
          </w:p>
        </w:tc>
        <w:tc>
          <w:tcPr>
            <w:tcW w:w="463"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0.15</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1.31</w:t>
            </w:r>
          </w:p>
        </w:tc>
        <w:tc>
          <w:tcPr>
            <w:tcW w:w="463"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4.0</w:t>
            </w:r>
          </w:p>
        </w:tc>
        <w:tc>
          <w:tcPr>
            <w:tcW w:w="94" w:type="dxa"/>
            <w:vMerge/>
            <w:tcBorders>
              <w:left w:val="single" w:sz="3" w:space="0" w:color="000000"/>
              <w:right w:val="single" w:sz="3" w:space="0" w:color="000000"/>
            </w:tcBorders>
            <w:shd w:val="clear" w:color="auto" w:fill="DBEDF3"/>
          </w:tcPr>
          <w:p>
            <w:pPr/>
          </w:p>
        </w:tc>
        <w:tc>
          <w:tcPr>
            <w:tcW w:w="798" w:type="dxa"/>
            <w:tcBorders>
              <w:left w:val="single" w:sz="3" w:space="0" w:color="000000"/>
              <w:right w:val="single" w:sz="3" w:space="0" w:color="000000"/>
            </w:tcBorders>
            <w:shd w:val="clear" w:color="auto" w:fill="DBEDF3"/>
          </w:tcPr>
          <w:p>
            <w:pPr>
              <w:pStyle w:val="TableParagraph"/>
              <w:spacing w:before="33"/>
              <w:ind w:left="17"/>
              <w:jc w:val="left"/>
              <w:rPr>
                <w:b/>
                <w:sz w:val="13"/>
              </w:rPr>
            </w:pPr>
            <w:r>
              <w:rPr>
                <w:b/>
                <w:w w:val="85"/>
                <w:sz w:val="13"/>
              </w:rPr>
              <w:t>Subsector 39</w:t>
            </w:r>
          </w:p>
        </w:tc>
        <w:tc>
          <w:tcPr>
            <w:tcW w:w="472" w:type="dxa"/>
            <w:tcBorders>
              <w:left w:val="single" w:sz="3" w:space="0" w:color="000000"/>
              <w:right w:val="single" w:sz="3" w:space="0" w:color="000000"/>
            </w:tcBorders>
          </w:tcPr>
          <w:p>
            <w:pPr>
              <w:pStyle w:val="TableParagraph"/>
              <w:spacing w:before="12"/>
              <w:ind w:left="231" w:right="-16"/>
              <w:jc w:val="left"/>
              <w:rPr>
                <w:rFonts w:ascii="Calibri"/>
                <w:sz w:val="15"/>
              </w:rPr>
            </w:pPr>
            <w:r>
              <w:rPr>
                <w:rFonts w:ascii="Calibri"/>
                <w:spacing w:val="-3"/>
                <w:w w:val="90"/>
                <w:sz w:val="15"/>
              </w:rPr>
              <w:t>0.46</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4.77</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0.06</w:t>
            </w:r>
          </w:p>
        </w:tc>
        <w:tc>
          <w:tcPr>
            <w:tcW w:w="472" w:type="dxa"/>
            <w:tcBorders>
              <w:left w:val="single" w:sz="3" w:space="0" w:color="000000"/>
              <w:right w:val="single" w:sz="3" w:space="0" w:color="000000"/>
            </w:tcBorders>
          </w:tcPr>
          <w:p>
            <w:pPr>
              <w:pStyle w:val="TableParagraph"/>
              <w:spacing w:before="12"/>
              <w:ind w:left="231" w:right="-16"/>
              <w:jc w:val="left"/>
              <w:rPr>
                <w:rFonts w:ascii="Calibri"/>
                <w:sz w:val="15"/>
              </w:rPr>
            </w:pPr>
            <w:r>
              <w:rPr>
                <w:rFonts w:ascii="Calibri"/>
                <w:spacing w:val="-3"/>
                <w:w w:val="90"/>
                <w:sz w:val="15"/>
              </w:rPr>
              <w:t>0.57</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0.70</w:t>
            </w:r>
          </w:p>
        </w:tc>
        <w:tc>
          <w:tcPr>
            <w:tcW w:w="47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1.06</w:t>
            </w:r>
          </w:p>
        </w:tc>
        <w:tc>
          <w:tcPr>
            <w:tcW w:w="472"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7.6</w:t>
            </w:r>
          </w:p>
        </w:tc>
      </w:tr>
    </w:tbl>
    <w:p>
      <w:pPr>
        <w:pStyle w:val="BodyText"/>
        <w:spacing w:before="8"/>
        <w:rPr>
          <w:rFonts w:ascii="Arial"/>
          <w:b/>
          <w:sz w:val="14"/>
        </w:rPr>
      </w:pPr>
    </w:p>
    <w:p>
      <w:pPr>
        <w:spacing w:before="89"/>
        <w:ind w:left="835" w:right="204" w:firstLine="0"/>
        <w:jc w:val="left"/>
        <w:rPr>
          <w:rFonts w:ascii="Arial" w:hAnsi="Arial"/>
          <w:sz w:val="11"/>
        </w:rPr>
      </w:pPr>
      <w:r>
        <w:rPr>
          <w:rFonts w:ascii="Arial" w:hAnsi="Arial"/>
          <w:w w:val="90"/>
          <w:sz w:val="11"/>
        </w:rPr>
        <w:t>Fuente: Elaboración propia con base en los datos del INEGI, Censos Industriales y Económicos, 1971, 1975, 1981, 1986, 1989, 1994, 1999, 2004 y 2009.</w:t>
      </w:r>
    </w:p>
    <w:p>
      <w:pPr>
        <w:pStyle w:val="BodyText"/>
        <w:rPr>
          <w:rFonts w:ascii="Arial"/>
          <w:sz w:val="20"/>
        </w:rPr>
      </w:pPr>
    </w:p>
    <w:p>
      <w:pPr>
        <w:pStyle w:val="BodyText"/>
        <w:rPr>
          <w:rFonts w:ascii="Arial"/>
        </w:rPr>
      </w:pPr>
    </w:p>
    <w:p>
      <w:pPr>
        <w:pStyle w:val="BodyText"/>
        <w:spacing w:line="360" w:lineRule="auto" w:before="69"/>
        <w:ind w:left="102" w:right="217" w:firstLine="707"/>
        <w:jc w:val="both"/>
      </w:pPr>
      <w:r>
        <w:rPr/>
        <w:t>En el periodo de apertura comercial para la región Toluca-Lerma los subsectores motrices fueron: el 31 Productos alimenticios, bebidas y tabaco (16.1), posteriormente le sigue el subsector 35 Sustancias químicas, productos derivados del petróleo y del carbón, hule y de plástico (13.3) y posteriormente el 38 Productos metálicos, maquinaria y equipo (10.8). A su vez el más deprimido es el 33 Industria de la madera y productos de madera, con un valor de 3.6; el cual antes de la apertura era un subsector motriz. Es importante mencionar que estos subsectores motrices coinciden con los índices de especialización de esta región.</w:t>
      </w:r>
    </w:p>
    <w:p>
      <w:pPr>
        <w:pStyle w:val="BodyText"/>
        <w:spacing w:line="360" w:lineRule="auto" w:before="4"/>
        <w:ind w:left="102" w:right="217" w:firstLine="707"/>
        <w:jc w:val="both"/>
      </w:pPr>
      <w:r>
        <w:rPr/>
        <w:t>Por su parte la región Valle de México, como se aprecia en el Cuadro 3.12, durante el periodo 1970-1985 tiene como subsector motriz el 31 Productos alimenticios, bebidas y tabaco (11.3), posteriormente le sigue el subsector 35 Sustancias químicas, productos derivados del petróleo y del carbón, hule y de plástico (5.7) y en orden de importancia está el 36 Productos minerales no metálicos (5.5). El subsector más afectado es el 37 Industrias metálicas básicas con un valor de 3.0.</w:t>
      </w:r>
    </w:p>
    <w:p>
      <w:pPr>
        <w:spacing w:after="0" w:line="360" w:lineRule="auto"/>
        <w:jc w:val="both"/>
        <w:sectPr>
          <w:pgSz w:w="12240" w:h="15840"/>
          <w:pgMar w:header="0" w:footer="1003" w:top="1360" w:bottom="1200" w:left="1600" w:right="1480"/>
        </w:sectPr>
      </w:pPr>
    </w:p>
    <w:p>
      <w:pPr>
        <w:spacing w:before="63"/>
        <w:ind w:left="864" w:right="5686" w:firstLine="0"/>
        <w:jc w:val="left"/>
        <w:rPr>
          <w:rFonts w:ascii="Arial"/>
          <w:b/>
          <w:sz w:val="16"/>
        </w:rPr>
      </w:pPr>
      <w:r>
        <w:rPr>
          <w:rFonts w:ascii="Arial"/>
          <w:b/>
          <w:w w:val="85"/>
          <w:sz w:val="16"/>
        </w:rPr>
        <w:t>Cuadro 3.12</w:t>
      </w:r>
    </w:p>
    <w:p>
      <w:pPr>
        <w:spacing w:line="283" w:lineRule="auto" w:before="33"/>
        <w:ind w:left="864" w:right="5513" w:firstLine="0"/>
        <w:jc w:val="left"/>
        <w:rPr>
          <w:rFonts w:ascii="Arial" w:hAnsi="Arial"/>
          <w:b/>
          <w:sz w:val="16"/>
        </w:rPr>
      </w:pPr>
      <w:r>
        <w:rPr>
          <w:rFonts w:ascii="Arial" w:hAnsi="Arial"/>
          <w:b/>
          <w:w w:val="85"/>
          <w:sz w:val="16"/>
        </w:rPr>
        <w:t>Industrias Motrices región Valle de México </w:t>
      </w:r>
      <w:r>
        <w:rPr>
          <w:rFonts w:ascii="Arial" w:hAnsi="Arial"/>
          <w:b/>
          <w:w w:val="95"/>
          <w:sz w:val="16"/>
        </w:rPr>
        <w:t>1970-2008</w:t>
      </w:r>
    </w:p>
    <w:p>
      <w:pPr>
        <w:pStyle w:val="BodyText"/>
        <w:spacing w:before="8"/>
        <w:rPr>
          <w:rFonts w:ascii="Arial"/>
          <w:b/>
          <w:sz w:val="16"/>
        </w:rPr>
      </w:pPr>
    </w:p>
    <w:tbl>
      <w:tblPr>
        <w:tblW w:w="0" w:type="auto"/>
        <w:jc w:val="left"/>
        <w:tblInd w:w="8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7"/>
        <w:gridCol w:w="462"/>
        <w:gridCol w:w="462"/>
        <w:gridCol w:w="462"/>
        <w:gridCol w:w="462"/>
        <w:gridCol w:w="462"/>
        <w:gridCol w:w="462"/>
        <w:gridCol w:w="462"/>
        <w:gridCol w:w="94"/>
        <w:gridCol w:w="796"/>
        <w:gridCol w:w="471"/>
        <w:gridCol w:w="471"/>
        <w:gridCol w:w="471"/>
        <w:gridCol w:w="471"/>
        <w:gridCol w:w="471"/>
        <w:gridCol w:w="471"/>
        <w:gridCol w:w="471"/>
      </w:tblGrid>
      <w:tr>
        <w:trPr>
          <w:trHeight w:val="207" w:hRule="exact"/>
        </w:trPr>
        <w:tc>
          <w:tcPr>
            <w:tcW w:w="8208" w:type="dxa"/>
            <w:gridSpan w:val="17"/>
            <w:tcBorders>
              <w:left w:val="single" w:sz="3" w:space="0" w:color="000000"/>
              <w:bottom w:val="single" w:sz="4" w:space="0" w:color="000000"/>
              <w:right w:val="single" w:sz="3" w:space="0" w:color="000000"/>
            </w:tcBorders>
            <w:shd w:val="clear" w:color="auto" w:fill="C5D9F0"/>
          </w:tcPr>
          <w:p>
            <w:pPr>
              <w:pStyle w:val="TableParagraph"/>
              <w:spacing w:before="12"/>
              <w:ind w:left="1626"/>
              <w:jc w:val="left"/>
              <w:rPr>
                <w:rFonts w:ascii="Calibri" w:hAnsi="Calibri"/>
                <w:b/>
                <w:sz w:val="15"/>
              </w:rPr>
            </w:pPr>
            <w:r>
              <w:rPr>
                <w:rFonts w:ascii="Calibri" w:hAnsi="Calibri"/>
                <w:b/>
                <w:w w:val="85"/>
                <w:sz w:val="15"/>
              </w:rPr>
              <w:t>INDICADORES PARA DETERMINAR LAS INDUSTRIAS MOTRICES EN LA REGIÓN VALLE DE MÉXICO</w:t>
            </w:r>
          </w:p>
        </w:tc>
      </w:tr>
      <w:tr>
        <w:trPr>
          <w:trHeight w:val="207" w:hRule="exact"/>
        </w:trPr>
        <w:tc>
          <w:tcPr>
            <w:tcW w:w="4023" w:type="dxa"/>
            <w:gridSpan w:val="8"/>
            <w:tcBorders>
              <w:top w:val="single" w:sz="4" w:space="0" w:color="000000"/>
              <w:left w:val="single" w:sz="3" w:space="0" w:color="000000"/>
              <w:right w:val="single" w:sz="3" w:space="0" w:color="000000"/>
            </w:tcBorders>
            <w:shd w:val="clear" w:color="auto" w:fill="C5D9F0"/>
          </w:tcPr>
          <w:p>
            <w:pPr>
              <w:pStyle w:val="TableParagraph"/>
              <w:spacing w:before="12"/>
              <w:ind w:left="1678" w:right="1674"/>
              <w:jc w:val="center"/>
              <w:rPr>
                <w:rFonts w:ascii="Calibri"/>
                <w:b/>
                <w:sz w:val="15"/>
              </w:rPr>
            </w:pPr>
            <w:r>
              <w:rPr>
                <w:rFonts w:ascii="Calibri"/>
                <w:b/>
                <w:w w:val="95"/>
                <w:sz w:val="15"/>
              </w:rPr>
              <w:t>1970-1985</w:t>
            </w:r>
          </w:p>
        </w:tc>
        <w:tc>
          <w:tcPr>
            <w:tcW w:w="94" w:type="dxa"/>
            <w:vMerge w:val="restart"/>
            <w:tcBorders>
              <w:top w:val="nil"/>
              <w:left w:val="single" w:sz="3" w:space="0" w:color="000000"/>
              <w:right w:val="single" w:sz="3" w:space="0" w:color="000000"/>
            </w:tcBorders>
            <w:shd w:val="clear" w:color="auto" w:fill="C5D9F0"/>
          </w:tcPr>
          <w:p>
            <w:pPr/>
          </w:p>
        </w:tc>
        <w:tc>
          <w:tcPr>
            <w:tcW w:w="4091" w:type="dxa"/>
            <w:gridSpan w:val="8"/>
            <w:tcBorders>
              <w:top w:val="single" w:sz="4" w:space="0" w:color="000000"/>
              <w:left w:val="single" w:sz="3" w:space="0" w:color="000000"/>
              <w:right w:val="single" w:sz="3" w:space="0" w:color="000000"/>
            </w:tcBorders>
            <w:shd w:val="clear" w:color="auto" w:fill="C5D9F0"/>
          </w:tcPr>
          <w:p>
            <w:pPr>
              <w:pStyle w:val="TableParagraph"/>
              <w:spacing w:before="12"/>
              <w:ind w:left="1713" w:right="1708"/>
              <w:jc w:val="center"/>
              <w:rPr>
                <w:rFonts w:ascii="Calibri"/>
                <w:b/>
                <w:sz w:val="15"/>
              </w:rPr>
            </w:pPr>
            <w:r>
              <w:rPr>
                <w:rFonts w:ascii="Calibri"/>
                <w:b/>
                <w:w w:val="95"/>
                <w:sz w:val="15"/>
              </w:rPr>
              <w:t>1988-2008</w:t>
            </w:r>
          </w:p>
        </w:tc>
      </w:tr>
      <w:tr>
        <w:trPr>
          <w:trHeight w:val="212" w:hRule="exact"/>
        </w:trPr>
        <w:tc>
          <w:tcPr>
            <w:tcW w:w="787" w:type="dxa"/>
            <w:tcBorders>
              <w:left w:val="single" w:sz="3" w:space="0" w:color="000000"/>
              <w:right w:val="single" w:sz="3" w:space="0" w:color="000000"/>
            </w:tcBorders>
            <w:shd w:val="clear" w:color="auto" w:fill="C5D9F0"/>
          </w:tcPr>
          <w:p>
            <w:pPr>
              <w:pStyle w:val="TableParagraph"/>
              <w:spacing w:before="12"/>
              <w:ind w:right="73"/>
              <w:rPr>
                <w:rFonts w:ascii="Calibri"/>
                <w:b/>
                <w:sz w:val="15"/>
              </w:rPr>
            </w:pPr>
            <w:r>
              <w:rPr>
                <w:rFonts w:ascii="Calibri"/>
                <w:b/>
                <w:w w:val="85"/>
                <w:sz w:val="15"/>
              </w:rPr>
              <w:t>SUBSECTOR</w:t>
            </w:r>
          </w:p>
        </w:tc>
        <w:tc>
          <w:tcPr>
            <w:tcW w:w="462" w:type="dxa"/>
            <w:tcBorders>
              <w:left w:val="single" w:sz="3" w:space="0" w:color="000000"/>
              <w:right w:val="single" w:sz="3" w:space="0" w:color="000000"/>
            </w:tcBorders>
            <w:shd w:val="clear" w:color="auto" w:fill="C5D9F0"/>
          </w:tcPr>
          <w:p>
            <w:pPr>
              <w:pStyle w:val="TableParagraph"/>
              <w:spacing w:before="12"/>
              <w:ind w:left="136" w:right="-15"/>
              <w:jc w:val="left"/>
              <w:rPr>
                <w:rFonts w:ascii="Calibri"/>
                <w:b/>
                <w:sz w:val="15"/>
              </w:rPr>
            </w:pPr>
            <w:r>
              <w:rPr>
                <w:rFonts w:ascii="Calibri"/>
                <w:b/>
                <w:w w:val="95"/>
                <w:sz w:val="15"/>
              </w:rPr>
              <w:t>ICD</w:t>
            </w:r>
          </w:p>
        </w:tc>
        <w:tc>
          <w:tcPr>
            <w:tcW w:w="462" w:type="dxa"/>
            <w:tcBorders>
              <w:left w:val="single" w:sz="3" w:space="0" w:color="000000"/>
              <w:right w:val="single" w:sz="3" w:space="0" w:color="000000"/>
            </w:tcBorders>
            <w:shd w:val="clear" w:color="auto" w:fill="C5D9F0"/>
          </w:tcPr>
          <w:p>
            <w:pPr>
              <w:pStyle w:val="TableParagraph"/>
              <w:spacing w:before="12"/>
              <w:ind w:left="136"/>
              <w:jc w:val="left"/>
              <w:rPr>
                <w:rFonts w:ascii="Calibri"/>
                <w:b/>
                <w:sz w:val="15"/>
              </w:rPr>
            </w:pPr>
            <w:r>
              <w:rPr>
                <w:rFonts w:ascii="Calibri"/>
                <w:b/>
                <w:w w:val="95"/>
                <w:sz w:val="15"/>
              </w:rPr>
              <w:t>ICN</w:t>
            </w:r>
          </w:p>
        </w:tc>
        <w:tc>
          <w:tcPr>
            <w:tcW w:w="462" w:type="dxa"/>
            <w:tcBorders>
              <w:left w:val="single" w:sz="3" w:space="0" w:color="000000"/>
              <w:right w:val="single" w:sz="3" w:space="0" w:color="000000"/>
            </w:tcBorders>
            <w:shd w:val="clear" w:color="auto" w:fill="C5D9F0"/>
          </w:tcPr>
          <w:p>
            <w:pPr>
              <w:pStyle w:val="TableParagraph"/>
              <w:spacing w:before="12"/>
              <w:ind w:left="77"/>
              <w:jc w:val="left"/>
              <w:rPr>
                <w:rFonts w:ascii="Calibri"/>
                <w:b/>
                <w:sz w:val="15"/>
              </w:rPr>
            </w:pPr>
            <w:r>
              <w:rPr>
                <w:rFonts w:ascii="Calibri"/>
                <w:b/>
                <w:w w:val="95"/>
                <w:sz w:val="15"/>
              </w:rPr>
              <w:t>IAINR</w:t>
            </w:r>
          </w:p>
        </w:tc>
        <w:tc>
          <w:tcPr>
            <w:tcW w:w="462" w:type="dxa"/>
            <w:tcBorders>
              <w:left w:val="single" w:sz="3" w:space="0" w:color="000000"/>
              <w:right w:val="single" w:sz="3" w:space="0" w:color="000000"/>
            </w:tcBorders>
            <w:shd w:val="clear" w:color="auto" w:fill="C5D9F0"/>
          </w:tcPr>
          <w:p>
            <w:pPr>
              <w:pStyle w:val="TableParagraph"/>
              <w:spacing w:before="12"/>
              <w:ind w:left="154"/>
              <w:jc w:val="left"/>
              <w:rPr>
                <w:rFonts w:ascii="Calibri"/>
                <w:b/>
                <w:sz w:val="15"/>
              </w:rPr>
            </w:pPr>
            <w:r>
              <w:rPr>
                <w:rFonts w:ascii="Calibri"/>
                <w:b/>
                <w:w w:val="95"/>
                <w:sz w:val="15"/>
              </w:rPr>
              <w:t>IEL</w:t>
            </w:r>
          </w:p>
        </w:tc>
        <w:tc>
          <w:tcPr>
            <w:tcW w:w="462" w:type="dxa"/>
            <w:tcBorders>
              <w:left w:val="single" w:sz="3" w:space="0" w:color="000000"/>
              <w:right w:val="single" w:sz="3" w:space="0" w:color="000000"/>
            </w:tcBorders>
            <w:shd w:val="clear" w:color="auto" w:fill="C5D9F0"/>
          </w:tcPr>
          <w:p>
            <w:pPr>
              <w:pStyle w:val="TableParagraph"/>
              <w:spacing w:before="12"/>
              <w:ind w:left="136"/>
              <w:jc w:val="left"/>
              <w:rPr>
                <w:rFonts w:ascii="Calibri"/>
                <w:b/>
                <w:sz w:val="15"/>
              </w:rPr>
            </w:pPr>
            <w:r>
              <w:rPr>
                <w:rFonts w:ascii="Calibri"/>
                <w:b/>
                <w:w w:val="95"/>
                <w:sz w:val="15"/>
              </w:rPr>
              <w:t>IIEL</w:t>
            </w:r>
          </w:p>
        </w:tc>
        <w:tc>
          <w:tcPr>
            <w:tcW w:w="462" w:type="dxa"/>
            <w:tcBorders>
              <w:left w:val="single" w:sz="3" w:space="0" w:color="000000"/>
              <w:right w:val="single" w:sz="3" w:space="0" w:color="000000"/>
            </w:tcBorders>
            <w:shd w:val="clear" w:color="auto" w:fill="C5D9F0"/>
          </w:tcPr>
          <w:p>
            <w:pPr>
              <w:pStyle w:val="TableParagraph"/>
              <w:spacing w:before="12"/>
              <w:ind w:left="145"/>
              <w:jc w:val="left"/>
              <w:rPr>
                <w:rFonts w:ascii="Calibri"/>
                <w:b/>
                <w:sz w:val="15"/>
              </w:rPr>
            </w:pPr>
            <w:r>
              <w:rPr>
                <w:rFonts w:ascii="Calibri"/>
                <w:b/>
                <w:w w:val="95"/>
                <w:sz w:val="15"/>
              </w:rPr>
              <w:t>IPC</w:t>
            </w:r>
          </w:p>
        </w:tc>
        <w:tc>
          <w:tcPr>
            <w:tcW w:w="462" w:type="dxa"/>
            <w:tcBorders>
              <w:left w:val="single" w:sz="3" w:space="0" w:color="000000"/>
              <w:right w:val="single" w:sz="3" w:space="0" w:color="000000"/>
            </w:tcBorders>
            <w:shd w:val="clear" w:color="auto" w:fill="C5D9F0"/>
          </w:tcPr>
          <w:p>
            <w:pPr>
              <w:pStyle w:val="TableParagraph"/>
              <w:spacing w:before="12"/>
              <w:ind w:right="55"/>
              <w:rPr>
                <w:rFonts w:ascii="Calibri"/>
                <w:b/>
                <w:sz w:val="15"/>
              </w:rPr>
            </w:pPr>
            <w:r>
              <w:rPr>
                <w:rFonts w:ascii="Calibri"/>
                <w:b/>
                <w:w w:val="85"/>
                <w:sz w:val="15"/>
              </w:rPr>
              <w:t>TOTAL</w:t>
            </w:r>
          </w:p>
        </w:tc>
        <w:tc>
          <w:tcPr>
            <w:tcW w:w="94" w:type="dxa"/>
            <w:vMerge/>
            <w:tcBorders>
              <w:left w:val="single" w:sz="3" w:space="0" w:color="000000"/>
              <w:bottom w:val="nil"/>
              <w:right w:val="single" w:sz="3" w:space="0" w:color="000000"/>
            </w:tcBorders>
            <w:shd w:val="clear" w:color="auto" w:fill="C5D9F0"/>
          </w:tcPr>
          <w:p>
            <w:pPr/>
          </w:p>
        </w:tc>
        <w:tc>
          <w:tcPr>
            <w:tcW w:w="796" w:type="dxa"/>
            <w:tcBorders>
              <w:left w:val="single" w:sz="3" w:space="0" w:color="000000"/>
              <w:right w:val="single" w:sz="3" w:space="0" w:color="000000"/>
            </w:tcBorders>
            <w:shd w:val="clear" w:color="auto" w:fill="C5D9F0"/>
          </w:tcPr>
          <w:p>
            <w:pPr>
              <w:pStyle w:val="TableParagraph"/>
              <w:spacing w:before="12"/>
              <w:ind w:right="80"/>
              <w:rPr>
                <w:rFonts w:ascii="Calibri"/>
                <w:b/>
                <w:sz w:val="15"/>
              </w:rPr>
            </w:pPr>
            <w:r>
              <w:rPr>
                <w:rFonts w:ascii="Calibri"/>
                <w:b/>
                <w:w w:val="85"/>
                <w:sz w:val="15"/>
              </w:rPr>
              <w:t>SUBSECTOR</w:t>
            </w:r>
          </w:p>
        </w:tc>
        <w:tc>
          <w:tcPr>
            <w:tcW w:w="471" w:type="dxa"/>
            <w:tcBorders>
              <w:left w:val="single" w:sz="3" w:space="0" w:color="000000"/>
              <w:right w:val="single" w:sz="3" w:space="0" w:color="000000"/>
            </w:tcBorders>
            <w:shd w:val="clear" w:color="auto" w:fill="C5D9F0"/>
          </w:tcPr>
          <w:p>
            <w:pPr>
              <w:pStyle w:val="TableParagraph"/>
              <w:spacing w:before="12"/>
              <w:ind w:left="145"/>
              <w:jc w:val="left"/>
              <w:rPr>
                <w:rFonts w:ascii="Calibri"/>
                <w:b/>
                <w:sz w:val="15"/>
              </w:rPr>
            </w:pPr>
            <w:r>
              <w:rPr>
                <w:rFonts w:ascii="Calibri"/>
                <w:b/>
                <w:w w:val="95"/>
                <w:sz w:val="15"/>
              </w:rPr>
              <w:t>ICD</w:t>
            </w:r>
          </w:p>
        </w:tc>
        <w:tc>
          <w:tcPr>
            <w:tcW w:w="471" w:type="dxa"/>
            <w:tcBorders>
              <w:left w:val="single" w:sz="3" w:space="0" w:color="000000"/>
              <w:right w:val="single" w:sz="3" w:space="0" w:color="000000"/>
            </w:tcBorders>
            <w:shd w:val="clear" w:color="auto" w:fill="C5D9F0"/>
          </w:tcPr>
          <w:p>
            <w:pPr>
              <w:pStyle w:val="TableParagraph"/>
              <w:spacing w:before="12"/>
              <w:ind w:left="136"/>
              <w:jc w:val="left"/>
              <w:rPr>
                <w:rFonts w:ascii="Calibri"/>
                <w:b/>
                <w:sz w:val="15"/>
              </w:rPr>
            </w:pPr>
            <w:r>
              <w:rPr>
                <w:rFonts w:ascii="Calibri"/>
                <w:b/>
                <w:w w:val="95"/>
                <w:sz w:val="15"/>
              </w:rPr>
              <w:t>ICN</w:t>
            </w:r>
          </w:p>
        </w:tc>
        <w:tc>
          <w:tcPr>
            <w:tcW w:w="471" w:type="dxa"/>
            <w:tcBorders>
              <w:left w:val="single" w:sz="3" w:space="0" w:color="000000"/>
              <w:right w:val="single" w:sz="3" w:space="0" w:color="000000"/>
            </w:tcBorders>
            <w:shd w:val="clear" w:color="auto" w:fill="C5D9F0"/>
          </w:tcPr>
          <w:p>
            <w:pPr>
              <w:pStyle w:val="TableParagraph"/>
              <w:spacing w:before="12"/>
              <w:ind w:left="85"/>
              <w:jc w:val="left"/>
              <w:rPr>
                <w:rFonts w:ascii="Calibri"/>
                <w:b/>
                <w:sz w:val="15"/>
              </w:rPr>
            </w:pPr>
            <w:r>
              <w:rPr>
                <w:rFonts w:ascii="Calibri"/>
                <w:b/>
                <w:w w:val="95"/>
                <w:sz w:val="15"/>
              </w:rPr>
              <w:t>IAINR</w:t>
            </w:r>
          </w:p>
        </w:tc>
        <w:tc>
          <w:tcPr>
            <w:tcW w:w="471" w:type="dxa"/>
            <w:tcBorders>
              <w:left w:val="single" w:sz="3" w:space="0" w:color="000000"/>
              <w:right w:val="single" w:sz="3" w:space="0" w:color="000000"/>
            </w:tcBorders>
            <w:shd w:val="clear" w:color="auto" w:fill="C5D9F0"/>
          </w:tcPr>
          <w:p>
            <w:pPr>
              <w:pStyle w:val="TableParagraph"/>
              <w:spacing w:before="12"/>
              <w:ind w:left="162"/>
              <w:jc w:val="left"/>
              <w:rPr>
                <w:rFonts w:ascii="Calibri"/>
                <w:b/>
                <w:sz w:val="15"/>
              </w:rPr>
            </w:pPr>
            <w:r>
              <w:rPr>
                <w:rFonts w:ascii="Calibri"/>
                <w:b/>
                <w:w w:val="95"/>
                <w:sz w:val="15"/>
              </w:rPr>
              <w:t>IEL</w:t>
            </w:r>
          </w:p>
        </w:tc>
        <w:tc>
          <w:tcPr>
            <w:tcW w:w="471" w:type="dxa"/>
            <w:tcBorders>
              <w:left w:val="single" w:sz="3" w:space="0" w:color="000000"/>
              <w:right w:val="single" w:sz="3" w:space="0" w:color="000000"/>
            </w:tcBorders>
            <w:shd w:val="clear" w:color="auto" w:fill="C5D9F0"/>
          </w:tcPr>
          <w:p>
            <w:pPr>
              <w:pStyle w:val="TableParagraph"/>
              <w:spacing w:before="12"/>
              <w:ind w:left="145"/>
              <w:jc w:val="left"/>
              <w:rPr>
                <w:rFonts w:ascii="Calibri"/>
                <w:b/>
                <w:sz w:val="15"/>
              </w:rPr>
            </w:pPr>
            <w:r>
              <w:rPr>
                <w:rFonts w:ascii="Calibri"/>
                <w:b/>
                <w:w w:val="95"/>
                <w:sz w:val="15"/>
              </w:rPr>
              <w:t>IIEL</w:t>
            </w:r>
          </w:p>
        </w:tc>
        <w:tc>
          <w:tcPr>
            <w:tcW w:w="471" w:type="dxa"/>
            <w:tcBorders>
              <w:left w:val="single" w:sz="3" w:space="0" w:color="000000"/>
              <w:right w:val="single" w:sz="3" w:space="0" w:color="000000"/>
            </w:tcBorders>
            <w:shd w:val="clear" w:color="auto" w:fill="C5D9F0"/>
          </w:tcPr>
          <w:p>
            <w:pPr>
              <w:pStyle w:val="TableParagraph"/>
              <w:spacing w:before="12"/>
              <w:ind w:left="145"/>
              <w:jc w:val="left"/>
              <w:rPr>
                <w:rFonts w:ascii="Calibri"/>
                <w:b/>
                <w:sz w:val="15"/>
              </w:rPr>
            </w:pPr>
            <w:r>
              <w:rPr>
                <w:rFonts w:ascii="Calibri"/>
                <w:b/>
                <w:w w:val="95"/>
                <w:sz w:val="15"/>
              </w:rPr>
              <w:t>IPC</w:t>
            </w:r>
          </w:p>
        </w:tc>
        <w:tc>
          <w:tcPr>
            <w:tcW w:w="471" w:type="dxa"/>
            <w:tcBorders>
              <w:left w:val="single" w:sz="3" w:space="0" w:color="000000"/>
              <w:right w:val="single" w:sz="3" w:space="0" w:color="000000"/>
            </w:tcBorders>
            <w:shd w:val="clear" w:color="auto" w:fill="C5D9F0"/>
          </w:tcPr>
          <w:p>
            <w:pPr>
              <w:pStyle w:val="TableParagraph"/>
              <w:spacing w:before="12"/>
              <w:ind w:right="55"/>
              <w:rPr>
                <w:rFonts w:ascii="Calibri"/>
                <w:b/>
                <w:sz w:val="15"/>
              </w:rPr>
            </w:pPr>
            <w:r>
              <w:rPr>
                <w:rFonts w:ascii="Calibri"/>
                <w:b/>
                <w:w w:val="85"/>
                <w:sz w:val="15"/>
              </w:rPr>
              <w:t>TOTAL</w:t>
            </w:r>
          </w:p>
        </w:tc>
      </w:tr>
      <w:tr>
        <w:trPr>
          <w:trHeight w:val="202" w:hRule="exact"/>
        </w:trPr>
        <w:tc>
          <w:tcPr>
            <w:tcW w:w="787" w:type="dxa"/>
            <w:tcBorders>
              <w:left w:val="single" w:sz="3" w:space="0" w:color="000000"/>
              <w:right w:val="single" w:sz="3" w:space="0" w:color="000000"/>
            </w:tcBorders>
            <w:shd w:val="clear" w:color="auto" w:fill="DBEDF3"/>
          </w:tcPr>
          <w:p>
            <w:pPr>
              <w:pStyle w:val="TableParagraph"/>
              <w:spacing w:before="28"/>
              <w:ind w:right="65"/>
              <w:rPr>
                <w:b/>
                <w:sz w:val="13"/>
              </w:rPr>
            </w:pPr>
            <w:r>
              <w:rPr>
                <w:b/>
                <w:w w:val="85"/>
                <w:sz w:val="13"/>
              </w:rPr>
              <w:t>Subsector 31</w:t>
            </w:r>
          </w:p>
        </w:tc>
        <w:tc>
          <w:tcPr>
            <w:tcW w:w="462" w:type="dxa"/>
            <w:tcBorders>
              <w:left w:val="single" w:sz="3" w:space="0" w:color="000000"/>
              <w:right w:val="single" w:sz="3" w:space="0" w:color="000000"/>
            </w:tcBorders>
          </w:tcPr>
          <w:p>
            <w:pPr>
              <w:pStyle w:val="TableParagraph"/>
              <w:spacing w:before="7"/>
              <w:ind w:left="222" w:right="-15"/>
              <w:jc w:val="left"/>
              <w:rPr>
                <w:rFonts w:ascii="Calibri"/>
                <w:sz w:val="15"/>
              </w:rPr>
            </w:pPr>
            <w:r>
              <w:rPr>
                <w:rFonts w:ascii="Calibri"/>
                <w:w w:val="85"/>
                <w:sz w:val="15"/>
              </w:rPr>
              <w:t>0.69</w:t>
            </w:r>
          </w:p>
        </w:tc>
        <w:tc>
          <w:tcPr>
            <w:tcW w:w="462" w:type="dxa"/>
            <w:tcBorders>
              <w:left w:val="single" w:sz="3" w:space="0" w:color="000000"/>
              <w:right w:val="single" w:sz="3" w:space="0" w:color="000000"/>
            </w:tcBorders>
          </w:tcPr>
          <w:p>
            <w:pPr>
              <w:pStyle w:val="TableParagraph"/>
              <w:spacing w:before="7"/>
              <w:ind w:right="10"/>
              <w:rPr>
                <w:rFonts w:ascii="Calibri"/>
                <w:sz w:val="15"/>
              </w:rPr>
            </w:pPr>
            <w:r>
              <w:rPr>
                <w:rFonts w:ascii="Calibri"/>
                <w:w w:val="85"/>
                <w:sz w:val="15"/>
              </w:rPr>
              <w:t>2.84</w:t>
            </w:r>
          </w:p>
        </w:tc>
        <w:tc>
          <w:tcPr>
            <w:tcW w:w="462" w:type="dxa"/>
            <w:tcBorders>
              <w:left w:val="single" w:sz="3" w:space="0" w:color="000000"/>
              <w:right w:val="single" w:sz="3" w:space="0" w:color="000000"/>
            </w:tcBorders>
          </w:tcPr>
          <w:p>
            <w:pPr>
              <w:pStyle w:val="TableParagraph"/>
              <w:spacing w:before="7"/>
              <w:ind w:right="10"/>
              <w:rPr>
                <w:rFonts w:ascii="Calibri"/>
                <w:sz w:val="15"/>
              </w:rPr>
            </w:pPr>
            <w:r>
              <w:rPr>
                <w:rFonts w:ascii="Calibri"/>
                <w:w w:val="85"/>
                <w:sz w:val="15"/>
              </w:rPr>
              <w:t>4.30</w:t>
            </w:r>
          </w:p>
        </w:tc>
        <w:tc>
          <w:tcPr>
            <w:tcW w:w="462" w:type="dxa"/>
            <w:tcBorders>
              <w:left w:val="single" w:sz="3" w:space="0" w:color="000000"/>
              <w:right w:val="single" w:sz="3" w:space="0" w:color="000000"/>
            </w:tcBorders>
          </w:tcPr>
          <w:p>
            <w:pPr>
              <w:pStyle w:val="TableParagraph"/>
              <w:spacing w:before="7"/>
              <w:ind w:right="10"/>
              <w:rPr>
                <w:rFonts w:ascii="Calibri"/>
                <w:sz w:val="15"/>
              </w:rPr>
            </w:pPr>
            <w:r>
              <w:rPr>
                <w:rFonts w:ascii="Calibri"/>
                <w:w w:val="85"/>
                <w:sz w:val="15"/>
              </w:rPr>
              <w:t>0.96</w:t>
            </w:r>
          </w:p>
        </w:tc>
        <w:tc>
          <w:tcPr>
            <w:tcW w:w="462" w:type="dxa"/>
            <w:tcBorders>
              <w:left w:val="single" w:sz="3" w:space="0" w:color="000000"/>
              <w:right w:val="single" w:sz="3" w:space="0" w:color="000000"/>
            </w:tcBorders>
          </w:tcPr>
          <w:p>
            <w:pPr>
              <w:pStyle w:val="TableParagraph"/>
              <w:spacing w:before="7"/>
              <w:ind w:right="9"/>
              <w:rPr>
                <w:rFonts w:ascii="Calibri"/>
                <w:sz w:val="15"/>
              </w:rPr>
            </w:pPr>
            <w:r>
              <w:rPr>
                <w:rFonts w:ascii="Calibri"/>
                <w:w w:val="85"/>
                <w:sz w:val="15"/>
              </w:rPr>
              <w:t>1.07</w:t>
            </w:r>
          </w:p>
        </w:tc>
        <w:tc>
          <w:tcPr>
            <w:tcW w:w="462" w:type="dxa"/>
            <w:tcBorders>
              <w:left w:val="single" w:sz="3" w:space="0" w:color="000000"/>
              <w:right w:val="single" w:sz="3" w:space="0" w:color="000000"/>
            </w:tcBorders>
          </w:tcPr>
          <w:p>
            <w:pPr>
              <w:pStyle w:val="TableParagraph"/>
              <w:spacing w:before="7"/>
              <w:ind w:right="10"/>
              <w:rPr>
                <w:rFonts w:ascii="Calibri"/>
                <w:sz w:val="15"/>
              </w:rPr>
            </w:pPr>
            <w:r>
              <w:rPr>
                <w:rFonts w:ascii="Calibri"/>
                <w:w w:val="85"/>
                <w:sz w:val="15"/>
              </w:rPr>
              <w:t>1.44</w:t>
            </w:r>
          </w:p>
        </w:tc>
        <w:tc>
          <w:tcPr>
            <w:tcW w:w="462" w:type="dxa"/>
            <w:tcBorders>
              <w:left w:val="single" w:sz="3" w:space="0" w:color="000000"/>
              <w:right w:val="single" w:sz="3" w:space="0" w:color="000000"/>
            </w:tcBorders>
            <w:shd w:val="clear" w:color="auto" w:fill="FFC000"/>
          </w:tcPr>
          <w:p>
            <w:pPr>
              <w:pStyle w:val="TableParagraph"/>
              <w:spacing w:before="7"/>
              <w:ind w:right="10"/>
              <w:rPr>
                <w:rFonts w:ascii="Calibri"/>
                <w:sz w:val="15"/>
              </w:rPr>
            </w:pPr>
            <w:r>
              <w:rPr>
                <w:rFonts w:ascii="Calibri"/>
                <w:w w:val="85"/>
                <w:sz w:val="15"/>
              </w:rPr>
              <w:t>11.3</w:t>
            </w:r>
          </w:p>
        </w:tc>
        <w:tc>
          <w:tcPr>
            <w:tcW w:w="94" w:type="dxa"/>
            <w:vMerge w:val="restart"/>
            <w:tcBorders>
              <w:top w:val="nil"/>
              <w:left w:val="single" w:sz="3" w:space="0" w:color="000000"/>
              <w:right w:val="single" w:sz="3" w:space="0" w:color="000000"/>
            </w:tcBorders>
            <w:shd w:val="clear" w:color="auto" w:fill="DBEDF3"/>
          </w:tcPr>
          <w:p>
            <w:pPr/>
          </w:p>
        </w:tc>
        <w:tc>
          <w:tcPr>
            <w:tcW w:w="796" w:type="dxa"/>
            <w:tcBorders>
              <w:left w:val="single" w:sz="3" w:space="0" w:color="000000"/>
              <w:right w:val="single" w:sz="3" w:space="0" w:color="000000"/>
            </w:tcBorders>
            <w:shd w:val="clear" w:color="auto" w:fill="DBEDF3"/>
          </w:tcPr>
          <w:p>
            <w:pPr>
              <w:pStyle w:val="TableParagraph"/>
              <w:spacing w:before="28"/>
              <w:ind w:right="74"/>
              <w:rPr>
                <w:b/>
                <w:sz w:val="13"/>
              </w:rPr>
            </w:pPr>
            <w:r>
              <w:rPr>
                <w:b/>
                <w:w w:val="85"/>
                <w:sz w:val="13"/>
              </w:rPr>
              <w:t>Subsector 31</w:t>
            </w:r>
          </w:p>
        </w:tc>
        <w:tc>
          <w:tcPr>
            <w:tcW w:w="471" w:type="dxa"/>
            <w:tcBorders>
              <w:left w:val="single" w:sz="3" w:space="0" w:color="000000"/>
              <w:right w:val="single" w:sz="3" w:space="0" w:color="000000"/>
            </w:tcBorders>
          </w:tcPr>
          <w:p>
            <w:pPr>
              <w:pStyle w:val="TableParagraph"/>
              <w:spacing w:before="7"/>
              <w:ind w:right="10"/>
              <w:rPr>
                <w:rFonts w:ascii="Calibri"/>
                <w:sz w:val="15"/>
              </w:rPr>
            </w:pPr>
            <w:r>
              <w:rPr>
                <w:rFonts w:ascii="Calibri"/>
                <w:w w:val="85"/>
                <w:sz w:val="15"/>
              </w:rPr>
              <w:t>-0.75</w:t>
            </w:r>
          </w:p>
        </w:tc>
        <w:tc>
          <w:tcPr>
            <w:tcW w:w="471" w:type="dxa"/>
            <w:tcBorders>
              <w:left w:val="single" w:sz="3" w:space="0" w:color="000000"/>
              <w:right w:val="single" w:sz="3" w:space="0" w:color="000000"/>
            </w:tcBorders>
          </w:tcPr>
          <w:p>
            <w:pPr>
              <w:pStyle w:val="TableParagraph"/>
              <w:spacing w:before="7"/>
              <w:ind w:right="10"/>
              <w:rPr>
                <w:rFonts w:ascii="Calibri"/>
                <w:sz w:val="15"/>
              </w:rPr>
            </w:pPr>
            <w:r>
              <w:rPr>
                <w:rFonts w:ascii="Calibri"/>
                <w:w w:val="85"/>
                <w:sz w:val="15"/>
              </w:rPr>
              <w:t>1.39</w:t>
            </w:r>
          </w:p>
        </w:tc>
        <w:tc>
          <w:tcPr>
            <w:tcW w:w="471" w:type="dxa"/>
            <w:tcBorders>
              <w:left w:val="single" w:sz="3" w:space="0" w:color="000000"/>
              <w:right w:val="single" w:sz="3" w:space="0" w:color="000000"/>
            </w:tcBorders>
          </w:tcPr>
          <w:p>
            <w:pPr>
              <w:pStyle w:val="TableParagraph"/>
              <w:spacing w:before="7"/>
              <w:ind w:right="10"/>
              <w:rPr>
                <w:rFonts w:ascii="Calibri"/>
                <w:sz w:val="15"/>
              </w:rPr>
            </w:pPr>
            <w:r>
              <w:rPr>
                <w:rFonts w:ascii="Calibri"/>
                <w:w w:val="85"/>
                <w:sz w:val="15"/>
              </w:rPr>
              <w:t>12.07</w:t>
            </w:r>
          </w:p>
        </w:tc>
        <w:tc>
          <w:tcPr>
            <w:tcW w:w="471" w:type="dxa"/>
            <w:tcBorders>
              <w:left w:val="single" w:sz="3" w:space="0" w:color="000000"/>
              <w:right w:val="single" w:sz="3" w:space="0" w:color="000000"/>
            </w:tcBorders>
          </w:tcPr>
          <w:p>
            <w:pPr>
              <w:pStyle w:val="TableParagraph"/>
              <w:spacing w:before="7"/>
              <w:ind w:right="10"/>
              <w:rPr>
                <w:rFonts w:ascii="Calibri"/>
                <w:sz w:val="15"/>
              </w:rPr>
            </w:pPr>
            <w:r>
              <w:rPr>
                <w:rFonts w:ascii="Calibri"/>
                <w:w w:val="85"/>
                <w:sz w:val="15"/>
              </w:rPr>
              <w:t>0.68</w:t>
            </w:r>
          </w:p>
        </w:tc>
        <w:tc>
          <w:tcPr>
            <w:tcW w:w="471" w:type="dxa"/>
            <w:tcBorders>
              <w:left w:val="single" w:sz="3" w:space="0" w:color="000000"/>
              <w:right w:val="single" w:sz="3" w:space="0" w:color="000000"/>
            </w:tcBorders>
          </w:tcPr>
          <w:p>
            <w:pPr>
              <w:pStyle w:val="TableParagraph"/>
              <w:spacing w:before="7"/>
              <w:ind w:right="10"/>
              <w:rPr>
                <w:rFonts w:ascii="Calibri"/>
                <w:sz w:val="15"/>
              </w:rPr>
            </w:pPr>
            <w:r>
              <w:rPr>
                <w:rFonts w:ascii="Calibri"/>
                <w:w w:val="85"/>
                <w:sz w:val="15"/>
              </w:rPr>
              <w:t>0.88</w:t>
            </w:r>
          </w:p>
        </w:tc>
        <w:tc>
          <w:tcPr>
            <w:tcW w:w="471" w:type="dxa"/>
            <w:tcBorders>
              <w:left w:val="single" w:sz="3" w:space="0" w:color="000000"/>
              <w:right w:val="single" w:sz="3" w:space="0" w:color="000000"/>
            </w:tcBorders>
          </w:tcPr>
          <w:p>
            <w:pPr>
              <w:pStyle w:val="TableParagraph"/>
              <w:spacing w:before="7"/>
              <w:ind w:right="10"/>
              <w:rPr>
                <w:rFonts w:ascii="Calibri"/>
                <w:sz w:val="15"/>
              </w:rPr>
            </w:pPr>
            <w:r>
              <w:rPr>
                <w:rFonts w:ascii="Calibri"/>
                <w:w w:val="85"/>
                <w:sz w:val="15"/>
              </w:rPr>
              <w:t>0.80</w:t>
            </w:r>
          </w:p>
        </w:tc>
        <w:tc>
          <w:tcPr>
            <w:tcW w:w="471" w:type="dxa"/>
            <w:tcBorders>
              <w:left w:val="single" w:sz="3" w:space="0" w:color="000000"/>
              <w:right w:val="single" w:sz="3" w:space="0" w:color="000000"/>
            </w:tcBorders>
            <w:shd w:val="clear" w:color="auto" w:fill="FFC000"/>
          </w:tcPr>
          <w:p>
            <w:pPr>
              <w:pStyle w:val="TableParagraph"/>
              <w:spacing w:before="7"/>
              <w:ind w:right="10"/>
              <w:rPr>
                <w:rFonts w:ascii="Calibri"/>
                <w:sz w:val="15"/>
              </w:rPr>
            </w:pPr>
            <w:r>
              <w:rPr>
                <w:rFonts w:ascii="Calibri"/>
                <w:w w:val="85"/>
                <w:sz w:val="15"/>
              </w:rPr>
              <w:t>15.1</w:t>
            </w:r>
          </w:p>
        </w:tc>
      </w:tr>
      <w:tr>
        <w:trPr>
          <w:trHeight w:val="207" w:hRule="exact"/>
        </w:trPr>
        <w:tc>
          <w:tcPr>
            <w:tcW w:w="787" w:type="dxa"/>
            <w:tcBorders>
              <w:left w:val="single" w:sz="3" w:space="0" w:color="000000"/>
              <w:right w:val="single" w:sz="3" w:space="0" w:color="000000"/>
            </w:tcBorders>
            <w:shd w:val="clear" w:color="auto" w:fill="DBEDF3"/>
          </w:tcPr>
          <w:p>
            <w:pPr>
              <w:pStyle w:val="TableParagraph"/>
              <w:spacing w:before="33"/>
              <w:ind w:right="65"/>
              <w:rPr>
                <w:b/>
                <w:sz w:val="13"/>
              </w:rPr>
            </w:pPr>
            <w:r>
              <w:rPr>
                <w:b/>
                <w:w w:val="85"/>
                <w:sz w:val="13"/>
              </w:rPr>
              <w:t>Subsector 32</w:t>
            </w:r>
          </w:p>
        </w:tc>
        <w:tc>
          <w:tcPr>
            <w:tcW w:w="462" w:type="dxa"/>
            <w:tcBorders>
              <w:left w:val="single" w:sz="3" w:space="0" w:color="000000"/>
              <w:right w:val="single" w:sz="3" w:space="0" w:color="000000"/>
            </w:tcBorders>
          </w:tcPr>
          <w:p>
            <w:pPr>
              <w:pStyle w:val="TableParagraph"/>
              <w:spacing w:before="13"/>
              <w:ind w:left="179" w:right="-11"/>
              <w:jc w:val="left"/>
              <w:rPr>
                <w:rFonts w:ascii="Calibri"/>
                <w:sz w:val="15"/>
              </w:rPr>
            </w:pPr>
            <w:r>
              <w:rPr>
                <w:rFonts w:ascii="Calibri"/>
                <w:w w:val="85"/>
                <w:sz w:val="15"/>
              </w:rPr>
              <w:t>-1.00</w:t>
            </w:r>
          </w:p>
        </w:tc>
        <w:tc>
          <w:tcPr>
            <w:tcW w:w="462" w:type="dxa"/>
            <w:tcBorders>
              <w:left w:val="single" w:sz="3" w:space="0" w:color="000000"/>
              <w:right w:val="single" w:sz="3" w:space="0" w:color="000000"/>
            </w:tcBorders>
          </w:tcPr>
          <w:p>
            <w:pPr>
              <w:pStyle w:val="TableParagraph"/>
              <w:spacing w:before="13"/>
              <w:ind w:right="10"/>
              <w:rPr>
                <w:rFonts w:ascii="Calibri"/>
                <w:sz w:val="15"/>
              </w:rPr>
            </w:pPr>
            <w:r>
              <w:rPr>
                <w:rFonts w:ascii="Calibri"/>
                <w:w w:val="85"/>
                <w:sz w:val="15"/>
              </w:rPr>
              <w:t>0.86</w:t>
            </w:r>
          </w:p>
        </w:tc>
        <w:tc>
          <w:tcPr>
            <w:tcW w:w="462" w:type="dxa"/>
            <w:tcBorders>
              <w:left w:val="single" w:sz="3" w:space="0" w:color="000000"/>
              <w:right w:val="single" w:sz="3" w:space="0" w:color="000000"/>
            </w:tcBorders>
          </w:tcPr>
          <w:p>
            <w:pPr>
              <w:pStyle w:val="TableParagraph"/>
              <w:spacing w:before="13"/>
              <w:ind w:right="10"/>
              <w:rPr>
                <w:rFonts w:ascii="Calibri"/>
                <w:sz w:val="15"/>
              </w:rPr>
            </w:pPr>
            <w:r>
              <w:rPr>
                <w:rFonts w:ascii="Calibri"/>
                <w:w w:val="85"/>
                <w:sz w:val="15"/>
              </w:rPr>
              <w:t>0.71</w:t>
            </w:r>
          </w:p>
        </w:tc>
        <w:tc>
          <w:tcPr>
            <w:tcW w:w="462" w:type="dxa"/>
            <w:tcBorders>
              <w:left w:val="single" w:sz="3" w:space="0" w:color="000000"/>
              <w:right w:val="single" w:sz="3" w:space="0" w:color="000000"/>
            </w:tcBorders>
          </w:tcPr>
          <w:p>
            <w:pPr>
              <w:pStyle w:val="TableParagraph"/>
              <w:spacing w:before="13"/>
              <w:ind w:right="10"/>
              <w:rPr>
                <w:rFonts w:ascii="Calibri"/>
                <w:sz w:val="15"/>
              </w:rPr>
            </w:pPr>
            <w:r>
              <w:rPr>
                <w:rFonts w:ascii="Calibri"/>
                <w:w w:val="85"/>
                <w:sz w:val="15"/>
              </w:rPr>
              <w:t>0.82</w:t>
            </w:r>
          </w:p>
        </w:tc>
        <w:tc>
          <w:tcPr>
            <w:tcW w:w="462" w:type="dxa"/>
            <w:tcBorders>
              <w:left w:val="single" w:sz="3" w:space="0" w:color="000000"/>
              <w:right w:val="single" w:sz="3" w:space="0" w:color="000000"/>
            </w:tcBorders>
          </w:tcPr>
          <w:p>
            <w:pPr>
              <w:pStyle w:val="TableParagraph"/>
              <w:spacing w:before="13"/>
              <w:ind w:right="9"/>
              <w:rPr>
                <w:rFonts w:ascii="Calibri"/>
                <w:sz w:val="15"/>
              </w:rPr>
            </w:pPr>
            <w:r>
              <w:rPr>
                <w:rFonts w:ascii="Calibri"/>
                <w:w w:val="85"/>
                <w:sz w:val="15"/>
              </w:rPr>
              <w:t>0.90</w:t>
            </w:r>
          </w:p>
        </w:tc>
        <w:tc>
          <w:tcPr>
            <w:tcW w:w="462" w:type="dxa"/>
            <w:tcBorders>
              <w:left w:val="single" w:sz="3" w:space="0" w:color="000000"/>
              <w:right w:val="single" w:sz="3" w:space="0" w:color="000000"/>
            </w:tcBorders>
          </w:tcPr>
          <w:p>
            <w:pPr>
              <w:pStyle w:val="TableParagraph"/>
              <w:spacing w:before="13"/>
              <w:ind w:right="10"/>
              <w:rPr>
                <w:rFonts w:ascii="Calibri"/>
                <w:sz w:val="15"/>
              </w:rPr>
            </w:pPr>
            <w:r>
              <w:rPr>
                <w:rFonts w:ascii="Calibri"/>
                <w:w w:val="85"/>
                <w:sz w:val="15"/>
              </w:rPr>
              <w:t>0.92</w:t>
            </w:r>
          </w:p>
        </w:tc>
        <w:tc>
          <w:tcPr>
            <w:tcW w:w="462" w:type="dxa"/>
            <w:tcBorders>
              <w:left w:val="single" w:sz="3" w:space="0" w:color="000000"/>
              <w:right w:val="single" w:sz="3" w:space="0" w:color="000000"/>
            </w:tcBorders>
          </w:tcPr>
          <w:p>
            <w:pPr>
              <w:pStyle w:val="TableParagraph"/>
              <w:spacing w:before="13"/>
              <w:ind w:right="10"/>
              <w:rPr>
                <w:rFonts w:ascii="Calibri"/>
                <w:sz w:val="15"/>
              </w:rPr>
            </w:pPr>
            <w:r>
              <w:rPr>
                <w:rFonts w:ascii="Calibri"/>
                <w:w w:val="85"/>
                <w:sz w:val="15"/>
              </w:rPr>
              <w:t>3.2</w:t>
            </w:r>
          </w:p>
        </w:tc>
        <w:tc>
          <w:tcPr>
            <w:tcW w:w="94" w:type="dxa"/>
            <w:vMerge/>
            <w:tcBorders>
              <w:left w:val="single" w:sz="3" w:space="0" w:color="000000"/>
              <w:right w:val="single" w:sz="3" w:space="0" w:color="000000"/>
            </w:tcBorders>
            <w:shd w:val="clear" w:color="auto" w:fill="DBEDF3"/>
          </w:tcPr>
          <w:p>
            <w:pPr/>
          </w:p>
        </w:tc>
        <w:tc>
          <w:tcPr>
            <w:tcW w:w="796" w:type="dxa"/>
            <w:tcBorders>
              <w:left w:val="single" w:sz="3" w:space="0" w:color="000000"/>
              <w:right w:val="single" w:sz="3" w:space="0" w:color="000000"/>
            </w:tcBorders>
            <w:shd w:val="clear" w:color="auto" w:fill="DBEDF3"/>
          </w:tcPr>
          <w:p>
            <w:pPr>
              <w:pStyle w:val="TableParagraph"/>
              <w:spacing w:before="33"/>
              <w:ind w:right="74"/>
              <w:rPr>
                <w:b/>
                <w:sz w:val="13"/>
              </w:rPr>
            </w:pPr>
            <w:r>
              <w:rPr>
                <w:b/>
                <w:w w:val="85"/>
                <w:sz w:val="13"/>
              </w:rPr>
              <w:t>Subsector 32</w:t>
            </w:r>
          </w:p>
        </w:tc>
        <w:tc>
          <w:tcPr>
            <w:tcW w:w="471" w:type="dxa"/>
            <w:tcBorders>
              <w:left w:val="single" w:sz="3" w:space="0" w:color="000000"/>
              <w:right w:val="single" w:sz="3" w:space="0" w:color="000000"/>
            </w:tcBorders>
          </w:tcPr>
          <w:p>
            <w:pPr>
              <w:pStyle w:val="TableParagraph"/>
              <w:spacing w:before="13"/>
              <w:ind w:right="10"/>
              <w:rPr>
                <w:rFonts w:ascii="Calibri"/>
                <w:sz w:val="15"/>
              </w:rPr>
            </w:pPr>
            <w:r>
              <w:rPr>
                <w:rFonts w:ascii="Calibri"/>
                <w:w w:val="85"/>
                <w:sz w:val="15"/>
              </w:rPr>
              <w:t>2.51</w:t>
            </w:r>
          </w:p>
        </w:tc>
        <w:tc>
          <w:tcPr>
            <w:tcW w:w="471" w:type="dxa"/>
            <w:tcBorders>
              <w:left w:val="single" w:sz="3" w:space="0" w:color="000000"/>
              <w:right w:val="single" w:sz="3" w:space="0" w:color="000000"/>
            </w:tcBorders>
          </w:tcPr>
          <w:p>
            <w:pPr>
              <w:pStyle w:val="TableParagraph"/>
              <w:spacing w:before="13"/>
              <w:ind w:right="10"/>
              <w:rPr>
                <w:rFonts w:ascii="Calibri"/>
                <w:sz w:val="15"/>
              </w:rPr>
            </w:pPr>
            <w:r>
              <w:rPr>
                <w:rFonts w:ascii="Calibri"/>
                <w:w w:val="85"/>
                <w:sz w:val="15"/>
              </w:rPr>
              <w:t>0.57</w:t>
            </w:r>
          </w:p>
        </w:tc>
        <w:tc>
          <w:tcPr>
            <w:tcW w:w="471" w:type="dxa"/>
            <w:tcBorders>
              <w:left w:val="single" w:sz="3" w:space="0" w:color="000000"/>
              <w:right w:val="single" w:sz="3" w:space="0" w:color="000000"/>
            </w:tcBorders>
          </w:tcPr>
          <w:p>
            <w:pPr>
              <w:pStyle w:val="TableParagraph"/>
              <w:spacing w:before="13"/>
              <w:ind w:right="10"/>
              <w:rPr>
                <w:rFonts w:ascii="Calibri"/>
                <w:sz w:val="15"/>
              </w:rPr>
            </w:pPr>
            <w:r>
              <w:rPr>
                <w:rFonts w:ascii="Calibri"/>
                <w:w w:val="85"/>
                <w:sz w:val="15"/>
              </w:rPr>
              <w:t>-0.63</w:t>
            </w:r>
          </w:p>
        </w:tc>
        <w:tc>
          <w:tcPr>
            <w:tcW w:w="471" w:type="dxa"/>
            <w:tcBorders>
              <w:left w:val="single" w:sz="3" w:space="0" w:color="000000"/>
              <w:right w:val="single" w:sz="3" w:space="0" w:color="000000"/>
            </w:tcBorders>
          </w:tcPr>
          <w:p>
            <w:pPr>
              <w:pStyle w:val="TableParagraph"/>
              <w:spacing w:before="13"/>
              <w:ind w:right="10"/>
              <w:rPr>
                <w:rFonts w:ascii="Calibri"/>
                <w:sz w:val="15"/>
              </w:rPr>
            </w:pPr>
            <w:r>
              <w:rPr>
                <w:rFonts w:ascii="Calibri"/>
                <w:w w:val="85"/>
                <w:sz w:val="15"/>
              </w:rPr>
              <w:t>0.79</w:t>
            </w:r>
          </w:p>
        </w:tc>
        <w:tc>
          <w:tcPr>
            <w:tcW w:w="471" w:type="dxa"/>
            <w:tcBorders>
              <w:left w:val="single" w:sz="3" w:space="0" w:color="000000"/>
              <w:right w:val="single" w:sz="3" w:space="0" w:color="000000"/>
            </w:tcBorders>
          </w:tcPr>
          <w:p>
            <w:pPr>
              <w:pStyle w:val="TableParagraph"/>
              <w:spacing w:before="13"/>
              <w:ind w:right="10"/>
              <w:rPr>
                <w:rFonts w:ascii="Calibri"/>
                <w:sz w:val="15"/>
              </w:rPr>
            </w:pPr>
            <w:r>
              <w:rPr>
                <w:rFonts w:ascii="Calibri"/>
                <w:w w:val="85"/>
                <w:sz w:val="15"/>
              </w:rPr>
              <w:t>0.92</w:t>
            </w:r>
          </w:p>
        </w:tc>
        <w:tc>
          <w:tcPr>
            <w:tcW w:w="471" w:type="dxa"/>
            <w:tcBorders>
              <w:left w:val="single" w:sz="3" w:space="0" w:color="000000"/>
              <w:right w:val="single" w:sz="3" w:space="0" w:color="000000"/>
            </w:tcBorders>
          </w:tcPr>
          <w:p>
            <w:pPr>
              <w:pStyle w:val="TableParagraph"/>
              <w:spacing w:before="13"/>
              <w:ind w:right="10"/>
              <w:rPr>
                <w:rFonts w:ascii="Calibri"/>
                <w:sz w:val="15"/>
              </w:rPr>
            </w:pPr>
            <w:r>
              <w:rPr>
                <w:rFonts w:ascii="Calibri"/>
                <w:w w:val="85"/>
                <w:sz w:val="15"/>
              </w:rPr>
              <w:t>0.94</w:t>
            </w:r>
          </w:p>
        </w:tc>
        <w:tc>
          <w:tcPr>
            <w:tcW w:w="471" w:type="dxa"/>
            <w:tcBorders>
              <w:left w:val="single" w:sz="3" w:space="0" w:color="000000"/>
              <w:right w:val="single" w:sz="3" w:space="0" w:color="000000"/>
            </w:tcBorders>
          </w:tcPr>
          <w:p>
            <w:pPr>
              <w:pStyle w:val="TableParagraph"/>
              <w:spacing w:before="13"/>
              <w:ind w:right="9"/>
              <w:rPr>
                <w:rFonts w:ascii="Calibri"/>
                <w:sz w:val="15"/>
              </w:rPr>
            </w:pPr>
            <w:r>
              <w:rPr>
                <w:rFonts w:ascii="Calibri"/>
                <w:w w:val="85"/>
                <w:sz w:val="15"/>
              </w:rPr>
              <w:t>5.1</w:t>
            </w:r>
          </w:p>
        </w:tc>
      </w:tr>
      <w:tr>
        <w:trPr>
          <w:trHeight w:val="207" w:hRule="exact"/>
        </w:trPr>
        <w:tc>
          <w:tcPr>
            <w:tcW w:w="787" w:type="dxa"/>
            <w:tcBorders>
              <w:left w:val="single" w:sz="3" w:space="0" w:color="000000"/>
              <w:right w:val="single" w:sz="3" w:space="0" w:color="000000"/>
            </w:tcBorders>
            <w:shd w:val="clear" w:color="auto" w:fill="DBEDF3"/>
          </w:tcPr>
          <w:p>
            <w:pPr>
              <w:pStyle w:val="TableParagraph"/>
              <w:spacing w:before="33"/>
              <w:ind w:right="65"/>
              <w:rPr>
                <w:b/>
                <w:sz w:val="13"/>
              </w:rPr>
            </w:pPr>
            <w:r>
              <w:rPr>
                <w:b/>
                <w:w w:val="85"/>
                <w:sz w:val="13"/>
              </w:rPr>
              <w:t>Subsector 33</w:t>
            </w:r>
          </w:p>
        </w:tc>
        <w:tc>
          <w:tcPr>
            <w:tcW w:w="462" w:type="dxa"/>
            <w:tcBorders>
              <w:left w:val="single" w:sz="3" w:space="0" w:color="000000"/>
              <w:right w:val="single" w:sz="3" w:space="0" w:color="000000"/>
            </w:tcBorders>
          </w:tcPr>
          <w:p>
            <w:pPr>
              <w:pStyle w:val="TableParagraph"/>
              <w:spacing w:before="12"/>
              <w:ind w:left="179" w:right="-11"/>
              <w:jc w:val="left"/>
              <w:rPr>
                <w:rFonts w:ascii="Calibri"/>
                <w:sz w:val="15"/>
              </w:rPr>
            </w:pPr>
            <w:r>
              <w:rPr>
                <w:rFonts w:ascii="Calibri"/>
                <w:w w:val="85"/>
                <w:sz w:val="15"/>
              </w:rPr>
              <w:t>-0.62</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0.81</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0.07</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1.03</w:t>
            </w:r>
          </w:p>
        </w:tc>
        <w:tc>
          <w:tcPr>
            <w:tcW w:w="462"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0.48</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1.32</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3.1</w:t>
            </w:r>
          </w:p>
        </w:tc>
        <w:tc>
          <w:tcPr>
            <w:tcW w:w="94" w:type="dxa"/>
            <w:vMerge/>
            <w:tcBorders>
              <w:left w:val="single" w:sz="3" w:space="0" w:color="000000"/>
              <w:right w:val="single" w:sz="3" w:space="0" w:color="000000"/>
            </w:tcBorders>
            <w:shd w:val="clear" w:color="auto" w:fill="DBEDF3"/>
          </w:tcPr>
          <w:p>
            <w:pPr/>
          </w:p>
        </w:tc>
        <w:tc>
          <w:tcPr>
            <w:tcW w:w="796" w:type="dxa"/>
            <w:tcBorders>
              <w:left w:val="single" w:sz="3" w:space="0" w:color="000000"/>
              <w:right w:val="single" w:sz="3" w:space="0" w:color="000000"/>
            </w:tcBorders>
            <w:shd w:val="clear" w:color="auto" w:fill="DBEDF3"/>
          </w:tcPr>
          <w:p>
            <w:pPr>
              <w:pStyle w:val="TableParagraph"/>
              <w:spacing w:before="33"/>
              <w:ind w:right="74"/>
              <w:rPr>
                <w:b/>
                <w:sz w:val="13"/>
              </w:rPr>
            </w:pPr>
            <w:r>
              <w:rPr>
                <w:b/>
                <w:w w:val="85"/>
                <w:sz w:val="13"/>
              </w:rPr>
              <w:t>Subsector 33</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-0.01</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0.17</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-0.63</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1.06</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1.20</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0.96</w:t>
            </w:r>
          </w:p>
        </w:tc>
        <w:tc>
          <w:tcPr>
            <w:tcW w:w="471"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2.7</w:t>
            </w:r>
          </w:p>
        </w:tc>
      </w:tr>
      <w:tr>
        <w:trPr>
          <w:trHeight w:val="207" w:hRule="exact"/>
        </w:trPr>
        <w:tc>
          <w:tcPr>
            <w:tcW w:w="787" w:type="dxa"/>
            <w:tcBorders>
              <w:left w:val="single" w:sz="3" w:space="0" w:color="000000"/>
              <w:right w:val="single" w:sz="3" w:space="0" w:color="000000"/>
            </w:tcBorders>
            <w:shd w:val="clear" w:color="auto" w:fill="DBEDF3"/>
          </w:tcPr>
          <w:p>
            <w:pPr>
              <w:pStyle w:val="TableParagraph"/>
              <w:spacing w:before="33"/>
              <w:ind w:right="65"/>
              <w:rPr>
                <w:b/>
                <w:sz w:val="13"/>
              </w:rPr>
            </w:pPr>
            <w:r>
              <w:rPr>
                <w:b/>
                <w:w w:val="85"/>
                <w:sz w:val="13"/>
              </w:rPr>
              <w:t>Subsector 34</w:t>
            </w:r>
          </w:p>
        </w:tc>
        <w:tc>
          <w:tcPr>
            <w:tcW w:w="462" w:type="dxa"/>
            <w:tcBorders>
              <w:left w:val="single" w:sz="3" w:space="0" w:color="000000"/>
              <w:right w:val="single" w:sz="3" w:space="0" w:color="000000"/>
            </w:tcBorders>
          </w:tcPr>
          <w:p>
            <w:pPr>
              <w:pStyle w:val="TableParagraph"/>
              <w:spacing w:before="12"/>
              <w:ind w:left="222" w:right="-15"/>
              <w:jc w:val="left"/>
              <w:rPr>
                <w:rFonts w:ascii="Calibri"/>
                <w:sz w:val="15"/>
              </w:rPr>
            </w:pPr>
            <w:r>
              <w:rPr>
                <w:rFonts w:ascii="Calibri"/>
                <w:w w:val="85"/>
                <w:sz w:val="15"/>
              </w:rPr>
              <w:t>0.13</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0.64</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-0.20</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0.85</w:t>
            </w:r>
          </w:p>
        </w:tc>
        <w:tc>
          <w:tcPr>
            <w:tcW w:w="462"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1.11</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0.99</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3.5</w:t>
            </w:r>
          </w:p>
        </w:tc>
        <w:tc>
          <w:tcPr>
            <w:tcW w:w="94" w:type="dxa"/>
            <w:vMerge/>
            <w:tcBorders>
              <w:left w:val="single" w:sz="3" w:space="0" w:color="000000"/>
              <w:right w:val="single" w:sz="3" w:space="0" w:color="000000"/>
            </w:tcBorders>
            <w:shd w:val="clear" w:color="auto" w:fill="DBEDF3"/>
          </w:tcPr>
          <w:p>
            <w:pPr/>
          </w:p>
        </w:tc>
        <w:tc>
          <w:tcPr>
            <w:tcW w:w="796" w:type="dxa"/>
            <w:tcBorders>
              <w:left w:val="single" w:sz="3" w:space="0" w:color="000000"/>
              <w:right w:val="single" w:sz="3" w:space="0" w:color="000000"/>
            </w:tcBorders>
            <w:shd w:val="clear" w:color="auto" w:fill="DBEDF3"/>
          </w:tcPr>
          <w:p>
            <w:pPr>
              <w:pStyle w:val="TableParagraph"/>
              <w:spacing w:before="33"/>
              <w:ind w:right="74"/>
              <w:rPr>
                <w:b/>
                <w:sz w:val="13"/>
              </w:rPr>
            </w:pPr>
            <w:r>
              <w:rPr>
                <w:b/>
                <w:w w:val="85"/>
                <w:sz w:val="13"/>
              </w:rPr>
              <w:t>Subsector 34</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3.14</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0.63</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-0.16</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1.11</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1.21</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1.10</w:t>
            </w:r>
          </w:p>
        </w:tc>
        <w:tc>
          <w:tcPr>
            <w:tcW w:w="471" w:type="dxa"/>
            <w:tcBorders>
              <w:left w:val="single" w:sz="3" w:space="0" w:color="000000"/>
              <w:right w:val="single" w:sz="3" w:space="0" w:color="000000"/>
            </w:tcBorders>
            <w:shd w:val="clear" w:color="auto" w:fill="FFC000"/>
          </w:tcPr>
          <w:p>
            <w:pPr>
              <w:pStyle w:val="TableParagraph"/>
              <w:spacing w:before="12"/>
              <w:ind w:right="9"/>
              <w:rPr>
                <w:rFonts w:ascii="Calibri"/>
                <w:sz w:val="15"/>
              </w:rPr>
            </w:pPr>
            <w:r>
              <w:rPr>
                <w:rFonts w:ascii="Calibri"/>
                <w:w w:val="85"/>
                <w:sz w:val="15"/>
              </w:rPr>
              <w:t>7.0</w:t>
            </w:r>
          </w:p>
        </w:tc>
      </w:tr>
      <w:tr>
        <w:trPr>
          <w:trHeight w:val="207" w:hRule="exact"/>
        </w:trPr>
        <w:tc>
          <w:tcPr>
            <w:tcW w:w="787" w:type="dxa"/>
            <w:tcBorders>
              <w:left w:val="single" w:sz="3" w:space="0" w:color="000000"/>
              <w:right w:val="single" w:sz="3" w:space="0" w:color="000000"/>
            </w:tcBorders>
            <w:shd w:val="clear" w:color="auto" w:fill="DBEDF3"/>
          </w:tcPr>
          <w:p>
            <w:pPr>
              <w:pStyle w:val="TableParagraph"/>
              <w:spacing w:before="33"/>
              <w:ind w:right="65"/>
              <w:rPr>
                <w:b/>
                <w:sz w:val="13"/>
              </w:rPr>
            </w:pPr>
            <w:r>
              <w:rPr>
                <w:b/>
                <w:w w:val="85"/>
                <w:sz w:val="13"/>
              </w:rPr>
              <w:t>Subsector 35</w:t>
            </w:r>
          </w:p>
        </w:tc>
        <w:tc>
          <w:tcPr>
            <w:tcW w:w="462" w:type="dxa"/>
            <w:tcBorders>
              <w:left w:val="single" w:sz="3" w:space="0" w:color="000000"/>
              <w:right w:val="single" w:sz="3" w:space="0" w:color="000000"/>
            </w:tcBorders>
          </w:tcPr>
          <w:p>
            <w:pPr>
              <w:pStyle w:val="TableParagraph"/>
              <w:spacing w:before="12"/>
              <w:ind w:left="179" w:right="-11"/>
              <w:jc w:val="left"/>
              <w:rPr>
                <w:rFonts w:ascii="Calibri"/>
                <w:sz w:val="15"/>
              </w:rPr>
            </w:pPr>
            <w:r>
              <w:rPr>
                <w:rFonts w:ascii="Calibri"/>
                <w:w w:val="85"/>
                <w:sz w:val="15"/>
              </w:rPr>
              <w:t>-0.36</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0.96</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2.23</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0.98</w:t>
            </w:r>
          </w:p>
        </w:tc>
        <w:tc>
          <w:tcPr>
            <w:tcW w:w="462"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0.88</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0.96</w:t>
            </w:r>
          </w:p>
        </w:tc>
        <w:tc>
          <w:tcPr>
            <w:tcW w:w="462" w:type="dxa"/>
            <w:tcBorders>
              <w:left w:val="single" w:sz="3" w:space="0" w:color="000000"/>
              <w:right w:val="single" w:sz="3" w:space="0" w:color="000000"/>
            </w:tcBorders>
            <w:shd w:val="clear" w:color="auto" w:fill="FFC000"/>
          </w:tcPr>
          <w:p>
            <w:pPr>
              <w:pStyle w:val="TableParagraph"/>
              <w:spacing w:before="12"/>
              <w:ind w:right="10"/>
              <w:rPr>
                <w:rFonts w:ascii="Calibri"/>
                <w:sz w:val="15"/>
              </w:rPr>
            </w:pPr>
            <w:r>
              <w:rPr>
                <w:rFonts w:ascii="Calibri"/>
                <w:w w:val="85"/>
                <w:sz w:val="15"/>
              </w:rPr>
              <w:t>5.7</w:t>
            </w:r>
          </w:p>
        </w:tc>
        <w:tc>
          <w:tcPr>
            <w:tcW w:w="94" w:type="dxa"/>
            <w:vMerge/>
            <w:tcBorders>
              <w:left w:val="single" w:sz="3" w:space="0" w:color="000000"/>
              <w:right w:val="single" w:sz="3" w:space="0" w:color="000000"/>
            </w:tcBorders>
            <w:shd w:val="clear" w:color="auto" w:fill="DBEDF3"/>
          </w:tcPr>
          <w:p>
            <w:pPr/>
          </w:p>
        </w:tc>
        <w:tc>
          <w:tcPr>
            <w:tcW w:w="796" w:type="dxa"/>
            <w:tcBorders>
              <w:left w:val="single" w:sz="3" w:space="0" w:color="000000"/>
              <w:right w:val="single" w:sz="3" w:space="0" w:color="000000"/>
            </w:tcBorders>
            <w:shd w:val="clear" w:color="auto" w:fill="DBEDF3"/>
          </w:tcPr>
          <w:p>
            <w:pPr>
              <w:pStyle w:val="TableParagraph"/>
              <w:spacing w:before="33"/>
              <w:ind w:right="74"/>
              <w:rPr>
                <w:b/>
                <w:sz w:val="13"/>
              </w:rPr>
            </w:pPr>
            <w:r>
              <w:rPr>
                <w:b/>
                <w:w w:val="85"/>
                <w:sz w:val="13"/>
              </w:rPr>
              <w:t>Subsector 35</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-1.26</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0.85</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5.14</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0.76</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0.78</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0.83</w:t>
            </w:r>
          </w:p>
        </w:tc>
        <w:tc>
          <w:tcPr>
            <w:tcW w:w="471" w:type="dxa"/>
            <w:tcBorders>
              <w:left w:val="single" w:sz="3" w:space="0" w:color="000000"/>
              <w:right w:val="single" w:sz="3" w:space="0" w:color="000000"/>
            </w:tcBorders>
            <w:shd w:val="clear" w:color="auto" w:fill="FFC000"/>
          </w:tcPr>
          <w:p>
            <w:pPr>
              <w:pStyle w:val="TableParagraph"/>
              <w:spacing w:before="12"/>
              <w:ind w:right="9"/>
              <w:rPr>
                <w:rFonts w:ascii="Calibri"/>
                <w:sz w:val="15"/>
              </w:rPr>
            </w:pPr>
            <w:r>
              <w:rPr>
                <w:rFonts w:ascii="Calibri"/>
                <w:w w:val="85"/>
                <w:sz w:val="15"/>
              </w:rPr>
              <w:t>7.1</w:t>
            </w:r>
          </w:p>
        </w:tc>
      </w:tr>
      <w:tr>
        <w:trPr>
          <w:trHeight w:val="207" w:hRule="exact"/>
        </w:trPr>
        <w:tc>
          <w:tcPr>
            <w:tcW w:w="787" w:type="dxa"/>
            <w:tcBorders>
              <w:left w:val="single" w:sz="3" w:space="0" w:color="000000"/>
              <w:bottom w:val="single" w:sz="4" w:space="0" w:color="000000"/>
              <w:right w:val="single" w:sz="3" w:space="0" w:color="000000"/>
            </w:tcBorders>
            <w:shd w:val="clear" w:color="auto" w:fill="DBEDF3"/>
          </w:tcPr>
          <w:p>
            <w:pPr>
              <w:pStyle w:val="TableParagraph"/>
              <w:spacing w:before="33"/>
              <w:ind w:right="65"/>
              <w:rPr>
                <w:b/>
                <w:sz w:val="13"/>
              </w:rPr>
            </w:pPr>
            <w:r>
              <w:rPr>
                <w:b/>
                <w:w w:val="85"/>
                <w:sz w:val="13"/>
              </w:rPr>
              <w:t>Subsector 36</w:t>
            </w:r>
          </w:p>
        </w:tc>
        <w:tc>
          <w:tcPr>
            <w:tcW w:w="462" w:type="dxa"/>
            <w:tcBorders>
              <w:left w:val="single" w:sz="3" w:space="0" w:color="000000"/>
              <w:bottom w:val="single" w:sz="4" w:space="0" w:color="000000"/>
              <w:right w:val="single" w:sz="3" w:space="0" w:color="000000"/>
            </w:tcBorders>
          </w:tcPr>
          <w:p>
            <w:pPr>
              <w:pStyle w:val="TableParagraph"/>
              <w:spacing w:before="12"/>
              <w:ind w:left="179" w:right="-11"/>
              <w:jc w:val="left"/>
              <w:rPr>
                <w:rFonts w:ascii="Calibri"/>
                <w:sz w:val="15"/>
              </w:rPr>
            </w:pPr>
            <w:r>
              <w:rPr>
                <w:rFonts w:ascii="Calibri"/>
                <w:w w:val="85"/>
                <w:sz w:val="15"/>
              </w:rPr>
              <w:t>-0.23</w:t>
            </w:r>
          </w:p>
        </w:tc>
        <w:tc>
          <w:tcPr>
            <w:tcW w:w="462" w:type="dxa"/>
            <w:tcBorders>
              <w:left w:val="single" w:sz="3" w:space="0" w:color="000000"/>
              <w:bottom w:val="single" w:sz="4" w:space="0" w:color="000000"/>
              <w:right w:val="single" w:sz="3" w:space="0" w:color="000000"/>
            </w:tcBorders>
          </w:tcPr>
          <w:p>
            <w:pPr>
              <w:pStyle w:val="TableParagraph"/>
              <w:spacing w:before="12"/>
              <w:ind w:right="10"/>
              <w:rPr>
                <w:rFonts w:ascii="Calibri"/>
                <w:sz w:val="15"/>
              </w:rPr>
            </w:pPr>
            <w:r>
              <w:rPr>
                <w:rFonts w:ascii="Calibri"/>
                <w:w w:val="85"/>
                <w:sz w:val="15"/>
              </w:rPr>
              <w:t>1.23</w:t>
            </w:r>
          </w:p>
        </w:tc>
        <w:tc>
          <w:tcPr>
            <w:tcW w:w="462" w:type="dxa"/>
            <w:tcBorders>
              <w:left w:val="single" w:sz="3" w:space="0" w:color="000000"/>
              <w:bottom w:val="single" w:sz="4" w:space="0" w:color="000000"/>
              <w:right w:val="single" w:sz="3" w:space="0" w:color="000000"/>
            </w:tcBorders>
          </w:tcPr>
          <w:p>
            <w:pPr>
              <w:pStyle w:val="TableParagraph"/>
              <w:spacing w:before="12"/>
              <w:ind w:right="10"/>
              <w:rPr>
                <w:rFonts w:ascii="Calibri"/>
                <w:sz w:val="15"/>
              </w:rPr>
            </w:pPr>
            <w:r>
              <w:rPr>
                <w:rFonts w:ascii="Calibri"/>
                <w:w w:val="85"/>
                <w:sz w:val="15"/>
              </w:rPr>
              <w:t>1.47</w:t>
            </w:r>
          </w:p>
        </w:tc>
        <w:tc>
          <w:tcPr>
            <w:tcW w:w="462" w:type="dxa"/>
            <w:tcBorders>
              <w:left w:val="single" w:sz="3" w:space="0" w:color="000000"/>
              <w:bottom w:val="single" w:sz="4" w:space="0" w:color="000000"/>
              <w:right w:val="single" w:sz="3" w:space="0" w:color="000000"/>
            </w:tcBorders>
          </w:tcPr>
          <w:p>
            <w:pPr>
              <w:pStyle w:val="TableParagraph"/>
              <w:spacing w:before="12"/>
              <w:ind w:right="10"/>
              <w:rPr>
                <w:rFonts w:ascii="Calibri"/>
                <w:sz w:val="15"/>
              </w:rPr>
            </w:pPr>
            <w:r>
              <w:rPr>
                <w:rFonts w:ascii="Calibri"/>
                <w:w w:val="85"/>
                <w:sz w:val="15"/>
              </w:rPr>
              <w:t>0.99</w:t>
            </w:r>
          </w:p>
        </w:tc>
        <w:tc>
          <w:tcPr>
            <w:tcW w:w="462" w:type="dxa"/>
            <w:tcBorders>
              <w:left w:val="single" w:sz="3" w:space="0" w:color="000000"/>
              <w:bottom w:val="single" w:sz="4" w:space="0" w:color="000000"/>
              <w:right w:val="single" w:sz="3" w:space="0" w:color="000000"/>
            </w:tcBorders>
          </w:tcPr>
          <w:p>
            <w:pPr>
              <w:pStyle w:val="TableParagraph"/>
              <w:spacing w:before="12"/>
              <w:ind w:right="9"/>
              <w:rPr>
                <w:rFonts w:ascii="Calibri"/>
                <w:sz w:val="15"/>
              </w:rPr>
            </w:pPr>
            <w:r>
              <w:rPr>
                <w:rFonts w:ascii="Calibri"/>
                <w:w w:val="85"/>
                <w:sz w:val="15"/>
              </w:rPr>
              <w:t>1.08</w:t>
            </w:r>
          </w:p>
        </w:tc>
        <w:tc>
          <w:tcPr>
            <w:tcW w:w="462" w:type="dxa"/>
            <w:tcBorders>
              <w:left w:val="single" w:sz="3" w:space="0" w:color="000000"/>
              <w:bottom w:val="single" w:sz="4" w:space="0" w:color="000000"/>
              <w:right w:val="single" w:sz="3" w:space="0" w:color="000000"/>
            </w:tcBorders>
          </w:tcPr>
          <w:p>
            <w:pPr>
              <w:pStyle w:val="TableParagraph"/>
              <w:spacing w:before="12"/>
              <w:ind w:right="10"/>
              <w:rPr>
                <w:rFonts w:ascii="Calibri"/>
                <w:sz w:val="15"/>
              </w:rPr>
            </w:pPr>
            <w:r>
              <w:rPr>
                <w:rFonts w:ascii="Calibri"/>
                <w:w w:val="85"/>
                <w:sz w:val="15"/>
              </w:rPr>
              <w:t>0.95</w:t>
            </w:r>
          </w:p>
        </w:tc>
        <w:tc>
          <w:tcPr>
            <w:tcW w:w="462" w:type="dxa"/>
            <w:tcBorders>
              <w:left w:val="single" w:sz="3" w:space="0" w:color="000000"/>
              <w:bottom w:val="single" w:sz="4" w:space="0" w:color="000000"/>
              <w:right w:val="single" w:sz="3" w:space="0" w:color="000000"/>
            </w:tcBorders>
            <w:shd w:val="clear" w:color="auto" w:fill="FFC000"/>
          </w:tcPr>
          <w:p>
            <w:pPr>
              <w:pStyle w:val="TableParagraph"/>
              <w:spacing w:before="12"/>
              <w:ind w:right="10"/>
              <w:rPr>
                <w:rFonts w:ascii="Calibri"/>
                <w:sz w:val="15"/>
              </w:rPr>
            </w:pPr>
            <w:r>
              <w:rPr>
                <w:rFonts w:ascii="Calibri"/>
                <w:w w:val="85"/>
                <w:sz w:val="15"/>
              </w:rPr>
              <w:t>5.5</w:t>
            </w:r>
          </w:p>
        </w:tc>
        <w:tc>
          <w:tcPr>
            <w:tcW w:w="94" w:type="dxa"/>
            <w:vMerge/>
            <w:tcBorders>
              <w:left w:val="single" w:sz="3" w:space="0" w:color="000000"/>
              <w:right w:val="single" w:sz="3" w:space="0" w:color="000000"/>
            </w:tcBorders>
            <w:shd w:val="clear" w:color="auto" w:fill="DBEDF3"/>
          </w:tcPr>
          <w:p>
            <w:pPr/>
          </w:p>
        </w:tc>
        <w:tc>
          <w:tcPr>
            <w:tcW w:w="796" w:type="dxa"/>
            <w:tcBorders>
              <w:left w:val="single" w:sz="3" w:space="0" w:color="000000"/>
              <w:bottom w:val="single" w:sz="4" w:space="0" w:color="000000"/>
              <w:right w:val="single" w:sz="3" w:space="0" w:color="000000"/>
            </w:tcBorders>
            <w:shd w:val="clear" w:color="auto" w:fill="DBEDF3"/>
          </w:tcPr>
          <w:p>
            <w:pPr>
              <w:pStyle w:val="TableParagraph"/>
              <w:spacing w:before="33"/>
              <w:ind w:right="74"/>
              <w:rPr>
                <w:b/>
                <w:sz w:val="13"/>
              </w:rPr>
            </w:pPr>
            <w:r>
              <w:rPr>
                <w:b/>
                <w:w w:val="85"/>
                <w:sz w:val="13"/>
              </w:rPr>
              <w:t>Subsector 36</w:t>
            </w:r>
          </w:p>
        </w:tc>
        <w:tc>
          <w:tcPr>
            <w:tcW w:w="471" w:type="dxa"/>
            <w:tcBorders>
              <w:left w:val="single" w:sz="3" w:space="0" w:color="000000"/>
              <w:bottom w:val="single" w:sz="4" w:space="0" w:color="000000"/>
              <w:right w:val="single" w:sz="3" w:space="0" w:color="000000"/>
            </w:tcBorders>
          </w:tcPr>
          <w:p>
            <w:pPr>
              <w:pStyle w:val="TableParagraph"/>
              <w:spacing w:before="12"/>
              <w:ind w:right="10"/>
              <w:rPr>
                <w:rFonts w:ascii="Calibri"/>
                <w:sz w:val="15"/>
              </w:rPr>
            </w:pPr>
            <w:r>
              <w:rPr>
                <w:rFonts w:ascii="Calibri"/>
                <w:w w:val="85"/>
                <w:sz w:val="15"/>
              </w:rPr>
              <w:t>1.00</w:t>
            </w:r>
          </w:p>
        </w:tc>
        <w:tc>
          <w:tcPr>
            <w:tcW w:w="471" w:type="dxa"/>
            <w:tcBorders>
              <w:left w:val="single" w:sz="3" w:space="0" w:color="000000"/>
              <w:bottom w:val="single" w:sz="4" w:space="0" w:color="000000"/>
              <w:right w:val="single" w:sz="3" w:space="0" w:color="000000"/>
            </w:tcBorders>
          </w:tcPr>
          <w:p>
            <w:pPr>
              <w:pStyle w:val="TableParagraph"/>
              <w:spacing w:before="12"/>
              <w:ind w:right="10"/>
              <w:rPr>
                <w:rFonts w:ascii="Calibri"/>
                <w:sz w:val="15"/>
              </w:rPr>
            </w:pPr>
            <w:r>
              <w:rPr>
                <w:rFonts w:ascii="Calibri"/>
                <w:w w:val="85"/>
                <w:sz w:val="15"/>
              </w:rPr>
              <w:t>0.50</w:t>
            </w:r>
          </w:p>
        </w:tc>
        <w:tc>
          <w:tcPr>
            <w:tcW w:w="471" w:type="dxa"/>
            <w:tcBorders>
              <w:left w:val="single" w:sz="3" w:space="0" w:color="000000"/>
              <w:bottom w:val="single" w:sz="4" w:space="0" w:color="000000"/>
              <w:right w:val="single" w:sz="3" w:space="0" w:color="000000"/>
            </w:tcBorders>
          </w:tcPr>
          <w:p>
            <w:pPr>
              <w:pStyle w:val="TableParagraph"/>
              <w:spacing w:before="12"/>
              <w:ind w:right="10"/>
              <w:rPr>
                <w:rFonts w:ascii="Calibri"/>
                <w:sz w:val="15"/>
              </w:rPr>
            </w:pPr>
            <w:r>
              <w:rPr>
                <w:rFonts w:ascii="Calibri"/>
                <w:w w:val="85"/>
                <w:sz w:val="15"/>
              </w:rPr>
              <w:t>-0.98</w:t>
            </w:r>
          </w:p>
        </w:tc>
        <w:tc>
          <w:tcPr>
            <w:tcW w:w="471" w:type="dxa"/>
            <w:tcBorders>
              <w:left w:val="single" w:sz="3" w:space="0" w:color="000000"/>
              <w:bottom w:val="single" w:sz="4" w:space="0" w:color="000000"/>
              <w:right w:val="single" w:sz="3" w:space="0" w:color="000000"/>
            </w:tcBorders>
          </w:tcPr>
          <w:p>
            <w:pPr>
              <w:pStyle w:val="TableParagraph"/>
              <w:spacing w:before="12"/>
              <w:ind w:right="10"/>
              <w:rPr>
                <w:rFonts w:ascii="Calibri"/>
                <w:sz w:val="15"/>
              </w:rPr>
            </w:pPr>
            <w:r>
              <w:rPr>
                <w:rFonts w:ascii="Calibri"/>
                <w:w w:val="85"/>
                <w:sz w:val="15"/>
              </w:rPr>
              <w:t>0.77</w:t>
            </w:r>
          </w:p>
        </w:tc>
        <w:tc>
          <w:tcPr>
            <w:tcW w:w="471" w:type="dxa"/>
            <w:tcBorders>
              <w:left w:val="single" w:sz="3" w:space="0" w:color="000000"/>
              <w:bottom w:val="single" w:sz="4" w:space="0" w:color="000000"/>
              <w:right w:val="single" w:sz="3" w:space="0" w:color="000000"/>
            </w:tcBorders>
          </w:tcPr>
          <w:p>
            <w:pPr>
              <w:pStyle w:val="TableParagraph"/>
              <w:spacing w:before="12"/>
              <w:ind w:right="10"/>
              <w:rPr>
                <w:rFonts w:ascii="Calibri"/>
                <w:sz w:val="15"/>
              </w:rPr>
            </w:pPr>
            <w:r>
              <w:rPr>
                <w:rFonts w:ascii="Calibri"/>
                <w:w w:val="85"/>
                <w:sz w:val="15"/>
              </w:rPr>
              <w:t>0.86</w:t>
            </w:r>
          </w:p>
        </w:tc>
        <w:tc>
          <w:tcPr>
            <w:tcW w:w="471" w:type="dxa"/>
            <w:tcBorders>
              <w:left w:val="single" w:sz="3" w:space="0" w:color="000000"/>
              <w:bottom w:val="single" w:sz="4" w:space="0" w:color="000000"/>
              <w:right w:val="single" w:sz="3" w:space="0" w:color="000000"/>
            </w:tcBorders>
          </w:tcPr>
          <w:p>
            <w:pPr>
              <w:pStyle w:val="TableParagraph"/>
              <w:spacing w:before="12"/>
              <w:ind w:right="10"/>
              <w:rPr>
                <w:rFonts w:ascii="Calibri"/>
                <w:sz w:val="15"/>
              </w:rPr>
            </w:pPr>
            <w:r>
              <w:rPr>
                <w:rFonts w:ascii="Calibri"/>
                <w:w w:val="85"/>
                <w:sz w:val="15"/>
              </w:rPr>
              <w:t>0.83</w:t>
            </w:r>
          </w:p>
        </w:tc>
        <w:tc>
          <w:tcPr>
            <w:tcW w:w="471" w:type="dxa"/>
            <w:tcBorders>
              <w:left w:val="single" w:sz="3" w:space="0" w:color="000000"/>
              <w:bottom w:val="single" w:sz="4" w:space="0" w:color="000000"/>
              <w:right w:val="single" w:sz="3" w:space="0" w:color="000000"/>
            </w:tcBorders>
          </w:tcPr>
          <w:p>
            <w:pPr>
              <w:pStyle w:val="TableParagraph"/>
              <w:spacing w:before="12"/>
              <w:ind w:right="9"/>
              <w:rPr>
                <w:rFonts w:ascii="Calibri"/>
                <w:sz w:val="15"/>
              </w:rPr>
            </w:pPr>
            <w:r>
              <w:rPr>
                <w:rFonts w:ascii="Calibri"/>
                <w:w w:val="85"/>
                <w:sz w:val="15"/>
              </w:rPr>
              <w:t>3.0</w:t>
            </w:r>
          </w:p>
        </w:tc>
      </w:tr>
      <w:tr>
        <w:trPr>
          <w:trHeight w:val="207" w:hRule="exact"/>
        </w:trPr>
        <w:tc>
          <w:tcPr>
            <w:tcW w:w="787" w:type="dxa"/>
            <w:tcBorders>
              <w:top w:val="single" w:sz="4" w:space="0" w:color="000000"/>
              <w:left w:val="single" w:sz="3" w:space="0" w:color="000000"/>
              <w:right w:val="single" w:sz="3" w:space="0" w:color="000000"/>
            </w:tcBorders>
            <w:shd w:val="clear" w:color="auto" w:fill="DBEDF3"/>
          </w:tcPr>
          <w:p>
            <w:pPr>
              <w:pStyle w:val="TableParagraph"/>
              <w:spacing w:before="33"/>
              <w:ind w:right="65"/>
              <w:rPr>
                <w:b/>
                <w:sz w:val="13"/>
              </w:rPr>
            </w:pPr>
            <w:r>
              <w:rPr>
                <w:b/>
                <w:w w:val="85"/>
                <w:sz w:val="13"/>
              </w:rPr>
              <w:t>Subsector 37</w:t>
            </w:r>
          </w:p>
        </w:tc>
        <w:tc>
          <w:tcPr>
            <w:tcW w:w="462" w:type="dxa"/>
            <w:tcBorders>
              <w:top w:val="single" w:sz="4" w:space="0" w:color="000000"/>
              <w:left w:val="single" w:sz="3" w:space="0" w:color="000000"/>
              <w:right w:val="single" w:sz="3" w:space="0" w:color="000000"/>
            </w:tcBorders>
          </w:tcPr>
          <w:p>
            <w:pPr>
              <w:pStyle w:val="TableParagraph"/>
              <w:spacing w:before="12"/>
              <w:ind w:left="179" w:right="-11"/>
              <w:jc w:val="left"/>
              <w:rPr>
                <w:rFonts w:ascii="Calibri"/>
                <w:sz w:val="15"/>
              </w:rPr>
            </w:pPr>
            <w:r>
              <w:rPr>
                <w:rFonts w:ascii="Calibri"/>
                <w:w w:val="85"/>
                <w:sz w:val="15"/>
              </w:rPr>
              <w:t>-0.62</w:t>
            </w:r>
          </w:p>
        </w:tc>
        <w:tc>
          <w:tcPr>
            <w:tcW w:w="462" w:type="dxa"/>
            <w:tcBorders>
              <w:top w:val="single" w:sz="4" w:space="0" w:color="000000"/>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0.62</w:t>
            </w:r>
          </w:p>
        </w:tc>
        <w:tc>
          <w:tcPr>
            <w:tcW w:w="462" w:type="dxa"/>
            <w:tcBorders>
              <w:top w:val="single" w:sz="4" w:space="0" w:color="000000"/>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-0.24</w:t>
            </w:r>
          </w:p>
        </w:tc>
        <w:tc>
          <w:tcPr>
            <w:tcW w:w="462" w:type="dxa"/>
            <w:tcBorders>
              <w:top w:val="single" w:sz="4" w:space="0" w:color="000000"/>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1.18</w:t>
            </w:r>
          </w:p>
        </w:tc>
        <w:tc>
          <w:tcPr>
            <w:tcW w:w="462" w:type="dxa"/>
            <w:tcBorders>
              <w:top w:val="single" w:sz="4" w:space="0" w:color="000000"/>
              <w:left w:val="single" w:sz="3" w:space="0" w:color="000000"/>
              <w:right w:val="single" w:sz="3" w:space="0" w:color="000000"/>
            </w:tcBorders>
          </w:tcPr>
          <w:p>
            <w:pPr>
              <w:pStyle w:val="TableParagraph"/>
              <w:spacing w:before="12"/>
              <w:ind w:right="9"/>
              <w:rPr>
                <w:rFonts w:ascii="Calibri"/>
                <w:sz w:val="15"/>
              </w:rPr>
            </w:pPr>
            <w:r>
              <w:rPr>
                <w:rFonts w:ascii="Calibri"/>
                <w:w w:val="85"/>
                <w:sz w:val="15"/>
              </w:rPr>
              <w:t>0.96</w:t>
            </w:r>
          </w:p>
        </w:tc>
        <w:tc>
          <w:tcPr>
            <w:tcW w:w="462" w:type="dxa"/>
            <w:tcBorders>
              <w:top w:val="single" w:sz="4" w:space="0" w:color="000000"/>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1.05</w:t>
            </w:r>
          </w:p>
        </w:tc>
        <w:tc>
          <w:tcPr>
            <w:tcW w:w="462" w:type="dxa"/>
            <w:tcBorders>
              <w:top w:val="single" w:sz="4" w:space="0" w:color="000000"/>
              <w:left w:val="single" w:sz="3" w:space="0" w:color="000000"/>
              <w:right w:val="single" w:sz="3" w:space="0" w:color="000000"/>
            </w:tcBorders>
          </w:tcPr>
          <w:p>
            <w:pPr>
              <w:pStyle w:val="TableParagraph"/>
              <w:spacing w:before="12"/>
              <w:ind w:right="10"/>
              <w:rPr>
                <w:rFonts w:ascii="Calibri"/>
                <w:sz w:val="15"/>
              </w:rPr>
            </w:pPr>
            <w:r>
              <w:rPr>
                <w:rFonts w:ascii="Calibri"/>
                <w:w w:val="85"/>
                <w:sz w:val="15"/>
              </w:rPr>
              <w:t>3.0</w:t>
            </w:r>
          </w:p>
        </w:tc>
        <w:tc>
          <w:tcPr>
            <w:tcW w:w="94" w:type="dxa"/>
            <w:vMerge/>
            <w:tcBorders>
              <w:left w:val="single" w:sz="3" w:space="0" w:color="000000"/>
              <w:right w:val="single" w:sz="3" w:space="0" w:color="000000"/>
            </w:tcBorders>
            <w:shd w:val="clear" w:color="auto" w:fill="DBEDF3"/>
          </w:tcPr>
          <w:p>
            <w:pPr/>
          </w:p>
        </w:tc>
        <w:tc>
          <w:tcPr>
            <w:tcW w:w="796" w:type="dxa"/>
            <w:tcBorders>
              <w:top w:val="single" w:sz="4" w:space="0" w:color="000000"/>
              <w:left w:val="single" w:sz="3" w:space="0" w:color="000000"/>
              <w:right w:val="single" w:sz="3" w:space="0" w:color="000000"/>
            </w:tcBorders>
            <w:shd w:val="clear" w:color="auto" w:fill="DBEDF3"/>
          </w:tcPr>
          <w:p>
            <w:pPr>
              <w:pStyle w:val="TableParagraph"/>
              <w:spacing w:before="33"/>
              <w:ind w:right="74"/>
              <w:rPr>
                <w:b/>
                <w:sz w:val="13"/>
              </w:rPr>
            </w:pPr>
            <w:r>
              <w:rPr>
                <w:b/>
                <w:w w:val="85"/>
                <w:sz w:val="13"/>
              </w:rPr>
              <w:t>Subsector 37</w:t>
            </w:r>
          </w:p>
        </w:tc>
        <w:tc>
          <w:tcPr>
            <w:tcW w:w="471" w:type="dxa"/>
            <w:tcBorders>
              <w:top w:val="single" w:sz="4" w:space="0" w:color="000000"/>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0.70</w:t>
            </w:r>
          </w:p>
        </w:tc>
        <w:tc>
          <w:tcPr>
            <w:tcW w:w="471" w:type="dxa"/>
            <w:tcBorders>
              <w:top w:val="single" w:sz="4" w:space="0" w:color="000000"/>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0.37</w:t>
            </w:r>
          </w:p>
        </w:tc>
        <w:tc>
          <w:tcPr>
            <w:tcW w:w="471" w:type="dxa"/>
            <w:tcBorders>
              <w:top w:val="single" w:sz="4" w:space="0" w:color="000000"/>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-1.54</w:t>
            </w:r>
          </w:p>
        </w:tc>
        <w:tc>
          <w:tcPr>
            <w:tcW w:w="471" w:type="dxa"/>
            <w:tcBorders>
              <w:top w:val="single" w:sz="4" w:space="0" w:color="000000"/>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0.78</w:t>
            </w:r>
          </w:p>
        </w:tc>
        <w:tc>
          <w:tcPr>
            <w:tcW w:w="471" w:type="dxa"/>
            <w:tcBorders>
              <w:top w:val="single" w:sz="4" w:space="0" w:color="000000"/>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0.69</w:t>
            </w:r>
          </w:p>
        </w:tc>
        <w:tc>
          <w:tcPr>
            <w:tcW w:w="471" w:type="dxa"/>
            <w:tcBorders>
              <w:top w:val="single" w:sz="4" w:space="0" w:color="000000"/>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0.78</w:t>
            </w:r>
          </w:p>
        </w:tc>
        <w:tc>
          <w:tcPr>
            <w:tcW w:w="471" w:type="dxa"/>
            <w:tcBorders>
              <w:top w:val="single" w:sz="4" w:space="0" w:color="000000"/>
              <w:left w:val="single" w:sz="3" w:space="0" w:color="000000"/>
              <w:right w:val="single" w:sz="3" w:space="0" w:color="000000"/>
            </w:tcBorders>
          </w:tcPr>
          <w:p>
            <w:pPr>
              <w:pStyle w:val="TableParagraph"/>
              <w:spacing w:before="12"/>
              <w:ind w:right="9"/>
              <w:rPr>
                <w:rFonts w:ascii="Calibri"/>
                <w:sz w:val="15"/>
              </w:rPr>
            </w:pPr>
            <w:r>
              <w:rPr>
                <w:rFonts w:ascii="Calibri"/>
                <w:w w:val="85"/>
                <w:sz w:val="15"/>
              </w:rPr>
              <w:t>1.8</w:t>
            </w:r>
          </w:p>
        </w:tc>
      </w:tr>
      <w:tr>
        <w:trPr>
          <w:trHeight w:val="207" w:hRule="exact"/>
        </w:trPr>
        <w:tc>
          <w:tcPr>
            <w:tcW w:w="787" w:type="dxa"/>
            <w:tcBorders>
              <w:left w:val="single" w:sz="3" w:space="0" w:color="000000"/>
              <w:right w:val="single" w:sz="3" w:space="0" w:color="000000"/>
            </w:tcBorders>
            <w:shd w:val="clear" w:color="auto" w:fill="DBEDF3"/>
          </w:tcPr>
          <w:p>
            <w:pPr>
              <w:pStyle w:val="TableParagraph"/>
              <w:spacing w:before="33"/>
              <w:ind w:right="65"/>
              <w:rPr>
                <w:b/>
                <w:sz w:val="13"/>
              </w:rPr>
            </w:pPr>
            <w:r>
              <w:rPr>
                <w:b/>
                <w:w w:val="85"/>
                <w:sz w:val="13"/>
              </w:rPr>
              <w:t>Subsector 38</w:t>
            </w:r>
          </w:p>
        </w:tc>
        <w:tc>
          <w:tcPr>
            <w:tcW w:w="462" w:type="dxa"/>
            <w:tcBorders>
              <w:left w:val="single" w:sz="3" w:space="0" w:color="000000"/>
              <w:right w:val="single" w:sz="3" w:space="0" w:color="000000"/>
            </w:tcBorders>
          </w:tcPr>
          <w:p>
            <w:pPr>
              <w:pStyle w:val="TableParagraph"/>
              <w:spacing w:before="12"/>
              <w:ind w:left="179" w:right="-11"/>
              <w:jc w:val="left"/>
              <w:rPr>
                <w:rFonts w:ascii="Calibri"/>
                <w:sz w:val="15"/>
              </w:rPr>
            </w:pPr>
            <w:r>
              <w:rPr>
                <w:rFonts w:ascii="Calibri"/>
                <w:w w:val="85"/>
                <w:sz w:val="15"/>
              </w:rPr>
              <w:t>-0.64</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0.87</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2.25</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0.96</w:t>
            </w:r>
          </w:p>
        </w:tc>
        <w:tc>
          <w:tcPr>
            <w:tcW w:w="462"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0.89</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0.95</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5.3</w:t>
            </w:r>
          </w:p>
        </w:tc>
        <w:tc>
          <w:tcPr>
            <w:tcW w:w="94" w:type="dxa"/>
            <w:vMerge/>
            <w:tcBorders>
              <w:left w:val="single" w:sz="3" w:space="0" w:color="000000"/>
              <w:right w:val="single" w:sz="3" w:space="0" w:color="000000"/>
            </w:tcBorders>
            <w:shd w:val="clear" w:color="auto" w:fill="DBEDF3"/>
          </w:tcPr>
          <w:p>
            <w:pPr/>
          </w:p>
        </w:tc>
        <w:tc>
          <w:tcPr>
            <w:tcW w:w="796" w:type="dxa"/>
            <w:tcBorders>
              <w:left w:val="single" w:sz="3" w:space="0" w:color="000000"/>
              <w:right w:val="single" w:sz="3" w:space="0" w:color="000000"/>
            </w:tcBorders>
            <w:shd w:val="clear" w:color="auto" w:fill="DBEDF3"/>
          </w:tcPr>
          <w:p>
            <w:pPr>
              <w:pStyle w:val="TableParagraph"/>
              <w:spacing w:before="33"/>
              <w:ind w:right="74"/>
              <w:rPr>
                <w:b/>
                <w:sz w:val="13"/>
              </w:rPr>
            </w:pPr>
            <w:r>
              <w:rPr>
                <w:b/>
                <w:w w:val="85"/>
                <w:sz w:val="13"/>
              </w:rPr>
              <w:t>Subsector 38</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1.59</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0.48</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-5.37</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0.62</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0.70</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0.77</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-1.2</w:t>
            </w:r>
          </w:p>
        </w:tc>
      </w:tr>
      <w:tr>
        <w:trPr>
          <w:trHeight w:val="207" w:hRule="exact"/>
        </w:trPr>
        <w:tc>
          <w:tcPr>
            <w:tcW w:w="787" w:type="dxa"/>
            <w:tcBorders>
              <w:left w:val="single" w:sz="3" w:space="0" w:color="000000"/>
              <w:right w:val="single" w:sz="3" w:space="0" w:color="000000"/>
            </w:tcBorders>
            <w:shd w:val="clear" w:color="auto" w:fill="DBEDF3"/>
          </w:tcPr>
          <w:p>
            <w:pPr>
              <w:pStyle w:val="TableParagraph"/>
              <w:spacing w:before="33"/>
              <w:ind w:right="65"/>
              <w:rPr>
                <w:b/>
                <w:sz w:val="13"/>
              </w:rPr>
            </w:pPr>
            <w:r>
              <w:rPr>
                <w:b/>
                <w:w w:val="85"/>
                <w:sz w:val="13"/>
              </w:rPr>
              <w:t>Subsector 39</w:t>
            </w:r>
          </w:p>
        </w:tc>
        <w:tc>
          <w:tcPr>
            <w:tcW w:w="462" w:type="dxa"/>
            <w:tcBorders>
              <w:left w:val="single" w:sz="3" w:space="0" w:color="000000"/>
              <w:right w:val="single" w:sz="3" w:space="0" w:color="000000"/>
            </w:tcBorders>
          </w:tcPr>
          <w:p>
            <w:pPr>
              <w:pStyle w:val="TableParagraph"/>
              <w:spacing w:before="12"/>
              <w:ind w:left="222" w:right="-15"/>
              <w:jc w:val="left"/>
              <w:rPr>
                <w:rFonts w:ascii="Calibri"/>
                <w:sz w:val="15"/>
              </w:rPr>
            </w:pPr>
            <w:r>
              <w:rPr>
                <w:rFonts w:ascii="Calibri"/>
                <w:w w:val="85"/>
                <w:sz w:val="15"/>
              </w:rPr>
              <w:t>1.30</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0.36</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-0.58</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0.89</w:t>
            </w:r>
          </w:p>
        </w:tc>
        <w:tc>
          <w:tcPr>
            <w:tcW w:w="462"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0.52</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0.69</w:t>
            </w:r>
          </w:p>
        </w:tc>
        <w:tc>
          <w:tcPr>
            <w:tcW w:w="462"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3.2</w:t>
            </w:r>
          </w:p>
        </w:tc>
        <w:tc>
          <w:tcPr>
            <w:tcW w:w="94" w:type="dxa"/>
            <w:vMerge/>
            <w:tcBorders>
              <w:left w:val="single" w:sz="3" w:space="0" w:color="000000"/>
              <w:right w:val="single" w:sz="3" w:space="0" w:color="000000"/>
            </w:tcBorders>
            <w:shd w:val="clear" w:color="auto" w:fill="DBEDF3"/>
          </w:tcPr>
          <w:p>
            <w:pPr/>
          </w:p>
        </w:tc>
        <w:tc>
          <w:tcPr>
            <w:tcW w:w="796" w:type="dxa"/>
            <w:tcBorders>
              <w:left w:val="single" w:sz="3" w:space="0" w:color="000000"/>
              <w:right w:val="single" w:sz="3" w:space="0" w:color="000000"/>
            </w:tcBorders>
            <w:shd w:val="clear" w:color="auto" w:fill="DBEDF3"/>
          </w:tcPr>
          <w:p>
            <w:pPr>
              <w:pStyle w:val="TableParagraph"/>
              <w:spacing w:before="33"/>
              <w:ind w:right="74"/>
              <w:rPr>
                <w:b/>
                <w:sz w:val="13"/>
              </w:rPr>
            </w:pPr>
            <w:r>
              <w:rPr>
                <w:b/>
                <w:w w:val="85"/>
                <w:sz w:val="13"/>
              </w:rPr>
              <w:t>Subsector 39</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0.14</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3.21</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2.09</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1.20</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1.28</w:t>
            </w:r>
          </w:p>
        </w:tc>
        <w:tc>
          <w:tcPr>
            <w:tcW w:w="471" w:type="dxa"/>
            <w:tcBorders>
              <w:left w:val="single" w:sz="3" w:space="0" w:color="000000"/>
              <w:right w:val="single" w:sz="3" w:space="0" w:color="000000"/>
            </w:tcBorders>
          </w:tcPr>
          <w:p>
            <w:pPr>
              <w:pStyle w:val="TableParagraph"/>
              <w:spacing w:before="12"/>
              <w:ind w:right="10"/>
              <w:rPr>
                <w:rFonts w:ascii="Calibri"/>
                <w:sz w:val="15"/>
              </w:rPr>
            </w:pPr>
            <w:r>
              <w:rPr>
                <w:rFonts w:ascii="Calibri"/>
                <w:w w:val="85"/>
                <w:sz w:val="15"/>
              </w:rPr>
              <w:t>1.10</w:t>
            </w:r>
          </w:p>
        </w:tc>
        <w:tc>
          <w:tcPr>
            <w:tcW w:w="471" w:type="dxa"/>
            <w:tcBorders>
              <w:left w:val="single" w:sz="3" w:space="0" w:color="000000"/>
              <w:right w:val="single" w:sz="3" w:space="0" w:color="000000"/>
            </w:tcBorders>
          </w:tcPr>
          <w:p>
            <w:pPr>
              <w:pStyle w:val="TableParagraph"/>
              <w:spacing w:before="12"/>
              <w:ind w:right="9"/>
              <w:rPr>
                <w:rFonts w:ascii="Calibri"/>
                <w:sz w:val="15"/>
              </w:rPr>
            </w:pPr>
            <w:r>
              <w:rPr>
                <w:rFonts w:ascii="Calibri"/>
                <w:w w:val="85"/>
                <w:sz w:val="15"/>
              </w:rPr>
              <w:t>9.0</w:t>
            </w:r>
          </w:p>
        </w:tc>
      </w:tr>
    </w:tbl>
    <w:p>
      <w:pPr>
        <w:pStyle w:val="BodyText"/>
        <w:spacing w:before="9"/>
        <w:rPr>
          <w:rFonts w:ascii="Arial"/>
          <w:b/>
          <w:sz w:val="14"/>
        </w:rPr>
      </w:pPr>
    </w:p>
    <w:p>
      <w:pPr>
        <w:spacing w:before="89"/>
        <w:ind w:left="855" w:right="204" w:firstLine="0"/>
        <w:jc w:val="left"/>
        <w:rPr>
          <w:rFonts w:ascii="Arial" w:hAnsi="Arial"/>
          <w:sz w:val="11"/>
        </w:rPr>
      </w:pPr>
      <w:r>
        <w:rPr>
          <w:rFonts w:ascii="Arial" w:hAnsi="Arial"/>
          <w:w w:val="90"/>
          <w:sz w:val="11"/>
        </w:rPr>
        <w:t>Fuente: Elaboración propia con base en los datos del INEGI, Censos Industriales y Económicos, 1971, 1975, 1981, 1986, 1989, 1994, 1999, 2004 y 2009.</w:t>
      </w:r>
    </w:p>
    <w:p>
      <w:pPr>
        <w:pStyle w:val="BodyText"/>
        <w:rPr>
          <w:rFonts w:ascii="Arial"/>
          <w:sz w:val="20"/>
        </w:rPr>
      </w:pPr>
    </w:p>
    <w:p>
      <w:pPr>
        <w:pStyle w:val="BodyText"/>
        <w:spacing w:line="360" w:lineRule="auto" w:before="208"/>
        <w:ind w:left="122" w:right="201" w:firstLine="707"/>
        <w:jc w:val="both"/>
      </w:pPr>
      <w:r>
        <w:rPr/>
        <w:t>Para el periodo 1988-2003, la situación no cambia tan radicalmente en virtud de que las industrias motrices están en el subsector 31 Productos alimenticios, bebidas  y tabaco con un valor de 15.1, el cual supera por mucho a los demás subsectores, seguido del 35 Sustancias químicas, productos derivados del petróleo y del carbón, hule y de plástico (7.1), esto se puede deber al crecimiento de sus exportaciones. El subsector que si cambia es el 34 Papel y productos de papel, imprentas y editoriales (7.0).</w:t>
      </w:r>
    </w:p>
    <w:p>
      <w:pPr>
        <w:pStyle w:val="BodyText"/>
        <w:spacing w:line="360" w:lineRule="auto" w:before="6"/>
        <w:ind w:left="122" w:right="197" w:firstLine="707"/>
        <w:jc w:val="both"/>
      </w:pPr>
      <w:r>
        <w:rPr/>
        <w:t>A su vez, el subsector más afectado por la apertura comercial es el 38 Productos metálicos, maquinaria y equipo (-1.2), dado que este subsector y específicamente la rama  de la industria automotriz, tal como Millán (1999) sostiene se ha visto afectada por un  doble efecto durante el periodo de 1985 a 1993, de una menor cobertura del mercado  interno ocasionada por una creciente porción de la oferta orientada al mercado externo y de una exportación de carácter estratégico, aunque no por ello pueden ser consideradas como perdedoras de competitividad en el mercado interno. En los últimos años han disminuido las exportaciones de automóviles, autopartes y componentes como consecuencia de la recesión de los Estados</w:t>
      </w:r>
      <w:r>
        <w:rPr>
          <w:spacing w:val="-6"/>
        </w:rPr>
        <w:t> </w:t>
      </w:r>
      <w:r>
        <w:rPr/>
        <w:t>Unidos.</w:t>
      </w:r>
    </w:p>
    <w:p>
      <w:pPr>
        <w:pStyle w:val="BodyText"/>
        <w:spacing w:line="345" w:lineRule="auto" w:before="4"/>
        <w:ind w:left="122" w:right="195" w:firstLine="707"/>
        <w:jc w:val="both"/>
      </w:pPr>
      <w:r>
        <w:rPr/>
        <w:t>Con referencia a lo anterior y de acuerdo con Mejía </w:t>
      </w:r>
      <w:r>
        <w:rPr>
          <w:i/>
        </w:rPr>
        <w:t>et al., </w:t>
      </w:r>
      <w:r>
        <w:rPr/>
        <w:t>(2010), tenemos que la industria automotriz es importante en ambas regiones de estudio, pero en mayor medida en la región Poniente del Estado</w:t>
      </w:r>
      <w:r>
        <w:rPr>
          <w:position w:val="11"/>
          <w:sz w:val="16"/>
        </w:rPr>
        <w:t>76</w:t>
      </w:r>
      <w:r>
        <w:rPr/>
        <w:t>, dado que un análisis más detallado a nivel de rama refleja</w:t>
      </w:r>
    </w:p>
    <w:p>
      <w:pPr>
        <w:pStyle w:val="BodyText"/>
        <w:spacing w:line="360" w:lineRule="auto" w:before="5"/>
        <w:ind w:left="122" w:right="204"/>
      </w:pPr>
      <w:r>
        <w:rPr/>
        <w:t>una especialización absoluta de la región Poniente en la fabricación de partes para vehículos</w:t>
      </w:r>
      <w:r>
        <w:rPr>
          <w:spacing w:val="46"/>
        </w:rPr>
        <w:t> </w:t>
      </w:r>
      <w:r>
        <w:rPr/>
        <w:t>automotores</w:t>
      </w:r>
      <w:r>
        <w:rPr>
          <w:spacing w:val="50"/>
        </w:rPr>
        <w:t> </w:t>
      </w:r>
      <w:r>
        <w:rPr/>
        <w:t>y</w:t>
      </w:r>
      <w:r>
        <w:rPr>
          <w:spacing w:val="43"/>
        </w:rPr>
        <w:t> </w:t>
      </w:r>
      <w:r>
        <w:rPr/>
        <w:t>fabricación</w:t>
      </w:r>
      <w:r>
        <w:rPr>
          <w:spacing w:val="46"/>
        </w:rPr>
        <w:t> </w:t>
      </w:r>
      <w:r>
        <w:rPr/>
        <w:t>de</w:t>
      </w:r>
      <w:r>
        <w:rPr>
          <w:spacing w:val="47"/>
        </w:rPr>
        <w:t> </w:t>
      </w:r>
      <w:r>
        <w:rPr/>
        <w:t>otro</w:t>
      </w:r>
      <w:r>
        <w:rPr>
          <w:spacing w:val="45"/>
        </w:rPr>
        <w:t> </w:t>
      </w:r>
      <w:r>
        <w:rPr/>
        <w:t>equipo</w:t>
      </w:r>
      <w:r>
        <w:rPr>
          <w:spacing w:val="46"/>
        </w:rPr>
        <w:t> </w:t>
      </w:r>
      <w:r>
        <w:rPr/>
        <w:t>de</w:t>
      </w:r>
      <w:r>
        <w:rPr>
          <w:spacing w:val="44"/>
        </w:rPr>
        <w:t> </w:t>
      </w:r>
      <w:r>
        <w:rPr/>
        <w:t>transporte,</w:t>
      </w:r>
      <w:r>
        <w:rPr>
          <w:spacing w:val="47"/>
        </w:rPr>
        <w:t> </w:t>
      </w:r>
      <w:r>
        <w:rPr/>
        <w:t>en</w:t>
      </w:r>
      <w:r>
        <w:rPr>
          <w:spacing w:val="48"/>
        </w:rPr>
        <w:t> </w:t>
      </w:r>
      <w:r>
        <w:rPr/>
        <w:t>cambio</w:t>
      </w:r>
      <w:r>
        <w:rPr>
          <w:spacing w:val="45"/>
        </w:rPr>
        <w:t> </w:t>
      </w:r>
      <w:r>
        <w:rPr/>
        <w:t>la</w:t>
      </w:r>
      <w:r>
        <w:rPr>
          <w:spacing w:val="45"/>
        </w:rPr>
        <w:t> </w:t>
      </w:r>
      <w:r>
        <w:rPr/>
        <w:t>región</w:t>
      </w:r>
    </w:p>
    <w:p>
      <w:pPr>
        <w:pStyle w:val="BodyText"/>
        <w:spacing w:before="7"/>
        <w:rPr>
          <w:sz w:val="13"/>
        </w:rPr>
      </w:pPr>
      <w:r>
        <w:rPr/>
        <w:pict>
          <v:line style="position:absolute;mso-position-horizontal-relative:page;mso-position-vertical-relative:paragraph;z-index:3088;mso-wrap-distance-left:0;mso-wrap-distance-right:0" from="85.103996pt,10.195751pt" to="229.123996pt,10.195751pt" stroked="true" strokeweight=".72003pt" strokecolor="#000000">
            <w10:wrap type="topAndBottom"/>
          </v:line>
        </w:pict>
      </w:r>
    </w:p>
    <w:p>
      <w:pPr>
        <w:spacing w:before="42"/>
        <w:ind w:left="122" w:right="204" w:firstLine="0"/>
        <w:jc w:val="left"/>
        <w:rPr>
          <w:sz w:val="20"/>
        </w:rPr>
      </w:pPr>
      <w:r>
        <w:rPr>
          <w:position w:val="9"/>
          <w:sz w:val="13"/>
        </w:rPr>
        <w:t>76 </w:t>
      </w:r>
      <w:r>
        <w:rPr>
          <w:sz w:val="20"/>
        </w:rPr>
        <w:t>Abarca los municipios desde la franja de Atizapán-Naucalpan-Huixquilucan hacia todo el Valle de Toluca.</w:t>
      </w:r>
    </w:p>
    <w:p>
      <w:pPr>
        <w:spacing w:after="0"/>
        <w:jc w:val="left"/>
        <w:rPr>
          <w:sz w:val="20"/>
        </w:rPr>
        <w:sectPr>
          <w:pgSz w:w="12240" w:h="15840"/>
          <w:pgMar w:header="0" w:footer="1003" w:top="1380" w:bottom="1200" w:left="1580" w:right="1500"/>
        </w:sectPr>
      </w:pPr>
    </w:p>
    <w:p>
      <w:pPr>
        <w:pStyle w:val="BodyText"/>
        <w:spacing w:line="362" w:lineRule="auto" w:before="55"/>
        <w:ind w:left="122" w:right="116"/>
        <w:jc w:val="both"/>
      </w:pPr>
      <w:r>
        <w:rPr/>
        <w:t>Oriente</w:t>
      </w:r>
      <w:r>
        <w:rPr>
          <w:position w:val="11"/>
          <w:sz w:val="16"/>
        </w:rPr>
        <w:t>77 </w:t>
      </w:r>
      <w:r>
        <w:rPr/>
        <w:t>se especializa en la fabricación de equipo ferroviario, la cual ha disminuido sus exportaciones. Eso podría explicar el signo negativo en el indicador de industrias motrices.</w:t>
      </w:r>
    </w:p>
    <w:p>
      <w:pPr>
        <w:pStyle w:val="BodyText"/>
        <w:spacing w:line="360" w:lineRule="auto" w:before="1"/>
        <w:ind w:left="122" w:right="116" w:firstLine="707"/>
        <w:jc w:val="both"/>
      </w:pPr>
      <w:r>
        <w:rPr/>
        <w:t>En resumen, se puede decir que el subsector motriz en ambas regiones, antes y después de la apertura comercial es el 31 Productos alimenticios, bebidas y tabaco, pero en el periodo de apertura se ha visto más afectada la región Valle de México, principalmente en el subsector 38 Productos metálicos, maquinaria y equipo. Y en ambos periodos de estudio, en ésta región el subsector motriz es el 35 Sustancias químicas, productos derivados del petróleo y del carbón, hule y de plástico. Por lo anterior se puede decir con la información recabada que es necesario considerar una política industrial que dé prioridad a actividades motrices, por todos los efectos positivos que trae consigo a la economía</w:t>
      </w:r>
      <w:r>
        <w:rPr>
          <w:spacing w:val="-16"/>
        </w:rPr>
        <w:t> </w:t>
      </w:r>
      <w:r>
        <w:rPr/>
        <w:t>estatal.</w:t>
      </w:r>
    </w:p>
    <w:p>
      <w:pPr>
        <w:pStyle w:val="BodyText"/>
      </w:pPr>
    </w:p>
    <w:p>
      <w:pPr>
        <w:pStyle w:val="Heading2"/>
        <w:spacing w:before="148"/>
        <w:ind w:left="122" w:right="0"/>
        <w:jc w:val="both"/>
      </w:pPr>
      <w:r>
        <w:rPr/>
        <w:t>Puntos concluyentes</w:t>
      </w:r>
    </w:p>
    <w:p>
      <w:pPr>
        <w:pStyle w:val="BodyText"/>
        <w:spacing w:line="360" w:lineRule="auto" w:before="132"/>
        <w:ind w:left="122" w:right="115"/>
        <w:jc w:val="both"/>
      </w:pPr>
      <w:r>
        <w:rPr/>
        <w:t>El ritmo de crecimiento del producto manufacturero del Estado de México y de las regiones Toluca-Lerma y Valle de México, no sólo es menor al que se presentaba antes de la  apertura comercial, sino que ha sido diferenciado. Utilizando el análisis regional a partir del cociente de localización, coeficiente de especialización, coeficiente de localización, y la técnica </w:t>
      </w:r>
      <w:r>
        <w:rPr>
          <w:i/>
        </w:rPr>
        <w:t>Shift-share. </w:t>
      </w:r>
      <w:r>
        <w:rPr/>
        <w:t>Podemos decir que al interior de las regiones de estudio, el comportamiento de la producción ha presentado distintos ritmos de crecimiento, lo que podría explicarse, al menos en parte, por la especialización productiva de sus subsectores manufactureros, caracterizados por el uso de procesos productivos con distintos niveles tecnológicos.</w:t>
      </w:r>
    </w:p>
    <w:p>
      <w:pPr>
        <w:pStyle w:val="BodyText"/>
        <w:spacing w:line="360" w:lineRule="auto" w:before="6"/>
        <w:ind w:left="122" w:right="115" w:firstLine="707"/>
        <w:jc w:val="both"/>
      </w:pPr>
      <w:r>
        <w:rPr/>
        <w:t>La región Toluca-Lerma y la región Valle de México tienen especialización  absoluta en el subsector 38 Productos metálicos, maquinaria y equipo, el cual genera mayor valor agregado que el resto. Pero ambas regiones difieren en la especialización relativa. En la región Valle de México la especialización es más diversificada con sectores de  tecnología estandarizada, como el subsector 33 Industria de la madera y productos de madera; el subsector 34 Papel y productos de papel, imprentas y editoriales; subsector 37 metálicas básicas; y en el subsector 39 otras industrias manufactureras. En tanto que en la región Toluca-Lerma la especialización permanece en subsectores con mayores niveles tecnológicos;   subsector   31   Productos   alimenticios,   bebidas   y   tabaco;   subsector</w:t>
      </w:r>
      <w:r>
        <w:rPr>
          <w:spacing w:val="14"/>
        </w:rPr>
        <w:t> </w:t>
      </w:r>
      <w:r>
        <w:rPr/>
        <w:t>38</w:t>
      </w:r>
    </w:p>
    <w:p>
      <w:pPr>
        <w:pStyle w:val="BodyText"/>
        <w:spacing w:before="5"/>
        <w:rPr>
          <w:sz w:val="18"/>
        </w:rPr>
      </w:pPr>
      <w:r>
        <w:rPr/>
        <w:pict>
          <v:line style="position:absolute;mso-position-horizontal-relative:page;mso-position-vertical-relative:paragraph;z-index:3112;mso-wrap-distance-left:0;mso-wrap-distance-right:0" from="85.103996pt,12.955753pt" to="229.123996pt,12.955753pt" stroked="true" strokeweight=".72003pt" strokecolor="#000000">
            <w10:wrap type="topAndBottom"/>
          </v:line>
        </w:pict>
      </w:r>
    </w:p>
    <w:p>
      <w:pPr>
        <w:spacing w:before="42"/>
        <w:ind w:left="122" w:right="243" w:firstLine="0"/>
        <w:jc w:val="left"/>
        <w:rPr>
          <w:sz w:val="20"/>
        </w:rPr>
      </w:pPr>
      <w:r>
        <w:rPr>
          <w:position w:val="9"/>
          <w:sz w:val="13"/>
        </w:rPr>
        <w:t>77 </w:t>
      </w:r>
      <w:r>
        <w:rPr>
          <w:sz w:val="20"/>
        </w:rPr>
        <w:t>Abarca los municipios desde la línea de Tlalnepantla-Cuautitlán hacia el llamado Valle de México.</w:t>
      </w:r>
    </w:p>
    <w:p>
      <w:pPr>
        <w:spacing w:after="0"/>
        <w:jc w:val="left"/>
        <w:rPr>
          <w:sz w:val="20"/>
        </w:rPr>
        <w:sectPr>
          <w:footerReference w:type="default" r:id="rId38"/>
          <w:pgSz w:w="12240" w:h="15840"/>
          <w:pgMar w:footer="1003" w:header="0" w:top="1320" w:bottom="1200" w:left="1580" w:right="1580"/>
          <w:pgNumType w:start="117"/>
        </w:sectPr>
      </w:pPr>
    </w:p>
    <w:p>
      <w:pPr>
        <w:pStyle w:val="BodyText"/>
        <w:spacing w:line="362" w:lineRule="auto" w:before="50"/>
        <w:ind w:left="102" w:right="121"/>
      </w:pPr>
      <w:r>
        <w:rPr/>
        <w:t>Productos metálicos, maquinaria y equipo y 35 Sustancias químicas, productos derivados del petróleo y del carbón, hule y de plástico.</w:t>
      </w:r>
    </w:p>
    <w:p>
      <w:pPr>
        <w:pStyle w:val="BodyText"/>
        <w:spacing w:line="360" w:lineRule="auto" w:before="1"/>
        <w:ind w:left="102" w:right="119" w:firstLine="707"/>
        <w:jc w:val="both"/>
      </w:pPr>
      <w:r>
        <w:rPr/>
        <w:t>Dentro del subsector 38 existe la especialización en la industria automotriz, la cual es altamente exportadora, caracterizada por la constante actividad de innovación que determina un alto dinamismo tecnológico, y de acuerdo con Pavitt (1984) se clasifica como intensivo en escala y de oferentes especializados. A su vez dentro del subsector 35  sobresale la rama de productos farmacéuticos, la cual de acuerdo con la clasificación de Pavitt se clasifica como basado en la ciencia, es por ello que esta región es más dinámica que la región Valle de México y más</w:t>
      </w:r>
      <w:r>
        <w:rPr>
          <w:spacing w:val="-11"/>
        </w:rPr>
        <w:t> </w:t>
      </w:r>
      <w:r>
        <w:rPr/>
        <w:t>competitiva.</w:t>
      </w:r>
    </w:p>
    <w:p>
      <w:pPr>
        <w:pStyle w:val="BodyText"/>
        <w:spacing w:line="360" w:lineRule="auto" w:before="7"/>
        <w:ind w:left="102" w:right="117" w:firstLine="707"/>
        <w:jc w:val="both"/>
      </w:pPr>
      <w:r>
        <w:rPr/>
        <w:t>Los resultados de otro indicador regional, el cociente de especialización, muestra que durante todo el periodo de estudio, las dos regiones presentan una estructura intersectorial de actividades económicas más semejantes al patrón de la estructura estatal; pero en la región Valle de México el grado de concentración es más bajo por los valores que presenta, cercanos a cero (el grado de diversificación es muy alto). Lo que indica que el objetivo de diversificación económica cobra gran importancia en la región Toluca-Lerma, que se encuentra más concentrada en ciertas actividades, principalmente en la industria automotriz.</w:t>
      </w:r>
    </w:p>
    <w:p>
      <w:pPr>
        <w:pStyle w:val="BodyText"/>
        <w:spacing w:line="360" w:lineRule="auto" w:before="6"/>
        <w:ind w:left="102" w:right="115" w:firstLine="707"/>
        <w:jc w:val="both"/>
      </w:pPr>
      <w:r>
        <w:rPr/>
        <w:t>Con el objetivo de complementar esta información, se aplicó el análisis de concentración geográfica sectorial, obteniendo los siguientes hallazgos: en el periodo de estudio, los valores más altos son para los subsectores 33 y 39. Es decir, que la industria de la madera y productos de madera, así como otras industrias manufactureras están mejor localizadas y concentradas; respecto a las otras actividades, estos subsectores son los más aptos para definir una política de desconcentración industrial.</w:t>
      </w:r>
    </w:p>
    <w:p>
      <w:pPr>
        <w:pStyle w:val="BodyText"/>
        <w:spacing w:line="360" w:lineRule="auto" w:before="6"/>
        <w:ind w:left="102" w:right="117" w:firstLine="707"/>
        <w:jc w:val="both"/>
      </w:pPr>
      <w:r>
        <w:rPr/>
        <w:t>Estos resultados se corroboran con el método </w:t>
      </w:r>
      <w:r>
        <w:rPr>
          <w:i/>
        </w:rPr>
        <w:t>Shift-share</w:t>
      </w:r>
      <w:r>
        <w:rPr/>
        <w:t>, así tenemos que en la región Toluca-Lerma y en la región Valle de México, el subsector 31, tuvo un crecimiento  a una tasa superior de la media en la región, lo cual indica que había especialización en actividades de crecimiento acelerado y dados los índices de especialización tenemos que los más altos se dan en la industria de elaboración de</w:t>
      </w:r>
      <w:r>
        <w:rPr>
          <w:spacing w:val="-10"/>
        </w:rPr>
        <w:t> </w:t>
      </w:r>
      <w:r>
        <w:rPr/>
        <w:t>bebidas.</w:t>
      </w:r>
    </w:p>
    <w:p>
      <w:pPr>
        <w:pStyle w:val="BodyText"/>
        <w:spacing w:line="360" w:lineRule="auto" w:before="4"/>
        <w:ind w:left="102" w:right="121" w:firstLine="707"/>
        <w:jc w:val="both"/>
      </w:pPr>
      <w:r>
        <w:rPr/>
        <w:t>La región Toluca-Lerma se clasifica como región tipo I, la mayoría de los años de estudio, con lo cual se corrobora el resultado del cociente de localización. Esta región se especializa en subsectores modernos y competitivos (subsector 38) y dinámicos   (subsector</w:t>
      </w:r>
    </w:p>
    <w:p>
      <w:pPr>
        <w:spacing w:after="0" w:line="360" w:lineRule="auto"/>
        <w:jc w:val="both"/>
        <w:sectPr>
          <w:pgSz w:w="12240" w:h="15840"/>
          <w:pgMar w:header="0" w:footer="1003" w:top="1360" w:bottom="1200" w:left="1600" w:right="1580"/>
        </w:sectPr>
      </w:pPr>
    </w:p>
    <w:p>
      <w:pPr>
        <w:pStyle w:val="BodyText"/>
        <w:spacing w:line="360" w:lineRule="auto" w:before="50"/>
        <w:ind w:left="102" w:right="120"/>
        <w:jc w:val="both"/>
      </w:pPr>
      <w:r>
        <w:rPr/>
        <w:t>35). Se demuestra que la región crece más que la región Valle de México, pero hay que promover efectos multiplicadores hacia otras regiones del Estado de México, porque las ventas al exterior no se han traducido en un desarrollo homogéneo.</w:t>
      </w:r>
    </w:p>
    <w:p>
      <w:pPr>
        <w:pStyle w:val="BodyText"/>
        <w:spacing w:line="360" w:lineRule="auto" w:before="6"/>
        <w:ind w:left="102" w:right="118" w:firstLine="707"/>
        <w:jc w:val="both"/>
      </w:pPr>
      <w:r>
        <w:rPr/>
        <w:t>A su vez, la región Valle de México la mayoría de los años de estudio se clasifica como región tipo IV, lo que muestra su especialización en subsectores de bajo dinamismo tecnológico (subsectores 33, 34 y 37, los dos primeros de acuerdo con la clasificación de Pavitt se clasifican como dominados por el proveedor y el último como intensivo  en escala), y atrasados (subsector 39). Cabe resaltar que a través de la implementación de políticas regionales focalizadas se puede revertir la tendencia en los próximos años para no caer nuevamente en regiones tipo II-b, III-b y IV.</w:t>
      </w:r>
    </w:p>
    <w:p>
      <w:pPr>
        <w:pStyle w:val="BodyText"/>
        <w:spacing w:line="360" w:lineRule="auto" w:before="4"/>
        <w:ind w:left="102" w:right="116" w:firstLine="707"/>
        <w:jc w:val="both"/>
      </w:pPr>
      <w:r>
        <w:rPr/>
        <w:t>Si llevamos el análisis a las industrias motrices, claves para el crecimiento económico regional, durante ambos periodos de estudio en las dos regiones el subsector motriz es el 31 Productos alimenticios, bebidas y tabaco, en la región Toluca-Lerma, sin embargo, el subsector 33 Industria de la madera y productos de madera, deja de ser importante y su lugar lo ocupa el subsector 38 Productos metálicos, maquinaria y equipo, pues se ha visto favorecido con la apertura comercial. En cuanto a la región Valle de México, se mantienen como subsectores motrices el subsector 31 Productos alimenticios, bebidas y tabaco, y 35 Sustancias químicas, productos derivados del petróleo y el carbón, en ambos</w:t>
      </w:r>
      <w:r>
        <w:rPr>
          <w:spacing w:val="-3"/>
        </w:rPr>
        <w:t> </w:t>
      </w:r>
      <w:r>
        <w:rPr/>
        <w:t>periodos.</w:t>
      </w:r>
    </w:p>
    <w:p>
      <w:pPr>
        <w:pStyle w:val="BodyText"/>
        <w:spacing w:line="360" w:lineRule="auto" w:before="6"/>
        <w:ind w:left="102" w:right="120" w:firstLine="707"/>
        <w:jc w:val="both"/>
      </w:pPr>
      <w:r>
        <w:rPr/>
        <w:t>Como se ha podido demostrar la alta concentración productiva de ambas regiones, especialización en sólo cinco subsectores (31, 38, 35, 37 y 39) y pocos subsectores motrices, lleva a tener un bajo crecimiento económico, por la falta de economías de escala internas y de externalidades positivas para el resto de la economía, lo cual se traduce en pérdida de competitividad, generando con ello regiones económicas deprimidas que no han sabido afrontar los retos que presenta la apertura comercial. La introducción de nuevas tecnologías e innovación es fundamental para garantizar un proceso de competencia en los mercados de</w:t>
      </w:r>
      <w:r>
        <w:rPr>
          <w:spacing w:val="-6"/>
        </w:rPr>
        <w:t> </w:t>
      </w:r>
      <w:r>
        <w:rPr/>
        <w:t>productos.</w:t>
      </w:r>
    </w:p>
    <w:p>
      <w:pPr>
        <w:spacing w:after="0" w:line="360" w:lineRule="auto"/>
        <w:jc w:val="both"/>
        <w:sectPr>
          <w:pgSz w:w="12240" w:h="15840"/>
          <w:pgMar w:header="0" w:footer="1003" w:top="1360" w:bottom="1200" w:left="1600" w:right="1580"/>
        </w:sectPr>
      </w:pPr>
    </w:p>
    <w:p>
      <w:pPr>
        <w:pStyle w:val="BodyText"/>
      </w:pPr>
    </w:p>
    <w:p>
      <w:pPr>
        <w:pStyle w:val="BodyText"/>
      </w:pPr>
    </w:p>
    <w:p>
      <w:pPr>
        <w:pStyle w:val="BodyText"/>
        <w:spacing w:before="9"/>
        <w:rPr>
          <w:sz w:val="28"/>
        </w:rPr>
      </w:pPr>
    </w:p>
    <w:p>
      <w:pPr>
        <w:pStyle w:val="Heading2"/>
        <w:spacing w:before="0"/>
        <w:ind w:right="-9"/>
      </w:pPr>
      <w:r>
        <w:rPr>
          <w:spacing w:val="-1"/>
        </w:rPr>
        <w:t>Introducción</w:t>
      </w:r>
    </w:p>
    <w:p>
      <w:pPr>
        <w:spacing w:before="55"/>
        <w:ind w:left="83" w:right="1546" w:firstLine="0"/>
        <w:jc w:val="center"/>
        <w:rPr>
          <w:b/>
          <w:sz w:val="24"/>
        </w:rPr>
      </w:pPr>
      <w:r>
        <w:rPr/>
        <w:br w:type="column"/>
      </w:r>
      <w:r>
        <w:rPr>
          <w:b/>
          <w:sz w:val="24"/>
        </w:rPr>
        <w:t>Capítulo 4</w:t>
      </w:r>
    </w:p>
    <w:p>
      <w:pPr>
        <w:spacing w:before="139"/>
        <w:ind w:left="83" w:right="1552" w:firstLine="0"/>
        <w:jc w:val="center"/>
        <w:rPr>
          <w:b/>
          <w:sz w:val="24"/>
        </w:rPr>
      </w:pPr>
      <w:r>
        <w:rPr>
          <w:b/>
          <w:sz w:val="24"/>
        </w:rPr>
        <w:t>Validación de la Primera y Segunda Ley de Kaldor</w:t>
      </w:r>
    </w:p>
    <w:p>
      <w:pPr>
        <w:spacing w:after="0"/>
        <w:jc w:val="center"/>
        <w:rPr>
          <w:sz w:val="24"/>
        </w:rPr>
        <w:sectPr>
          <w:footerReference w:type="default" r:id="rId39"/>
          <w:pgSz w:w="12240" w:h="15840"/>
          <w:pgMar w:footer="1003" w:header="0" w:top="1360" w:bottom="1200" w:left="1600" w:right="1580"/>
          <w:pgNumType w:start="120"/>
          <w:cols w:num="2" w:equalWidth="0">
            <w:col w:w="1435" w:space="723"/>
            <w:col w:w="6902"/>
          </w:cols>
        </w:sectPr>
      </w:pPr>
    </w:p>
    <w:p>
      <w:pPr>
        <w:pStyle w:val="BodyText"/>
        <w:spacing w:line="360" w:lineRule="auto" w:before="134"/>
        <w:ind w:left="102" w:right="114"/>
        <w:jc w:val="both"/>
      </w:pPr>
      <w:r>
        <w:rPr/>
        <w:t>En los últimos treinta años el ritmo de crecimiento de la producción del Estado de México ha sido menor al que se presentaba antes de la apertura comercial. En particular, según datos de los Censos Industriales y Económicos del INEGI, en la década de 1970-1980, el PIB estatal creció a una tasa media anual de 9.1% y el manufacturero al 7.5%, en tanto que durante el periodo 1980-2008 el PIB total creció a una tasa de 3.3% y el manufacturero a una de</w:t>
      </w:r>
      <w:r>
        <w:rPr>
          <w:spacing w:val="-4"/>
        </w:rPr>
        <w:t> </w:t>
      </w:r>
      <w:r>
        <w:rPr/>
        <w:t>2.6%.</w:t>
      </w:r>
    </w:p>
    <w:p>
      <w:pPr>
        <w:pStyle w:val="BodyText"/>
        <w:spacing w:line="360" w:lineRule="auto" w:before="7"/>
        <w:ind w:left="102" w:right="115" w:firstLine="707"/>
        <w:jc w:val="both"/>
      </w:pPr>
      <w:r>
        <w:rPr/>
        <w:t>Ahora bien, el comportamiento de la producción no ha sido el mismo en las dos grandes regiones industrializadas del Estado de México. En este sentido, el presente capítulo representa un esfuerzo por explicar el proceso de crecimiento divergente de las regiones Toluca-Lerma y Valle de México, durante el periodo 1970-2008, mediante una metodología alternativa que consiste en evaluar la validez empírica de la Primera y  Segunda Ley de Kaldor a través de un ejercicio alterno de</w:t>
      </w:r>
      <w:r>
        <w:rPr>
          <w:spacing w:val="-16"/>
        </w:rPr>
        <w:t> </w:t>
      </w:r>
      <w:r>
        <w:rPr/>
        <w:t>crecimiento.</w:t>
      </w:r>
    </w:p>
    <w:p>
      <w:pPr>
        <w:pStyle w:val="BodyText"/>
        <w:spacing w:line="360" w:lineRule="auto" w:before="6"/>
        <w:ind w:left="102" w:right="114" w:firstLine="707"/>
        <w:jc w:val="both"/>
      </w:pPr>
      <w:r>
        <w:rPr/>
        <w:t>Con la Primera Ley se busca establecer la importancia de la especialización productiva en los subsectores clave de la economía (35 Sustancias químicas, productos derivados del petróleo y del carbón, hule y de plástico y 38 Productos metálicos,  maquinaria y equipo) de cada región de estudio como determinantes del crecimiento del producto manufacturero total. </w:t>
      </w:r>
      <w:r>
        <w:rPr>
          <w:spacing w:val="-3"/>
        </w:rPr>
        <w:t>La </w:t>
      </w:r>
      <w:r>
        <w:rPr/>
        <w:t>Segunda Ley, por su parte, hace referencia a una fuerte y positiva relación entre el crecimiento del producto manufacturero y la tasa de crecimiento de la productividad de la misma industria manufacturera, considerando también los dos subsectores más importantes para ambas regiones. Por tanto, partimos de la siguiente hipótesis: la productividad de la industria manufacturera de las regiones Toluca-Lerma y Valle de México se explica por el producto de la misma industria, y el producto manufacturero a su vez, se explica por el comportamiento de los subsectores 35 y 38. La verificación de esta hipótesis complementará el análisis del comportamiento del producto manufacturero de cada una de las regiones y se estará en posibilidad de comparar los resultados; para dar posibles explicaciones al</w:t>
      </w:r>
      <w:r>
        <w:rPr>
          <w:spacing w:val="-9"/>
        </w:rPr>
        <w:t> </w:t>
      </w:r>
      <w:r>
        <w:rPr/>
        <w:t>fenómeno.</w:t>
      </w:r>
    </w:p>
    <w:p>
      <w:pPr>
        <w:spacing w:after="0" w:line="360" w:lineRule="auto"/>
        <w:jc w:val="both"/>
        <w:sectPr>
          <w:type w:val="continuous"/>
          <w:pgSz w:w="12240" w:h="15840"/>
          <w:pgMar w:top="500" w:bottom="1200" w:left="1600" w:right="1580"/>
        </w:sectPr>
      </w:pPr>
    </w:p>
    <w:p>
      <w:pPr>
        <w:pStyle w:val="BodyText"/>
        <w:spacing w:line="360" w:lineRule="auto" w:before="50"/>
        <w:ind w:left="102" w:right="123" w:firstLine="707"/>
        <w:jc w:val="both"/>
      </w:pPr>
      <w:r>
        <w:rPr/>
        <w:t>El presente capítulo está organizado en cinco apartados; en el primero se presenta la revisión de la literatura sobre el tema, en el segundo la metodología empírica y los datos; en el tercero, los resultados obtenidos de los modelos de panel y, finalmente, las conclusiones.</w:t>
      </w:r>
    </w:p>
    <w:p>
      <w:pPr>
        <w:pStyle w:val="BodyText"/>
      </w:pPr>
    </w:p>
    <w:p>
      <w:pPr>
        <w:pStyle w:val="Heading2"/>
        <w:numPr>
          <w:ilvl w:val="1"/>
          <w:numId w:val="19"/>
        </w:numPr>
        <w:tabs>
          <w:tab w:pos="463" w:val="left" w:leader="none"/>
        </w:tabs>
        <w:spacing w:line="240" w:lineRule="auto" w:before="148" w:after="0"/>
        <w:ind w:left="462" w:right="0" w:hanging="360"/>
        <w:jc w:val="both"/>
      </w:pPr>
      <w:r>
        <w:rPr/>
        <w:t>Las leyes de</w:t>
      </w:r>
      <w:r>
        <w:rPr>
          <w:spacing w:val="-5"/>
        </w:rPr>
        <w:t> </w:t>
      </w:r>
      <w:r>
        <w:rPr/>
        <w:t>Kaldor</w:t>
      </w:r>
    </w:p>
    <w:p>
      <w:pPr>
        <w:pStyle w:val="BodyText"/>
        <w:spacing w:line="360" w:lineRule="auto" w:before="134"/>
        <w:ind w:left="102" w:right="116"/>
        <w:jc w:val="both"/>
      </w:pPr>
      <w:r>
        <w:rPr/>
        <w:t>En el primer capítulo de esta investigación se abordaron las teorías del crecimiento económico, por el lado de la demanda se analizan las leyes de Kaldor, las cuales sirven de soporte teórico para el estudio empírico del producto manufacturero de las regiones Toluca- Lerma y Valle de México. A continuación se esbozan de manera breve la Primera y Segunda Ley de Kaldor.</w:t>
      </w:r>
    </w:p>
    <w:p>
      <w:pPr>
        <w:pStyle w:val="BodyText"/>
      </w:pPr>
    </w:p>
    <w:p>
      <w:pPr>
        <w:pStyle w:val="Heading2"/>
        <w:spacing w:before="148"/>
        <w:ind w:left="810"/>
      </w:pPr>
      <w:r>
        <w:rPr/>
        <w:t>Primera Ley de Kaldor</w:t>
      </w:r>
    </w:p>
    <w:p>
      <w:pPr>
        <w:pStyle w:val="BodyText"/>
        <w:spacing w:line="360" w:lineRule="auto" w:before="132"/>
        <w:ind w:left="102" w:right="118"/>
        <w:jc w:val="both"/>
      </w:pPr>
      <w:r>
        <w:rPr/>
        <w:t>Explica la alta correlación entre el crecimiento del producto industrial y crecimiento del  PIB (Kaldor,</w:t>
      </w:r>
      <w:r>
        <w:rPr>
          <w:spacing w:val="-7"/>
        </w:rPr>
        <w:t> </w:t>
      </w:r>
      <w:r>
        <w:rPr/>
        <w:t>1966).</w:t>
      </w:r>
    </w:p>
    <w:p>
      <w:pPr>
        <w:pStyle w:val="BodyText"/>
        <w:spacing w:before="1"/>
        <w:ind w:left="810" w:right="121"/>
      </w:pPr>
      <w:r>
        <w:rPr/>
        <w:t>Esta ley formalmente se expresa así:</w:t>
      </w:r>
    </w:p>
    <w:p>
      <w:pPr>
        <w:tabs>
          <w:tab w:pos="5759" w:val="left" w:leader="none"/>
        </w:tabs>
        <w:spacing w:before="12"/>
        <w:ind w:left="3709" w:right="121" w:firstLine="0"/>
        <w:jc w:val="left"/>
        <w:rPr>
          <w:b/>
          <w:sz w:val="24"/>
        </w:rPr>
      </w:pPr>
      <w:r>
        <w:rPr>
          <w:rFonts w:ascii="Cambria Math"/>
          <w:spacing w:val="-40"/>
          <w:w w:val="273"/>
          <w:sz w:val="24"/>
        </w:rPr>
        <w:t> </w:t>
      </w:r>
      <w:r>
        <w:rPr>
          <w:rFonts w:ascii="Cambria Math"/>
          <w:w w:val="200"/>
          <w:position w:val="-4"/>
          <w:sz w:val="17"/>
        </w:rPr>
        <w:t> </w:t>
      </w:r>
      <w:r>
        <w:rPr>
          <w:rFonts w:ascii="Cambria Math"/>
          <w:position w:val="-4"/>
          <w:sz w:val="17"/>
        </w:rPr>
        <w:t> </w:t>
      </w:r>
      <w:r>
        <w:rPr>
          <w:rFonts w:ascii="Cambria Math"/>
          <w:spacing w:val="6"/>
          <w:position w:val="-4"/>
          <w:sz w:val="17"/>
        </w:rPr>
        <w:t> </w:t>
      </w:r>
      <w:r>
        <w:rPr>
          <w:rFonts w:ascii="Cambria Math"/>
          <w:w w:val="339"/>
          <w:sz w:val="24"/>
        </w:rPr>
        <w:t> </w:t>
      </w:r>
      <w:r>
        <w:rPr>
          <w:rFonts w:ascii="Cambria Math"/>
          <w:spacing w:val="15"/>
          <w:sz w:val="24"/>
        </w:rPr>
        <w:t> </w:t>
      </w:r>
      <w:r>
        <w:rPr>
          <w:rFonts w:ascii="Cambria Math"/>
          <w:w w:val="272"/>
          <w:sz w:val="24"/>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spacing w:val="-5"/>
          <w:w w:val="272"/>
          <w:sz w:val="24"/>
        </w:rPr>
        <w:t> </w:t>
      </w:r>
      <w:r>
        <w:rPr>
          <w:rFonts w:ascii="Cambria Math"/>
          <w:spacing w:val="9"/>
          <w:w w:val="263"/>
          <w:position w:val="-4"/>
          <w:sz w:val="17"/>
        </w:rPr>
        <w:t> </w:t>
      </w:r>
      <w:r>
        <w:rPr>
          <w:rFonts w:ascii="Cambria Math"/>
          <w:spacing w:val="-22"/>
          <w:w w:val="254"/>
          <w:sz w:val="24"/>
        </w:rPr>
        <w:t> </w:t>
      </w:r>
      <w:r>
        <w:rPr>
          <w:rFonts w:ascii="Cambria Math"/>
          <w:w w:val="425"/>
          <w:position w:val="-4"/>
          <w:sz w:val="17"/>
        </w:rPr>
        <w:t> </w:t>
      </w:r>
      <w:r>
        <w:rPr>
          <w:rFonts w:ascii="Cambria Math"/>
          <w:position w:val="-4"/>
          <w:sz w:val="17"/>
        </w:rPr>
        <w:tab/>
      </w:r>
      <w:r>
        <w:rPr>
          <w:b/>
          <w:sz w:val="24"/>
        </w:rPr>
        <w:t>(1)</w:t>
      </w:r>
    </w:p>
    <w:p>
      <w:pPr>
        <w:pStyle w:val="BodyText"/>
        <w:spacing w:before="4"/>
        <w:rPr>
          <w:b/>
          <w:sz w:val="23"/>
        </w:rPr>
      </w:pPr>
    </w:p>
    <w:p>
      <w:pPr>
        <w:pStyle w:val="BodyText"/>
        <w:ind w:left="810" w:right="121"/>
      </w:pPr>
      <w:r>
        <w:rPr/>
        <w:t>Donde:</w:t>
      </w:r>
    </w:p>
    <w:p>
      <w:pPr>
        <w:pStyle w:val="BodyText"/>
        <w:spacing w:before="7"/>
        <w:ind w:left="870" w:right="121"/>
      </w:pPr>
      <w:r>
        <w:rPr>
          <w:rFonts w:ascii="Cambria Math"/>
          <w:w w:val="273"/>
        </w:rPr>
        <w:t> </w:t>
      </w:r>
      <w:r>
        <w:rPr>
          <w:rFonts w:ascii="Cambria Math"/>
          <w:w w:val="200"/>
          <w:position w:val="-4"/>
          <w:sz w:val="17"/>
        </w:rPr>
        <w:t> </w:t>
      </w:r>
      <w:r>
        <w:rPr>
          <w:rFonts w:ascii="Cambria Math"/>
          <w:position w:val="-4"/>
          <w:sz w:val="17"/>
        </w:rPr>
        <w:t> </w:t>
      </w:r>
      <w:r>
        <w:rPr>
          <w:rFonts w:ascii="Cambria Math"/>
          <w:w w:val="331"/>
          <w:position w:val="-4"/>
          <w:sz w:val="17"/>
        </w:rPr>
        <w:t> </w:t>
      </w:r>
      <w:r>
        <w:rPr>
          <w:rFonts w:ascii="Cambria Math"/>
          <w:position w:val="-4"/>
          <w:sz w:val="17"/>
        </w:rPr>
        <w:t>  </w:t>
      </w:r>
      <w:r>
        <w:rPr/>
        <w:t>= tasa de crecimiento del PIB</w:t>
      </w:r>
    </w:p>
    <w:p>
      <w:pPr>
        <w:pStyle w:val="BodyText"/>
        <w:spacing w:before="7"/>
        <w:ind w:left="870" w:right="121"/>
      </w:pPr>
      <w:r>
        <w:rPr>
          <w:rFonts w:ascii="Cambria Math"/>
          <w:w w:val="254"/>
        </w:rPr>
        <w:t> </w:t>
      </w:r>
      <w:r>
        <w:rPr>
          <w:rFonts w:ascii="Cambria Math"/>
          <w:w w:val="425"/>
          <w:position w:val="-4"/>
          <w:sz w:val="17"/>
        </w:rPr>
        <w:t> </w:t>
      </w:r>
      <w:r>
        <w:rPr>
          <w:rFonts w:ascii="Cambria Math"/>
          <w:position w:val="-4"/>
          <w:sz w:val="17"/>
        </w:rPr>
        <w:t>  </w:t>
      </w:r>
      <w:r>
        <w:rPr/>
        <w:t>= tasa de crecimiento manufacturero</w:t>
      </w:r>
    </w:p>
    <w:p>
      <w:pPr>
        <w:pStyle w:val="BodyText"/>
        <w:spacing w:before="10"/>
        <w:rPr>
          <w:sz w:val="35"/>
        </w:rPr>
      </w:pPr>
    </w:p>
    <w:p>
      <w:pPr>
        <w:pStyle w:val="BodyText"/>
        <w:spacing w:line="360" w:lineRule="auto"/>
        <w:ind w:left="102" w:right="118" w:firstLine="707"/>
        <w:jc w:val="both"/>
      </w:pPr>
      <w:r>
        <w:rPr/>
        <w:t>Kaldor (1970) establece que la tasa de crecimiento de una economía se relaciona de manera positiva con la correspondiente de su sector manufacturero, lo cual implica que éste se considera el motor del crecimiento. Este vínculo se explica con el alto efecto multiplicador del sector industrial, debido a las altas elasticidades-ingreso de la demanda de las manufacturas; a los fuertes encadenamientos productivos hacia atrás y hacia delante de las actividades industriales, y a las economías de aprendizaje que pueden obtenerse a medida que avanza la división del trabajo y se fortalece la especialización como resultado de la expansión de las actividades manufactureras.</w:t>
      </w:r>
    </w:p>
    <w:p>
      <w:pPr>
        <w:pStyle w:val="BodyText"/>
      </w:pPr>
    </w:p>
    <w:p>
      <w:pPr>
        <w:pStyle w:val="Heading2"/>
        <w:spacing w:before="148"/>
        <w:ind w:left="810"/>
      </w:pPr>
      <w:r>
        <w:rPr/>
        <w:t>Segunda Ley</w:t>
      </w:r>
    </w:p>
    <w:p>
      <w:pPr>
        <w:pStyle w:val="BodyText"/>
        <w:spacing w:line="360" w:lineRule="auto" w:before="132"/>
        <w:ind w:left="102" w:right="122"/>
        <w:jc w:val="both"/>
      </w:pPr>
      <w:r>
        <w:rPr/>
        <w:t>Describe la estrecha relación entre la tasa de crecimiento de la productividad industrial y el crecimiento del producto manufacturero.</w:t>
      </w:r>
    </w:p>
    <w:p>
      <w:pPr>
        <w:spacing w:after="0" w:line="360" w:lineRule="auto"/>
        <w:jc w:val="both"/>
        <w:sectPr>
          <w:pgSz w:w="12240" w:h="15840"/>
          <w:pgMar w:header="0" w:footer="1003" w:top="1360" w:bottom="1200" w:left="1600" w:right="1580"/>
        </w:sectPr>
      </w:pPr>
    </w:p>
    <w:p>
      <w:pPr>
        <w:pStyle w:val="BodyText"/>
        <w:spacing w:before="48"/>
        <w:ind w:left="810" w:right="121"/>
      </w:pPr>
      <w:r>
        <w:rPr/>
        <w:t>Esta ley formalmente se expresa así:</w:t>
      </w:r>
    </w:p>
    <w:p>
      <w:pPr>
        <w:pStyle w:val="BodyText"/>
        <w:spacing w:before="11"/>
        <w:rPr>
          <w:sz w:val="18"/>
        </w:rPr>
      </w:pPr>
    </w:p>
    <w:p>
      <w:pPr>
        <w:spacing w:after="0"/>
        <w:rPr>
          <w:sz w:val="18"/>
        </w:rPr>
        <w:sectPr>
          <w:pgSz w:w="12240" w:h="15840"/>
          <w:pgMar w:header="0" w:footer="1003" w:top="1360" w:bottom="1200" w:left="1600" w:right="1580"/>
        </w:sectPr>
      </w:pPr>
    </w:p>
    <w:p>
      <w:pPr>
        <w:pStyle w:val="BodyText"/>
        <w:spacing w:before="8"/>
        <w:rPr>
          <w:sz w:val="29"/>
        </w:rPr>
      </w:pPr>
    </w:p>
    <w:p>
      <w:pPr>
        <w:pStyle w:val="BodyText"/>
        <w:ind w:left="810" w:right="-15"/>
      </w:pPr>
      <w:r>
        <w:rPr>
          <w:spacing w:val="-1"/>
        </w:rPr>
        <w:t>Donde:</w:t>
      </w:r>
    </w:p>
    <w:p>
      <w:pPr>
        <w:tabs>
          <w:tab w:pos="5748" w:val="left" w:leader="none"/>
        </w:tabs>
        <w:spacing w:before="70"/>
        <w:ind w:left="611" w:right="0" w:firstLine="0"/>
        <w:jc w:val="left"/>
        <w:rPr>
          <w:b/>
          <w:sz w:val="24"/>
        </w:rPr>
      </w:pPr>
      <w:r>
        <w:rPr/>
        <w:br w:type="column"/>
      </w:r>
      <w:r>
        <w:rPr>
          <w:rFonts w:ascii="Cambria Math"/>
          <w:spacing w:val="-48"/>
          <w:w w:val="281"/>
          <w:sz w:val="24"/>
        </w:rPr>
        <w:t> </w:t>
      </w:r>
      <w:r>
        <w:rPr>
          <w:rFonts w:ascii="Cambria Math"/>
          <w:w w:val="425"/>
          <w:position w:val="-4"/>
          <w:sz w:val="17"/>
        </w:rPr>
        <w:t> </w:t>
      </w:r>
      <w:r>
        <w:rPr>
          <w:rFonts w:ascii="Cambria Math"/>
          <w:position w:val="-4"/>
          <w:sz w:val="17"/>
        </w:rPr>
        <w:t> </w:t>
      </w:r>
      <w:r>
        <w:rPr>
          <w:rFonts w:ascii="Cambria Math"/>
          <w:spacing w:val="5"/>
          <w:position w:val="-4"/>
          <w:sz w:val="17"/>
        </w:rPr>
        <w:t> </w:t>
      </w:r>
      <w:r>
        <w:rPr>
          <w:rFonts w:ascii="Cambria Math"/>
          <w:w w:val="339"/>
          <w:sz w:val="24"/>
        </w:rPr>
        <w:t> </w:t>
      </w:r>
      <w:r>
        <w:rPr>
          <w:rFonts w:ascii="Cambria Math"/>
          <w:spacing w:val="15"/>
          <w:sz w:val="24"/>
        </w:rPr>
        <w:t> </w:t>
      </w:r>
      <w:r>
        <w:rPr>
          <w:rFonts w:ascii="Cambria Math"/>
          <w:w w:val="272"/>
          <w:sz w:val="24"/>
        </w:rPr>
        <w:t> </w:t>
      </w:r>
      <w:r>
        <w:rPr>
          <w:rFonts w:ascii="Cambria Math"/>
          <w:w w:val="263"/>
          <w:position w:val="-4"/>
          <w:sz w:val="17"/>
        </w:rPr>
        <w:t> </w:t>
      </w:r>
      <w:r>
        <w:rPr>
          <w:rFonts w:ascii="Cambria Math"/>
          <w:position w:val="-4"/>
          <w:sz w:val="17"/>
        </w:rPr>
        <w:t> </w:t>
      </w:r>
      <w:r>
        <w:rPr>
          <w:rFonts w:ascii="Cambria Math"/>
          <w:spacing w:val="-13"/>
          <w:position w:val="-4"/>
          <w:sz w:val="17"/>
        </w:rPr>
        <w:t> </w:t>
      </w:r>
      <w:r>
        <w:rPr>
          <w:rFonts w:ascii="Cambria Math"/>
          <w:w w:val="339"/>
          <w:sz w:val="24"/>
        </w:rPr>
        <w:t> </w:t>
      </w:r>
      <w:r>
        <w:rPr>
          <w:rFonts w:ascii="Cambria Math"/>
          <w:sz w:val="24"/>
        </w:rPr>
        <w:t>  </w:t>
      </w:r>
      <w:r>
        <w:rPr>
          <w:rFonts w:ascii="Cambria Math"/>
          <w:spacing w:val="-5"/>
          <w:w w:val="272"/>
          <w:sz w:val="24"/>
        </w:rPr>
        <w:t> </w:t>
      </w:r>
      <w:r>
        <w:rPr>
          <w:rFonts w:ascii="Cambria Math"/>
          <w:spacing w:val="9"/>
          <w:w w:val="263"/>
          <w:position w:val="-4"/>
          <w:sz w:val="17"/>
        </w:rPr>
        <w:t> </w:t>
      </w:r>
      <w:r>
        <w:rPr>
          <w:rFonts w:ascii="Cambria Math"/>
          <w:spacing w:val="-22"/>
          <w:w w:val="254"/>
          <w:sz w:val="24"/>
        </w:rPr>
        <w:t> </w:t>
      </w:r>
      <w:r>
        <w:rPr>
          <w:rFonts w:ascii="Cambria Math"/>
          <w:w w:val="425"/>
          <w:position w:val="-4"/>
          <w:sz w:val="17"/>
        </w:rPr>
        <w:t> </w:t>
      </w:r>
      <w:r>
        <w:rPr>
          <w:rFonts w:ascii="Cambria Math"/>
          <w:position w:val="-4"/>
          <w:sz w:val="17"/>
        </w:rPr>
        <w:tab/>
      </w:r>
      <w:r>
        <w:rPr>
          <w:b/>
          <w:sz w:val="24"/>
        </w:rPr>
        <w:t>(2)</w:t>
      </w:r>
    </w:p>
    <w:p>
      <w:pPr>
        <w:spacing w:after="0"/>
        <w:jc w:val="left"/>
        <w:rPr>
          <w:sz w:val="24"/>
        </w:rPr>
        <w:sectPr>
          <w:type w:val="continuous"/>
          <w:pgSz w:w="12240" w:h="15840"/>
          <w:pgMar w:top="500" w:bottom="1200" w:left="1600" w:right="1580"/>
          <w:cols w:num="2" w:equalWidth="0">
            <w:col w:w="1516" w:space="40"/>
            <w:col w:w="7504"/>
          </w:cols>
        </w:sectPr>
      </w:pPr>
    </w:p>
    <w:p>
      <w:pPr>
        <w:pStyle w:val="BodyText"/>
        <w:spacing w:before="7"/>
        <w:ind w:left="870" w:right="121"/>
      </w:pPr>
      <w:r>
        <w:rPr>
          <w:rFonts w:ascii="Cambria Math"/>
          <w:w w:val="281"/>
        </w:rPr>
        <w:t> </w:t>
      </w:r>
      <w:r>
        <w:rPr>
          <w:rFonts w:ascii="Cambria Math"/>
          <w:w w:val="425"/>
          <w:position w:val="-4"/>
          <w:sz w:val="17"/>
        </w:rPr>
        <w:t> </w:t>
      </w:r>
      <w:r>
        <w:rPr>
          <w:rFonts w:ascii="Cambria Math"/>
          <w:position w:val="-4"/>
          <w:sz w:val="17"/>
        </w:rPr>
        <w:t>  </w:t>
      </w:r>
      <w:r>
        <w:rPr>
          <w:rFonts w:ascii="Cambria Math"/>
          <w:w w:val="339"/>
        </w:rPr>
        <w:t> </w:t>
      </w:r>
      <w:r>
        <w:rPr>
          <w:rFonts w:ascii="Cambria Math"/>
        </w:rPr>
        <w:t> </w:t>
      </w:r>
      <w:r>
        <w:rPr/>
        <w:t>crecimiento de la productividad del trabajo manufacturero</w:t>
      </w:r>
    </w:p>
    <w:p>
      <w:pPr>
        <w:pStyle w:val="BodyText"/>
        <w:spacing w:before="5"/>
        <w:ind w:left="810" w:right="121"/>
      </w:pPr>
      <w:r>
        <w:rPr>
          <w:rFonts w:ascii="Cambria Math" w:hAnsi="Cambria Math"/>
          <w:w w:val="254"/>
        </w:rPr>
        <w:t> </w:t>
      </w:r>
      <w:r>
        <w:rPr>
          <w:rFonts w:ascii="Cambria Math" w:hAnsi="Cambria Math"/>
          <w:w w:val="425"/>
          <w:position w:val="-4"/>
          <w:sz w:val="17"/>
        </w:rPr>
        <w:t> </w:t>
      </w:r>
      <w:r>
        <w:rPr>
          <w:rFonts w:ascii="Cambria Math" w:hAnsi="Cambria Math"/>
          <w:position w:val="-4"/>
          <w:sz w:val="17"/>
        </w:rPr>
        <w:t>  </w:t>
      </w:r>
      <w:r>
        <w:rPr>
          <w:rFonts w:ascii="Cambria Math" w:hAnsi="Cambria Math"/>
          <w:w w:val="339"/>
        </w:rPr>
        <w:t> </w:t>
      </w:r>
      <w:r>
        <w:rPr>
          <w:rFonts w:ascii="Cambria Math" w:hAnsi="Cambria Math"/>
        </w:rPr>
        <w:t> </w:t>
      </w:r>
      <w:r>
        <w:rPr/>
        <w:t>tasa de crecimiento de la producción manufacturera</w:t>
      </w:r>
    </w:p>
    <w:p>
      <w:pPr>
        <w:pStyle w:val="BodyText"/>
        <w:spacing w:before="1"/>
        <w:rPr>
          <w:sz w:val="36"/>
        </w:rPr>
      </w:pPr>
    </w:p>
    <w:p>
      <w:pPr>
        <w:pStyle w:val="BodyText"/>
        <w:spacing w:line="360" w:lineRule="auto"/>
        <w:ind w:left="102" w:right="116" w:firstLine="707"/>
        <w:jc w:val="both"/>
      </w:pPr>
      <w:r>
        <w:rPr/>
        <w:t>También conocida como la </w:t>
      </w:r>
      <w:r>
        <w:rPr>
          <w:i/>
        </w:rPr>
        <w:t>Ley de Verdoorn</w:t>
      </w:r>
      <w:r>
        <w:rPr/>
        <w:t>, postula que un incremento en la tasa de crecimiento de la producción manufacturera conduce a un aumento de la productividad del trabajo dentro del mismo sector, debido al proceso de aprendizaje que se deriva de una división del trabajo y una especialización mayor, asociada a la ampliación del mercado, así como a las economías de escala de carácter dinámico provenientes de la incorporación del progreso técnico y de la mecanización de las actividades</w:t>
      </w:r>
      <w:r>
        <w:rPr>
          <w:spacing w:val="-14"/>
        </w:rPr>
        <w:t> </w:t>
      </w:r>
      <w:r>
        <w:rPr/>
        <w:t>productivas.</w:t>
      </w:r>
    </w:p>
    <w:p>
      <w:pPr>
        <w:pStyle w:val="BodyText"/>
      </w:pPr>
    </w:p>
    <w:p>
      <w:pPr>
        <w:pStyle w:val="Heading2"/>
        <w:numPr>
          <w:ilvl w:val="2"/>
          <w:numId w:val="19"/>
        </w:numPr>
        <w:tabs>
          <w:tab w:pos="703" w:val="left" w:leader="none"/>
        </w:tabs>
        <w:spacing w:line="240" w:lineRule="auto" w:before="148" w:after="0"/>
        <w:ind w:left="702" w:right="0" w:hanging="600"/>
        <w:jc w:val="both"/>
      </w:pPr>
      <w:r>
        <w:rPr/>
        <w:t>Evidencia</w:t>
      </w:r>
      <w:r>
        <w:rPr>
          <w:spacing w:val="-5"/>
        </w:rPr>
        <w:t> </w:t>
      </w:r>
      <w:r>
        <w:rPr/>
        <w:t>empírica</w:t>
      </w:r>
    </w:p>
    <w:p>
      <w:pPr>
        <w:pStyle w:val="BodyText"/>
        <w:spacing w:line="360" w:lineRule="auto" w:before="132"/>
        <w:ind w:left="102" w:right="115"/>
        <w:jc w:val="both"/>
      </w:pPr>
      <w:r>
        <w:rPr/>
        <w:t>Las leyes de Kaldor, refieren en general a los efectos positivos que genera la expansión del producto manufacturero en el conjunto de la economía al inducir el crecimiento y elevar la productividad en el resto de los sectores económicos. En este sentido, Kaldor ha ejercido gran influencia no sólo en las ideas postkeynesianas, sino que sus estudios empíricos han servido de base para el análisis del crecimiento de regiones y países. A continuación se presentan los más importantes.</w:t>
      </w:r>
    </w:p>
    <w:p>
      <w:pPr>
        <w:pStyle w:val="BodyText"/>
        <w:spacing w:line="360" w:lineRule="auto" w:before="4"/>
        <w:ind w:left="102" w:right="117" w:firstLine="707"/>
        <w:jc w:val="both"/>
      </w:pPr>
      <w:r>
        <w:rPr/>
        <w:t>En cuanto a los estudios a nivel internacional, tenemos a Mora (2003), quien utiliza las leyes de Kaldor para constatar si existen diferencias en el nivel de rendimientos a escala de las provincias españolas, para el periodo 1955-1995. Se lleva a cabo una estimación de  la Ley de Verdoorn y </w:t>
      </w:r>
      <w:r>
        <w:rPr>
          <w:spacing w:val="2"/>
        </w:rPr>
        <w:t>se </w:t>
      </w:r>
      <w:r>
        <w:rPr/>
        <w:t>confirma la hipótesis planteada. El valor de los coeficientes   </w:t>
      </w:r>
      <w:r>
        <w:rPr>
          <w:spacing w:val="2"/>
        </w:rPr>
        <w:t> </w:t>
      </w:r>
      <w:r>
        <w:rPr/>
        <w:t>es de</w:t>
      </w:r>
    </w:p>
    <w:p>
      <w:pPr>
        <w:pStyle w:val="BodyText"/>
        <w:spacing w:line="360" w:lineRule="auto" w:before="4"/>
        <w:ind w:left="102" w:right="114"/>
        <w:jc w:val="both"/>
      </w:pPr>
      <w:r>
        <w:rPr/>
        <w:t>0.408 muy cercano a los valores encontrados en la literatura. Pero al incluir las variables que afectan al progreso técnico se evidencia que los resultados del coeficiente en la primera especificación estarían sesgados al alza, por lo que se utiliza la estimación del modelo de regresión tipo umbral. El procedimiento permitirá la verificación formal del número de clubes de crecimiento en la estimación de tipo </w:t>
      </w:r>
      <w:r>
        <w:rPr>
          <w:i/>
        </w:rPr>
        <w:t>cross-section </w:t>
      </w:r>
      <w:r>
        <w:rPr/>
        <w:t>planteada habitualmente en la literatura de convergencia. Los resultados confirman la idea de </w:t>
      </w:r>
      <w:r>
        <w:rPr>
          <w:spacing w:val="2"/>
        </w:rPr>
        <w:t>que </w:t>
      </w:r>
      <w:r>
        <w:rPr/>
        <w:t>las regiones españolas no pueden considerarse de forma homogénea a la hora de estimar el nivel de rendimientos a escala.</w:t>
      </w:r>
    </w:p>
    <w:p>
      <w:pPr>
        <w:spacing w:after="0" w:line="360" w:lineRule="auto"/>
        <w:jc w:val="both"/>
        <w:sectPr>
          <w:type w:val="continuous"/>
          <w:pgSz w:w="12240" w:h="15840"/>
          <w:pgMar w:top="500" w:bottom="1200" w:left="1600" w:right="1580"/>
        </w:sectPr>
      </w:pPr>
    </w:p>
    <w:p>
      <w:pPr>
        <w:pStyle w:val="BodyText"/>
        <w:spacing w:line="357" w:lineRule="auto" w:before="50"/>
        <w:ind w:left="102" w:right="117" w:firstLine="707"/>
        <w:jc w:val="both"/>
      </w:pPr>
      <w:r>
        <w:rPr/>
        <w:t>Millin y Tennassie (2005) examinan las características del crecimiento de Sudáfrica. Los resultados empíricos soportan las predicciones de Kaldor y son comparables con estudios similares hechos en los Estados Unidos, Grecia, Turquía y China. El coeficiente de Kaldor arroja un valor de 0.614 </w:t>
      </w:r>
      <w:r>
        <w:rPr>
          <w:i/>
        </w:rPr>
        <w:t>y</w:t>
      </w:r>
      <w:r>
        <w:rPr>
          <w:i/>
          <w:position w:val="-2"/>
          <w:sz w:val="16"/>
        </w:rPr>
        <w:t>m</w:t>
      </w:r>
      <w:r>
        <w:rPr>
          <w:i/>
        </w:rPr>
        <w:t>, </w:t>
      </w:r>
      <w:r>
        <w:rPr/>
        <w:t>que es significativamente menor que la unidad. Esto implica que es más grande el exceso de la tasa de crecimiento de la producción manufacturera, sobre la tasa de crecimiento de toda la economía. La primera ecuación de Kaldor puede ser espúrea, porque muestra una fuerte relación entre las dos variables, </w:t>
      </w:r>
      <w:r>
        <w:rPr>
          <w:i/>
        </w:rPr>
        <w:t>y </w:t>
      </w:r>
      <w:r>
        <w:rPr/>
        <w:t>y </w:t>
      </w:r>
      <w:r>
        <w:rPr>
          <w:i/>
        </w:rPr>
        <w:t>y</w:t>
      </w:r>
      <w:r>
        <w:rPr>
          <w:i/>
          <w:position w:val="-2"/>
          <w:sz w:val="16"/>
        </w:rPr>
        <w:t>m</w:t>
      </w:r>
      <w:r>
        <w:rPr/>
        <w:t>, relacionadas por definición. Para la Segunda Ley, los coeficientes estimados de ambas ecuaciones son estadísticamente significativos. Los resultados de las dos ecuaciones muestran que la productividad en manufacturas ha aumentado en Sudáfrica.</w:t>
      </w:r>
    </w:p>
    <w:p>
      <w:pPr>
        <w:pStyle w:val="BodyText"/>
        <w:spacing w:line="360" w:lineRule="auto" w:before="6"/>
        <w:ind w:left="102" w:right="117" w:firstLine="707"/>
        <w:jc w:val="both"/>
      </w:pPr>
      <w:r>
        <w:rPr/>
        <w:t>Como podemos apreciar, la discusión sobre las leyes de Kaldor advierte hallazgos interesantes de acuerdo al contexto y zona geográfica. Stilianos y Tsagdis (2006), prueban varias especificaciones espaciales y convencionales de la Ley de Verdoorn, para las regiones de Grecia, a través de modelos de panel. Los resultados indican que los modelos espaciales explican mejor la ley que los modelos convencionales, y que en el largo plazo el proceso de causación acumulativa puede ir más lento a favor de las regiones menos avanzadas. Lo que es más, los modelos con error espacial sugieren que la geografía es un factor crucial que determina el proceso de crecimiento regional.</w:t>
      </w:r>
    </w:p>
    <w:p>
      <w:pPr>
        <w:pStyle w:val="BodyText"/>
        <w:spacing w:line="360" w:lineRule="auto" w:before="4"/>
        <w:ind w:left="102" w:right="116" w:firstLine="707"/>
        <w:jc w:val="both"/>
      </w:pPr>
      <w:r>
        <w:rPr/>
        <w:t>A su vez, Moreno (2008), para el caso de la industria colombiana (1981-2004), realiza una investigación donde presenta de manera rigurosa los fundamentos conceptuales y teóricos sobre las leyes del desarrollo económico de Kaldor. Establece que la estimación de la Segunda Ley de Kaldor puede ser espuria, porque a nivel de países, puede que no se encuentre una relación entre el crecimiento de la productividad y el crecimiento industrial. Se sugiere que los resultados obtenidos serían más significativos, si en las regresiones se utilizaran datos de regiones o estados.</w:t>
      </w:r>
    </w:p>
    <w:p>
      <w:pPr>
        <w:pStyle w:val="BodyText"/>
        <w:spacing w:line="360" w:lineRule="auto" w:before="7"/>
        <w:ind w:left="102" w:right="117" w:firstLine="707"/>
        <w:jc w:val="both"/>
      </w:pPr>
      <w:r>
        <w:rPr/>
        <w:t>Finalmente, Safadr y Wasif (2011), utilizan las leyes de Kaldor para explicar el desarrollo de la industria en Paquistán (1964-2008) y encuentran que existe soporte sustancial de la Primera Ley. La agricultura y servicios no se han probado como motor del crecimiento, primeramente porque el hecho de que están relacionadas con actividades de bajos rendimientos y segundo, porque no se posee encadenamientos hacia atrás y hacia adelante como en los sectores manufactureros.</w:t>
      </w:r>
    </w:p>
    <w:p>
      <w:pPr>
        <w:spacing w:after="0" w:line="360" w:lineRule="auto"/>
        <w:jc w:val="both"/>
        <w:sectPr>
          <w:pgSz w:w="12240" w:h="15840"/>
          <w:pgMar w:header="0" w:footer="1003" w:top="1360" w:bottom="1200" w:left="1600" w:right="1580"/>
        </w:sectPr>
      </w:pPr>
    </w:p>
    <w:p>
      <w:pPr>
        <w:pStyle w:val="BodyText"/>
        <w:spacing w:line="360" w:lineRule="auto" w:before="50"/>
        <w:ind w:left="102" w:right="120" w:firstLine="707"/>
        <w:jc w:val="both"/>
      </w:pPr>
      <w:r>
        <w:rPr/>
        <w:t>Por su parte, McCombie y de Ridder (1983), establecen como punto de partida que el uso de estados y no de países, puede ayudar a resolver algunas de las paradojas encontradas en otros estudios. Así, al aplicar la Primera y Segunda Ley de Kaldor a los datos estatales por sectores en Estados Unidos durante la postguerra; llegaron a los siguientes resultados: la estimación de la Primera Ley provee estimaciones que son bastante similares a las obtenidas por Kaldor, sin embargo, se hace una especificación alternativa, la cual incluye al capital y una variable regional, ésta última provee una pobre relación. Para  la Segunda Ley se confirman los resultados</w:t>
      </w:r>
      <w:r>
        <w:rPr>
          <w:spacing w:val="-11"/>
        </w:rPr>
        <w:t> </w:t>
      </w:r>
      <w:r>
        <w:rPr/>
        <w:t>internacionales.</w:t>
      </w:r>
    </w:p>
    <w:p>
      <w:pPr>
        <w:pStyle w:val="BodyText"/>
        <w:spacing w:line="360" w:lineRule="auto" w:before="4"/>
        <w:ind w:left="102" w:right="121" w:firstLine="707"/>
        <w:jc w:val="both"/>
      </w:pPr>
      <w:r>
        <w:rPr/>
        <w:t>De igual forma Bairam (1987) formula cambios en la segunda ecuación original de Kaldor y logra plantear una alternativa: la Ley Verdoorn es derivada de una función de producción Cobb Douglas, donde la tasa de crecimiento del stock de capital ha  sido incluida como variable explicativa, con resultados que muestran economías de escala crecientes.</w:t>
      </w:r>
    </w:p>
    <w:p>
      <w:pPr>
        <w:pStyle w:val="BodyText"/>
        <w:spacing w:line="360" w:lineRule="auto" w:before="6"/>
        <w:ind w:left="102" w:right="116" w:firstLine="707"/>
        <w:jc w:val="both"/>
      </w:pPr>
      <w:r>
        <w:rPr/>
        <w:t>A su vez, Bernart (1996) también hace un análisis de los estados de Estados Unidos, para el periodo (1977-1990) contrasta las tres leyes de Kaldor, incluyendo un análisis espacial. En sus resultados obtenidos, valida la Primera y Segunda Ley de Kaldor, mientras que sólo provee un soporte marginal de la Tercera Ley de Kaldor. Su análisis indica que las leyes no aplican uniformemente a través de todo el país, </w:t>
      </w:r>
      <w:r>
        <w:rPr>
          <w:spacing w:val="-3"/>
        </w:rPr>
        <w:t>ya </w:t>
      </w:r>
      <w:r>
        <w:rPr/>
        <w:t>que resultados nacionales dan un engañoso sentido de fuerza de la relación entre el crecimiento manufacturero y el crecimiento del resto de la economía. Aunque el crecimiento manufacturero es claramente un factor importante en el crecimiento económico, es también claro que hay una variabilidad espacial sustancial en la</w:t>
      </w:r>
      <w:r>
        <w:rPr>
          <w:spacing w:val="-11"/>
        </w:rPr>
        <w:t> </w:t>
      </w:r>
      <w:r>
        <w:rPr/>
        <w:t>relación.</w:t>
      </w:r>
    </w:p>
    <w:p>
      <w:pPr>
        <w:pStyle w:val="BodyText"/>
        <w:spacing w:line="360" w:lineRule="auto" w:before="4"/>
        <w:ind w:left="102" w:right="115" w:firstLine="707"/>
        <w:jc w:val="both"/>
      </w:pPr>
      <w:r>
        <w:rPr/>
        <w:t>Si bien estos últimos tres estudios se realizaron para Estados Unidos, en México Ocegueda (2003) aplicó las tres leyes de Kaldor en datos sectoriales a nivel estatal (1980- 2000) para explicar el proceso de crecimiento divergente de los estados, mediante una metodología alternativa a los ejercicios de convergencia, que consiste en evaluar la validez empírica de las leyes de Kaldor. Su investigación es importante porque establece la relevancia de la especialización económica en el desarrollo regional, evaluando el efecto que en este proceso han tenido los sectores industriales y los que no lo son. Su aportación  es fundamental, en virtud de que encontró evidencia contradictoria. Los  resultados muestran que no hay soporte econométrico sólido en torno a la Primera Ley, por lo que  </w:t>
      </w:r>
      <w:r>
        <w:rPr>
          <w:spacing w:val="24"/>
        </w:rPr>
        <w:t> </w:t>
      </w:r>
      <w:r>
        <w:rPr/>
        <w:t>no</w:t>
      </w:r>
    </w:p>
    <w:p>
      <w:pPr>
        <w:spacing w:after="0" w:line="360" w:lineRule="auto"/>
        <w:jc w:val="both"/>
        <w:sectPr>
          <w:pgSz w:w="12240" w:h="15840"/>
          <w:pgMar w:header="0" w:footer="1003" w:top="1360" w:bottom="1200" w:left="1600" w:right="1580"/>
        </w:sectPr>
      </w:pPr>
    </w:p>
    <w:p>
      <w:pPr>
        <w:pStyle w:val="BodyText"/>
        <w:spacing w:line="362" w:lineRule="auto" w:before="50"/>
        <w:ind w:left="102" w:right="121"/>
      </w:pPr>
      <w:r>
        <w:rPr/>
        <w:t>se puede afirmar que el sector manufacturero se haya desempeñado como un motor del crecimiento en el periodo analizado.</w:t>
      </w:r>
    </w:p>
    <w:p>
      <w:pPr>
        <w:pStyle w:val="BodyText"/>
        <w:spacing w:line="360" w:lineRule="auto" w:before="1"/>
        <w:ind w:left="102" w:right="116" w:firstLine="707"/>
        <w:jc w:val="both"/>
      </w:pPr>
      <w:r>
        <w:rPr/>
        <w:t>Asimismo, se estimó la ecuación </w:t>
      </w:r>
      <w:r>
        <w:rPr>
          <w:b/>
          <w:i/>
        </w:rPr>
        <w:t>l</w:t>
      </w:r>
      <w:r>
        <w:rPr>
          <w:b/>
          <w:position w:val="-2"/>
          <w:sz w:val="16"/>
        </w:rPr>
        <w:t>m </w:t>
      </w:r>
      <w:r>
        <w:rPr>
          <w:b/>
        </w:rPr>
        <w:t>= c</w:t>
      </w:r>
      <w:r>
        <w:rPr>
          <w:b/>
          <w:position w:val="-2"/>
          <w:sz w:val="16"/>
        </w:rPr>
        <w:t>0 </w:t>
      </w:r>
      <w:r>
        <w:rPr>
          <w:b/>
        </w:rPr>
        <w:t>+ c</w:t>
      </w:r>
      <w:r>
        <w:rPr>
          <w:b/>
          <w:position w:val="-2"/>
          <w:sz w:val="16"/>
        </w:rPr>
        <w:t>1</w:t>
      </w:r>
      <w:r>
        <w:rPr>
          <w:b/>
          <w:i/>
        </w:rPr>
        <w:t>q</w:t>
      </w:r>
      <w:r>
        <w:rPr>
          <w:b/>
          <w:position w:val="-2"/>
          <w:sz w:val="16"/>
        </w:rPr>
        <w:t>m, </w:t>
      </w:r>
      <w:r>
        <w:rPr/>
        <w:t>donde </w:t>
      </w:r>
      <w:r>
        <w:rPr>
          <w:i/>
        </w:rPr>
        <w:t>lm </w:t>
      </w:r>
      <w:r>
        <w:rPr/>
        <w:t>es el empleo manufacturero, para evitar la correlación espúrea entre la productividad y el producto de la ecuación original de la Segunda Ley, encontrando que el coeficiente </w:t>
      </w:r>
      <w:r>
        <w:rPr>
          <w:i/>
        </w:rPr>
        <w:t>q </w:t>
      </w:r>
      <w:r>
        <w:rPr/>
        <w:t>es estadísticamente significativo con valores que fluctúan entre 0.26 y 0.36 lo que valida la hipótesis de rendimientos crecientes a escala. De igual forma, también estima la Segunda Ley con las contribuciones del capital y del trabajo al valor agregado de la industria, los resultados indican que la inclusión del capital da soporte a la hipótesis de que el sector manufacturero es más susceptible a rendimientos crecientes a escala. Se demuestra que actividades no primarias, en especial las manufacturas y en menor medida las terciarias, suelen operar con rendimientos crecientes a escala de carácter dinámico, lo que valida la Segunda Ley.</w:t>
      </w:r>
    </w:p>
    <w:p>
      <w:pPr>
        <w:pStyle w:val="BodyText"/>
        <w:spacing w:line="360" w:lineRule="auto" w:before="4"/>
        <w:ind w:left="102" w:right="115" w:firstLine="707"/>
        <w:jc w:val="both"/>
      </w:pPr>
      <w:r>
        <w:rPr/>
        <w:t>Calderón y Martínez (2005), también toman el análisis de caso sobre México, seleccionando datos de la industria manufacturera regional para el periodo 1983-1995. Su aportación se basa en la propuesta de especificación alternativa llamándola condicionada. Los resultados de su investigación fueron los siguientes:</w:t>
      </w:r>
    </w:p>
    <w:p>
      <w:pPr>
        <w:pStyle w:val="ListParagraph"/>
        <w:numPr>
          <w:ilvl w:val="0"/>
          <w:numId w:val="20"/>
        </w:numPr>
        <w:tabs>
          <w:tab w:pos="822" w:val="left" w:leader="none"/>
        </w:tabs>
        <w:spacing w:line="360" w:lineRule="auto" w:before="4" w:after="0"/>
        <w:ind w:left="822" w:right="119" w:hanging="360"/>
        <w:jc w:val="both"/>
        <w:rPr>
          <w:sz w:val="24"/>
        </w:rPr>
      </w:pPr>
      <w:r>
        <w:rPr>
          <w:sz w:val="24"/>
        </w:rPr>
        <w:t>Ley de Verdoorn simple: muestra la existencia de coeficientes de Verdoorn significativos en los modelos estimados, lo que indica la presencia de rendimientos crecientes a escala en la industria manufacturera regional en México, sobre todo en la era del TLCAN. El hecho de que el coeficiente haya sido más alto (0.53), en este periodo implica que la apertura comercial y la inversión extranjera directa beneficiaron la industria manufacturera regional</w:t>
      </w:r>
      <w:r>
        <w:rPr>
          <w:spacing w:val="-11"/>
          <w:sz w:val="24"/>
        </w:rPr>
        <w:t> </w:t>
      </w:r>
      <w:r>
        <w:rPr>
          <w:sz w:val="24"/>
        </w:rPr>
        <w:t>mexicana.</w:t>
      </w:r>
    </w:p>
    <w:p>
      <w:pPr>
        <w:pStyle w:val="ListParagraph"/>
        <w:numPr>
          <w:ilvl w:val="0"/>
          <w:numId w:val="20"/>
        </w:numPr>
        <w:tabs>
          <w:tab w:pos="822" w:val="left" w:leader="none"/>
        </w:tabs>
        <w:spacing w:line="360" w:lineRule="auto" w:before="4" w:after="0"/>
        <w:ind w:left="822" w:right="118" w:hanging="360"/>
        <w:jc w:val="both"/>
        <w:rPr>
          <w:sz w:val="24"/>
        </w:rPr>
      </w:pPr>
      <w:r>
        <w:rPr>
          <w:sz w:val="24"/>
        </w:rPr>
        <w:t>Ley de Verdoorn condicionada: los salarios tuvieron un efecto positivo en el crecimiento de la productividad regional, lo que contradice la parte teórica. La especialización regional no tiene efectos relevantes sobre el crecimiento de la productividad</w:t>
      </w:r>
      <w:r>
        <w:rPr>
          <w:spacing w:val="-4"/>
          <w:sz w:val="24"/>
        </w:rPr>
        <w:t> </w:t>
      </w:r>
      <w:r>
        <w:rPr>
          <w:sz w:val="24"/>
        </w:rPr>
        <w:t>industrial.</w:t>
      </w:r>
    </w:p>
    <w:p>
      <w:pPr>
        <w:pStyle w:val="BodyText"/>
        <w:spacing w:line="360" w:lineRule="auto" w:before="4"/>
        <w:ind w:left="102" w:right="121" w:firstLine="707"/>
        <w:jc w:val="both"/>
      </w:pPr>
      <w:r>
        <w:rPr/>
        <w:t>Igualmente, Sánchez (2011) toma a las 32 entidades federativas de México, para el periodo (1993-2010), el objetivo de su investigación consiste en evaluar empíricamente la validez del enfoque kaldoriano del crecimiento económico y con ello explicar las causas de la actual fase de estancamiento económico en México. Para ello, se estimaron las tres leyes, la validez de la Primera Ley de Kaldor para la economía mexicana queda confirmada al</w:t>
      </w:r>
    </w:p>
    <w:p>
      <w:pPr>
        <w:spacing w:after="0" w:line="360" w:lineRule="auto"/>
        <w:jc w:val="both"/>
        <w:sectPr>
          <w:pgSz w:w="12240" w:h="15840"/>
          <w:pgMar w:header="0" w:footer="1003" w:top="1360" w:bottom="1200" w:left="1600" w:right="1580"/>
        </w:sectPr>
      </w:pPr>
    </w:p>
    <w:p>
      <w:pPr>
        <w:pStyle w:val="BodyText"/>
        <w:spacing w:line="360" w:lineRule="auto" w:before="50"/>
        <w:ind w:left="102" w:right="120"/>
        <w:jc w:val="both"/>
      </w:pPr>
      <w:r>
        <w:rPr/>
        <w:t>realizar la prueba de causalidad de Granger. Sus resultados confirman la existencia de una relación positiva entre la tasa de crecimiento del producto manufacturero y la tasa del producto total. Con respecto a la Segunda Ley, se confirma la existencia de rendimientos crecientes en las manufacturas regionales mexicanas, incluyendo la variable del capital, la cual no resultó significativa.</w:t>
      </w:r>
    </w:p>
    <w:p>
      <w:pPr>
        <w:pStyle w:val="BodyText"/>
        <w:spacing w:line="360" w:lineRule="auto" w:before="6"/>
        <w:ind w:left="102" w:right="117" w:firstLine="707"/>
        <w:jc w:val="both"/>
      </w:pPr>
      <w:r>
        <w:rPr/>
        <w:t>Con resultados que contradicen la Primera Ley de Kaldor, está el estudio de Loría (2009) para el caso de México, este autor realizar una comparación de la producción de México y Chile para el periodo 1970-2005. Se estiman dos funciones de producción, de las que se derivan la productividad total de los factores al estilo de Solow. La primera es una función de producción aumentada por el tipo de cambio real. La segunda estima el producto en función del producto manufacturero, de servicios y una variable </w:t>
      </w:r>
      <w:r>
        <w:rPr>
          <w:i/>
        </w:rPr>
        <w:t>dummy</w:t>
      </w:r>
      <w:r>
        <w:rPr/>
        <w:t>. Concluye que  la economía mexicana desde 1982 entró en una fase de lento crecimiento, explicado por la caída secular de la productividad multifactorial asociado con una fuerte terciarización, improductiva. El deterioro del marco institucional global parece también estar altamente asociado a este desempeño, sobre todo al observar que ha caído abruptamente la eficiencia de la</w:t>
      </w:r>
      <w:r>
        <w:rPr>
          <w:spacing w:val="-2"/>
        </w:rPr>
        <w:t> </w:t>
      </w:r>
      <w:r>
        <w:rPr/>
        <w:t>inversión.</w:t>
      </w:r>
    </w:p>
    <w:p>
      <w:pPr>
        <w:pStyle w:val="BodyText"/>
        <w:spacing w:line="360" w:lineRule="auto" w:before="4"/>
        <w:ind w:left="102" w:right="119" w:firstLine="707"/>
        <w:jc w:val="both"/>
      </w:pPr>
      <w:r>
        <w:rPr/>
        <w:t>Como puede apreciarse no existen estudios sobre la validación de las leyes de Kaldor en el Estado de México, siendo que es la segunda entidad más importante en cuanto a producción manufacturera se refiere a nivel nacional; y mucho menos existen estudios a nivel regional. En este sentido, es importante hacer un intento por analizar la aplicación de estas leyes en las regiones de estudio con la información disponible a nivel</w:t>
      </w:r>
      <w:r>
        <w:rPr>
          <w:spacing w:val="-13"/>
        </w:rPr>
        <w:t> </w:t>
      </w:r>
      <w:r>
        <w:rPr/>
        <w:t>municipal.</w:t>
      </w:r>
    </w:p>
    <w:p>
      <w:pPr>
        <w:pStyle w:val="BodyText"/>
      </w:pPr>
    </w:p>
    <w:p>
      <w:pPr>
        <w:pStyle w:val="Heading2"/>
        <w:numPr>
          <w:ilvl w:val="1"/>
          <w:numId w:val="21"/>
        </w:numPr>
        <w:tabs>
          <w:tab w:pos="583" w:val="left" w:leader="none"/>
        </w:tabs>
        <w:spacing w:line="240" w:lineRule="auto" w:before="148" w:after="0"/>
        <w:ind w:left="582" w:right="0" w:hanging="480"/>
        <w:jc w:val="both"/>
      </w:pPr>
      <w:r>
        <w:rPr/>
        <w:t>Metodología e información</w:t>
      </w:r>
      <w:r>
        <w:rPr>
          <w:spacing w:val="-10"/>
        </w:rPr>
        <w:t> </w:t>
      </w:r>
      <w:r>
        <w:rPr/>
        <w:t>estadística</w:t>
      </w:r>
    </w:p>
    <w:p>
      <w:pPr>
        <w:pStyle w:val="BodyText"/>
        <w:spacing w:line="360" w:lineRule="auto" w:before="134"/>
        <w:ind w:left="102" w:right="117"/>
        <w:jc w:val="both"/>
      </w:pPr>
      <w:r>
        <w:rPr/>
        <w:t>Para poder explicar la dinámica del crecimiento de las regiones Toluca-Lerma y Valle de México, en el presente estudio se llevó a cabo un modelo con datos de panel, éstos son conocidos como modelos de heterogeneidad porque sirven para obtener las especificaciones regionales; detectan y resuelven la heterogeneidad no observable de las regiones a la vez que permiten introducir el aspecto dinámico del crecimiento.</w:t>
      </w:r>
    </w:p>
    <w:p>
      <w:pPr>
        <w:spacing w:after="0" w:line="360" w:lineRule="auto"/>
        <w:jc w:val="both"/>
        <w:sectPr>
          <w:pgSz w:w="12240" w:h="15840"/>
          <w:pgMar w:header="0" w:footer="1003" w:top="1360" w:bottom="1200" w:left="1600" w:right="1580"/>
        </w:sectPr>
      </w:pPr>
    </w:p>
    <w:p>
      <w:pPr>
        <w:pStyle w:val="Heading2"/>
        <w:numPr>
          <w:ilvl w:val="2"/>
          <w:numId w:val="21"/>
        </w:numPr>
        <w:tabs>
          <w:tab w:pos="643" w:val="left" w:leader="none"/>
        </w:tabs>
        <w:spacing w:line="240" w:lineRule="auto" w:before="55" w:after="0"/>
        <w:ind w:left="642" w:right="0" w:hanging="540"/>
        <w:jc w:val="both"/>
      </w:pPr>
      <w:r>
        <w:rPr/>
        <w:t>Modelo de</w:t>
      </w:r>
      <w:r>
        <w:rPr>
          <w:spacing w:val="-4"/>
        </w:rPr>
        <w:t> </w:t>
      </w:r>
      <w:r>
        <w:rPr/>
        <w:t>panel</w:t>
      </w:r>
    </w:p>
    <w:p>
      <w:pPr>
        <w:pStyle w:val="BodyText"/>
        <w:spacing w:line="360" w:lineRule="auto" w:before="135"/>
        <w:ind w:left="102" w:right="114"/>
        <w:jc w:val="both"/>
      </w:pPr>
      <w:r>
        <w:rPr/>
        <w:t>De acuerdo con Johnston y DiNardo (1997) los datos utilizados en los modelos de panel son observaciones repetidas de la misma serie de un conjunto de unidades, que cuando se tiene el mismo número de observaciones para cada unidad cruzada. Es así como los modelos de panel se usan por la falta de una adecuada lista de variables independientes para explicar la variable dependiente. Estos modelos también captan la naturaleza de la dinámica transitoria al utilizar información más rica que combina la dimensión temporal y transversal. Así, la aplicación de esta metodología permite analizar dos aspectos cuando se trabaja con datos heterogéneos: i) los efectos individuales específicos y ii) los efectos temporales (Mayorga y Muñoz,</w:t>
      </w:r>
      <w:r>
        <w:rPr>
          <w:spacing w:val="-6"/>
        </w:rPr>
        <w:t> </w:t>
      </w:r>
      <w:r>
        <w:rPr/>
        <w:t>2000).</w:t>
      </w:r>
    </w:p>
    <w:p>
      <w:pPr>
        <w:pStyle w:val="BodyText"/>
        <w:spacing w:line="360" w:lineRule="auto" w:before="4"/>
        <w:ind w:left="102" w:right="118" w:firstLine="707"/>
        <w:jc w:val="both"/>
      </w:pPr>
      <w:r>
        <w:rPr/>
        <w:t>Los efectos individuales específicos son aquellos que afectan de manera desigual a cada uno de los agentes de estudio contenidos en la muestra, son invariables en el tiempo e influyen de manera directa las decisiones que toman dichas unidades. Los efectos temporales serían aquellos que perturban por igual a todas las unidades y pueden asociarse, por ejemplo, a los choques macroeconómicos que afectan por igual a todas las empresas o unidades de estudio. Así, de acuerdo con Wooldridge (2009), para el análisis econométrico no se puede dar por sentado que las observaciones se distribuyan de forma independiente en el tiempo.</w:t>
      </w:r>
    </w:p>
    <w:p>
      <w:pPr>
        <w:pStyle w:val="BodyText"/>
        <w:spacing w:line="360" w:lineRule="auto" w:before="4"/>
        <w:ind w:left="102" w:right="120" w:firstLine="707"/>
        <w:jc w:val="both"/>
      </w:pPr>
      <w:r>
        <w:rPr/>
        <w:t>En esta investigación se optó por esta técnica porque los datos de panel suponen e incorporan en el análisis, el hecho de que los municipios son heterogéneos. Los análisis de series de tiempo y de corte transversal no tratan de controlar esta heterogeneidad, corriendo el riesgo de obtener resultados sesgados.</w:t>
      </w:r>
    </w:p>
    <w:p>
      <w:pPr>
        <w:pStyle w:val="BodyText"/>
        <w:spacing w:line="360" w:lineRule="auto" w:before="4"/>
        <w:ind w:left="102" w:right="118" w:firstLine="707"/>
        <w:jc w:val="both"/>
      </w:pPr>
      <w:r>
        <w:rPr/>
        <w:t>Para recolectar datos de panel, a los cuales se les llama datos longitudinales, se da seguimiento a los mismos individuos, familias, empresas, ciudades, municipios, estados, países o cualquier otra cosa a lo largo del tiempo (Wooldridge, 2009).</w:t>
      </w:r>
    </w:p>
    <w:p>
      <w:pPr>
        <w:pStyle w:val="BodyText"/>
        <w:spacing w:line="360" w:lineRule="auto" w:before="7"/>
        <w:ind w:left="102" w:right="118" w:firstLine="707"/>
        <w:jc w:val="both"/>
      </w:pPr>
      <w:r>
        <w:rPr/>
        <w:t>En este sentido, al combinar muestras aleatorias extraídas de la misma población, pero en distintos puntos del tiempo, se obtienen estimadores más precisos y estadísticos con mayor potencia de prueba (Wooldridge, 2009). A través del Método de Mínimos Cuadrados Ordinarios se generan los mejores estimadores lineales insesgados.</w:t>
      </w:r>
    </w:p>
    <w:p>
      <w:pPr>
        <w:pStyle w:val="BodyText"/>
        <w:spacing w:line="360" w:lineRule="auto" w:before="4"/>
        <w:ind w:left="102" w:right="123" w:firstLine="707"/>
        <w:jc w:val="both"/>
      </w:pPr>
      <w:r>
        <w:rPr/>
        <w:t>Las ventajas de utilizar modelos de panel son las siguientes: Más exactitud en la inferencia de los parámetros del modelo, menos multicolinealidad, gran capacidad para</w:t>
      </w:r>
    </w:p>
    <w:p>
      <w:pPr>
        <w:spacing w:after="0" w:line="360" w:lineRule="auto"/>
        <w:jc w:val="both"/>
        <w:sectPr>
          <w:pgSz w:w="12240" w:h="15840"/>
          <w:pgMar w:header="0" w:footer="1003" w:top="1360" w:bottom="1200" w:left="1600" w:right="1580"/>
        </w:sectPr>
      </w:pPr>
    </w:p>
    <w:p>
      <w:pPr>
        <w:pStyle w:val="BodyText"/>
        <w:spacing w:line="362" w:lineRule="auto" w:before="50"/>
        <w:ind w:left="122" w:right="243"/>
      </w:pPr>
      <w:r>
        <w:rPr/>
        <w:t>capturar la complejidad del comportamiento humano y la simplificación de la inferencia estadística (Hsiao, 2006).</w:t>
      </w:r>
    </w:p>
    <w:p>
      <w:pPr>
        <w:pStyle w:val="BodyText"/>
        <w:spacing w:before="1"/>
        <w:ind w:left="830" w:right="243"/>
      </w:pPr>
      <w:r>
        <w:rPr/>
        <w:t>El modelo general de regresión para el análisis de datos de panel es:</w:t>
      </w:r>
    </w:p>
    <w:p>
      <w:pPr>
        <w:tabs>
          <w:tab w:pos="7203" w:val="left" w:leader="none"/>
        </w:tabs>
        <w:spacing w:before="133"/>
        <w:ind w:left="830" w:right="243" w:firstLine="0"/>
        <w:jc w:val="left"/>
        <w:rPr>
          <w:b/>
          <w:sz w:val="24"/>
        </w:rPr>
      </w:pPr>
      <w:r>
        <w:rPr>
          <w:b/>
          <w:i/>
          <w:sz w:val="24"/>
        </w:rPr>
        <w:t>y</w:t>
      </w:r>
      <w:r>
        <w:rPr>
          <w:b/>
          <w:i/>
          <w:position w:val="-2"/>
          <w:sz w:val="16"/>
        </w:rPr>
        <w:t>it </w:t>
      </w:r>
      <w:r>
        <w:rPr>
          <w:b/>
          <w:sz w:val="24"/>
        </w:rPr>
        <w:t>= </w:t>
      </w:r>
      <w:r>
        <w:rPr>
          <w:rFonts w:ascii="Symbol" w:hAnsi="Symbol"/>
          <w:b/>
          <w:i/>
          <w:spacing w:val="2"/>
          <w:sz w:val="25"/>
        </w:rPr>
        <w:t></w:t>
      </w:r>
      <w:r>
        <w:rPr>
          <w:b/>
          <w:spacing w:val="2"/>
          <w:position w:val="-2"/>
          <w:sz w:val="16"/>
        </w:rPr>
        <w:t>0 </w:t>
      </w:r>
      <w:r>
        <w:rPr>
          <w:b/>
          <w:sz w:val="24"/>
        </w:rPr>
        <w:t>+ </w:t>
      </w:r>
      <w:r>
        <w:rPr>
          <w:rFonts w:ascii="Symbol" w:hAnsi="Symbol"/>
          <w:b/>
          <w:i/>
          <w:spacing w:val="2"/>
          <w:sz w:val="25"/>
        </w:rPr>
        <w:t></w:t>
      </w:r>
      <w:r>
        <w:rPr>
          <w:b/>
          <w:i/>
          <w:spacing w:val="2"/>
          <w:position w:val="-2"/>
          <w:sz w:val="16"/>
        </w:rPr>
        <w:t>1 </w:t>
      </w:r>
      <w:r>
        <w:rPr>
          <w:b/>
          <w:sz w:val="24"/>
        </w:rPr>
        <w:t>x</w:t>
      </w:r>
      <w:r>
        <w:rPr>
          <w:b/>
          <w:position w:val="-2"/>
          <w:sz w:val="16"/>
        </w:rPr>
        <w:t>it </w:t>
      </w:r>
      <w:r>
        <w:rPr>
          <w:b/>
          <w:spacing w:val="16"/>
          <w:position w:val="-2"/>
          <w:sz w:val="16"/>
        </w:rPr>
        <w:t> </w:t>
      </w:r>
      <w:r>
        <w:rPr>
          <w:b/>
          <w:sz w:val="24"/>
        </w:rPr>
        <w:t>+</w:t>
      </w:r>
      <w:r>
        <w:rPr>
          <w:b/>
          <w:spacing w:val="-2"/>
          <w:sz w:val="24"/>
        </w:rPr>
        <w:t> </w:t>
      </w:r>
      <w:r>
        <w:rPr>
          <w:b/>
          <w:i/>
          <w:sz w:val="24"/>
        </w:rPr>
        <w:t>v</w:t>
      </w:r>
      <w:r>
        <w:rPr>
          <w:b/>
          <w:position w:val="-2"/>
          <w:sz w:val="16"/>
        </w:rPr>
        <w:t>it</w:t>
        <w:tab/>
      </w:r>
      <w:r>
        <w:rPr>
          <w:b/>
          <w:sz w:val="24"/>
        </w:rPr>
        <w:t>(1)</w:t>
      </w:r>
    </w:p>
    <w:p>
      <w:pPr>
        <w:spacing w:before="131"/>
        <w:ind w:left="830" w:right="243" w:firstLine="0"/>
        <w:jc w:val="left"/>
        <w:rPr>
          <w:i/>
          <w:sz w:val="24"/>
        </w:rPr>
      </w:pPr>
      <w:r>
        <w:rPr>
          <w:i/>
          <w:sz w:val="24"/>
        </w:rPr>
        <w:t>i = 1,….N;   t = 1,…T</w:t>
      </w:r>
    </w:p>
    <w:p>
      <w:pPr>
        <w:pStyle w:val="BodyText"/>
        <w:spacing w:before="137"/>
        <w:ind w:left="830" w:right="243"/>
      </w:pPr>
      <w:r>
        <w:rPr>
          <w:i/>
        </w:rPr>
        <w:t>y </w:t>
      </w:r>
      <w:r>
        <w:rPr/>
        <w:t>= variable dependiente</w:t>
      </w:r>
    </w:p>
    <w:p>
      <w:pPr>
        <w:pStyle w:val="BodyText"/>
        <w:spacing w:before="139"/>
        <w:ind w:left="830" w:right="243"/>
      </w:pPr>
      <w:r>
        <w:rPr>
          <w:i/>
        </w:rPr>
        <w:t>x </w:t>
      </w:r>
      <w:r>
        <w:rPr/>
        <w:t>= variable independiente</w:t>
      </w:r>
    </w:p>
    <w:p>
      <w:pPr>
        <w:pStyle w:val="BodyText"/>
        <w:spacing w:before="136"/>
        <w:ind w:left="830" w:right="243"/>
      </w:pPr>
      <w:r>
        <w:rPr>
          <w:rFonts w:ascii="Symbol" w:hAnsi="Symbol"/>
        </w:rPr>
        <w:t></w:t>
      </w:r>
      <w:r>
        <w:rPr/>
        <w:t>= coeficiente</w:t>
      </w:r>
    </w:p>
    <w:p>
      <w:pPr>
        <w:pStyle w:val="BodyText"/>
        <w:spacing w:before="148"/>
        <w:ind w:left="830" w:right="243"/>
      </w:pPr>
      <w:r>
        <w:rPr>
          <w:i/>
        </w:rPr>
        <w:t>i y t </w:t>
      </w:r>
      <w:r>
        <w:rPr/>
        <w:t>= índices para los individuos (corte transversal) y el tiempo</w:t>
      </w:r>
    </w:p>
    <w:p>
      <w:pPr>
        <w:spacing w:before="137"/>
        <w:ind w:left="830" w:right="243" w:firstLine="0"/>
        <w:jc w:val="left"/>
        <w:rPr>
          <w:sz w:val="24"/>
        </w:rPr>
      </w:pPr>
      <w:r>
        <w:rPr>
          <w:i/>
          <w:sz w:val="24"/>
        </w:rPr>
        <w:t>v</w:t>
      </w:r>
      <w:r>
        <w:rPr>
          <w:i/>
          <w:position w:val="-2"/>
          <w:sz w:val="16"/>
        </w:rPr>
        <w:t>it </w:t>
      </w:r>
      <w:r>
        <w:rPr>
          <w:i/>
          <w:sz w:val="24"/>
        </w:rPr>
        <w:t>= </w:t>
      </w:r>
      <w:r>
        <w:rPr>
          <w:sz w:val="24"/>
        </w:rPr>
        <w:t>error compuesto</w:t>
      </w:r>
    </w:p>
    <w:p>
      <w:pPr>
        <w:pStyle w:val="BodyText"/>
        <w:spacing w:line="348" w:lineRule="auto" w:before="126"/>
        <w:ind w:left="122" w:right="117" w:firstLine="707"/>
        <w:jc w:val="both"/>
      </w:pPr>
      <w:r>
        <w:rPr/>
        <w:t>El error </w:t>
      </w:r>
      <w:r>
        <w:rPr>
          <w:i/>
        </w:rPr>
        <w:t>v</w:t>
      </w:r>
      <w:r>
        <w:rPr>
          <w:position w:val="-2"/>
          <w:sz w:val="16"/>
        </w:rPr>
        <w:t>it </w:t>
      </w:r>
      <w:r>
        <w:rPr/>
        <w:t>se llama error idiosincrático o error variable con el tiempo, debido a que representa factores inobservables que cambian con el tiempo e influyen en </w:t>
      </w:r>
      <w:r>
        <w:rPr>
          <w:i/>
        </w:rPr>
        <w:t>y</w:t>
      </w:r>
      <w:r>
        <w:rPr>
          <w:i/>
          <w:position w:val="-2"/>
          <w:sz w:val="16"/>
        </w:rPr>
        <w:t>it </w:t>
      </w:r>
      <w:r>
        <w:rPr/>
        <w:t>(Wooldridge, 2009). El término de error </w:t>
      </w:r>
      <w:r>
        <w:rPr>
          <w:i/>
        </w:rPr>
        <w:t>v</w:t>
      </w:r>
      <w:r>
        <w:rPr>
          <w:position w:val="-2"/>
          <w:sz w:val="16"/>
        </w:rPr>
        <w:t>it </w:t>
      </w:r>
      <w:r>
        <w:rPr/>
        <w:t>se descompone en:</w:t>
      </w:r>
    </w:p>
    <w:p>
      <w:pPr>
        <w:tabs>
          <w:tab w:pos="7203" w:val="left" w:leader="none"/>
        </w:tabs>
        <w:spacing w:before="3"/>
        <w:ind w:left="830" w:right="243" w:firstLine="0"/>
        <w:jc w:val="left"/>
        <w:rPr>
          <w:b/>
          <w:sz w:val="24"/>
        </w:rPr>
      </w:pPr>
      <w:r>
        <w:rPr>
          <w:b/>
          <w:i/>
          <w:sz w:val="24"/>
        </w:rPr>
        <w:t>v</w:t>
      </w:r>
      <w:r>
        <w:rPr>
          <w:b/>
          <w:position w:val="-2"/>
          <w:sz w:val="16"/>
        </w:rPr>
        <w:t>it </w:t>
      </w:r>
      <w:r>
        <w:rPr>
          <w:b/>
          <w:sz w:val="24"/>
        </w:rPr>
        <w:t>= </w:t>
      </w:r>
      <w:r>
        <w:rPr>
          <w:b/>
          <w:i/>
          <w:sz w:val="24"/>
        </w:rPr>
        <w:t>a</w:t>
      </w:r>
      <w:r>
        <w:rPr>
          <w:b/>
          <w:i/>
          <w:position w:val="-2"/>
          <w:sz w:val="16"/>
        </w:rPr>
        <w:t>i </w:t>
      </w:r>
      <w:r>
        <w:rPr>
          <w:b/>
          <w:i/>
          <w:sz w:val="24"/>
        </w:rPr>
        <w:t>+</w:t>
      </w:r>
      <w:r>
        <w:rPr>
          <w:b/>
          <w:i/>
          <w:spacing w:val="-1"/>
          <w:sz w:val="24"/>
        </w:rPr>
        <w:t> </w:t>
      </w:r>
      <w:r>
        <w:rPr>
          <w:b/>
          <w:i/>
          <w:sz w:val="24"/>
        </w:rPr>
        <w:t>u</w:t>
      </w:r>
      <w:r>
        <w:rPr>
          <w:b/>
          <w:position w:val="-2"/>
          <w:sz w:val="16"/>
        </w:rPr>
        <w:t>it</w:t>
        <w:tab/>
      </w:r>
      <w:r>
        <w:rPr>
          <w:b/>
          <w:sz w:val="24"/>
        </w:rPr>
        <w:t>(2)</w:t>
      </w:r>
    </w:p>
    <w:p>
      <w:pPr>
        <w:spacing w:before="121"/>
        <w:ind w:left="830" w:right="243" w:firstLine="0"/>
        <w:jc w:val="left"/>
        <w:rPr>
          <w:sz w:val="24"/>
        </w:rPr>
      </w:pPr>
      <w:r>
        <w:rPr>
          <w:i/>
          <w:sz w:val="24"/>
        </w:rPr>
        <w:t>a</w:t>
      </w:r>
      <w:r>
        <w:rPr>
          <w:i/>
          <w:position w:val="-2"/>
          <w:sz w:val="16"/>
        </w:rPr>
        <w:t>i </w:t>
      </w:r>
      <w:r>
        <w:rPr>
          <w:i/>
          <w:sz w:val="24"/>
        </w:rPr>
        <w:t>= </w:t>
      </w:r>
      <w:r>
        <w:rPr>
          <w:sz w:val="24"/>
        </w:rPr>
        <w:t>efecto inobservable</w:t>
      </w:r>
    </w:p>
    <w:p>
      <w:pPr>
        <w:pStyle w:val="BodyText"/>
        <w:spacing w:before="124"/>
        <w:ind w:left="830" w:right="243"/>
      </w:pPr>
      <w:r>
        <w:rPr>
          <w:i/>
        </w:rPr>
        <w:t>u</w:t>
      </w:r>
      <w:r>
        <w:rPr>
          <w:position w:val="-2"/>
          <w:sz w:val="16"/>
        </w:rPr>
        <w:t>it </w:t>
      </w:r>
      <w:r>
        <w:rPr/>
        <w:t>= error de variación temporal</w:t>
      </w:r>
    </w:p>
    <w:p>
      <w:pPr>
        <w:pStyle w:val="BodyText"/>
        <w:spacing w:line="343" w:lineRule="auto" w:before="126"/>
        <w:ind w:left="122" w:right="114" w:firstLine="707"/>
        <w:jc w:val="both"/>
      </w:pPr>
      <w:r>
        <w:rPr/>
        <w:pict>
          <v:shape style="position:absolute;margin-left:416.619995pt;margin-top:54.013538pt;width:2.7pt;height:8.0500pt;mso-position-horizontal-relative:page;mso-position-vertical-relative:paragraph;z-index:-463816" type="#_x0000_t202" filled="false" stroked="false">
            <v:textbox inset="0,0,0,0">
              <w:txbxContent>
                <w:p>
                  <w:pPr>
                    <w:spacing w:line="161" w:lineRule="exact" w:before="0"/>
                    <w:ind w:left="0" w:right="0" w:firstLine="0"/>
                    <w:jc w:val="left"/>
                    <w:rPr>
                      <w:i/>
                      <w:sz w:val="16"/>
                    </w:rPr>
                  </w:pPr>
                  <w:r>
                    <w:rPr>
                      <w:i/>
                      <w:w w:val="100"/>
                      <w:sz w:val="16"/>
                    </w:rPr>
                    <w:t>¸</w:t>
                  </w:r>
                </w:p>
              </w:txbxContent>
            </v:textbox>
            <w10:wrap type="none"/>
          </v:shape>
        </w:pict>
      </w:r>
      <w:r>
        <w:rPr/>
        <w:t>Por su parte, se incluye de manera explícita, un intercepto de modo que se puede suponer que el efecto inobservable, </w:t>
      </w:r>
      <w:r>
        <w:rPr>
          <w:i/>
        </w:rPr>
        <w:t>a</w:t>
      </w:r>
      <w:r>
        <w:rPr>
          <w:i/>
          <w:position w:val="-2"/>
          <w:sz w:val="16"/>
        </w:rPr>
        <w:t>i</w:t>
      </w:r>
      <w:r>
        <w:rPr>
          <w:i/>
        </w:rPr>
        <w:t>, </w:t>
      </w:r>
      <w:r>
        <w:rPr/>
        <w:t>tiene media cero. La variable </w:t>
      </w:r>
      <w:r>
        <w:rPr>
          <w:i/>
        </w:rPr>
        <w:t>a</w:t>
      </w:r>
      <w:r>
        <w:rPr>
          <w:i/>
          <w:position w:val="-2"/>
          <w:sz w:val="16"/>
        </w:rPr>
        <w:t>i </w:t>
      </w:r>
      <w:r>
        <w:rPr/>
        <w:t>captura todos los factores inobservables constantes en el tiempo que influyen en </w:t>
      </w:r>
      <w:r>
        <w:rPr>
          <w:i/>
        </w:rPr>
        <w:t>y</w:t>
      </w:r>
      <w:r>
        <w:rPr>
          <w:i/>
          <w:position w:val="-2"/>
          <w:sz w:val="16"/>
        </w:rPr>
        <w:t>it</w:t>
      </w:r>
      <w:r>
        <w:rPr>
          <w:position w:val="11"/>
          <w:sz w:val="16"/>
        </w:rPr>
        <w:t>78 </w:t>
      </w:r>
      <w:r>
        <w:rPr/>
        <w:t>también se le conoce como efecto inobservable. La razón principal para recopilar datos de panel es permitir   que</w:t>
      </w:r>
    </w:p>
    <w:p>
      <w:pPr>
        <w:pStyle w:val="BodyText"/>
        <w:spacing w:before="25"/>
        <w:ind w:left="122" w:right="243"/>
      </w:pPr>
      <w:r>
        <w:rPr/>
        <w:t>el efecto inobservable, </w:t>
      </w:r>
      <w:r>
        <w:rPr>
          <w:i/>
        </w:rPr>
        <w:t>a</w:t>
      </w:r>
      <w:r>
        <w:rPr>
          <w:i/>
          <w:position w:val="-2"/>
          <w:sz w:val="16"/>
        </w:rPr>
        <w:t>i</w:t>
      </w:r>
      <w:r>
        <w:rPr/>
        <w:t>, se correlacione con las variables explicativas.</w:t>
      </w:r>
    </w:p>
    <w:p>
      <w:pPr>
        <w:pStyle w:val="BodyText"/>
        <w:spacing w:line="355" w:lineRule="auto" w:before="124"/>
        <w:ind w:left="122" w:right="117" w:firstLine="707"/>
        <w:jc w:val="both"/>
      </w:pPr>
      <w:r>
        <w:rPr/>
        <w:t>El modelo de la ecuación 1 se vuelve un modelo de efectos aleatorios cuando se da por sentado que el efecto inobservable </w:t>
      </w:r>
      <w:r>
        <w:rPr>
          <w:i/>
        </w:rPr>
        <w:t>a</w:t>
      </w:r>
      <w:r>
        <w:rPr>
          <w:i/>
          <w:position w:val="-2"/>
          <w:sz w:val="16"/>
        </w:rPr>
        <w:t>i</w:t>
      </w:r>
      <w:r>
        <w:rPr/>
        <w:t>, no se correlaciona con ninguna variable explicativa en todos los periodos:</w:t>
      </w:r>
    </w:p>
    <w:p>
      <w:pPr>
        <w:pStyle w:val="BodyText"/>
        <w:tabs>
          <w:tab w:pos="7203" w:val="left" w:leader="none"/>
        </w:tabs>
        <w:spacing w:before="11"/>
        <w:ind w:left="890" w:right="243"/>
        <w:rPr>
          <w:b/>
        </w:rPr>
      </w:pPr>
      <w:r>
        <w:rPr/>
        <w:t>Cov (x</w:t>
      </w:r>
      <w:r>
        <w:rPr>
          <w:position w:val="-2"/>
          <w:sz w:val="16"/>
        </w:rPr>
        <w:t>itj</w:t>
      </w:r>
      <w:r>
        <w:rPr/>
        <w:t>, </w:t>
      </w:r>
      <w:r>
        <w:rPr>
          <w:i/>
        </w:rPr>
        <w:t>a</w:t>
      </w:r>
      <w:r>
        <w:rPr>
          <w:i/>
          <w:position w:val="-2"/>
          <w:sz w:val="16"/>
        </w:rPr>
        <w:t>i</w:t>
      </w:r>
      <w:r>
        <w:rPr/>
        <w:t>) = 0, t = 1, 2, …. T; j = 1, 2,</w:t>
      </w:r>
      <w:r>
        <w:rPr>
          <w:spacing w:val="-6"/>
        </w:rPr>
        <w:t> </w:t>
      </w:r>
      <w:r>
        <w:rPr/>
        <w:t>….</w:t>
      </w:r>
      <w:r>
        <w:rPr>
          <w:spacing w:val="-1"/>
        </w:rPr>
        <w:t> </w:t>
      </w:r>
      <w:r>
        <w:rPr/>
        <w:t>k</w:t>
        <w:tab/>
      </w:r>
      <w:r>
        <w:rPr>
          <w:b/>
        </w:rPr>
        <w:t>(3)</w:t>
      </w:r>
    </w:p>
    <w:p>
      <w:pPr>
        <w:pStyle w:val="BodyText"/>
        <w:rPr>
          <w:b/>
          <w:sz w:val="26"/>
        </w:rPr>
      </w:pPr>
    </w:p>
    <w:p>
      <w:pPr>
        <w:pStyle w:val="BodyText"/>
        <w:spacing w:before="4"/>
        <w:rPr>
          <w:b/>
          <w:sz w:val="21"/>
        </w:rPr>
      </w:pPr>
    </w:p>
    <w:p>
      <w:pPr>
        <w:pStyle w:val="Heading2"/>
        <w:numPr>
          <w:ilvl w:val="2"/>
          <w:numId w:val="21"/>
        </w:numPr>
        <w:tabs>
          <w:tab w:pos="662" w:val="left" w:leader="none"/>
        </w:tabs>
        <w:spacing w:line="240" w:lineRule="auto" w:before="0" w:after="0"/>
        <w:ind w:left="662" w:right="0" w:hanging="540"/>
        <w:jc w:val="left"/>
      </w:pPr>
      <w:r>
        <w:rPr/>
        <w:t>¿Efectos aleatorios o</w:t>
      </w:r>
      <w:r>
        <w:rPr>
          <w:spacing w:val="59"/>
        </w:rPr>
        <w:t> </w:t>
      </w:r>
      <w:r>
        <w:rPr/>
        <w:t>fijos?</w:t>
      </w:r>
    </w:p>
    <w:p>
      <w:pPr>
        <w:pStyle w:val="BodyText"/>
        <w:spacing w:line="350" w:lineRule="auto" w:before="132"/>
        <w:ind w:left="122" w:right="118"/>
      </w:pPr>
      <w:r>
        <w:rPr/>
        <w:t>Dado que los efectos fijos (EF) permiten una correlación arbitraria entre </w:t>
      </w:r>
      <w:r>
        <w:rPr>
          <w:i/>
        </w:rPr>
        <w:t>a</w:t>
      </w:r>
      <w:r>
        <w:rPr>
          <w:i/>
          <w:position w:val="-2"/>
          <w:sz w:val="16"/>
        </w:rPr>
        <w:t>i</w:t>
      </w:r>
      <w:r>
        <w:rPr/>
        <w:t>, y las x</w:t>
      </w:r>
      <w:r>
        <w:rPr>
          <w:position w:val="-2"/>
          <w:sz w:val="16"/>
        </w:rPr>
        <w:t>itj</w:t>
      </w:r>
      <w:r>
        <w:rPr/>
        <w:t>, mientras  que  los  efectos  aleatorios  (EA)  no,  se  considera  ampliamente  que  los      EF</w:t>
      </w:r>
    </w:p>
    <w:p>
      <w:pPr>
        <w:pStyle w:val="BodyText"/>
        <w:spacing w:before="5"/>
        <w:rPr>
          <w:sz w:val="10"/>
        </w:rPr>
      </w:pPr>
      <w:r>
        <w:rPr/>
        <w:pict>
          <v:line style="position:absolute;mso-position-horizontal-relative:page;mso-position-vertical-relative:paragraph;z-index:3136;mso-wrap-distance-left:0;mso-wrap-distance-right:0" from="85.103996pt,8.331343pt" to="229.123996pt,8.331343pt" stroked="true" strokeweight=".71997pt" strokecolor="#000000">
            <w10:wrap type="topAndBottom"/>
          </v:line>
        </w:pict>
      </w:r>
    </w:p>
    <w:p>
      <w:pPr>
        <w:spacing w:line="230" w:lineRule="exact" w:before="70"/>
        <w:ind w:left="122" w:right="117" w:firstLine="0"/>
        <w:jc w:val="both"/>
        <w:rPr>
          <w:sz w:val="20"/>
        </w:rPr>
      </w:pPr>
      <w:r>
        <w:rPr>
          <w:position w:val="9"/>
          <w:sz w:val="13"/>
        </w:rPr>
        <w:t>78 </w:t>
      </w:r>
      <w:r>
        <w:rPr>
          <w:sz w:val="20"/>
        </w:rPr>
        <w:t>El hecho de que </w:t>
      </w:r>
      <w:r>
        <w:rPr>
          <w:i/>
          <w:sz w:val="20"/>
        </w:rPr>
        <w:t>a</w:t>
      </w:r>
      <w:r>
        <w:rPr>
          <w:i/>
          <w:position w:val="-2"/>
          <w:sz w:val="13"/>
        </w:rPr>
        <w:t>i </w:t>
      </w:r>
      <w:r>
        <w:rPr>
          <w:sz w:val="20"/>
        </w:rPr>
        <w:t>no tenga subíndice </w:t>
      </w:r>
      <w:r>
        <w:rPr>
          <w:i/>
          <w:sz w:val="20"/>
        </w:rPr>
        <w:t>t </w:t>
      </w:r>
      <w:r>
        <w:rPr>
          <w:sz w:val="20"/>
        </w:rPr>
        <w:t>indica que no varía con el tiempo. Es común, en la práctica  encontrar que </w:t>
      </w:r>
      <w:r>
        <w:rPr>
          <w:i/>
          <w:sz w:val="20"/>
        </w:rPr>
        <w:t>a</w:t>
      </w:r>
      <w:r>
        <w:rPr>
          <w:i/>
          <w:position w:val="-2"/>
          <w:sz w:val="13"/>
        </w:rPr>
        <w:t>i </w:t>
      </w:r>
      <w:r>
        <w:rPr>
          <w:sz w:val="20"/>
        </w:rPr>
        <w:t>es llamado un efecto fijo, lo cual ayuda a recordar que </w:t>
      </w:r>
      <w:r>
        <w:rPr>
          <w:i/>
          <w:sz w:val="20"/>
        </w:rPr>
        <w:t>a</w:t>
      </w:r>
      <w:r>
        <w:rPr>
          <w:i/>
          <w:position w:val="-2"/>
          <w:sz w:val="13"/>
        </w:rPr>
        <w:t>i </w:t>
      </w:r>
      <w:r>
        <w:rPr>
          <w:sz w:val="20"/>
        </w:rPr>
        <w:t>es fijo en el tiempo. En la práctica </w:t>
      </w:r>
      <w:r>
        <w:rPr>
          <w:i/>
          <w:sz w:val="20"/>
        </w:rPr>
        <w:t>a</w:t>
      </w:r>
      <w:r>
        <w:rPr>
          <w:i/>
          <w:position w:val="-2"/>
          <w:sz w:val="13"/>
        </w:rPr>
        <w:t>i </w:t>
      </w:r>
      <w:r>
        <w:rPr>
          <w:sz w:val="20"/>
        </w:rPr>
        <w:t>se</w:t>
      </w:r>
      <w:r>
        <w:rPr>
          <w:spacing w:val="-4"/>
          <w:sz w:val="20"/>
        </w:rPr>
        <w:t> </w:t>
      </w:r>
      <w:r>
        <w:rPr>
          <w:sz w:val="20"/>
        </w:rPr>
        <w:t>refiere</w:t>
      </w:r>
      <w:r>
        <w:rPr>
          <w:spacing w:val="-4"/>
          <w:sz w:val="20"/>
        </w:rPr>
        <w:t> </w:t>
      </w:r>
      <w:r>
        <w:rPr>
          <w:sz w:val="20"/>
        </w:rPr>
        <w:t>a</w:t>
      </w:r>
      <w:r>
        <w:rPr>
          <w:spacing w:val="-4"/>
          <w:sz w:val="20"/>
        </w:rPr>
        <w:t> </w:t>
      </w:r>
      <w:r>
        <w:rPr>
          <w:sz w:val="20"/>
        </w:rPr>
        <w:t>la</w:t>
      </w:r>
      <w:r>
        <w:rPr>
          <w:spacing w:val="-3"/>
          <w:sz w:val="20"/>
        </w:rPr>
        <w:t> </w:t>
      </w:r>
      <w:r>
        <w:rPr>
          <w:sz w:val="20"/>
        </w:rPr>
        <w:t>heterogeneidad</w:t>
      </w:r>
      <w:r>
        <w:rPr>
          <w:spacing w:val="-17"/>
          <w:sz w:val="20"/>
        </w:rPr>
        <w:t> </w:t>
      </w:r>
      <w:r>
        <w:rPr>
          <w:sz w:val="20"/>
        </w:rPr>
        <w:t>inobservable</w:t>
      </w:r>
      <w:r>
        <w:rPr>
          <w:spacing w:val="-4"/>
          <w:sz w:val="20"/>
        </w:rPr>
        <w:t> </w:t>
      </w:r>
      <w:r>
        <w:rPr>
          <w:sz w:val="20"/>
        </w:rPr>
        <w:t>individual</w:t>
      </w:r>
      <w:r>
        <w:rPr>
          <w:spacing w:val="-4"/>
          <w:sz w:val="20"/>
        </w:rPr>
        <w:t> </w:t>
      </w:r>
      <w:r>
        <w:rPr>
          <w:sz w:val="20"/>
        </w:rPr>
        <w:t>de</w:t>
      </w:r>
      <w:r>
        <w:rPr>
          <w:spacing w:val="-4"/>
          <w:sz w:val="20"/>
        </w:rPr>
        <w:t> </w:t>
      </w:r>
      <w:r>
        <w:rPr>
          <w:sz w:val="20"/>
        </w:rPr>
        <w:t>cada</w:t>
      </w:r>
      <w:r>
        <w:rPr>
          <w:spacing w:val="-1"/>
          <w:sz w:val="20"/>
        </w:rPr>
        <w:t> </w:t>
      </w:r>
      <w:r>
        <w:rPr>
          <w:sz w:val="20"/>
        </w:rPr>
        <w:t>municipio.</w:t>
      </w:r>
    </w:p>
    <w:p>
      <w:pPr>
        <w:spacing w:after="0" w:line="230" w:lineRule="exact"/>
        <w:jc w:val="both"/>
        <w:rPr>
          <w:sz w:val="20"/>
        </w:rPr>
        <w:sectPr>
          <w:pgSz w:w="12240" w:h="15840"/>
          <w:pgMar w:header="0" w:footer="1003" w:top="1360" w:bottom="1200" w:left="1580" w:right="1580"/>
        </w:sectPr>
      </w:pPr>
    </w:p>
    <w:p>
      <w:pPr>
        <w:pStyle w:val="BodyText"/>
        <w:spacing w:line="360" w:lineRule="auto" w:before="50"/>
        <w:ind w:left="122" w:right="117"/>
        <w:jc w:val="both"/>
      </w:pPr>
      <w:r>
        <w:rPr/>
        <w:t>constituyen una herramienta más convincente para la estimación de los efectos </w:t>
      </w:r>
      <w:r>
        <w:rPr>
          <w:i/>
        </w:rPr>
        <w:t>ceteris </w:t>
      </w:r>
      <w:r>
        <w:rPr>
          <w:i/>
        </w:rPr>
        <w:t>paribus</w:t>
      </w:r>
      <w:r>
        <w:rPr/>
        <w:t>. No obstante, si la variable explicativa clave es constante en el tiempo, no es posible usar EF para estimar su efecto sobre </w:t>
      </w:r>
      <w:r>
        <w:rPr>
          <w:i/>
        </w:rPr>
        <w:t>Y. </w:t>
      </w:r>
      <w:r>
        <w:rPr/>
        <w:t>Los EA son preferibles a una estimación combinada de MCO debido a que, por lo general, los EA son más eficientes (Wooldridge, 2009).</w:t>
      </w:r>
    </w:p>
    <w:p>
      <w:pPr>
        <w:pStyle w:val="BodyText"/>
        <w:spacing w:line="360" w:lineRule="auto" w:before="6"/>
        <w:ind w:left="122" w:right="118" w:firstLine="359"/>
        <w:jc w:val="both"/>
      </w:pPr>
      <w:r>
        <w:rPr/>
        <w:t>En el caso de EF, la heterogeneidad no observable se incorpora a la ordenada al origen del modelo, alterando el valor esperado de la variable explicada o endógena. En cambio, en el modelo de EA, las diferencias no observables se incorporan al término del error, y es la varianza del modelo la que se modifica. Ahora bien, la elección de ambos modelos depende de los siguientes factores:</w:t>
      </w:r>
    </w:p>
    <w:p>
      <w:pPr>
        <w:pStyle w:val="ListParagraph"/>
        <w:numPr>
          <w:ilvl w:val="3"/>
          <w:numId w:val="21"/>
        </w:numPr>
        <w:tabs>
          <w:tab w:pos="842" w:val="left" w:leader="none"/>
        </w:tabs>
        <w:spacing w:line="240" w:lineRule="auto" w:before="4" w:after="0"/>
        <w:ind w:left="842" w:right="0" w:hanging="360"/>
        <w:jc w:val="left"/>
        <w:rPr>
          <w:sz w:val="24"/>
        </w:rPr>
      </w:pPr>
      <w:r>
        <w:rPr>
          <w:sz w:val="24"/>
        </w:rPr>
        <w:t>Los objetivos de</w:t>
      </w:r>
      <w:r>
        <w:rPr>
          <w:spacing w:val="-6"/>
          <w:sz w:val="24"/>
        </w:rPr>
        <w:t> </w:t>
      </w:r>
      <w:r>
        <w:rPr>
          <w:sz w:val="24"/>
        </w:rPr>
        <w:t>estudio</w:t>
      </w:r>
    </w:p>
    <w:p>
      <w:pPr>
        <w:pStyle w:val="BodyText"/>
        <w:spacing w:line="360" w:lineRule="auto" w:before="139"/>
        <w:ind w:left="122" w:right="114" w:firstLine="707"/>
        <w:jc w:val="both"/>
      </w:pPr>
      <w:r>
        <w:rPr/>
        <w:t>Si el objetivo es hacer inferencias con respecto a la población, entonces EA es lo indicado, pero si el interés es respecto a los individuos de la muestra, la especificación de EF sería la correcta. Si N es grande y T pequeño, el número de parámetros de EF a ser estimados puede resultar muy grande con relación al número total de datos disponibles y  los parámetros estimados ineficientes. Por lo tanto, si el interés está puesto en los coeficientes de las pendientes de los parámetros, y no tanto en las diferencias individuales, se debería elegir un método que relegue estas diferencias, y tratar a la heterogeneidad no observable como</w:t>
      </w:r>
      <w:r>
        <w:rPr>
          <w:spacing w:val="-4"/>
        </w:rPr>
        <w:t> </w:t>
      </w:r>
      <w:r>
        <w:rPr/>
        <w:t>aleatoria.</w:t>
      </w:r>
    </w:p>
    <w:p>
      <w:pPr>
        <w:pStyle w:val="ListParagraph"/>
        <w:numPr>
          <w:ilvl w:val="3"/>
          <w:numId w:val="21"/>
        </w:numPr>
        <w:tabs>
          <w:tab w:pos="842" w:val="left" w:leader="none"/>
        </w:tabs>
        <w:spacing w:line="240" w:lineRule="auto" w:before="6" w:after="0"/>
        <w:ind w:left="842" w:right="0" w:hanging="360"/>
        <w:jc w:val="left"/>
        <w:rPr>
          <w:sz w:val="24"/>
        </w:rPr>
      </w:pPr>
      <w:r>
        <w:rPr>
          <w:sz w:val="24"/>
        </w:rPr>
        <w:t>El contexto de los datos (cómo se obtuvieron y de dónde</w:t>
      </w:r>
      <w:r>
        <w:rPr>
          <w:spacing w:val="-8"/>
          <w:sz w:val="24"/>
        </w:rPr>
        <w:t> </w:t>
      </w:r>
      <w:r>
        <w:rPr>
          <w:sz w:val="24"/>
        </w:rPr>
        <w:t>provienen):</w:t>
      </w:r>
    </w:p>
    <w:p>
      <w:pPr>
        <w:pStyle w:val="BodyText"/>
        <w:spacing w:line="360" w:lineRule="auto" w:before="137"/>
        <w:ind w:left="122" w:right="121" w:firstLine="707"/>
        <w:jc w:val="both"/>
      </w:pPr>
      <w:r>
        <w:rPr/>
        <w:t>Si se trata de una muestra que contiene la totalidad de la población, entonces EF es el apropiado. Pero si se trata de una muestra abierta, es decir, cuando se seleccionan aleatoriamente individuos de una población, la especificación de EA es la más adecuada (Burdisso, 1997).</w:t>
      </w:r>
    </w:p>
    <w:p>
      <w:pPr>
        <w:pStyle w:val="BodyText"/>
        <w:spacing w:line="350" w:lineRule="auto" w:before="4"/>
        <w:ind w:left="122" w:right="116" w:firstLine="707"/>
        <w:jc w:val="both"/>
      </w:pPr>
      <w:r>
        <w:rPr/>
        <w:t>Para decidir entre un modelo de EF y EA, Hausman (1978) propuso una prueba bajo el conjunto completo de supuestos del modelo de efectos aleatorios. La idea es utilizar el modelo de EA a menos que la prueba de Hausman</w:t>
      </w:r>
      <w:r>
        <w:rPr>
          <w:position w:val="11"/>
          <w:sz w:val="16"/>
        </w:rPr>
        <w:t>79 </w:t>
      </w:r>
      <w:r>
        <w:rPr/>
        <w:t>lo rechace. En la práctica, si no hay rechazo, significa que las estimaciones de EA y EF están lo suficientemente cerca para  que</w:t>
      </w:r>
    </w:p>
    <w:p>
      <w:pPr>
        <w:pStyle w:val="BodyText"/>
        <w:spacing w:before="3"/>
        <w:rPr>
          <w:sz w:val="11"/>
        </w:rPr>
      </w:pPr>
      <w:r>
        <w:rPr/>
        <w:pict>
          <v:line style="position:absolute;mso-position-horizontal-relative:page;mso-position-vertical-relative:paragraph;z-index:3184;mso-wrap-distance-left:0;mso-wrap-distance-right:0" from="85.103996pt,8.811344pt" to="229.123996pt,8.811344pt" stroked="true" strokeweight=".71997pt" strokecolor="#000000">
            <w10:wrap type="topAndBottom"/>
          </v:line>
        </w:pict>
      </w:r>
    </w:p>
    <w:p>
      <w:pPr>
        <w:spacing w:line="230" w:lineRule="exact" w:before="67"/>
        <w:ind w:left="122" w:right="116" w:firstLine="0"/>
        <w:jc w:val="both"/>
        <w:rPr>
          <w:sz w:val="20"/>
        </w:rPr>
      </w:pPr>
      <w:r>
        <w:rPr>
          <w:position w:val="9"/>
          <w:sz w:val="13"/>
        </w:rPr>
        <w:t>79 </w:t>
      </w:r>
      <w:r>
        <w:rPr>
          <w:sz w:val="20"/>
        </w:rPr>
        <w:t>Es un contraste clásico de robustez frente a eficiencia. Este tipo de contrastes plantean dos estimadores para un mismo conjunto de parámetros, uno robusto θ</w:t>
      </w:r>
      <w:r>
        <w:rPr>
          <w:position w:val="-2"/>
          <w:sz w:val="13"/>
        </w:rPr>
        <w:t>R </w:t>
      </w:r>
      <w:r>
        <w:rPr>
          <w:sz w:val="20"/>
        </w:rPr>
        <w:t>consistente tanto en la hipótesis nula H</w:t>
      </w:r>
      <w:r>
        <w:rPr>
          <w:position w:val="-2"/>
          <w:sz w:val="13"/>
        </w:rPr>
        <w:t>0 </w:t>
      </w:r>
      <w:r>
        <w:rPr>
          <w:sz w:val="20"/>
        </w:rPr>
        <w:t>como en la alternativa H</w:t>
      </w:r>
      <w:r>
        <w:rPr>
          <w:position w:val="-2"/>
          <w:sz w:val="13"/>
        </w:rPr>
        <w:t>1</w:t>
      </w:r>
      <w:r>
        <w:rPr>
          <w:sz w:val="20"/>
        </w:rPr>
        <w:t>, y otro eficiente θ</w:t>
      </w:r>
      <w:r>
        <w:rPr>
          <w:position w:val="-2"/>
          <w:sz w:val="13"/>
        </w:rPr>
        <w:t>E </w:t>
      </w:r>
      <w:r>
        <w:rPr>
          <w:sz w:val="20"/>
        </w:rPr>
        <w:t>pero sólo bajo la hipótesis nula H</w:t>
      </w:r>
      <w:r>
        <w:rPr>
          <w:position w:val="-2"/>
          <w:sz w:val="13"/>
        </w:rPr>
        <w:t>0</w:t>
      </w:r>
      <w:r>
        <w:rPr>
          <w:sz w:val="20"/>
        </w:rPr>
        <w:t>. Si una vez calculados ambos, la diferencia observada entre los dos estimadores (θ</w:t>
      </w:r>
      <w:r>
        <w:rPr>
          <w:position w:val="-2"/>
          <w:sz w:val="13"/>
        </w:rPr>
        <w:t>R </w:t>
      </w:r>
      <w:r>
        <w:rPr>
          <w:sz w:val="20"/>
        </w:rPr>
        <w:t>- θ</w:t>
      </w:r>
      <w:r>
        <w:rPr>
          <w:position w:val="-2"/>
          <w:sz w:val="13"/>
        </w:rPr>
        <w:t>E</w:t>
      </w:r>
      <w:r>
        <w:rPr>
          <w:sz w:val="20"/>
        </w:rPr>
        <w:t>) es escasa, se toma evidencia a favor de la hipótesis nula (Mahía, 2000).</w:t>
      </w:r>
    </w:p>
    <w:p>
      <w:pPr>
        <w:spacing w:after="0" w:line="230" w:lineRule="exact"/>
        <w:jc w:val="both"/>
        <w:rPr>
          <w:sz w:val="20"/>
        </w:rPr>
        <w:sectPr>
          <w:pgSz w:w="12240" w:h="15840"/>
          <w:pgMar w:header="0" w:footer="1003" w:top="1360" w:bottom="1200" w:left="1580" w:right="1580"/>
        </w:sectPr>
      </w:pPr>
    </w:p>
    <w:p>
      <w:pPr>
        <w:pStyle w:val="BodyText"/>
        <w:spacing w:line="360" w:lineRule="auto" w:before="50"/>
        <w:ind w:left="122" w:right="120"/>
        <w:jc w:val="both"/>
      </w:pPr>
      <w:r>
        <w:rPr/>
        <w:t>no importe cuál usar, o bien que la variación de muestreo es tan grande en las estimaciones de EF que no se puede concluir si las diferencias desde el punto de vista práctico son estadísticamente significativas. Un rechazo con la prueba de Hausman significa que el supuesto de la ecuación 3, es falso y, por tanto, se deben usar las estimaciones de EF. (Wooldridge, 2009).</w:t>
      </w:r>
    </w:p>
    <w:p>
      <w:pPr>
        <w:pStyle w:val="BodyText"/>
        <w:spacing w:line="282" w:lineRule="exact"/>
        <w:ind w:left="122" w:firstLine="707"/>
        <w:jc w:val="both"/>
      </w:pPr>
      <w:r>
        <w:rPr/>
        <w:t>El estadístico de la prueba de Hausman sigue una distribución χ</w:t>
      </w:r>
      <w:r>
        <w:rPr>
          <w:position w:val="11"/>
          <w:sz w:val="16"/>
        </w:rPr>
        <w:t>2  </w:t>
      </w:r>
      <w:r>
        <w:rPr/>
        <w:t>y se construye</w:t>
      </w:r>
    </w:p>
    <w:p>
      <w:pPr>
        <w:pStyle w:val="BodyText"/>
        <w:spacing w:line="360" w:lineRule="auto" w:before="137"/>
        <w:ind w:left="122" w:right="118"/>
        <w:jc w:val="both"/>
        <w:rPr>
          <w:i/>
        </w:rPr>
      </w:pPr>
      <w:r>
        <w:rPr/>
        <w:t>como la diferencia relativa entre las dos estimaciones alternativas relativizadas por la varianza de esa diferencia. Como es usual, valores superiores del estadístico de prueba a los de referencia de tablas indican la presencia de correlación entre </w:t>
      </w:r>
      <w:r>
        <w:rPr>
          <w:i/>
        </w:rPr>
        <w:t>a</w:t>
      </w:r>
      <w:r>
        <w:rPr>
          <w:i/>
          <w:position w:val="-2"/>
          <w:sz w:val="16"/>
        </w:rPr>
        <w:t>i  </w:t>
      </w:r>
      <w:r>
        <w:rPr/>
        <w:t>y </w:t>
      </w:r>
      <w:r>
        <w:rPr>
          <w:i/>
        </w:rPr>
        <w:t>X</w:t>
      </w:r>
      <w:r>
        <w:rPr>
          <w:i/>
          <w:position w:val="-2"/>
          <w:sz w:val="16"/>
        </w:rPr>
        <w:t>it</w:t>
      </w:r>
      <w:r>
        <w:rPr>
          <w:i/>
        </w:rPr>
        <w:t>.</w:t>
      </w:r>
    </w:p>
    <w:p>
      <w:pPr>
        <w:pStyle w:val="BodyText"/>
        <w:spacing w:before="3"/>
        <w:rPr>
          <w:i/>
          <w:sz w:val="35"/>
        </w:rPr>
      </w:pPr>
    </w:p>
    <w:p>
      <w:pPr>
        <w:pStyle w:val="Heading2"/>
        <w:numPr>
          <w:ilvl w:val="2"/>
          <w:numId w:val="21"/>
        </w:numPr>
        <w:tabs>
          <w:tab w:pos="663" w:val="left" w:leader="none"/>
        </w:tabs>
        <w:spacing w:line="240" w:lineRule="auto" w:before="0" w:after="0"/>
        <w:ind w:left="662" w:right="0" w:hanging="540"/>
        <w:jc w:val="both"/>
      </w:pPr>
      <w:r>
        <w:rPr/>
        <w:t>Modelos a</w:t>
      </w:r>
      <w:r>
        <w:rPr>
          <w:spacing w:val="-7"/>
        </w:rPr>
        <w:t> </w:t>
      </w:r>
      <w:r>
        <w:rPr/>
        <w:t>estimar</w:t>
      </w:r>
    </w:p>
    <w:p>
      <w:pPr>
        <w:pStyle w:val="BodyText"/>
        <w:spacing w:line="360" w:lineRule="auto" w:before="134"/>
        <w:ind w:left="122" w:right="115"/>
        <w:jc w:val="both"/>
      </w:pPr>
      <w:r>
        <w:rPr/>
        <w:t>Ocegueda (2003) establece que el grado de especialización en actividades manufactureras genera externalidades positivas para el resto de los sectores. De esto puede deducirse que la polarización en el desarrollo regional de México podría asociarse con los procesos de especialización económica adoptados en cada entidad, tomando ventaja los estados que han avanzado con firmeza hacia la industrialización y rezagándose aquellos en los que hay propensión hacia las actividades no manufactureras.</w:t>
      </w:r>
    </w:p>
    <w:p>
      <w:pPr>
        <w:pStyle w:val="BodyText"/>
        <w:spacing w:line="360" w:lineRule="auto" w:before="6"/>
        <w:ind w:left="122" w:right="115" w:firstLine="707"/>
        <w:jc w:val="both"/>
      </w:pPr>
      <w:r>
        <w:rPr/>
        <w:t>Kaldor asume que un elemento crucial de los rendimientos crecientes a escala es derivado de la creciente especialización entre ramas dentro de las manufacturas (los retornos a escala son un macro-fenómeno), lo que implica que la ley de Verdoorn debe ser estimada al nivel de la manufactura total (Bairam, 1987). Sin embargo, en esta investigación se probaron varios modelos donde se introducen los índices de especialización absoluta y la especialización relativa, no encontrando ninguna</w:t>
      </w:r>
      <w:r>
        <w:rPr>
          <w:spacing w:val="48"/>
        </w:rPr>
        <w:t> </w:t>
      </w:r>
      <w:r>
        <w:rPr/>
        <w:t>significancia</w:t>
      </w:r>
    </w:p>
    <w:p>
      <w:pPr>
        <w:pStyle w:val="BodyText"/>
        <w:spacing w:line="282" w:lineRule="exact"/>
        <w:ind w:left="122"/>
        <w:jc w:val="both"/>
      </w:pPr>
      <w:r>
        <w:rPr/>
        <w:t>estadística.</w:t>
      </w:r>
      <w:r>
        <w:rPr>
          <w:position w:val="11"/>
          <w:sz w:val="16"/>
        </w:rPr>
        <w:t>80  </w:t>
      </w:r>
      <w:r>
        <w:rPr/>
        <w:t>Entonces, no se tiene evidencia de los efectos de la especialización</w:t>
      </w:r>
      <w:r>
        <w:rPr>
          <w:spacing w:val="50"/>
        </w:rPr>
        <w:t> </w:t>
      </w:r>
      <w:r>
        <w:rPr/>
        <w:t>en el</w:t>
      </w:r>
    </w:p>
    <w:p>
      <w:pPr>
        <w:pStyle w:val="BodyText"/>
        <w:spacing w:before="137"/>
        <w:ind w:left="122"/>
        <w:jc w:val="both"/>
      </w:pPr>
      <w:r>
        <w:rPr/>
        <w:t>crecimiento de la productividad manufacturera, como se esperaba.</w:t>
      </w:r>
    </w:p>
    <w:p>
      <w:pPr>
        <w:pStyle w:val="BodyText"/>
        <w:spacing w:line="345" w:lineRule="auto" w:before="140"/>
        <w:ind w:left="122" w:right="119" w:firstLine="707"/>
        <w:jc w:val="both"/>
      </w:pPr>
      <w:r>
        <w:rPr/>
        <w:t>El capital también es otra variable que comúnmente se introduce en los modelos que prueban la Ley de Verdoorn</w:t>
      </w:r>
      <w:r>
        <w:rPr>
          <w:position w:val="11"/>
          <w:sz w:val="16"/>
        </w:rPr>
        <w:t>81</w:t>
      </w:r>
      <w:r>
        <w:rPr/>
        <w:t>, pero en este trabajo no se probó como variable adicional el stock de capital porque los datos no están disponibles a nivel municipal desde 1970. Al</w:t>
      </w:r>
    </w:p>
    <w:p>
      <w:pPr>
        <w:pStyle w:val="BodyText"/>
        <w:rPr>
          <w:sz w:val="20"/>
        </w:rPr>
      </w:pPr>
    </w:p>
    <w:p>
      <w:pPr>
        <w:pStyle w:val="BodyText"/>
        <w:spacing w:before="6"/>
        <w:rPr>
          <w:sz w:val="11"/>
        </w:rPr>
      </w:pPr>
      <w:r>
        <w:rPr/>
        <w:pict>
          <v:line style="position:absolute;mso-position-horizontal-relative:page;mso-position-vertical-relative:paragraph;z-index:3208;mso-wrap-distance-left:0;mso-wrap-distance-right:0" from="85.103996pt,8.978072pt" to="229.123996pt,8.978072pt" stroked="true" strokeweight=".72003pt" strokecolor="#000000">
            <w10:wrap type="topAndBottom"/>
          </v:line>
        </w:pict>
      </w:r>
    </w:p>
    <w:p>
      <w:pPr>
        <w:spacing w:before="42"/>
        <w:ind w:left="122" w:right="243" w:firstLine="0"/>
        <w:jc w:val="left"/>
        <w:rPr>
          <w:sz w:val="20"/>
        </w:rPr>
      </w:pPr>
      <w:r>
        <w:rPr>
          <w:position w:val="9"/>
          <w:sz w:val="13"/>
        </w:rPr>
        <w:t>80 </w:t>
      </w:r>
      <w:r>
        <w:rPr>
          <w:sz w:val="20"/>
        </w:rPr>
        <w:t>Calderón y Martínez (2005), también introdujeron la especialización (como variable adicional) resultando no ser significativa.</w:t>
      </w:r>
    </w:p>
    <w:p>
      <w:pPr>
        <w:spacing w:line="230" w:lineRule="exact" w:before="3"/>
        <w:ind w:left="122" w:right="243" w:firstLine="0"/>
        <w:jc w:val="left"/>
        <w:rPr>
          <w:sz w:val="20"/>
        </w:rPr>
      </w:pPr>
      <w:r>
        <w:rPr>
          <w:position w:val="9"/>
          <w:sz w:val="13"/>
        </w:rPr>
        <w:t>81 </w:t>
      </w:r>
      <w:r>
        <w:rPr>
          <w:sz w:val="20"/>
        </w:rPr>
        <w:t>Véanse McCombie y de Ridder (1983); Bairam (1987); Ocegueda (2003); Mora (2003); Loría (2009); Safadr  y Wasif (2011) y Sánchez (2011), entre otros.</w:t>
      </w:r>
    </w:p>
    <w:p>
      <w:pPr>
        <w:spacing w:after="0" w:line="230" w:lineRule="exact"/>
        <w:jc w:val="left"/>
        <w:rPr>
          <w:sz w:val="20"/>
        </w:rPr>
        <w:sectPr>
          <w:footerReference w:type="default" r:id="rId40"/>
          <w:pgSz w:w="12240" w:h="15840"/>
          <w:pgMar w:footer="1003" w:header="0" w:top="1360" w:bottom="1200" w:left="1580" w:right="1580"/>
          <w:pgNumType w:start="130"/>
        </w:sectPr>
      </w:pPr>
    </w:p>
    <w:p>
      <w:pPr>
        <w:pStyle w:val="BodyText"/>
        <w:spacing w:line="331" w:lineRule="auto" w:before="50"/>
        <w:ind w:left="122" w:right="114"/>
        <w:rPr>
          <w:sz w:val="16"/>
        </w:rPr>
      </w:pPr>
      <w:r>
        <w:rPr/>
        <w:t>igual, existen varios estudios que introducen un componente espacial como determinante de la productividad manufacturera.</w:t>
      </w:r>
      <w:r>
        <w:rPr>
          <w:position w:val="11"/>
          <w:sz w:val="16"/>
        </w:rPr>
        <w:t>82</w:t>
      </w:r>
    </w:p>
    <w:p>
      <w:pPr>
        <w:pStyle w:val="BodyText"/>
        <w:spacing w:line="360" w:lineRule="auto" w:before="21"/>
        <w:ind w:left="122" w:right="117" w:firstLine="707"/>
        <w:jc w:val="both"/>
      </w:pPr>
      <w:r>
        <w:rPr/>
        <w:t>En este sentido, dada la disponibilidad de los datos a nivel municipal, para ambas regiones se tiene como variable dependiente y como </w:t>
      </w:r>
      <w:r>
        <w:rPr>
          <w:i/>
        </w:rPr>
        <w:t>proxy </w:t>
      </w:r>
      <w:r>
        <w:rPr/>
        <w:t>del PIB el valor agregado censal bruto manufacturero total, y se calculó la productividad de la mano de obra, la cual se obtuvo de dividir el valor agregado censal bruto entre el personal ocupado total manufacturero. Como variables independientes se consideró el valor agregado manufacturero total, y de los subsectores 38 y 35. Estos valores se deflactaron a precios de 1993, posteriormente se obtuvieron sus tasas de crecimiento, los datos se presentan a nivel de subsector y por municipio.</w:t>
      </w:r>
    </w:p>
    <w:p>
      <w:pPr>
        <w:pStyle w:val="BodyText"/>
        <w:spacing w:before="4"/>
        <w:ind w:left="830" w:right="243"/>
      </w:pPr>
      <w:r>
        <w:rPr/>
        <w:t>Con estas variables se estimaron las siguientes ecuaciones:</w:t>
      </w:r>
    </w:p>
    <w:p>
      <w:pPr>
        <w:pStyle w:val="BodyText"/>
        <w:spacing w:before="1"/>
        <w:rPr>
          <w:sz w:val="6"/>
        </w:rPr>
      </w:pPr>
    </w:p>
    <w:tbl>
      <w:tblPr>
        <w:tblW w:w="0" w:type="auto"/>
        <w:jc w:val="left"/>
        <w:tblInd w:w="79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43"/>
        <w:gridCol w:w="3862"/>
        <w:gridCol w:w="2219"/>
      </w:tblGrid>
      <w:tr>
        <w:trPr>
          <w:trHeight w:val="434" w:hRule="exact"/>
        </w:trPr>
        <w:tc>
          <w:tcPr>
            <w:tcW w:w="643" w:type="dxa"/>
          </w:tcPr>
          <w:p>
            <w:pPr>
              <w:pStyle w:val="TableParagraph"/>
              <w:spacing w:before="69"/>
              <w:ind w:left="35"/>
              <w:jc w:val="left"/>
              <w:rPr>
                <w:rFonts w:ascii="Times New Roman" w:hAnsi="Times New Roman"/>
                <w:sz w:val="16"/>
              </w:rPr>
            </w:pPr>
            <w:r>
              <w:rPr>
                <w:rFonts w:ascii="Times New Roman" w:hAnsi="Times New Roman"/>
                <w:sz w:val="24"/>
              </w:rPr>
              <w:t>ẏ = α</w:t>
            </w:r>
            <w:r>
              <w:rPr>
                <w:rFonts w:ascii="Times New Roman" w:hAnsi="Times New Roman"/>
                <w:position w:val="-2"/>
                <w:sz w:val="16"/>
              </w:rPr>
              <w:t>i</w:t>
            </w:r>
          </w:p>
        </w:tc>
        <w:tc>
          <w:tcPr>
            <w:tcW w:w="3862" w:type="dxa"/>
          </w:tcPr>
          <w:p>
            <w:pPr>
              <w:pStyle w:val="TableParagraph"/>
              <w:spacing w:before="69"/>
              <w:ind w:left="37"/>
              <w:jc w:val="left"/>
              <w:rPr>
                <w:rFonts w:ascii="Times New Roman" w:hAnsi="Times New Roman"/>
                <w:sz w:val="16"/>
              </w:rPr>
            </w:pPr>
            <w:r>
              <w:rPr>
                <w:rFonts w:ascii="Times New Roman" w:hAnsi="Times New Roman"/>
                <w:sz w:val="24"/>
              </w:rPr>
              <w:t>+ α</w:t>
            </w:r>
            <w:r>
              <w:rPr>
                <w:rFonts w:ascii="Times New Roman" w:hAnsi="Times New Roman"/>
                <w:position w:val="-2"/>
                <w:sz w:val="16"/>
              </w:rPr>
              <w:t>1 </w:t>
            </w:r>
            <w:r>
              <w:rPr>
                <w:rFonts w:ascii="Times New Roman" w:hAnsi="Times New Roman"/>
                <w:sz w:val="24"/>
              </w:rPr>
              <w:t>ẏ</w:t>
            </w:r>
            <w:r>
              <w:rPr>
                <w:rFonts w:ascii="Times New Roman" w:hAnsi="Times New Roman"/>
                <w:position w:val="-2"/>
                <w:sz w:val="16"/>
              </w:rPr>
              <w:t>35 </w:t>
            </w:r>
            <w:r>
              <w:rPr>
                <w:rFonts w:ascii="Times New Roman" w:hAnsi="Times New Roman"/>
                <w:sz w:val="24"/>
              </w:rPr>
              <w:t>+ α</w:t>
            </w:r>
            <w:r>
              <w:rPr>
                <w:rFonts w:ascii="Times New Roman" w:hAnsi="Times New Roman"/>
                <w:position w:val="-2"/>
                <w:sz w:val="16"/>
              </w:rPr>
              <w:t>2 </w:t>
            </w:r>
            <w:r>
              <w:rPr>
                <w:rFonts w:ascii="Times New Roman" w:hAnsi="Times New Roman"/>
                <w:sz w:val="24"/>
              </w:rPr>
              <w:t>ẏ</w:t>
            </w:r>
            <w:r>
              <w:rPr>
                <w:rFonts w:ascii="Times New Roman" w:hAnsi="Times New Roman"/>
                <w:position w:val="-2"/>
                <w:sz w:val="16"/>
              </w:rPr>
              <w:t>38 </w:t>
            </w:r>
            <w:r>
              <w:rPr>
                <w:rFonts w:ascii="Times New Roman" w:hAnsi="Times New Roman"/>
                <w:sz w:val="24"/>
              </w:rPr>
              <w:t>+ </w:t>
            </w:r>
            <w:r>
              <w:rPr>
                <w:rFonts w:ascii="Times New Roman" w:hAnsi="Times New Roman"/>
                <w:i/>
                <w:sz w:val="24"/>
              </w:rPr>
              <w:t>v</w:t>
            </w:r>
            <w:r>
              <w:rPr>
                <w:rFonts w:ascii="Times New Roman" w:hAnsi="Times New Roman"/>
                <w:position w:val="-2"/>
                <w:sz w:val="16"/>
              </w:rPr>
              <w:t>it</w:t>
            </w:r>
          </w:p>
        </w:tc>
        <w:tc>
          <w:tcPr>
            <w:tcW w:w="2219" w:type="dxa"/>
          </w:tcPr>
          <w:p>
            <w:pPr>
              <w:pStyle w:val="TableParagraph"/>
              <w:spacing w:before="69"/>
              <w:ind w:right="33"/>
              <w:rPr>
                <w:rFonts w:ascii="Times New Roman"/>
                <w:b/>
                <w:sz w:val="24"/>
              </w:rPr>
            </w:pPr>
            <w:r>
              <w:rPr>
                <w:rFonts w:ascii="Times New Roman"/>
                <w:b/>
                <w:sz w:val="24"/>
              </w:rPr>
              <w:t>(1)</w:t>
            </w:r>
          </w:p>
        </w:tc>
      </w:tr>
      <w:tr>
        <w:trPr>
          <w:trHeight w:val="414" w:hRule="exact"/>
        </w:trPr>
        <w:tc>
          <w:tcPr>
            <w:tcW w:w="643" w:type="dxa"/>
          </w:tcPr>
          <w:p>
            <w:pPr>
              <w:pStyle w:val="TableParagraph"/>
              <w:spacing w:before="47"/>
              <w:ind w:left="35"/>
              <w:jc w:val="left"/>
              <w:rPr>
                <w:rFonts w:ascii="Times New Roman" w:hAnsi="Times New Roman"/>
                <w:sz w:val="16"/>
              </w:rPr>
            </w:pPr>
            <w:r>
              <w:rPr>
                <w:rFonts w:ascii="Times New Roman" w:hAnsi="Times New Roman"/>
                <w:sz w:val="24"/>
              </w:rPr>
              <w:t>ẏ = α</w:t>
            </w:r>
            <w:r>
              <w:rPr>
                <w:rFonts w:ascii="Times New Roman" w:hAnsi="Times New Roman"/>
                <w:position w:val="-2"/>
                <w:sz w:val="16"/>
              </w:rPr>
              <w:t>i</w:t>
            </w:r>
          </w:p>
        </w:tc>
        <w:tc>
          <w:tcPr>
            <w:tcW w:w="3862" w:type="dxa"/>
          </w:tcPr>
          <w:p>
            <w:pPr>
              <w:pStyle w:val="TableParagraph"/>
              <w:spacing w:before="47"/>
              <w:ind w:left="37"/>
              <w:jc w:val="left"/>
              <w:rPr>
                <w:rFonts w:ascii="Times New Roman" w:hAnsi="Times New Roman"/>
                <w:sz w:val="16"/>
              </w:rPr>
            </w:pPr>
            <w:r>
              <w:rPr>
                <w:rFonts w:ascii="Times New Roman" w:hAnsi="Times New Roman"/>
                <w:sz w:val="24"/>
              </w:rPr>
              <w:t>+ α</w:t>
            </w:r>
            <w:r>
              <w:rPr>
                <w:rFonts w:ascii="Times New Roman" w:hAnsi="Times New Roman"/>
                <w:position w:val="-2"/>
                <w:sz w:val="16"/>
              </w:rPr>
              <w:t>1 </w:t>
            </w:r>
            <w:r>
              <w:rPr>
                <w:rFonts w:ascii="Times New Roman" w:hAnsi="Times New Roman"/>
                <w:sz w:val="24"/>
              </w:rPr>
              <w:t>ẏ</w:t>
            </w:r>
            <w:r>
              <w:rPr>
                <w:rFonts w:ascii="Times New Roman" w:hAnsi="Times New Roman"/>
                <w:position w:val="-2"/>
                <w:sz w:val="16"/>
              </w:rPr>
              <w:t>35 </w:t>
            </w:r>
            <w:r>
              <w:rPr>
                <w:rFonts w:ascii="Times New Roman" w:hAnsi="Times New Roman"/>
                <w:sz w:val="24"/>
              </w:rPr>
              <w:t>+ </w:t>
            </w:r>
            <w:r>
              <w:rPr>
                <w:rFonts w:ascii="Times New Roman" w:hAnsi="Times New Roman"/>
                <w:i/>
                <w:sz w:val="24"/>
              </w:rPr>
              <w:t>v</w:t>
            </w:r>
            <w:r>
              <w:rPr>
                <w:rFonts w:ascii="Times New Roman" w:hAnsi="Times New Roman"/>
                <w:position w:val="-2"/>
                <w:sz w:val="16"/>
              </w:rPr>
              <w:t>it</w:t>
            </w:r>
          </w:p>
        </w:tc>
        <w:tc>
          <w:tcPr>
            <w:tcW w:w="2219" w:type="dxa"/>
          </w:tcPr>
          <w:p>
            <w:pPr>
              <w:pStyle w:val="TableParagraph"/>
              <w:spacing w:before="47"/>
              <w:ind w:right="33"/>
              <w:rPr>
                <w:rFonts w:ascii="Times New Roman"/>
                <w:b/>
                <w:sz w:val="24"/>
              </w:rPr>
            </w:pPr>
            <w:r>
              <w:rPr>
                <w:rFonts w:ascii="Times New Roman"/>
                <w:b/>
                <w:sz w:val="24"/>
              </w:rPr>
              <w:t>(2)</w:t>
            </w:r>
          </w:p>
        </w:tc>
      </w:tr>
      <w:tr>
        <w:trPr>
          <w:trHeight w:val="420" w:hRule="exact"/>
        </w:trPr>
        <w:tc>
          <w:tcPr>
            <w:tcW w:w="643" w:type="dxa"/>
          </w:tcPr>
          <w:p>
            <w:pPr>
              <w:pStyle w:val="TableParagraph"/>
              <w:spacing w:before="48"/>
              <w:ind w:left="35"/>
              <w:jc w:val="left"/>
              <w:rPr>
                <w:rFonts w:ascii="Times New Roman" w:hAnsi="Times New Roman"/>
                <w:sz w:val="16"/>
              </w:rPr>
            </w:pPr>
            <w:r>
              <w:rPr>
                <w:rFonts w:ascii="Times New Roman" w:hAnsi="Times New Roman"/>
                <w:sz w:val="24"/>
              </w:rPr>
              <w:t>ẏ = α</w:t>
            </w:r>
            <w:r>
              <w:rPr>
                <w:rFonts w:ascii="Times New Roman" w:hAnsi="Times New Roman"/>
                <w:position w:val="-2"/>
                <w:sz w:val="16"/>
              </w:rPr>
              <w:t>i</w:t>
            </w:r>
          </w:p>
        </w:tc>
        <w:tc>
          <w:tcPr>
            <w:tcW w:w="3862" w:type="dxa"/>
          </w:tcPr>
          <w:p>
            <w:pPr>
              <w:pStyle w:val="TableParagraph"/>
              <w:spacing w:before="48"/>
              <w:ind w:left="37"/>
              <w:jc w:val="left"/>
              <w:rPr>
                <w:rFonts w:ascii="Times New Roman" w:hAnsi="Times New Roman"/>
                <w:sz w:val="16"/>
              </w:rPr>
            </w:pPr>
            <w:r>
              <w:rPr>
                <w:rFonts w:ascii="Times New Roman" w:hAnsi="Times New Roman"/>
                <w:sz w:val="24"/>
              </w:rPr>
              <w:t>+ α</w:t>
            </w:r>
            <w:r>
              <w:rPr>
                <w:rFonts w:ascii="Times New Roman" w:hAnsi="Times New Roman"/>
                <w:position w:val="-2"/>
                <w:sz w:val="16"/>
              </w:rPr>
              <w:t>1 </w:t>
            </w:r>
            <w:r>
              <w:rPr>
                <w:rFonts w:ascii="Times New Roman" w:hAnsi="Times New Roman"/>
                <w:sz w:val="24"/>
              </w:rPr>
              <w:t>ẏ</w:t>
            </w:r>
            <w:r>
              <w:rPr>
                <w:rFonts w:ascii="Times New Roman" w:hAnsi="Times New Roman"/>
                <w:position w:val="-2"/>
                <w:sz w:val="16"/>
              </w:rPr>
              <w:t>38 </w:t>
            </w:r>
            <w:r>
              <w:rPr>
                <w:rFonts w:ascii="Times New Roman" w:hAnsi="Times New Roman"/>
                <w:sz w:val="24"/>
              </w:rPr>
              <w:t>+ </w:t>
            </w:r>
            <w:r>
              <w:rPr>
                <w:rFonts w:ascii="Times New Roman" w:hAnsi="Times New Roman"/>
                <w:i/>
                <w:sz w:val="24"/>
              </w:rPr>
              <w:t>v</w:t>
            </w:r>
            <w:r>
              <w:rPr>
                <w:rFonts w:ascii="Times New Roman" w:hAnsi="Times New Roman"/>
                <w:position w:val="-2"/>
                <w:sz w:val="16"/>
              </w:rPr>
              <w:t>it</w:t>
            </w:r>
          </w:p>
        </w:tc>
        <w:tc>
          <w:tcPr>
            <w:tcW w:w="2219" w:type="dxa"/>
          </w:tcPr>
          <w:p>
            <w:pPr>
              <w:pStyle w:val="TableParagraph"/>
              <w:spacing w:before="48"/>
              <w:ind w:right="33"/>
              <w:rPr>
                <w:rFonts w:ascii="Times New Roman"/>
                <w:b/>
                <w:sz w:val="24"/>
              </w:rPr>
            </w:pPr>
            <w:r>
              <w:rPr>
                <w:rFonts w:ascii="Times New Roman"/>
                <w:b/>
                <w:sz w:val="24"/>
              </w:rPr>
              <w:t>(3)</w:t>
            </w:r>
          </w:p>
        </w:tc>
      </w:tr>
      <w:tr>
        <w:trPr>
          <w:trHeight w:val="427" w:hRule="exact"/>
        </w:trPr>
        <w:tc>
          <w:tcPr>
            <w:tcW w:w="643" w:type="dxa"/>
          </w:tcPr>
          <w:p>
            <w:pPr>
              <w:pStyle w:val="TableParagraph"/>
              <w:spacing w:before="53"/>
              <w:ind w:left="35"/>
              <w:jc w:val="left"/>
              <w:rPr>
                <w:rFonts w:ascii="Times New Roman" w:hAnsi="Times New Roman"/>
                <w:sz w:val="16"/>
              </w:rPr>
            </w:pPr>
            <w:r>
              <w:rPr>
                <w:rFonts w:ascii="Times New Roman" w:hAnsi="Times New Roman"/>
                <w:i/>
                <w:w w:val="244"/>
                <w:sz w:val="24"/>
              </w:rPr>
              <w:t> </w:t>
            </w:r>
            <w:r>
              <w:rPr>
                <w:rFonts w:ascii="Times New Roman" w:hAnsi="Times New Roman"/>
                <w:i/>
                <w:sz w:val="24"/>
              </w:rPr>
              <w:t> </w:t>
            </w:r>
            <w:r>
              <w:rPr>
                <w:rFonts w:ascii="Times New Roman" w:hAnsi="Times New Roman"/>
                <w:sz w:val="24"/>
              </w:rPr>
              <w:t>= α</w:t>
            </w:r>
            <w:r>
              <w:rPr>
                <w:rFonts w:ascii="Times New Roman" w:hAnsi="Times New Roman"/>
                <w:position w:val="-2"/>
                <w:sz w:val="16"/>
              </w:rPr>
              <w:t>i</w:t>
            </w:r>
          </w:p>
        </w:tc>
        <w:tc>
          <w:tcPr>
            <w:tcW w:w="3862" w:type="dxa"/>
          </w:tcPr>
          <w:p>
            <w:pPr>
              <w:pStyle w:val="TableParagraph"/>
              <w:spacing w:before="53"/>
              <w:ind w:left="64"/>
              <w:jc w:val="left"/>
              <w:rPr>
                <w:rFonts w:ascii="Times New Roman" w:hAnsi="Times New Roman"/>
                <w:sz w:val="16"/>
              </w:rPr>
            </w:pPr>
            <w:r>
              <w:rPr>
                <w:rFonts w:ascii="Times New Roman" w:hAnsi="Times New Roman"/>
                <w:sz w:val="24"/>
              </w:rPr>
              <w:t>+ α</w:t>
            </w:r>
            <w:r>
              <w:rPr>
                <w:rFonts w:ascii="Times New Roman" w:hAnsi="Times New Roman"/>
                <w:position w:val="-2"/>
                <w:sz w:val="16"/>
              </w:rPr>
              <w:t>1 </w:t>
            </w:r>
            <w:r>
              <w:rPr>
                <w:rFonts w:ascii="Times New Roman" w:hAnsi="Times New Roman"/>
                <w:sz w:val="24"/>
              </w:rPr>
              <w:t>ẏ+ </w:t>
            </w:r>
            <w:r>
              <w:rPr>
                <w:rFonts w:ascii="Times New Roman" w:hAnsi="Times New Roman"/>
                <w:i/>
                <w:sz w:val="24"/>
              </w:rPr>
              <w:t>v</w:t>
            </w:r>
            <w:r>
              <w:rPr>
                <w:rFonts w:ascii="Times New Roman" w:hAnsi="Times New Roman"/>
                <w:position w:val="-2"/>
                <w:sz w:val="16"/>
              </w:rPr>
              <w:t>it</w:t>
            </w:r>
          </w:p>
        </w:tc>
        <w:tc>
          <w:tcPr>
            <w:tcW w:w="2219" w:type="dxa"/>
          </w:tcPr>
          <w:p>
            <w:pPr>
              <w:pStyle w:val="TableParagraph"/>
              <w:spacing w:before="53"/>
              <w:ind w:right="33"/>
              <w:rPr>
                <w:rFonts w:ascii="Times New Roman"/>
                <w:b/>
                <w:sz w:val="24"/>
              </w:rPr>
            </w:pPr>
            <w:r>
              <w:rPr>
                <w:rFonts w:ascii="Times New Roman"/>
                <w:b/>
                <w:sz w:val="24"/>
              </w:rPr>
              <w:t>(4)</w:t>
            </w:r>
          </w:p>
        </w:tc>
      </w:tr>
      <w:tr>
        <w:trPr>
          <w:trHeight w:val="430" w:hRule="exact"/>
        </w:trPr>
        <w:tc>
          <w:tcPr>
            <w:tcW w:w="643" w:type="dxa"/>
          </w:tcPr>
          <w:p>
            <w:pPr>
              <w:pStyle w:val="TableParagraph"/>
              <w:spacing w:before="56"/>
              <w:ind w:left="35"/>
              <w:jc w:val="left"/>
              <w:rPr>
                <w:rFonts w:ascii="Times New Roman" w:hAnsi="Times New Roman"/>
                <w:sz w:val="16"/>
              </w:rPr>
            </w:pPr>
            <w:r>
              <w:rPr>
                <w:rFonts w:ascii="Times New Roman" w:hAnsi="Times New Roman"/>
                <w:i/>
                <w:w w:val="244"/>
                <w:sz w:val="24"/>
              </w:rPr>
              <w:t> </w:t>
            </w:r>
            <w:r>
              <w:rPr>
                <w:rFonts w:ascii="Times New Roman" w:hAnsi="Times New Roman"/>
                <w:i/>
                <w:sz w:val="24"/>
              </w:rPr>
              <w:t> </w:t>
            </w:r>
            <w:r>
              <w:rPr>
                <w:rFonts w:ascii="Times New Roman" w:hAnsi="Times New Roman"/>
                <w:sz w:val="24"/>
              </w:rPr>
              <w:t>= α</w:t>
            </w:r>
            <w:r>
              <w:rPr>
                <w:rFonts w:ascii="Times New Roman" w:hAnsi="Times New Roman"/>
                <w:position w:val="-2"/>
                <w:sz w:val="16"/>
              </w:rPr>
              <w:t>i</w:t>
            </w:r>
          </w:p>
        </w:tc>
        <w:tc>
          <w:tcPr>
            <w:tcW w:w="3862" w:type="dxa"/>
          </w:tcPr>
          <w:p>
            <w:pPr>
              <w:pStyle w:val="TableParagraph"/>
              <w:spacing w:before="56"/>
              <w:ind w:left="64"/>
              <w:jc w:val="left"/>
              <w:rPr>
                <w:rFonts w:ascii="Times New Roman" w:hAnsi="Times New Roman"/>
                <w:sz w:val="16"/>
              </w:rPr>
            </w:pPr>
            <w:r>
              <w:rPr>
                <w:rFonts w:ascii="Times New Roman" w:hAnsi="Times New Roman"/>
                <w:sz w:val="24"/>
              </w:rPr>
              <w:t>+ α</w:t>
            </w:r>
            <w:r>
              <w:rPr>
                <w:rFonts w:ascii="Times New Roman" w:hAnsi="Times New Roman"/>
                <w:position w:val="-2"/>
                <w:sz w:val="16"/>
              </w:rPr>
              <w:t>1 </w:t>
            </w:r>
            <w:r>
              <w:rPr>
                <w:rFonts w:ascii="Times New Roman" w:hAnsi="Times New Roman"/>
                <w:sz w:val="24"/>
              </w:rPr>
              <w:t>ẏ</w:t>
            </w:r>
            <w:r>
              <w:rPr>
                <w:rFonts w:ascii="Times New Roman" w:hAnsi="Times New Roman"/>
                <w:position w:val="-2"/>
                <w:sz w:val="16"/>
              </w:rPr>
              <w:t>35 </w:t>
            </w:r>
            <w:r>
              <w:rPr>
                <w:rFonts w:ascii="Times New Roman" w:hAnsi="Times New Roman"/>
                <w:sz w:val="24"/>
              </w:rPr>
              <w:t>+ </w:t>
            </w:r>
            <w:r>
              <w:rPr>
                <w:rFonts w:ascii="Times New Roman" w:hAnsi="Times New Roman"/>
                <w:i/>
                <w:sz w:val="24"/>
              </w:rPr>
              <w:t>v</w:t>
            </w:r>
            <w:r>
              <w:rPr>
                <w:rFonts w:ascii="Times New Roman" w:hAnsi="Times New Roman"/>
                <w:position w:val="-2"/>
                <w:sz w:val="16"/>
              </w:rPr>
              <w:t>it</w:t>
            </w:r>
          </w:p>
        </w:tc>
        <w:tc>
          <w:tcPr>
            <w:tcW w:w="2219" w:type="dxa"/>
          </w:tcPr>
          <w:p>
            <w:pPr>
              <w:pStyle w:val="TableParagraph"/>
              <w:spacing w:before="56"/>
              <w:ind w:right="33"/>
              <w:rPr>
                <w:rFonts w:ascii="Times New Roman"/>
                <w:b/>
                <w:sz w:val="24"/>
              </w:rPr>
            </w:pPr>
            <w:r>
              <w:rPr>
                <w:rFonts w:ascii="Times New Roman"/>
                <w:b/>
                <w:sz w:val="24"/>
              </w:rPr>
              <w:t>(5)</w:t>
            </w:r>
          </w:p>
        </w:tc>
      </w:tr>
      <w:tr>
        <w:trPr>
          <w:trHeight w:val="430" w:hRule="exact"/>
        </w:trPr>
        <w:tc>
          <w:tcPr>
            <w:tcW w:w="643" w:type="dxa"/>
          </w:tcPr>
          <w:p>
            <w:pPr>
              <w:pStyle w:val="TableParagraph"/>
              <w:spacing w:before="56"/>
              <w:ind w:left="35"/>
              <w:jc w:val="left"/>
              <w:rPr>
                <w:rFonts w:ascii="Times New Roman" w:hAnsi="Times New Roman"/>
                <w:sz w:val="16"/>
              </w:rPr>
            </w:pPr>
            <w:r>
              <w:rPr>
                <w:rFonts w:ascii="Times New Roman" w:hAnsi="Times New Roman"/>
                <w:i/>
                <w:w w:val="244"/>
                <w:sz w:val="24"/>
              </w:rPr>
              <w:t> </w:t>
            </w:r>
            <w:r>
              <w:rPr>
                <w:rFonts w:ascii="Times New Roman" w:hAnsi="Times New Roman"/>
                <w:i/>
                <w:sz w:val="24"/>
              </w:rPr>
              <w:t> </w:t>
            </w:r>
            <w:r>
              <w:rPr>
                <w:rFonts w:ascii="Times New Roman" w:hAnsi="Times New Roman"/>
                <w:sz w:val="24"/>
              </w:rPr>
              <w:t>= α</w:t>
            </w:r>
            <w:r>
              <w:rPr>
                <w:rFonts w:ascii="Times New Roman" w:hAnsi="Times New Roman"/>
                <w:position w:val="-2"/>
                <w:sz w:val="16"/>
              </w:rPr>
              <w:t>i</w:t>
            </w:r>
          </w:p>
        </w:tc>
        <w:tc>
          <w:tcPr>
            <w:tcW w:w="3862" w:type="dxa"/>
          </w:tcPr>
          <w:p>
            <w:pPr>
              <w:pStyle w:val="TableParagraph"/>
              <w:spacing w:before="56"/>
              <w:ind w:left="64"/>
              <w:jc w:val="left"/>
              <w:rPr>
                <w:rFonts w:ascii="Times New Roman" w:hAnsi="Times New Roman"/>
                <w:sz w:val="16"/>
              </w:rPr>
            </w:pPr>
            <w:r>
              <w:rPr>
                <w:rFonts w:ascii="Times New Roman" w:hAnsi="Times New Roman"/>
                <w:sz w:val="24"/>
              </w:rPr>
              <w:t>+ α</w:t>
            </w:r>
            <w:r>
              <w:rPr>
                <w:rFonts w:ascii="Times New Roman" w:hAnsi="Times New Roman"/>
                <w:position w:val="-2"/>
                <w:sz w:val="16"/>
              </w:rPr>
              <w:t>1 </w:t>
            </w:r>
            <w:r>
              <w:rPr>
                <w:rFonts w:ascii="Times New Roman" w:hAnsi="Times New Roman"/>
                <w:sz w:val="24"/>
              </w:rPr>
              <w:t>ẏ</w:t>
            </w:r>
            <w:r>
              <w:rPr>
                <w:rFonts w:ascii="Times New Roman" w:hAnsi="Times New Roman"/>
                <w:position w:val="-2"/>
                <w:sz w:val="16"/>
              </w:rPr>
              <w:t>38 </w:t>
            </w:r>
            <w:r>
              <w:rPr>
                <w:rFonts w:ascii="Times New Roman" w:hAnsi="Times New Roman"/>
                <w:sz w:val="24"/>
              </w:rPr>
              <w:t>+ </w:t>
            </w:r>
            <w:r>
              <w:rPr>
                <w:rFonts w:ascii="Times New Roman" w:hAnsi="Times New Roman"/>
                <w:i/>
                <w:sz w:val="24"/>
              </w:rPr>
              <w:t>v</w:t>
            </w:r>
            <w:r>
              <w:rPr>
                <w:rFonts w:ascii="Times New Roman" w:hAnsi="Times New Roman"/>
                <w:position w:val="-2"/>
                <w:sz w:val="16"/>
              </w:rPr>
              <w:t>it</w:t>
            </w:r>
          </w:p>
        </w:tc>
        <w:tc>
          <w:tcPr>
            <w:tcW w:w="2219" w:type="dxa"/>
          </w:tcPr>
          <w:p>
            <w:pPr>
              <w:pStyle w:val="TableParagraph"/>
              <w:spacing w:before="56"/>
              <w:ind w:right="33"/>
              <w:rPr>
                <w:rFonts w:ascii="Times New Roman"/>
                <w:b/>
                <w:sz w:val="24"/>
              </w:rPr>
            </w:pPr>
            <w:r>
              <w:rPr>
                <w:rFonts w:ascii="Times New Roman"/>
                <w:b/>
                <w:sz w:val="24"/>
              </w:rPr>
              <w:t>(6)</w:t>
            </w:r>
          </w:p>
        </w:tc>
      </w:tr>
      <w:tr>
        <w:trPr>
          <w:trHeight w:val="443" w:hRule="exact"/>
        </w:trPr>
        <w:tc>
          <w:tcPr>
            <w:tcW w:w="643" w:type="dxa"/>
          </w:tcPr>
          <w:p>
            <w:pPr>
              <w:pStyle w:val="TableParagraph"/>
              <w:spacing w:before="56"/>
              <w:ind w:left="35"/>
              <w:jc w:val="left"/>
              <w:rPr>
                <w:rFonts w:ascii="Times New Roman" w:hAnsi="Times New Roman"/>
                <w:sz w:val="16"/>
              </w:rPr>
            </w:pPr>
            <w:r>
              <w:rPr>
                <w:rFonts w:ascii="Times New Roman" w:hAnsi="Times New Roman"/>
                <w:i/>
                <w:w w:val="244"/>
                <w:sz w:val="24"/>
              </w:rPr>
              <w:t> </w:t>
            </w:r>
            <w:r>
              <w:rPr>
                <w:rFonts w:ascii="Times New Roman" w:hAnsi="Times New Roman"/>
                <w:i/>
                <w:sz w:val="24"/>
              </w:rPr>
              <w:t> </w:t>
            </w:r>
            <w:r>
              <w:rPr>
                <w:rFonts w:ascii="Times New Roman" w:hAnsi="Times New Roman"/>
                <w:sz w:val="24"/>
              </w:rPr>
              <w:t>= α</w:t>
            </w:r>
            <w:r>
              <w:rPr>
                <w:rFonts w:ascii="Times New Roman" w:hAnsi="Times New Roman"/>
                <w:position w:val="-2"/>
                <w:sz w:val="16"/>
              </w:rPr>
              <w:t>i</w:t>
            </w:r>
          </w:p>
        </w:tc>
        <w:tc>
          <w:tcPr>
            <w:tcW w:w="3862" w:type="dxa"/>
          </w:tcPr>
          <w:p>
            <w:pPr>
              <w:pStyle w:val="TableParagraph"/>
              <w:spacing w:before="56"/>
              <w:ind w:left="64"/>
              <w:jc w:val="left"/>
              <w:rPr>
                <w:rFonts w:ascii="Times New Roman" w:hAnsi="Times New Roman"/>
                <w:sz w:val="16"/>
              </w:rPr>
            </w:pPr>
            <w:r>
              <w:rPr>
                <w:rFonts w:ascii="Times New Roman" w:hAnsi="Times New Roman"/>
                <w:sz w:val="24"/>
              </w:rPr>
              <w:t>+ α</w:t>
            </w:r>
            <w:r>
              <w:rPr>
                <w:rFonts w:ascii="Times New Roman" w:hAnsi="Times New Roman"/>
                <w:position w:val="-2"/>
                <w:sz w:val="16"/>
              </w:rPr>
              <w:t>1 </w:t>
            </w:r>
            <w:r>
              <w:rPr>
                <w:rFonts w:ascii="Times New Roman" w:hAnsi="Times New Roman"/>
                <w:sz w:val="24"/>
              </w:rPr>
              <w:t>ẏ</w:t>
            </w:r>
            <w:r>
              <w:rPr>
                <w:rFonts w:ascii="Times New Roman" w:hAnsi="Times New Roman"/>
                <w:position w:val="-2"/>
                <w:sz w:val="16"/>
              </w:rPr>
              <w:t>35 </w:t>
            </w:r>
            <w:r>
              <w:rPr>
                <w:rFonts w:ascii="Times New Roman" w:hAnsi="Times New Roman"/>
                <w:sz w:val="24"/>
              </w:rPr>
              <w:t>+ α</w:t>
            </w:r>
            <w:r>
              <w:rPr>
                <w:rFonts w:ascii="Times New Roman" w:hAnsi="Times New Roman"/>
                <w:position w:val="-2"/>
                <w:sz w:val="16"/>
              </w:rPr>
              <w:t>2 </w:t>
            </w:r>
            <w:r>
              <w:rPr>
                <w:rFonts w:ascii="Times New Roman" w:hAnsi="Times New Roman"/>
                <w:sz w:val="24"/>
              </w:rPr>
              <w:t>ẏ</w:t>
            </w:r>
            <w:r>
              <w:rPr>
                <w:rFonts w:ascii="Times New Roman" w:hAnsi="Times New Roman"/>
                <w:position w:val="-2"/>
                <w:sz w:val="16"/>
              </w:rPr>
              <w:t>38 </w:t>
            </w:r>
            <w:r>
              <w:rPr>
                <w:rFonts w:ascii="Times New Roman" w:hAnsi="Times New Roman"/>
                <w:sz w:val="24"/>
              </w:rPr>
              <w:t>+ </w:t>
            </w:r>
            <w:r>
              <w:rPr>
                <w:rFonts w:ascii="Times New Roman" w:hAnsi="Times New Roman"/>
                <w:i/>
                <w:sz w:val="24"/>
              </w:rPr>
              <w:t>v</w:t>
            </w:r>
            <w:r>
              <w:rPr>
                <w:rFonts w:ascii="Times New Roman" w:hAnsi="Times New Roman"/>
                <w:position w:val="-2"/>
                <w:sz w:val="16"/>
              </w:rPr>
              <w:t>it</w:t>
            </w:r>
          </w:p>
        </w:tc>
        <w:tc>
          <w:tcPr>
            <w:tcW w:w="2219" w:type="dxa"/>
          </w:tcPr>
          <w:p>
            <w:pPr>
              <w:pStyle w:val="TableParagraph"/>
              <w:spacing w:before="56"/>
              <w:ind w:right="33"/>
              <w:rPr>
                <w:rFonts w:ascii="Times New Roman"/>
                <w:b/>
                <w:sz w:val="24"/>
              </w:rPr>
            </w:pPr>
            <w:r>
              <w:rPr>
                <w:rFonts w:ascii="Times New Roman"/>
                <w:b/>
                <w:sz w:val="24"/>
              </w:rPr>
              <w:t>(7)</w:t>
            </w:r>
          </w:p>
        </w:tc>
      </w:tr>
    </w:tbl>
    <w:p>
      <w:pPr>
        <w:pStyle w:val="BodyText"/>
        <w:rPr>
          <w:sz w:val="20"/>
        </w:rPr>
      </w:pPr>
    </w:p>
    <w:p>
      <w:pPr>
        <w:pStyle w:val="BodyText"/>
        <w:rPr>
          <w:sz w:val="20"/>
        </w:rPr>
      </w:pPr>
    </w:p>
    <w:p>
      <w:pPr>
        <w:pStyle w:val="BodyText"/>
        <w:spacing w:before="1"/>
        <w:rPr>
          <w:sz w:val="29"/>
        </w:rPr>
      </w:pPr>
    </w:p>
    <w:p>
      <w:pPr>
        <w:pStyle w:val="Heading2"/>
        <w:spacing w:before="69"/>
        <w:ind w:left="830" w:right="243"/>
      </w:pPr>
      <w:r>
        <w:rPr/>
        <w:t>Donde:</w:t>
      </w:r>
    </w:p>
    <w:p>
      <w:pPr>
        <w:pStyle w:val="BodyText"/>
        <w:spacing w:before="146"/>
        <w:ind w:left="830" w:right="243"/>
      </w:pPr>
      <w:r>
        <w:rPr>
          <w:i/>
          <w:w w:val="244"/>
        </w:rPr>
        <w:t> </w:t>
      </w:r>
      <w:r>
        <w:rPr>
          <w:i/>
        </w:rPr>
        <w:t> </w:t>
      </w:r>
      <w:r>
        <w:rPr/>
        <w:t>= tasa de crecimiento de la productividad manufacturera.</w:t>
      </w:r>
    </w:p>
    <w:p>
      <w:pPr>
        <w:pStyle w:val="BodyText"/>
        <w:spacing w:line="360" w:lineRule="auto" w:before="141"/>
        <w:ind w:left="122" w:right="243" w:firstLine="707"/>
      </w:pPr>
      <w:r>
        <w:rPr/>
        <w:t>ẏ = tasa de crecimiento del valor agregado total, así como del subsector 35 y 38, respectivamente.</w:t>
      </w:r>
    </w:p>
    <w:p>
      <w:pPr>
        <w:pStyle w:val="BodyText"/>
      </w:pPr>
    </w:p>
    <w:p>
      <w:pPr>
        <w:pStyle w:val="Heading2"/>
        <w:spacing w:before="148"/>
        <w:ind w:left="122" w:right="243"/>
      </w:pPr>
      <w:r>
        <w:rPr/>
        <w:t>4.3 Información estadística</w:t>
      </w:r>
    </w:p>
    <w:p>
      <w:pPr>
        <w:pStyle w:val="BodyText"/>
        <w:spacing w:line="360" w:lineRule="auto" w:before="132"/>
        <w:ind w:left="122" w:right="118"/>
      </w:pPr>
      <w:r>
        <w:rPr/>
        <w:t>Los datos fueron tomados de los Censos Industriales y Económicos que publica INEGI, de los años: 1976, 1981, 1986, 1989, 1994, 1999, 2003 y 2008. Es importante señalar que la</w:t>
      </w:r>
    </w:p>
    <w:p>
      <w:pPr>
        <w:pStyle w:val="BodyText"/>
        <w:rPr>
          <w:sz w:val="20"/>
        </w:rPr>
      </w:pPr>
    </w:p>
    <w:p>
      <w:pPr>
        <w:pStyle w:val="BodyText"/>
        <w:rPr>
          <w:sz w:val="20"/>
        </w:rPr>
      </w:pPr>
    </w:p>
    <w:p>
      <w:pPr>
        <w:pStyle w:val="BodyText"/>
        <w:rPr>
          <w:sz w:val="20"/>
        </w:rPr>
      </w:pPr>
    </w:p>
    <w:p>
      <w:pPr>
        <w:pStyle w:val="BodyText"/>
        <w:spacing w:before="7"/>
        <w:rPr>
          <w:sz w:val="23"/>
        </w:rPr>
      </w:pPr>
      <w:r>
        <w:rPr/>
        <w:pict>
          <v:line style="position:absolute;mso-position-horizontal-relative:page;mso-position-vertical-relative:paragraph;z-index:3232;mso-wrap-distance-left:0;mso-wrap-distance-right:0" from="85.103996pt,15.898685pt" to="229.123996pt,15.898685pt" stroked="true" strokeweight=".72003pt" strokecolor="#000000">
            <w10:wrap type="topAndBottom"/>
          </v:line>
        </w:pict>
      </w:r>
    </w:p>
    <w:p>
      <w:pPr>
        <w:spacing w:before="42"/>
        <w:ind w:left="122" w:right="243" w:firstLine="0"/>
        <w:jc w:val="left"/>
        <w:rPr>
          <w:sz w:val="20"/>
        </w:rPr>
      </w:pPr>
      <w:r>
        <w:rPr>
          <w:position w:val="9"/>
          <w:sz w:val="13"/>
        </w:rPr>
        <w:t>82  </w:t>
      </w:r>
      <w:r>
        <w:rPr>
          <w:sz w:val="20"/>
        </w:rPr>
        <w:t>Véanse McCombie y de Ridder (1983); Bernart (1996) y Stilianos y Tsagdis (2006), entre otros.</w:t>
      </w:r>
    </w:p>
    <w:p>
      <w:pPr>
        <w:spacing w:after="0"/>
        <w:jc w:val="left"/>
        <w:rPr>
          <w:sz w:val="20"/>
        </w:rPr>
        <w:sectPr>
          <w:pgSz w:w="12240" w:h="15840"/>
          <w:pgMar w:header="0" w:footer="1003" w:top="1360" w:bottom="1200" w:left="1580" w:right="1580"/>
        </w:sectPr>
      </w:pPr>
    </w:p>
    <w:p>
      <w:pPr>
        <w:pStyle w:val="BodyText"/>
        <w:spacing w:line="360" w:lineRule="auto" w:before="55"/>
        <w:ind w:left="122" w:right="114"/>
        <w:jc w:val="both"/>
      </w:pPr>
      <w:r>
        <w:rPr/>
        <w:t>información de los censos industriales es heterogénea y presenta datos muy atípicos</w:t>
      </w:r>
      <w:r>
        <w:rPr>
          <w:position w:val="11"/>
          <w:sz w:val="16"/>
        </w:rPr>
        <w:t>83 </w:t>
      </w:r>
      <w:r>
        <w:rPr/>
        <w:t>que no corresponden a una realidad económica. Es difícil creer que algunos municipios no produzcan nada, tal es el caso del censo industrial de 1970, donde algunos municipios presentan un valor agregado de cero. En este sentido, inicialmente se había incluido el año de 1970, pero se omitió debido a todas las irregularidades que se presentan a nivel municipal. No está por demás mencionar que se ha dificultado tener una serie homogénea para todas las variables de</w:t>
      </w:r>
      <w:r>
        <w:rPr>
          <w:spacing w:val="-7"/>
        </w:rPr>
        <w:t> </w:t>
      </w:r>
      <w:r>
        <w:rPr/>
        <w:t>estudio.</w:t>
      </w:r>
    </w:p>
    <w:p>
      <w:pPr>
        <w:pStyle w:val="BodyText"/>
        <w:spacing w:line="360" w:lineRule="auto" w:before="6"/>
        <w:ind w:left="122" w:right="120" w:firstLine="707"/>
        <w:jc w:val="both"/>
      </w:pPr>
      <w:r>
        <w:rPr/>
        <w:t>Al respecto en el anexo 3 se presentan las gráficas de correlación entre las variables de productividad en el sector manufacturero y el valor agregado del mismo subsector, así como entre el subsector 35; Sustancias químicas, productos de petróleo y carbón, hule y plásticos y el 38; Productos metálicos, maquinaria y equipo. En la región Valle de México, el único coeficiente de correlación cercano a uno es para la productividad y el valor agregado. También se observa una relación positiva entre el valor agregado total manufacturero y el valor agregado del subsector 38.</w:t>
      </w:r>
    </w:p>
    <w:p>
      <w:pPr>
        <w:pStyle w:val="BodyText"/>
        <w:spacing w:line="360" w:lineRule="auto" w:before="4"/>
        <w:ind w:left="122" w:right="120" w:firstLine="707"/>
        <w:jc w:val="both"/>
      </w:pPr>
      <w:r>
        <w:rPr/>
        <w:t>Por su parte en la región Toluca-Lerma la relación entre la productividad del subsector manufacturero y el valor agregado es positiva, sin embargo, todas las demás gráficas muestran un coeficiente de correlación cercano a cero, a excepción de la relación entre el valor agregado total y el valor agregado del subsector 38, con un coeficiente de correlación cercano a uno.</w:t>
      </w:r>
    </w:p>
    <w:p>
      <w:pPr>
        <w:pStyle w:val="BodyText"/>
        <w:spacing w:line="360" w:lineRule="auto" w:before="6"/>
        <w:ind w:left="122" w:right="120" w:firstLine="707"/>
        <w:jc w:val="both"/>
      </w:pPr>
      <w:r>
        <w:rPr/>
        <w:t>Cuando se grafican todos los municipios en conjunto de ambas regiones se obtiene como resultado: que el coeficiente de correlación entre la productividad del sector manufacturero y el valor agregado es cercano a uno, al igual que la relación entre el valor agregado total y el valor agregado del subsector 38.</w:t>
      </w:r>
    </w:p>
    <w:p>
      <w:pPr>
        <w:pStyle w:val="BodyText"/>
        <w:spacing w:line="360" w:lineRule="auto" w:before="6"/>
        <w:ind w:left="122" w:right="122" w:firstLine="707"/>
        <w:jc w:val="both"/>
      </w:pPr>
      <w:r>
        <w:rPr/>
        <w:t>El hecho de que el coeficiente de correlación sea cero, no necesariamente significa que las dos variables sean independientes, puede existir una posible relación entre la variable dependiente y la variable explicativa. Un coeficiente de correlación de uno significa un ajuste casi perfecto entre ambas</w:t>
      </w:r>
      <w:r>
        <w:rPr>
          <w:spacing w:val="-7"/>
        </w:rPr>
        <w:t> </w:t>
      </w:r>
      <w:r>
        <w:rPr/>
        <w:t>variables.</w:t>
      </w:r>
    </w:p>
    <w:p>
      <w:pPr>
        <w:pStyle w:val="BodyText"/>
        <w:spacing w:line="360" w:lineRule="auto" w:before="6"/>
        <w:ind w:left="122" w:right="117" w:firstLine="707"/>
        <w:jc w:val="both"/>
      </w:pPr>
      <w:r>
        <w:rPr/>
        <w:t>Por otro lado, en el cuadro 4.1 se presenta el cálculo de la media y la desviación estándar de las variables que se utilizan para estimar el modelo: la productividad laboral,  el</w:t>
      </w:r>
    </w:p>
    <w:p>
      <w:pPr>
        <w:pStyle w:val="BodyText"/>
        <w:spacing w:before="3"/>
        <w:rPr>
          <w:sz w:val="14"/>
        </w:rPr>
      </w:pPr>
      <w:r>
        <w:rPr/>
        <w:pict>
          <v:line style="position:absolute;mso-position-horizontal-relative:page;mso-position-vertical-relative:paragraph;z-index:3256;mso-wrap-distance-left:0;mso-wrap-distance-right:0" from="85.103996pt,10.559782pt" to="229.123996pt,10.559782pt" stroked="true" strokeweight=".71997pt" strokecolor="#000000">
            <w10:wrap type="topAndBottom"/>
          </v:line>
        </w:pict>
      </w:r>
    </w:p>
    <w:p>
      <w:pPr>
        <w:spacing w:before="42"/>
        <w:ind w:left="122" w:right="122" w:firstLine="0"/>
        <w:jc w:val="both"/>
        <w:rPr>
          <w:sz w:val="20"/>
        </w:rPr>
      </w:pPr>
      <w:r>
        <w:rPr>
          <w:position w:val="9"/>
          <w:sz w:val="13"/>
        </w:rPr>
        <w:t>83 </w:t>
      </w:r>
      <w:r>
        <w:rPr>
          <w:sz w:val="20"/>
        </w:rPr>
        <w:t>Por ejemplo, Tultitlán el cual en 1985 tuvo una producción de -849,823 miles de pesos a precios de 2003, y para 1988 de 302,624,853. La Paz, en 1985 tuvo una producción de 353,712,842 miles de pesos y en 1988 de 1,146,878,474 miles de pesos.</w:t>
      </w:r>
    </w:p>
    <w:p>
      <w:pPr>
        <w:spacing w:after="0"/>
        <w:jc w:val="both"/>
        <w:rPr>
          <w:sz w:val="20"/>
        </w:rPr>
        <w:sectPr>
          <w:pgSz w:w="12240" w:h="15840"/>
          <w:pgMar w:header="0" w:footer="1003" w:top="1320" w:bottom="1200" w:left="1580" w:right="1580"/>
        </w:sectPr>
      </w:pPr>
    </w:p>
    <w:p>
      <w:pPr>
        <w:pStyle w:val="BodyText"/>
        <w:spacing w:line="360" w:lineRule="auto" w:before="50"/>
        <w:ind w:left="102" w:right="256"/>
        <w:jc w:val="both"/>
      </w:pPr>
      <w:r>
        <w:rPr/>
        <w:t>valor agregado manufacturero total, así como del subsector 35 y 38. La medición de la variabilidad de cada serie con respecto a su media es relevante debido a que permite conocer que tan volátil es cada una de ellas con respecto a su media, lo cual se mide a través de la varianza o desviación estándar, ésta da una indicación de que tan cercanos o dispersos están los valores individuales de cada variable con respecto al</w:t>
      </w:r>
      <w:r>
        <w:rPr>
          <w:spacing w:val="-9"/>
        </w:rPr>
        <w:t> </w:t>
      </w:r>
      <w:r>
        <w:rPr/>
        <w:t>promedio.</w:t>
      </w:r>
    </w:p>
    <w:p>
      <w:pPr>
        <w:spacing w:line="285" w:lineRule="auto" w:before="39"/>
        <w:ind w:left="851" w:right="6547" w:firstLine="0"/>
        <w:jc w:val="left"/>
        <w:rPr>
          <w:rFonts w:ascii="Arial" w:hAnsi="Arial"/>
          <w:b/>
          <w:sz w:val="17"/>
        </w:rPr>
      </w:pPr>
      <w:r>
        <w:rPr>
          <w:rFonts w:ascii="Arial" w:hAnsi="Arial"/>
          <w:b/>
          <w:sz w:val="17"/>
        </w:rPr>
        <w:t>Cuadro 4.1 </w:t>
      </w:r>
      <w:r>
        <w:rPr>
          <w:rFonts w:ascii="Arial" w:hAnsi="Arial"/>
          <w:b/>
          <w:w w:val="95"/>
          <w:sz w:val="17"/>
        </w:rPr>
        <w:t>Estadísticas básicas</w:t>
      </w:r>
    </w:p>
    <w:p>
      <w:pPr>
        <w:spacing w:line="285" w:lineRule="auto" w:before="1"/>
        <w:ind w:left="851" w:right="5270" w:firstLine="0"/>
        <w:jc w:val="left"/>
        <w:rPr>
          <w:rFonts w:ascii="Arial" w:hAnsi="Arial"/>
          <w:b/>
          <w:sz w:val="17"/>
        </w:rPr>
      </w:pPr>
      <w:r>
        <w:rPr>
          <w:rFonts w:ascii="Arial" w:hAnsi="Arial"/>
          <w:b/>
          <w:sz w:val="17"/>
        </w:rPr>
        <w:t>Región</w:t>
      </w:r>
      <w:r>
        <w:rPr>
          <w:rFonts w:ascii="Arial" w:hAnsi="Arial"/>
          <w:b/>
          <w:spacing w:val="-25"/>
          <w:sz w:val="17"/>
        </w:rPr>
        <w:t> </w:t>
      </w:r>
      <w:r>
        <w:rPr>
          <w:rFonts w:ascii="Arial" w:hAnsi="Arial"/>
          <w:b/>
          <w:sz w:val="17"/>
        </w:rPr>
        <w:t>Toluca-Lerma</w:t>
      </w:r>
      <w:r>
        <w:rPr>
          <w:rFonts w:ascii="Arial" w:hAnsi="Arial"/>
          <w:b/>
          <w:spacing w:val="-25"/>
          <w:sz w:val="17"/>
        </w:rPr>
        <w:t> </w:t>
      </w:r>
      <w:r>
        <w:rPr>
          <w:rFonts w:ascii="Arial" w:hAnsi="Arial"/>
          <w:b/>
          <w:sz w:val="17"/>
        </w:rPr>
        <w:t>y</w:t>
      </w:r>
      <w:r>
        <w:rPr>
          <w:rFonts w:ascii="Arial" w:hAnsi="Arial"/>
          <w:b/>
          <w:spacing w:val="-25"/>
          <w:sz w:val="17"/>
        </w:rPr>
        <w:t> </w:t>
      </w:r>
      <w:r>
        <w:rPr>
          <w:rFonts w:ascii="Arial" w:hAnsi="Arial"/>
          <w:b/>
          <w:sz w:val="17"/>
        </w:rPr>
        <w:t>Valle</w:t>
      </w:r>
      <w:r>
        <w:rPr>
          <w:rFonts w:ascii="Arial" w:hAnsi="Arial"/>
          <w:b/>
          <w:spacing w:val="-25"/>
          <w:sz w:val="17"/>
        </w:rPr>
        <w:t> </w:t>
      </w:r>
      <w:r>
        <w:rPr>
          <w:rFonts w:ascii="Arial" w:hAnsi="Arial"/>
          <w:b/>
          <w:sz w:val="17"/>
        </w:rPr>
        <w:t>de</w:t>
      </w:r>
      <w:r>
        <w:rPr>
          <w:rFonts w:ascii="Arial" w:hAnsi="Arial"/>
          <w:b/>
          <w:spacing w:val="-25"/>
          <w:sz w:val="17"/>
        </w:rPr>
        <w:t> </w:t>
      </w:r>
      <w:r>
        <w:rPr>
          <w:rFonts w:ascii="Arial" w:hAnsi="Arial"/>
          <w:b/>
          <w:sz w:val="17"/>
        </w:rPr>
        <w:t>México 1975-2008</w:t>
      </w:r>
    </w:p>
    <w:p>
      <w:pPr>
        <w:pStyle w:val="BodyText"/>
        <w:rPr>
          <w:rFonts w:ascii="Arial"/>
          <w:b/>
          <w:sz w:val="20"/>
        </w:rPr>
      </w:pPr>
    </w:p>
    <w:p>
      <w:pPr>
        <w:pStyle w:val="BodyText"/>
        <w:rPr>
          <w:rFonts w:ascii="Arial"/>
          <w:b/>
          <w:sz w:val="16"/>
        </w:rPr>
      </w:pPr>
    </w:p>
    <w:tbl>
      <w:tblPr>
        <w:tblW w:w="0" w:type="auto"/>
        <w:jc w:val="left"/>
        <w:tblInd w:w="8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6"/>
        <w:gridCol w:w="619"/>
        <w:gridCol w:w="619"/>
        <w:gridCol w:w="620"/>
        <w:gridCol w:w="619"/>
        <w:gridCol w:w="619"/>
        <w:gridCol w:w="619"/>
        <w:gridCol w:w="620"/>
        <w:gridCol w:w="619"/>
        <w:gridCol w:w="619"/>
        <w:gridCol w:w="619"/>
        <w:gridCol w:w="619"/>
        <w:gridCol w:w="620"/>
      </w:tblGrid>
      <w:tr>
        <w:trPr>
          <w:trHeight w:val="221" w:hRule="exact"/>
        </w:trPr>
        <w:tc>
          <w:tcPr>
            <w:tcW w:w="826" w:type="dxa"/>
            <w:vMerge w:val="restart"/>
            <w:tcBorders>
              <w:left w:val="single" w:sz="4" w:space="0" w:color="000000"/>
              <w:right w:val="single" w:sz="4" w:space="0" w:color="000000"/>
            </w:tcBorders>
            <w:shd w:val="clear" w:color="auto" w:fill="DDD9C3"/>
          </w:tcPr>
          <w:p>
            <w:pPr>
              <w:pStyle w:val="TableParagraph"/>
              <w:spacing w:before="4"/>
              <w:jc w:val="left"/>
              <w:rPr>
                <w:b/>
                <w:sz w:val="20"/>
              </w:rPr>
            </w:pPr>
          </w:p>
          <w:p>
            <w:pPr>
              <w:pStyle w:val="TableParagraph"/>
              <w:ind w:left="20"/>
              <w:jc w:val="left"/>
              <w:rPr>
                <w:rFonts w:ascii="Calibri" w:hAnsi="Calibri"/>
                <w:b/>
                <w:sz w:val="16"/>
              </w:rPr>
            </w:pPr>
            <w:r>
              <w:rPr>
                <w:rFonts w:ascii="Calibri" w:hAnsi="Calibri"/>
                <w:b/>
                <w:sz w:val="16"/>
              </w:rPr>
              <w:t>Estadísticas</w:t>
            </w:r>
          </w:p>
        </w:tc>
        <w:tc>
          <w:tcPr>
            <w:tcW w:w="2478" w:type="dxa"/>
            <w:gridSpan w:val="4"/>
            <w:tcBorders>
              <w:left w:val="single" w:sz="4" w:space="0" w:color="000000"/>
              <w:bottom w:val="single" w:sz="5" w:space="0" w:color="000000"/>
              <w:right w:val="single" w:sz="4" w:space="0" w:color="000000"/>
            </w:tcBorders>
            <w:shd w:val="clear" w:color="auto" w:fill="DDD9C3"/>
          </w:tcPr>
          <w:p>
            <w:pPr>
              <w:pStyle w:val="TableParagraph"/>
              <w:spacing w:before="13"/>
              <w:ind w:left="567"/>
              <w:jc w:val="left"/>
              <w:rPr>
                <w:rFonts w:ascii="Calibri" w:hAnsi="Calibri"/>
                <w:b/>
                <w:sz w:val="16"/>
              </w:rPr>
            </w:pPr>
            <w:r>
              <w:rPr>
                <w:rFonts w:ascii="Calibri" w:hAnsi="Calibri"/>
                <w:b/>
                <w:w w:val="95"/>
                <w:sz w:val="16"/>
              </w:rPr>
              <w:t>Región Toluca-Lerma</w:t>
            </w:r>
          </w:p>
        </w:tc>
        <w:tc>
          <w:tcPr>
            <w:tcW w:w="2477" w:type="dxa"/>
            <w:gridSpan w:val="4"/>
            <w:tcBorders>
              <w:left w:val="single" w:sz="4" w:space="0" w:color="000000"/>
              <w:bottom w:val="single" w:sz="5" w:space="0" w:color="000000"/>
              <w:right w:val="single" w:sz="4" w:space="0" w:color="000000"/>
            </w:tcBorders>
            <w:shd w:val="clear" w:color="auto" w:fill="DDD9C3"/>
          </w:tcPr>
          <w:p>
            <w:pPr>
              <w:pStyle w:val="TableParagraph"/>
              <w:spacing w:before="13"/>
              <w:ind w:left="485"/>
              <w:jc w:val="left"/>
              <w:rPr>
                <w:rFonts w:ascii="Calibri" w:hAnsi="Calibri"/>
                <w:b/>
                <w:sz w:val="16"/>
              </w:rPr>
            </w:pPr>
            <w:r>
              <w:rPr>
                <w:rFonts w:ascii="Calibri" w:hAnsi="Calibri"/>
                <w:b/>
                <w:sz w:val="16"/>
              </w:rPr>
              <w:t>Región Valle de México</w:t>
            </w:r>
          </w:p>
        </w:tc>
        <w:tc>
          <w:tcPr>
            <w:tcW w:w="2478" w:type="dxa"/>
            <w:gridSpan w:val="4"/>
            <w:tcBorders>
              <w:left w:val="single" w:sz="4" w:space="0" w:color="000000"/>
              <w:bottom w:val="single" w:sz="5" w:space="0" w:color="000000"/>
              <w:right w:val="single" w:sz="4" w:space="0" w:color="000000"/>
            </w:tcBorders>
            <w:shd w:val="clear" w:color="auto" w:fill="DDD9C3"/>
          </w:tcPr>
          <w:p>
            <w:pPr>
              <w:pStyle w:val="TableParagraph"/>
              <w:spacing w:before="13"/>
              <w:ind w:left="722"/>
              <w:jc w:val="left"/>
              <w:rPr>
                <w:rFonts w:ascii="Calibri"/>
                <w:b/>
                <w:sz w:val="16"/>
              </w:rPr>
            </w:pPr>
            <w:r>
              <w:rPr>
                <w:rFonts w:ascii="Calibri"/>
                <w:b/>
                <w:w w:val="95"/>
                <w:sz w:val="16"/>
              </w:rPr>
              <w:t>Ambas regiones</w:t>
            </w:r>
          </w:p>
        </w:tc>
      </w:tr>
      <w:tr>
        <w:trPr>
          <w:trHeight w:val="221" w:hRule="exact"/>
        </w:trPr>
        <w:tc>
          <w:tcPr>
            <w:tcW w:w="826" w:type="dxa"/>
            <w:vMerge/>
            <w:tcBorders>
              <w:left w:val="single" w:sz="4" w:space="0" w:color="000000"/>
              <w:right w:val="single" w:sz="4" w:space="0" w:color="000000"/>
            </w:tcBorders>
            <w:shd w:val="clear" w:color="auto" w:fill="DDD9C3"/>
          </w:tcPr>
          <w:p>
            <w:pPr/>
          </w:p>
        </w:tc>
        <w:tc>
          <w:tcPr>
            <w:tcW w:w="619" w:type="dxa"/>
            <w:tcBorders>
              <w:top w:val="single" w:sz="5" w:space="0" w:color="000000"/>
              <w:left w:val="single" w:sz="4" w:space="0" w:color="000000"/>
              <w:right w:val="single" w:sz="4" w:space="0" w:color="000000"/>
            </w:tcBorders>
            <w:shd w:val="clear" w:color="auto" w:fill="DDD9C3"/>
          </w:tcPr>
          <w:p>
            <w:pPr>
              <w:pStyle w:val="TableParagraph"/>
              <w:spacing w:before="13"/>
              <w:ind w:left="82"/>
              <w:jc w:val="left"/>
              <w:rPr>
                <w:rFonts w:ascii="Calibri"/>
                <w:b/>
                <w:sz w:val="16"/>
              </w:rPr>
            </w:pPr>
            <w:r>
              <w:rPr>
                <w:rFonts w:ascii="Calibri"/>
                <w:b/>
                <w:sz w:val="16"/>
              </w:rPr>
              <w:t>Produc</w:t>
            </w:r>
          </w:p>
        </w:tc>
        <w:tc>
          <w:tcPr>
            <w:tcW w:w="619" w:type="dxa"/>
            <w:tcBorders>
              <w:top w:val="single" w:sz="5" w:space="0" w:color="000000"/>
              <w:left w:val="single" w:sz="4" w:space="0" w:color="000000"/>
              <w:right w:val="single" w:sz="4" w:space="0" w:color="000000"/>
            </w:tcBorders>
            <w:shd w:val="clear" w:color="auto" w:fill="DDD9C3"/>
          </w:tcPr>
          <w:p>
            <w:pPr>
              <w:pStyle w:val="TableParagraph"/>
              <w:spacing w:before="13"/>
              <w:ind w:left="194" w:right="182"/>
              <w:jc w:val="center"/>
              <w:rPr>
                <w:rFonts w:ascii="Calibri"/>
                <w:b/>
                <w:sz w:val="16"/>
              </w:rPr>
            </w:pPr>
            <w:r>
              <w:rPr>
                <w:rFonts w:ascii="Calibri"/>
                <w:b/>
                <w:sz w:val="16"/>
              </w:rPr>
              <w:t>VA</w:t>
            </w:r>
          </w:p>
        </w:tc>
        <w:tc>
          <w:tcPr>
            <w:tcW w:w="620" w:type="dxa"/>
            <w:tcBorders>
              <w:top w:val="single" w:sz="5" w:space="0" w:color="000000"/>
              <w:left w:val="single" w:sz="4" w:space="0" w:color="000000"/>
              <w:right w:val="single" w:sz="4" w:space="0" w:color="000000"/>
            </w:tcBorders>
            <w:shd w:val="clear" w:color="auto" w:fill="DDD9C3"/>
          </w:tcPr>
          <w:p>
            <w:pPr>
              <w:pStyle w:val="TableParagraph"/>
              <w:spacing w:before="13"/>
              <w:ind w:left="124"/>
              <w:jc w:val="left"/>
              <w:rPr>
                <w:rFonts w:ascii="Calibri"/>
                <w:b/>
                <w:sz w:val="16"/>
              </w:rPr>
            </w:pPr>
            <w:r>
              <w:rPr>
                <w:rFonts w:ascii="Calibri"/>
                <w:b/>
                <w:sz w:val="16"/>
              </w:rPr>
              <w:t>VA 35</w:t>
            </w:r>
          </w:p>
        </w:tc>
        <w:tc>
          <w:tcPr>
            <w:tcW w:w="619" w:type="dxa"/>
            <w:tcBorders>
              <w:top w:val="single" w:sz="5" w:space="0" w:color="000000"/>
              <w:left w:val="single" w:sz="4" w:space="0" w:color="000000"/>
              <w:right w:val="single" w:sz="4" w:space="0" w:color="000000"/>
            </w:tcBorders>
            <w:shd w:val="clear" w:color="auto" w:fill="DDD9C3"/>
          </w:tcPr>
          <w:p>
            <w:pPr>
              <w:pStyle w:val="TableParagraph"/>
              <w:spacing w:before="13"/>
              <w:ind w:left="123"/>
              <w:jc w:val="left"/>
              <w:rPr>
                <w:rFonts w:ascii="Calibri"/>
                <w:b/>
                <w:sz w:val="16"/>
              </w:rPr>
            </w:pPr>
            <w:r>
              <w:rPr>
                <w:rFonts w:ascii="Calibri"/>
                <w:b/>
                <w:sz w:val="16"/>
              </w:rPr>
              <w:t>VA 38</w:t>
            </w:r>
          </w:p>
        </w:tc>
        <w:tc>
          <w:tcPr>
            <w:tcW w:w="619" w:type="dxa"/>
            <w:tcBorders>
              <w:top w:val="single" w:sz="5" w:space="0" w:color="000000"/>
              <w:left w:val="single" w:sz="4" w:space="0" w:color="000000"/>
              <w:right w:val="single" w:sz="4" w:space="0" w:color="000000"/>
            </w:tcBorders>
            <w:shd w:val="clear" w:color="auto" w:fill="DDD9C3"/>
          </w:tcPr>
          <w:p>
            <w:pPr>
              <w:pStyle w:val="TableParagraph"/>
              <w:spacing w:before="13"/>
              <w:ind w:right="78"/>
              <w:rPr>
                <w:rFonts w:ascii="Calibri"/>
                <w:b/>
                <w:sz w:val="16"/>
              </w:rPr>
            </w:pPr>
            <w:r>
              <w:rPr>
                <w:rFonts w:ascii="Calibri"/>
                <w:b/>
                <w:w w:val="95"/>
                <w:sz w:val="16"/>
              </w:rPr>
              <w:t>Produc</w:t>
            </w:r>
          </w:p>
        </w:tc>
        <w:tc>
          <w:tcPr>
            <w:tcW w:w="619" w:type="dxa"/>
            <w:tcBorders>
              <w:top w:val="single" w:sz="5" w:space="0" w:color="000000"/>
              <w:left w:val="single" w:sz="4" w:space="0" w:color="000000"/>
              <w:right w:val="single" w:sz="4" w:space="0" w:color="000000"/>
            </w:tcBorders>
            <w:shd w:val="clear" w:color="auto" w:fill="DDD9C3"/>
          </w:tcPr>
          <w:p>
            <w:pPr>
              <w:pStyle w:val="TableParagraph"/>
              <w:spacing w:before="13"/>
              <w:ind w:left="194" w:right="182"/>
              <w:jc w:val="center"/>
              <w:rPr>
                <w:rFonts w:ascii="Calibri"/>
                <w:b/>
                <w:sz w:val="16"/>
              </w:rPr>
            </w:pPr>
            <w:r>
              <w:rPr>
                <w:rFonts w:ascii="Calibri"/>
                <w:b/>
                <w:sz w:val="16"/>
              </w:rPr>
              <w:t>VA</w:t>
            </w:r>
          </w:p>
        </w:tc>
        <w:tc>
          <w:tcPr>
            <w:tcW w:w="620" w:type="dxa"/>
            <w:tcBorders>
              <w:top w:val="single" w:sz="5" w:space="0" w:color="000000"/>
              <w:left w:val="single" w:sz="4" w:space="0" w:color="000000"/>
              <w:right w:val="single" w:sz="4" w:space="0" w:color="000000"/>
            </w:tcBorders>
            <w:shd w:val="clear" w:color="auto" w:fill="DDD9C3"/>
          </w:tcPr>
          <w:p>
            <w:pPr>
              <w:pStyle w:val="TableParagraph"/>
              <w:spacing w:before="13"/>
              <w:ind w:left="124"/>
              <w:jc w:val="left"/>
              <w:rPr>
                <w:rFonts w:ascii="Calibri"/>
                <w:b/>
                <w:sz w:val="16"/>
              </w:rPr>
            </w:pPr>
            <w:r>
              <w:rPr>
                <w:rFonts w:ascii="Calibri"/>
                <w:b/>
                <w:sz w:val="16"/>
              </w:rPr>
              <w:t>VA 35</w:t>
            </w:r>
          </w:p>
        </w:tc>
        <w:tc>
          <w:tcPr>
            <w:tcW w:w="619" w:type="dxa"/>
            <w:tcBorders>
              <w:top w:val="single" w:sz="5" w:space="0" w:color="000000"/>
              <w:left w:val="single" w:sz="4" w:space="0" w:color="000000"/>
              <w:right w:val="single" w:sz="4" w:space="0" w:color="000000"/>
            </w:tcBorders>
            <w:shd w:val="clear" w:color="auto" w:fill="DDD9C3"/>
          </w:tcPr>
          <w:p>
            <w:pPr>
              <w:pStyle w:val="TableParagraph"/>
              <w:spacing w:before="13"/>
              <w:ind w:left="123"/>
              <w:jc w:val="left"/>
              <w:rPr>
                <w:rFonts w:ascii="Calibri"/>
                <w:b/>
                <w:sz w:val="16"/>
              </w:rPr>
            </w:pPr>
            <w:r>
              <w:rPr>
                <w:rFonts w:ascii="Calibri"/>
                <w:b/>
                <w:sz w:val="16"/>
              </w:rPr>
              <w:t>VA 38</w:t>
            </w:r>
          </w:p>
        </w:tc>
        <w:tc>
          <w:tcPr>
            <w:tcW w:w="619" w:type="dxa"/>
            <w:tcBorders>
              <w:top w:val="single" w:sz="5" w:space="0" w:color="000000"/>
              <w:left w:val="single" w:sz="4" w:space="0" w:color="000000"/>
              <w:right w:val="single" w:sz="4" w:space="0" w:color="000000"/>
            </w:tcBorders>
            <w:shd w:val="clear" w:color="auto" w:fill="DDD9C3"/>
          </w:tcPr>
          <w:p>
            <w:pPr>
              <w:pStyle w:val="TableParagraph"/>
              <w:spacing w:before="13"/>
              <w:ind w:right="78"/>
              <w:rPr>
                <w:rFonts w:ascii="Calibri"/>
                <w:b/>
                <w:sz w:val="16"/>
              </w:rPr>
            </w:pPr>
            <w:r>
              <w:rPr>
                <w:rFonts w:ascii="Calibri"/>
                <w:b/>
                <w:w w:val="95"/>
                <w:sz w:val="16"/>
              </w:rPr>
              <w:t>Produc</w:t>
            </w:r>
          </w:p>
        </w:tc>
        <w:tc>
          <w:tcPr>
            <w:tcW w:w="619" w:type="dxa"/>
            <w:tcBorders>
              <w:top w:val="single" w:sz="5" w:space="0" w:color="000000"/>
              <w:left w:val="single" w:sz="4" w:space="0" w:color="000000"/>
              <w:right w:val="single" w:sz="4" w:space="0" w:color="000000"/>
            </w:tcBorders>
            <w:shd w:val="clear" w:color="auto" w:fill="DDD9C3"/>
          </w:tcPr>
          <w:p>
            <w:pPr>
              <w:pStyle w:val="TableParagraph"/>
              <w:spacing w:before="13"/>
              <w:ind w:left="194" w:right="182"/>
              <w:jc w:val="center"/>
              <w:rPr>
                <w:rFonts w:ascii="Calibri"/>
                <w:b/>
                <w:sz w:val="16"/>
              </w:rPr>
            </w:pPr>
            <w:r>
              <w:rPr>
                <w:rFonts w:ascii="Calibri"/>
                <w:b/>
                <w:sz w:val="16"/>
              </w:rPr>
              <w:t>VA</w:t>
            </w:r>
          </w:p>
        </w:tc>
        <w:tc>
          <w:tcPr>
            <w:tcW w:w="619" w:type="dxa"/>
            <w:tcBorders>
              <w:top w:val="single" w:sz="5" w:space="0" w:color="000000"/>
              <w:left w:val="single" w:sz="4" w:space="0" w:color="000000"/>
              <w:right w:val="single" w:sz="4" w:space="0" w:color="000000"/>
            </w:tcBorders>
            <w:shd w:val="clear" w:color="auto" w:fill="DDD9C3"/>
          </w:tcPr>
          <w:p>
            <w:pPr>
              <w:pStyle w:val="TableParagraph"/>
              <w:spacing w:before="13"/>
              <w:ind w:left="124"/>
              <w:jc w:val="left"/>
              <w:rPr>
                <w:rFonts w:ascii="Calibri"/>
                <w:b/>
                <w:sz w:val="16"/>
              </w:rPr>
            </w:pPr>
            <w:r>
              <w:rPr>
                <w:rFonts w:ascii="Calibri"/>
                <w:b/>
                <w:sz w:val="16"/>
              </w:rPr>
              <w:t>VA 35</w:t>
            </w:r>
          </w:p>
        </w:tc>
        <w:tc>
          <w:tcPr>
            <w:tcW w:w="620" w:type="dxa"/>
            <w:tcBorders>
              <w:top w:val="single" w:sz="5" w:space="0" w:color="000000"/>
              <w:left w:val="single" w:sz="4" w:space="0" w:color="000000"/>
              <w:right w:val="single" w:sz="4" w:space="0" w:color="000000"/>
            </w:tcBorders>
            <w:shd w:val="clear" w:color="auto" w:fill="DDD9C3"/>
          </w:tcPr>
          <w:p>
            <w:pPr>
              <w:pStyle w:val="TableParagraph"/>
              <w:spacing w:before="13"/>
              <w:ind w:left="124"/>
              <w:jc w:val="left"/>
              <w:rPr>
                <w:rFonts w:ascii="Calibri"/>
                <w:b/>
                <w:sz w:val="16"/>
              </w:rPr>
            </w:pPr>
            <w:r>
              <w:rPr>
                <w:rFonts w:ascii="Calibri"/>
                <w:b/>
                <w:sz w:val="16"/>
              </w:rPr>
              <w:t>VA 38</w:t>
            </w:r>
          </w:p>
        </w:tc>
      </w:tr>
      <w:tr>
        <w:trPr>
          <w:trHeight w:val="331" w:hRule="exact"/>
        </w:trPr>
        <w:tc>
          <w:tcPr>
            <w:tcW w:w="826" w:type="dxa"/>
            <w:tcBorders>
              <w:left w:val="single" w:sz="4" w:space="0" w:color="000000"/>
              <w:right w:val="single" w:sz="4" w:space="0" w:color="000000"/>
            </w:tcBorders>
          </w:tcPr>
          <w:p>
            <w:pPr>
              <w:pStyle w:val="TableParagraph"/>
              <w:spacing w:before="124"/>
              <w:ind w:left="206"/>
              <w:jc w:val="left"/>
              <w:rPr>
                <w:rFonts w:ascii="Calibri"/>
                <w:b/>
                <w:sz w:val="16"/>
              </w:rPr>
            </w:pPr>
            <w:r>
              <w:rPr>
                <w:rFonts w:ascii="Calibri"/>
                <w:b/>
                <w:sz w:val="16"/>
              </w:rPr>
              <w:t>Media</w:t>
            </w:r>
          </w:p>
        </w:tc>
        <w:tc>
          <w:tcPr>
            <w:tcW w:w="619" w:type="dxa"/>
            <w:tcBorders>
              <w:left w:val="single" w:sz="4" w:space="0" w:color="000000"/>
              <w:right w:val="single" w:sz="4" w:space="0" w:color="000000"/>
            </w:tcBorders>
          </w:tcPr>
          <w:p>
            <w:pPr>
              <w:pStyle w:val="TableParagraph"/>
              <w:spacing w:before="124"/>
              <w:ind w:right="12"/>
              <w:rPr>
                <w:rFonts w:ascii="Calibri"/>
                <w:sz w:val="16"/>
              </w:rPr>
            </w:pPr>
            <w:r>
              <w:rPr>
                <w:rFonts w:ascii="Calibri"/>
                <w:w w:val="95"/>
                <w:sz w:val="16"/>
              </w:rPr>
              <w:t>2.41</w:t>
            </w:r>
          </w:p>
        </w:tc>
        <w:tc>
          <w:tcPr>
            <w:tcW w:w="619" w:type="dxa"/>
            <w:tcBorders>
              <w:left w:val="single" w:sz="4" w:space="0" w:color="000000"/>
              <w:right w:val="single" w:sz="4" w:space="0" w:color="000000"/>
            </w:tcBorders>
          </w:tcPr>
          <w:p>
            <w:pPr>
              <w:pStyle w:val="TableParagraph"/>
              <w:spacing w:before="124"/>
              <w:ind w:right="12"/>
              <w:rPr>
                <w:rFonts w:ascii="Calibri"/>
                <w:sz w:val="16"/>
              </w:rPr>
            </w:pPr>
            <w:r>
              <w:rPr>
                <w:rFonts w:ascii="Calibri"/>
                <w:w w:val="95"/>
                <w:sz w:val="16"/>
              </w:rPr>
              <w:t>9.47</w:t>
            </w:r>
          </w:p>
        </w:tc>
        <w:tc>
          <w:tcPr>
            <w:tcW w:w="620" w:type="dxa"/>
            <w:tcBorders>
              <w:left w:val="single" w:sz="4" w:space="0" w:color="000000"/>
              <w:right w:val="single" w:sz="4" w:space="0" w:color="000000"/>
            </w:tcBorders>
          </w:tcPr>
          <w:p>
            <w:pPr>
              <w:pStyle w:val="TableParagraph"/>
              <w:spacing w:before="124"/>
              <w:ind w:right="12"/>
              <w:rPr>
                <w:rFonts w:ascii="Calibri"/>
                <w:sz w:val="16"/>
              </w:rPr>
            </w:pPr>
            <w:r>
              <w:rPr>
                <w:rFonts w:ascii="Calibri"/>
                <w:w w:val="95"/>
                <w:sz w:val="16"/>
              </w:rPr>
              <w:t>9.67</w:t>
            </w:r>
          </w:p>
        </w:tc>
        <w:tc>
          <w:tcPr>
            <w:tcW w:w="619" w:type="dxa"/>
            <w:tcBorders>
              <w:left w:val="single" w:sz="4" w:space="0" w:color="000000"/>
              <w:right w:val="single" w:sz="4" w:space="0" w:color="000000"/>
            </w:tcBorders>
          </w:tcPr>
          <w:p>
            <w:pPr>
              <w:pStyle w:val="TableParagraph"/>
              <w:spacing w:before="124"/>
              <w:ind w:right="12"/>
              <w:rPr>
                <w:rFonts w:ascii="Calibri"/>
                <w:sz w:val="16"/>
              </w:rPr>
            </w:pPr>
            <w:r>
              <w:rPr>
                <w:rFonts w:ascii="Calibri"/>
                <w:w w:val="95"/>
                <w:sz w:val="16"/>
              </w:rPr>
              <w:t>24.34</w:t>
            </w:r>
          </w:p>
        </w:tc>
        <w:tc>
          <w:tcPr>
            <w:tcW w:w="619" w:type="dxa"/>
            <w:tcBorders>
              <w:left w:val="single" w:sz="4" w:space="0" w:color="000000"/>
              <w:right w:val="single" w:sz="4" w:space="0" w:color="000000"/>
            </w:tcBorders>
          </w:tcPr>
          <w:p>
            <w:pPr>
              <w:pStyle w:val="TableParagraph"/>
              <w:spacing w:before="124"/>
              <w:ind w:right="12"/>
              <w:rPr>
                <w:rFonts w:ascii="Calibri"/>
                <w:sz w:val="16"/>
              </w:rPr>
            </w:pPr>
            <w:r>
              <w:rPr>
                <w:rFonts w:ascii="Calibri"/>
                <w:w w:val="95"/>
                <w:sz w:val="16"/>
              </w:rPr>
              <w:t>0.62</w:t>
            </w:r>
          </w:p>
        </w:tc>
        <w:tc>
          <w:tcPr>
            <w:tcW w:w="619" w:type="dxa"/>
            <w:tcBorders>
              <w:left w:val="single" w:sz="4" w:space="0" w:color="000000"/>
              <w:right w:val="single" w:sz="4" w:space="0" w:color="000000"/>
            </w:tcBorders>
          </w:tcPr>
          <w:p>
            <w:pPr>
              <w:pStyle w:val="TableParagraph"/>
              <w:spacing w:before="124"/>
              <w:ind w:right="12"/>
              <w:rPr>
                <w:rFonts w:ascii="Calibri"/>
                <w:sz w:val="16"/>
              </w:rPr>
            </w:pPr>
            <w:r>
              <w:rPr>
                <w:rFonts w:ascii="Calibri"/>
                <w:w w:val="95"/>
                <w:sz w:val="16"/>
              </w:rPr>
              <w:t>3.39</w:t>
            </w:r>
          </w:p>
        </w:tc>
        <w:tc>
          <w:tcPr>
            <w:tcW w:w="620" w:type="dxa"/>
            <w:tcBorders>
              <w:left w:val="single" w:sz="4" w:space="0" w:color="000000"/>
              <w:right w:val="single" w:sz="4" w:space="0" w:color="000000"/>
            </w:tcBorders>
          </w:tcPr>
          <w:p>
            <w:pPr>
              <w:pStyle w:val="TableParagraph"/>
              <w:spacing w:before="124"/>
              <w:ind w:right="12"/>
              <w:rPr>
                <w:rFonts w:ascii="Calibri"/>
                <w:sz w:val="16"/>
              </w:rPr>
            </w:pPr>
            <w:r>
              <w:rPr>
                <w:rFonts w:ascii="Calibri"/>
                <w:w w:val="95"/>
                <w:sz w:val="16"/>
              </w:rPr>
              <w:t>3.41</w:t>
            </w:r>
          </w:p>
        </w:tc>
        <w:tc>
          <w:tcPr>
            <w:tcW w:w="619" w:type="dxa"/>
            <w:tcBorders>
              <w:left w:val="single" w:sz="4" w:space="0" w:color="000000"/>
              <w:right w:val="single" w:sz="4" w:space="0" w:color="000000"/>
            </w:tcBorders>
          </w:tcPr>
          <w:p>
            <w:pPr>
              <w:pStyle w:val="TableParagraph"/>
              <w:spacing w:before="124"/>
              <w:ind w:right="12"/>
              <w:rPr>
                <w:rFonts w:ascii="Calibri"/>
                <w:sz w:val="16"/>
              </w:rPr>
            </w:pPr>
            <w:r>
              <w:rPr>
                <w:rFonts w:ascii="Calibri"/>
                <w:w w:val="95"/>
                <w:sz w:val="16"/>
              </w:rPr>
              <w:t>5.32</w:t>
            </w:r>
          </w:p>
        </w:tc>
        <w:tc>
          <w:tcPr>
            <w:tcW w:w="619" w:type="dxa"/>
            <w:tcBorders>
              <w:left w:val="single" w:sz="4" w:space="0" w:color="000000"/>
              <w:right w:val="single" w:sz="4" w:space="0" w:color="000000"/>
            </w:tcBorders>
          </w:tcPr>
          <w:p>
            <w:pPr>
              <w:pStyle w:val="TableParagraph"/>
              <w:spacing w:before="124"/>
              <w:ind w:right="12"/>
              <w:rPr>
                <w:rFonts w:ascii="Calibri"/>
                <w:sz w:val="16"/>
              </w:rPr>
            </w:pPr>
            <w:r>
              <w:rPr>
                <w:rFonts w:ascii="Calibri"/>
                <w:w w:val="95"/>
                <w:sz w:val="16"/>
              </w:rPr>
              <w:t>1.22</w:t>
            </w:r>
          </w:p>
        </w:tc>
        <w:tc>
          <w:tcPr>
            <w:tcW w:w="619" w:type="dxa"/>
            <w:tcBorders>
              <w:left w:val="single" w:sz="4" w:space="0" w:color="000000"/>
              <w:right w:val="single" w:sz="4" w:space="0" w:color="000000"/>
            </w:tcBorders>
          </w:tcPr>
          <w:p>
            <w:pPr>
              <w:pStyle w:val="TableParagraph"/>
              <w:spacing w:before="124"/>
              <w:ind w:right="12"/>
              <w:rPr>
                <w:rFonts w:ascii="Calibri"/>
                <w:sz w:val="16"/>
              </w:rPr>
            </w:pPr>
            <w:r>
              <w:rPr>
                <w:rFonts w:ascii="Calibri"/>
                <w:w w:val="95"/>
                <w:sz w:val="16"/>
              </w:rPr>
              <w:t>5.41</w:t>
            </w:r>
          </w:p>
        </w:tc>
        <w:tc>
          <w:tcPr>
            <w:tcW w:w="619" w:type="dxa"/>
            <w:tcBorders>
              <w:left w:val="single" w:sz="4" w:space="0" w:color="000000"/>
              <w:right w:val="single" w:sz="4" w:space="0" w:color="000000"/>
            </w:tcBorders>
          </w:tcPr>
          <w:p>
            <w:pPr>
              <w:pStyle w:val="TableParagraph"/>
              <w:spacing w:before="124"/>
              <w:ind w:right="12"/>
              <w:rPr>
                <w:rFonts w:ascii="Calibri"/>
                <w:sz w:val="16"/>
              </w:rPr>
            </w:pPr>
            <w:r>
              <w:rPr>
                <w:rFonts w:ascii="Calibri"/>
                <w:w w:val="95"/>
                <w:sz w:val="16"/>
              </w:rPr>
              <w:t>5.5</w:t>
            </w:r>
          </w:p>
        </w:tc>
        <w:tc>
          <w:tcPr>
            <w:tcW w:w="620" w:type="dxa"/>
            <w:tcBorders>
              <w:left w:val="single" w:sz="4" w:space="0" w:color="000000"/>
              <w:right w:val="single" w:sz="4" w:space="0" w:color="000000"/>
            </w:tcBorders>
          </w:tcPr>
          <w:p>
            <w:pPr>
              <w:pStyle w:val="TableParagraph"/>
              <w:spacing w:before="124"/>
              <w:ind w:right="12"/>
              <w:rPr>
                <w:rFonts w:ascii="Calibri"/>
                <w:sz w:val="16"/>
              </w:rPr>
            </w:pPr>
            <w:r>
              <w:rPr>
                <w:rFonts w:ascii="Calibri"/>
                <w:w w:val="95"/>
                <w:sz w:val="16"/>
              </w:rPr>
              <w:t>11.66</w:t>
            </w:r>
          </w:p>
        </w:tc>
      </w:tr>
      <w:tr>
        <w:trPr>
          <w:trHeight w:val="442" w:hRule="exact"/>
        </w:trPr>
        <w:tc>
          <w:tcPr>
            <w:tcW w:w="826" w:type="dxa"/>
            <w:tcBorders>
              <w:left w:val="single" w:sz="4" w:space="0" w:color="000000"/>
              <w:right w:val="single" w:sz="4" w:space="0" w:color="000000"/>
            </w:tcBorders>
          </w:tcPr>
          <w:p>
            <w:pPr>
              <w:pStyle w:val="TableParagraph"/>
              <w:spacing w:line="271" w:lineRule="auto" w:before="13"/>
              <w:ind w:left="134" w:right="53" w:hanging="73"/>
              <w:jc w:val="left"/>
              <w:rPr>
                <w:rFonts w:ascii="Calibri" w:hAnsi="Calibri"/>
                <w:b/>
                <w:sz w:val="16"/>
              </w:rPr>
            </w:pPr>
            <w:r>
              <w:rPr>
                <w:rFonts w:ascii="Calibri" w:hAnsi="Calibri"/>
                <w:b/>
                <w:w w:val="95"/>
                <w:sz w:val="16"/>
              </w:rPr>
              <w:t>Desviación </w:t>
            </w:r>
            <w:r>
              <w:rPr>
                <w:rFonts w:ascii="Calibri" w:hAnsi="Calibri"/>
                <w:b/>
                <w:sz w:val="16"/>
              </w:rPr>
              <w:t>estándar</w:t>
            </w:r>
          </w:p>
        </w:tc>
        <w:tc>
          <w:tcPr>
            <w:tcW w:w="619" w:type="dxa"/>
            <w:tcBorders>
              <w:left w:val="single" w:sz="4" w:space="0" w:color="000000"/>
              <w:right w:val="single" w:sz="4" w:space="0" w:color="000000"/>
            </w:tcBorders>
          </w:tcPr>
          <w:p>
            <w:pPr>
              <w:pStyle w:val="TableParagraph"/>
              <w:spacing w:before="4"/>
              <w:jc w:val="left"/>
              <w:rPr>
                <w:b/>
                <w:sz w:val="20"/>
              </w:rPr>
            </w:pPr>
          </w:p>
          <w:p>
            <w:pPr>
              <w:pStyle w:val="TableParagraph"/>
              <w:ind w:right="12"/>
              <w:rPr>
                <w:rFonts w:ascii="Calibri"/>
                <w:sz w:val="16"/>
              </w:rPr>
            </w:pPr>
            <w:r>
              <w:rPr>
                <w:rFonts w:ascii="Calibri"/>
                <w:w w:val="95"/>
                <w:sz w:val="16"/>
              </w:rPr>
              <w:t>16.62</w:t>
            </w:r>
          </w:p>
        </w:tc>
        <w:tc>
          <w:tcPr>
            <w:tcW w:w="619" w:type="dxa"/>
            <w:tcBorders>
              <w:left w:val="single" w:sz="4" w:space="0" w:color="000000"/>
              <w:right w:val="single" w:sz="4" w:space="0" w:color="000000"/>
            </w:tcBorders>
          </w:tcPr>
          <w:p>
            <w:pPr>
              <w:pStyle w:val="TableParagraph"/>
              <w:spacing w:before="4"/>
              <w:jc w:val="left"/>
              <w:rPr>
                <w:b/>
                <w:sz w:val="20"/>
              </w:rPr>
            </w:pPr>
          </w:p>
          <w:p>
            <w:pPr>
              <w:pStyle w:val="TableParagraph"/>
              <w:ind w:right="12"/>
              <w:rPr>
                <w:rFonts w:ascii="Calibri"/>
                <w:sz w:val="16"/>
              </w:rPr>
            </w:pPr>
            <w:r>
              <w:rPr>
                <w:rFonts w:ascii="Calibri"/>
                <w:w w:val="95"/>
                <w:sz w:val="16"/>
              </w:rPr>
              <w:t>19.04</w:t>
            </w:r>
          </w:p>
        </w:tc>
        <w:tc>
          <w:tcPr>
            <w:tcW w:w="620" w:type="dxa"/>
            <w:tcBorders>
              <w:left w:val="single" w:sz="4" w:space="0" w:color="000000"/>
              <w:right w:val="single" w:sz="4" w:space="0" w:color="000000"/>
            </w:tcBorders>
          </w:tcPr>
          <w:p>
            <w:pPr>
              <w:pStyle w:val="TableParagraph"/>
              <w:spacing w:before="4"/>
              <w:jc w:val="left"/>
              <w:rPr>
                <w:b/>
                <w:sz w:val="20"/>
              </w:rPr>
            </w:pPr>
          </w:p>
          <w:p>
            <w:pPr>
              <w:pStyle w:val="TableParagraph"/>
              <w:ind w:right="12"/>
              <w:rPr>
                <w:rFonts w:ascii="Calibri"/>
                <w:sz w:val="16"/>
              </w:rPr>
            </w:pPr>
            <w:r>
              <w:rPr>
                <w:rFonts w:ascii="Calibri"/>
                <w:w w:val="95"/>
                <w:sz w:val="16"/>
              </w:rPr>
              <w:t>39.69</w:t>
            </w:r>
          </w:p>
        </w:tc>
        <w:tc>
          <w:tcPr>
            <w:tcW w:w="619" w:type="dxa"/>
            <w:tcBorders>
              <w:left w:val="single" w:sz="4" w:space="0" w:color="000000"/>
              <w:right w:val="single" w:sz="4" w:space="0" w:color="000000"/>
            </w:tcBorders>
          </w:tcPr>
          <w:p>
            <w:pPr>
              <w:pStyle w:val="TableParagraph"/>
              <w:spacing w:before="4"/>
              <w:jc w:val="left"/>
              <w:rPr>
                <w:b/>
                <w:sz w:val="20"/>
              </w:rPr>
            </w:pPr>
          </w:p>
          <w:p>
            <w:pPr>
              <w:pStyle w:val="TableParagraph"/>
              <w:ind w:right="12"/>
              <w:rPr>
                <w:rFonts w:ascii="Calibri"/>
                <w:sz w:val="16"/>
              </w:rPr>
            </w:pPr>
            <w:r>
              <w:rPr>
                <w:rFonts w:ascii="Calibri"/>
                <w:w w:val="95"/>
                <w:sz w:val="16"/>
              </w:rPr>
              <w:t>88.17</w:t>
            </w:r>
          </w:p>
        </w:tc>
        <w:tc>
          <w:tcPr>
            <w:tcW w:w="619" w:type="dxa"/>
            <w:tcBorders>
              <w:left w:val="single" w:sz="4" w:space="0" w:color="000000"/>
              <w:right w:val="single" w:sz="4" w:space="0" w:color="000000"/>
            </w:tcBorders>
          </w:tcPr>
          <w:p>
            <w:pPr>
              <w:pStyle w:val="TableParagraph"/>
              <w:spacing w:before="4"/>
              <w:jc w:val="left"/>
              <w:rPr>
                <w:b/>
                <w:sz w:val="20"/>
              </w:rPr>
            </w:pPr>
          </w:p>
          <w:p>
            <w:pPr>
              <w:pStyle w:val="TableParagraph"/>
              <w:ind w:right="12"/>
              <w:rPr>
                <w:rFonts w:ascii="Calibri"/>
                <w:sz w:val="16"/>
              </w:rPr>
            </w:pPr>
            <w:r>
              <w:rPr>
                <w:rFonts w:ascii="Calibri"/>
                <w:w w:val="95"/>
                <w:sz w:val="16"/>
              </w:rPr>
              <w:t>11.81</w:t>
            </w:r>
          </w:p>
        </w:tc>
        <w:tc>
          <w:tcPr>
            <w:tcW w:w="619" w:type="dxa"/>
            <w:tcBorders>
              <w:left w:val="single" w:sz="4" w:space="0" w:color="000000"/>
              <w:right w:val="single" w:sz="4" w:space="0" w:color="000000"/>
            </w:tcBorders>
          </w:tcPr>
          <w:p>
            <w:pPr>
              <w:pStyle w:val="TableParagraph"/>
              <w:spacing w:before="4"/>
              <w:jc w:val="left"/>
              <w:rPr>
                <w:b/>
                <w:sz w:val="20"/>
              </w:rPr>
            </w:pPr>
          </w:p>
          <w:p>
            <w:pPr>
              <w:pStyle w:val="TableParagraph"/>
              <w:ind w:right="12"/>
              <w:rPr>
                <w:rFonts w:ascii="Calibri"/>
                <w:sz w:val="16"/>
              </w:rPr>
            </w:pPr>
            <w:r>
              <w:rPr>
                <w:rFonts w:ascii="Calibri"/>
                <w:w w:val="95"/>
                <w:sz w:val="16"/>
              </w:rPr>
              <w:t>12.66</w:t>
            </w:r>
          </w:p>
        </w:tc>
        <w:tc>
          <w:tcPr>
            <w:tcW w:w="620" w:type="dxa"/>
            <w:tcBorders>
              <w:left w:val="single" w:sz="4" w:space="0" w:color="000000"/>
              <w:right w:val="single" w:sz="4" w:space="0" w:color="000000"/>
            </w:tcBorders>
          </w:tcPr>
          <w:p>
            <w:pPr>
              <w:pStyle w:val="TableParagraph"/>
              <w:spacing w:before="4"/>
              <w:jc w:val="left"/>
              <w:rPr>
                <w:b/>
                <w:sz w:val="20"/>
              </w:rPr>
            </w:pPr>
          </w:p>
          <w:p>
            <w:pPr>
              <w:pStyle w:val="TableParagraph"/>
              <w:ind w:right="12"/>
              <w:rPr>
                <w:rFonts w:ascii="Calibri"/>
                <w:sz w:val="16"/>
              </w:rPr>
            </w:pPr>
            <w:r>
              <w:rPr>
                <w:rFonts w:ascii="Calibri"/>
                <w:w w:val="95"/>
                <w:sz w:val="16"/>
              </w:rPr>
              <w:t>16.1</w:t>
            </w:r>
          </w:p>
        </w:tc>
        <w:tc>
          <w:tcPr>
            <w:tcW w:w="619" w:type="dxa"/>
            <w:tcBorders>
              <w:left w:val="single" w:sz="4" w:space="0" w:color="000000"/>
              <w:right w:val="single" w:sz="4" w:space="0" w:color="000000"/>
            </w:tcBorders>
          </w:tcPr>
          <w:p>
            <w:pPr>
              <w:pStyle w:val="TableParagraph"/>
              <w:spacing w:before="4"/>
              <w:jc w:val="left"/>
              <w:rPr>
                <w:b/>
                <w:sz w:val="20"/>
              </w:rPr>
            </w:pPr>
          </w:p>
          <w:p>
            <w:pPr>
              <w:pStyle w:val="TableParagraph"/>
              <w:ind w:right="12"/>
              <w:rPr>
                <w:rFonts w:ascii="Calibri"/>
                <w:sz w:val="16"/>
              </w:rPr>
            </w:pPr>
            <w:r>
              <w:rPr>
                <w:rFonts w:ascii="Calibri"/>
                <w:w w:val="95"/>
                <w:sz w:val="16"/>
              </w:rPr>
              <w:t>41.48</w:t>
            </w:r>
          </w:p>
        </w:tc>
        <w:tc>
          <w:tcPr>
            <w:tcW w:w="619" w:type="dxa"/>
            <w:tcBorders>
              <w:left w:val="single" w:sz="4" w:space="0" w:color="000000"/>
              <w:right w:val="single" w:sz="4" w:space="0" w:color="000000"/>
            </w:tcBorders>
          </w:tcPr>
          <w:p>
            <w:pPr>
              <w:pStyle w:val="TableParagraph"/>
              <w:spacing w:before="4"/>
              <w:jc w:val="left"/>
              <w:rPr>
                <w:b/>
                <w:sz w:val="20"/>
              </w:rPr>
            </w:pPr>
          </w:p>
          <w:p>
            <w:pPr>
              <w:pStyle w:val="TableParagraph"/>
              <w:ind w:right="12"/>
              <w:rPr>
                <w:rFonts w:ascii="Calibri"/>
                <w:sz w:val="16"/>
              </w:rPr>
            </w:pPr>
            <w:r>
              <w:rPr>
                <w:rFonts w:ascii="Calibri"/>
                <w:w w:val="95"/>
                <w:sz w:val="16"/>
              </w:rPr>
              <w:t>13.55</w:t>
            </w:r>
          </w:p>
        </w:tc>
        <w:tc>
          <w:tcPr>
            <w:tcW w:w="619" w:type="dxa"/>
            <w:tcBorders>
              <w:left w:val="single" w:sz="4" w:space="0" w:color="000000"/>
              <w:right w:val="single" w:sz="4" w:space="0" w:color="000000"/>
            </w:tcBorders>
          </w:tcPr>
          <w:p>
            <w:pPr>
              <w:pStyle w:val="TableParagraph"/>
              <w:spacing w:before="4"/>
              <w:jc w:val="left"/>
              <w:rPr>
                <w:b/>
                <w:sz w:val="20"/>
              </w:rPr>
            </w:pPr>
          </w:p>
          <w:p>
            <w:pPr>
              <w:pStyle w:val="TableParagraph"/>
              <w:ind w:right="12"/>
              <w:rPr>
                <w:rFonts w:ascii="Calibri"/>
                <w:sz w:val="16"/>
              </w:rPr>
            </w:pPr>
            <w:r>
              <w:rPr>
                <w:rFonts w:ascii="Calibri"/>
                <w:w w:val="95"/>
                <w:sz w:val="16"/>
              </w:rPr>
              <w:t>15.27</w:t>
            </w:r>
          </w:p>
        </w:tc>
        <w:tc>
          <w:tcPr>
            <w:tcW w:w="619" w:type="dxa"/>
            <w:tcBorders>
              <w:left w:val="single" w:sz="4" w:space="0" w:color="000000"/>
              <w:right w:val="single" w:sz="4" w:space="0" w:color="000000"/>
            </w:tcBorders>
          </w:tcPr>
          <w:p>
            <w:pPr>
              <w:pStyle w:val="TableParagraph"/>
              <w:spacing w:before="4"/>
              <w:jc w:val="left"/>
              <w:rPr>
                <w:b/>
                <w:sz w:val="20"/>
              </w:rPr>
            </w:pPr>
          </w:p>
          <w:p>
            <w:pPr>
              <w:pStyle w:val="TableParagraph"/>
              <w:ind w:right="12"/>
              <w:rPr>
                <w:rFonts w:ascii="Calibri"/>
                <w:sz w:val="16"/>
              </w:rPr>
            </w:pPr>
            <w:r>
              <w:rPr>
                <w:rFonts w:ascii="Calibri"/>
                <w:w w:val="95"/>
                <w:sz w:val="16"/>
              </w:rPr>
              <w:t>26.36</w:t>
            </w:r>
          </w:p>
        </w:tc>
        <w:tc>
          <w:tcPr>
            <w:tcW w:w="620" w:type="dxa"/>
            <w:tcBorders>
              <w:left w:val="single" w:sz="4" w:space="0" w:color="000000"/>
              <w:right w:val="single" w:sz="4" w:space="0" w:color="000000"/>
            </w:tcBorders>
          </w:tcPr>
          <w:p>
            <w:pPr>
              <w:pStyle w:val="TableParagraph"/>
              <w:spacing w:before="4"/>
              <w:jc w:val="left"/>
              <w:rPr>
                <w:b/>
                <w:sz w:val="20"/>
              </w:rPr>
            </w:pPr>
          </w:p>
          <w:p>
            <w:pPr>
              <w:pStyle w:val="TableParagraph"/>
              <w:ind w:right="12"/>
              <w:rPr>
                <w:rFonts w:ascii="Calibri"/>
                <w:sz w:val="16"/>
              </w:rPr>
            </w:pPr>
            <w:r>
              <w:rPr>
                <w:rFonts w:ascii="Calibri"/>
                <w:w w:val="95"/>
                <w:sz w:val="16"/>
              </w:rPr>
              <w:t>61.35</w:t>
            </w:r>
          </w:p>
        </w:tc>
      </w:tr>
    </w:tbl>
    <w:p>
      <w:pPr>
        <w:pStyle w:val="BodyText"/>
        <w:spacing w:before="5"/>
        <w:rPr>
          <w:rFonts w:ascii="Arial"/>
          <w:b/>
          <w:sz w:val="6"/>
        </w:rPr>
      </w:pPr>
    </w:p>
    <w:p>
      <w:pPr>
        <w:spacing w:before="72"/>
        <w:ind w:left="840" w:right="5270" w:firstLine="0"/>
        <w:jc w:val="left"/>
        <w:rPr>
          <w:rFonts w:ascii="Calibri" w:hAnsi="Calibri"/>
          <w:sz w:val="16"/>
        </w:rPr>
      </w:pPr>
      <w:r>
        <w:rPr>
          <w:rFonts w:ascii="Calibri" w:hAnsi="Calibri"/>
          <w:sz w:val="16"/>
        </w:rPr>
        <w:t>Fuente: Elaboración propia.</w:t>
      </w:r>
    </w:p>
    <w:p>
      <w:pPr>
        <w:pStyle w:val="BodyText"/>
        <w:rPr>
          <w:rFonts w:ascii="Calibri"/>
          <w:sz w:val="20"/>
        </w:rPr>
      </w:pPr>
    </w:p>
    <w:p>
      <w:pPr>
        <w:pStyle w:val="BodyText"/>
        <w:rPr>
          <w:rFonts w:ascii="Calibri"/>
          <w:sz w:val="20"/>
        </w:rPr>
      </w:pPr>
    </w:p>
    <w:p>
      <w:pPr>
        <w:pStyle w:val="BodyText"/>
        <w:spacing w:line="360" w:lineRule="auto" w:before="70"/>
        <w:ind w:left="102" w:firstLine="707"/>
      </w:pPr>
      <w:r>
        <w:rPr/>
        <w:t>Para el caso de la región Toluca-Lerma, la productividad se caracteriza por una gran volatilidad en el periodo de estudio, medida por su desviación estándar, cuyo valor es de</w:t>
      </w:r>
    </w:p>
    <w:p>
      <w:pPr>
        <w:pStyle w:val="BodyText"/>
        <w:spacing w:line="360" w:lineRule="auto" w:before="4"/>
        <w:ind w:left="102" w:right="258"/>
        <w:jc w:val="both"/>
      </w:pPr>
      <w:r>
        <w:rPr/>
        <w:t>16.62 y una media de 2.41, lo que se observa en la Gráfica 4.1, donde existen valores muy volátiles, principalmente en Ocoyoacac en 1988 (36.5), y en 1998 (49.3) y San Mateo Atenco en 1980 (-23.1) y en 1993 (36.3).</w:t>
      </w:r>
    </w:p>
    <w:p>
      <w:pPr>
        <w:spacing w:before="85"/>
        <w:ind w:left="3651" w:right="3760" w:firstLine="383"/>
        <w:jc w:val="left"/>
        <w:rPr>
          <w:rFonts w:ascii="Calibri" w:hAnsi="Calibri"/>
          <w:b/>
          <w:sz w:val="18"/>
        </w:rPr>
      </w:pPr>
      <w:r>
        <w:rPr>
          <w:rFonts w:ascii="Calibri" w:hAnsi="Calibri"/>
          <w:b/>
          <w:w w:val="110"/>
          <w:sz w:val="18"/>
        </w:rPr>
        <w:t>Gráfica 4.1 </w:t>
      </w:r>
      <w:r>
        <w:rPr>
          <w:rFonts w:ascii="Calibri" w:hAnsi="Calibri"/>
          <w:b/>
          <w:w w:val="105"/>
          <w:sz w:val="18"/>
        </w:rPr>
        <w:t>Región Toluca-Lerma</w:t>
      </w:r>
    </w:p>
    <w:p>
      <w:pPr>
        <w:spacing w:line="219" w:lineRule="exact" w:before="0"/>
        <w:ind w:left="3441" w:right="3669" w:firstLine="0"/>
        <w:jc w:val="center"/>
        <w:rPr>
          <w:rFonts w:ascii="Calibri"/>
          <w:b/>
          <w:sz w:val="18"/>
        </w:rPr>
      </w:pPr>
      <w:r>
        <w:rPr>
          <w:rFonts w:ascii="Calibri"/>
          <w:b/>
          <w:w w:val="110"/>
          <w:sz w:val="18"/>
        </w:rPr>
        <w:t>Productividad</w:t>
      </w:r>
    </w:p>
    <w:p>
      <w:pPr>
        <w:spacing w:before="0"/>
        <w:ind w:left="3443" w:right="3669" w:firstLine="0"/>
        <w:jc w:val="center"/>
        <w:rPr>
          <w:rFonts w:ascii="Arial"/>
          <w:b/>
          <w:sz w:val="12"/>
        </w:rPr>
      </w:pPr>
      <w:r>
        <w:rPr>
          <w:rFonts w:ascii="Arial"/>
          <w:b/>
          <w:w w:val="110"/>
          <w:sz w:val="12"/>
        </w:rPr>
        <w:t>Tasas de crecimiento, 1980-2008</w:t>
      </w:r>
    </w:p>
    <w:p>
      <w:pPr>
        <w:spacing w:before="59"/>
        <w:ind w:left="912" w:right="6547" w:firstLine="0"/>
        <w:jc w:val="left"/>
        <w:rPr>
          <w:rFonts w:ascii="Calibri"/>
          <w:sz w:val="10"/>
        </w:rPr>
      </w:pPr>
      <w:r>
        <w:rPr/>
        <w:pict>
          <v:group style="position:absolute;margin-left:140.031265pt;margin-top:6.096474pt;width:329.4pt;height:173.4pt;mso-position-horizontal-relative:page;mso-position-vertical-relative:paragraph;z-index:3304" coordorigin="2801,122" coordsize="6588,3468">
            <v:shape style="position:absolute;left:732;top:-2000;width:12204;height:6922" coordorigin="732,-2000" coordsize="12204,6922" path="m2805,3585l9384,3585m2805,3271l9384,3271m2805,2956l9384,2956m2805,2642l9384,2642m2805,2327l9384,2327m2805,1698l9384,1698m2805,1384l9384,1384m2805,1070l9384,1070m2805,754l9384,754m2805,440l9384,440m2805,126l9384,126m2805,3585l2805,126m2805,2013l9384,2013e" filled="false" stroked="true" strokeweight=".373986pt" strokecolor="#858585">
              <v:path arrowok="t"/>
            </v:shape>
            <v:shape style="position:absolute;left:2898;top:453;width:6392;height:2708" coordorigin="2898,453" coordsize="6392,2708" path="m2898,2003l3087,2465,3274,1410,3462,2005,3651,1919,3838,1939,4026,2148,4214,1718,4403,2946,4590,3160,4778,453,4967,1565,5154,1800,5342,1787,5529,2741,5718,1277,5906,2198,6094,873,6283,2210,6470,1804,6658,2308,6847,2168,7034,1402,7222,1751,7409,1902,7598,2213,7786,2465,7974,1518,8162,2021,8350,2322,8538,1596,8725,1743,8914,2015,9102,1931,9289,2019e" filled="false" stroked="true" strokeweight="1.092378pt" strokecolor="#bd4a47">
              <v:path arrowok="t"/>
            </v:shape>
            <v:shape style="position:absolute;left:2801;top:122;width:6587;height:3467" type="#_x0000_t202" filled="false" stroked="false">
              <v:textbox inset="0,0,0,0">
                <w:txbxContent>
                  <w:p>
                    <w:pPr>
                      <w:spacing w:line="240" w:lineRule="auto" w:before="0"/>
                      <w:rPr>
                        <w:rFonts w:ascii="Calibri"/>
                        <w:sz w:val="10"/>
                      </w:rPr>
                    </w:pPr>
                  </w:p>
                  <w:p>
                    <w:pPr>
                      <w:spacing w:line="240" w:lineRule="auto" w:before="0"/>
                      <w:rPr>
                        <w:rFonts w:ascii="Calibri"/>
                        <w:sz w:val="10"/>
                      </w:rPr>
                    </w:pPr>
                  </w:p>
                  <w:p>
                    <w:pPr>
                      <w:spacing w:line="240" w:lineRule="auto" w:before="0"/>
                      <w:rPr>
                        <w:rFonts w:ascii="Calibri"/>
                        <w:sz w:val="10"/>
                      </w:rPr>
                    </w:pPr>
                  </w:p>
                  <w:p>
                    <w:pPr>
                      <w:spacing w:line="240" w:lineRule="auto" w:before="0"/>
                      <w:rPr>
                        <w:rFonts w:ascii="Calibri"/>
                        <w:sz w:val="10"/>
                      </w:rPr>
                    </w:pPr>
                  </w:p>
                  <w:p>
                    <w:pPr>
                      <w:spacing w:line="240" w:lineRule="auto" w:before="0"/>
                      <w:rPr>
                        <w:rFonts w:ascii="Calibri"/>
                        <w:sz w:val="10"/>
                      </w:rPr>
                    </w:pPr>
                  </w:p>
                  <w:p>
                    <w:pPr>
                      <w:spacing w:line="240" w:lineRule="auto" w:before="0"/>
                      <w:rPr>
                        <w:rFonts w:ascii="Calibri"/>
                        <w:sz w:val="10"/>
                      </w:rPr>
                    </w:pPr>
                  </w:p>
                  <w:p>
                    <w:pPr>
                      <w:spacing w:line="240" w:lineRule="auto" w:before="0"/>
                      <w:rPr>
                        <w:rFonts w:ascii="Calibri"/>
                        <w:sz w:val="10"/>
                      </w:rPr>
                    </w:pPr>
                  </w:p>
                  <w:p>
                    <w:pPr>
                      <w:spacing w:line="240" w:lineRule="auto" w:before="0"/>
                      <w:rPr>
                        <w:rFonts w:ascii="Calibri"/>
                        <w:sz w:val="10"/>
                      </w:rPr>
                    </w:pPr>
                  </w:p>
                  <w:p>
                    <w:pPr>
                      <w:spacing w:line="240" w:lineRule="auto" w:before="0"/>
                      <w:rPr>
                        <w:rFonts w:ascii="Calibri"/>
                        <w:sz w:val="10"/>
                      </w:rPr>
                    </w:pPr>
                  </w:p>
                  <w:p>
                    <w:pPr>
                      <w:spacing w:line="240" w:lineRule="auto" w:before="0"/>
                      <w:rPr>
                        <w:rFonts w:ascii="Calibri"/>
                        <w:sz w:val="10"/>
                      </w:rPr>
                    </w:pPr>
                  </w:p>
                  <w:p>
                    <w:pPr>
                      <w:spacing w:line="240" w:lineRule="auto" w:before="0"/>
                      <w:rPr>
                        <w:rFonts w:ascii="Calibri"/>
                        <w:sz w:val="10"/>
                      </w:rPr>
                    </w:pPr>
                  </w:p>
                  <w:p>
                    <w:pPr>
                      <w:spacing w:line="240" w:lineRule="auto" w:before="0"/>
                      <w:rPr>
                        <w:rFonts w:ascii="Calibri"/>
                        <w:sz w:val="10"/>
                      </w:rPr>
                    </w:pPr>
                  </w:p>
                  <w:p>
                    <w:pPr>
                      <w:spacing w:line="240" w:lineRule="auto" w:before="0"/>
                      <w:rPr>
                        <w:rFonts w:ascii="Calibri"/>
                        <w:sz w:val="10"/>
                      </w:rPr>
                    </w:pPr>
                  </w:p>
                  <w:p>
                    <w:pPr>
                      <w:spacing w:line="240" w:lineRule="auto" w:before="0"/>
                      <w:rPr>
                        <w:rFonts w:ascii="Calibri"/>
                        <w:sz w:val="10"/>
                      </w:rPr>
                    </w:pPr>
                  </w:p>
                  <w:p>
                    <w:pPr>
                      <w:spacing w:line="240" w:lineRule="auto" w:before="0"/>
                      <w:rPr>
                        <w:rFonts w:ascii="Calibri"/>
                        <w:sz w:val="10"/>
                      </w:rPr>
                    </w:pPr>
                  </w:p>
                  <w:p>
                    <w:pPr>
                      <w:spacing w:line="240" w:lineRule="auto" w:before="1"/>
                      <w:rPr>
                        <w:rFonts w:ascii="Calibri"/>
                        <w:sz w:val="10"/>
                      </w:rPr>
                    </w:pPr>
                  </w:p>
                  <w:p>
                    <w:pPr>
                      <w:spacing w:before="0"/>
                      <w:ind w:left="1378" w:right="165" w:hanging="1371"/>
                      <w:jc w:val="left"/>
                      <w:rPr>
                        <w:rFonts w:ascii="Calibri"/>
                        <w:sz w:val="10"/>
                      </w:rPr>
                    </w:pPr>
                    <w:r>
                      <w:rPr>
                        <w:rFonts w:ascii="Calibri"/>
                        <w:w w:val="110"/>
                        <w:sz w:val="10"/>
                      </w:rPr>
                      <w:t>80 L 85 L 88 </w:t>
                    </w:r>
                    <w:r>
                      <w:rPr>
                        <w:rFonts w:ascii="Calibri"/>
                        <w:spacing w:val="3"/>
                        <w:w w:val="110"/>
                        <w:sz w:val="10"/>
                      </w:rPr>
                      <w:t>L93 </w:t>
                    </w:r>
                    <w:r>
                      <w:rPr>
                        <w:rFonts w:ascii="Calibri"/>
                        <w:w w:val="110"/>
                        <w:sz w:val="10"/>
                      </w:rPr>
                      <w:t>L 98 </w:t>
                    </w:r>
                    <w:r>
                      <w:rPr>
                        <w:rFonts w:ascii="Calibri"/>
                        <w:spacing w:val="3"/>
                        <w:w w:val="110"/>
                        <w:sz w:val="10"/>
                      </w:rPr>
                      <w:t>L03 </w:t>
                    </w:r>
                    <w:r>
                      <w:rPr>
                        <w:rFonts w:ascii="Calibri"/>
                        <w:w w:val="110"/>
                        <w:sz w:val="10"/>
                      </w:rPr>
                      <w:t>L 09 L 80  85   88  93  98   03  09   80   85  88  93   98  03   09  80   85  88   93  98  03   09 80 T85 T88 T93 T98 T03 T09 T        O    O    O    O    O    O    O   SM  SM  SM  SM  SM  SM  SM   ST   ST   ST   ST   ST   ST     </w:t>
                    </w:r>
                    <w:r>
                      <w:rPr>
                        <w:rFonts w:ascii="Calibri"/>
                        <w:spacing w:val="6"/>
                        <w:w w:val="110"/>
                        <w:sz w:val="10"/>
                      </w:rPr>
                      <w:t> </w:t>
                    </w:r>
                    <w:r>
                      <w:rPr>
                        <w:rFonts w:ascii="Calibri"/>
                        <w:w w:val="110"/>
                        <w:sz w:val="10"/>
                      </w:rPr>
                      <w:t>ST</w:t>
                    </w:r>
                  </w:p>
                </w:txbxContent>
              </v:textbox>
              <w10:wrap type="none"/>
            </v:shape>
            <w10:wrap type="none"/>
          </v:group>
        </w:pict>
      </w:r>
      <w:r>
        <w:rPr>
          <w:rFonts w:ascii="Calibri"/>
          <w:w w:val="105"/>
          <w:sz w:val="10"/>
        </w:rPr>
        <w:t>60.0</w:t>
      </w:r>
    </w:p>
    <w:p>
      <w:pPr>
        <w:pStyle w:val="BodyText"/>
        <w:spacing w:before="3"/>
        <w:rPr>
          <w:rFonts w:ascii="Calibri"/>
          <w:sz w:val="9"/>
        </w:rPr>
      </w:pPr>
    </w:p>
    <w:p>
      <w:pPr>
        <w:spacing w:before="80"/>
        <w:ind w:left="912" w:right="6547" w:firstLine="0"/>
        <w:jc w:val="left"/>
        <w:rPr>
          <w:rFonts w:ascii="Calibri"/>
          <w:sz w:val="10"/>
        </w:rPr>
      </w:pPr>
      <w:r>
        <w:rPr>
          <w:rFonts w:ascii="Calibri"/>
          <w:w w:val="105"/>
          <w:sz w:val="10"/>
        </w:rPr>
        <w:t>50.0</w:t>
      </w:r>
    </w:p>
    <w:p>
      <w:pPr>
        <w:pStyle w:val="BodyText"/>
        <w:spacing w:before="3"/>
        <w:rPr>
          <w:rFonts w:ascii="Calibri"/>
          <w:sz w:val="9"/>
        </w:rPr>
      </w:pPr>
    </w:p>
    <w:p>
      <w:pPr>
        <w:spacing w:before="79"/>
        <w:ind w:left="912" w:right="6547" w:firstLine="0"/>
        <w:jc w:val="left"/>
        <w:rPr>
          <w:rFonts w:ascii="Calibri"/>
          <w:sz w:val="10"/>
        </w:rPr>
      </w:pPr>
      <w:r>
        <w:rPr>
          <w:rFonts w:ascii="Calibri"/>
          <w:w w:val="105"/>
          <w:sz w:val="10"/>
        </w:rPr>
        <w:t>40.0</w:t>
      </w:r>
    </w:p>
    <w:p>
      <w:pPr>
        <w:pStyle w:val="BodyText"/>
        <w:spacing w:before="3"/>
        <w:rPr>
          <w:rFonts w:ascii="Calibri"/>
          <w:sz w:val="9"/>
        </w:rPr>
      </w:pPr>
    </w:p>
    <w:p>
      <w:pPr>
        <w:spacing w:before="79"/>
        <w:ind w:left="912" w:right="6547" w:firstLine="0"/>
        <w:jc w:val="left"/>
        <w:rPr>
          <w:rFonts w:ascii="Calibri"/>
          <w:sz w:val="10"/>
        </w:rPr>
      </w:pPr>
      <w:r>
        <w:rPr>
          <w:rFonts w:ascii="Calibri"/>
          <w:w w:val="105"/>
          <w:sz w:val="10"/>
        </w:rPr>
        <w:t>30.0</w:t>
      </w:r>
    </w:p>
    <w:p>
      <w:pPr>
        <w:pStyle w:val="BodyText"/>
        <w:spacing w:before="3"/>
        <w:rPr>
          <w:rFonts w:ascii="Calibri"/>
          <w:sz w:val="9"/>
        </w:rPr>
      </w:pPr>
    </w:p>
    <w:p>
      <w:pPr>
        <w:spacing w:before="79"/>
        <w:ind w:left="912" w:right="6547" w:firstLine="0"/>
        <w:jc w:val="left"/>
        <w:rPr>
          <w:rFonts w:ascii="Calibri"/>
          <w:sz w:val="10"/>
        </w:rPr>
      </w:pPr>
      <w:r>
        <w:rPr>
          <w:rFonts w:ascii="Calibri"/>
          <w:w w:val="105"/>
          <w:sz w:val="10"/>
        </w:rPr>
        <w:t>20.0</w:t>
      </w:r>
    </w:p>
    <w:p>
      <w:pPr>
        <w:pStyle w:val="BodyText"/>
        <w:spacing w:before="3"/>
        <w:rPr>
          <w:rFonts w:ascii="Calibri"/>
          <w:sz w:val="9"/>
        </w:rPr>
      </w:pPr>
    </w:p>
    <w:p>
      <w:pPr>
        <w:spacing w:before="79"/>
        <w:ind w:left="912" w:right="6547" w:firstLine="0"/>
        <w:jc w:val="left"/>
        <w:rPr>
          <w:rFonts w:ascii="Calibri"/>
          <w:sz w:val="10"/>
        </w:rPr>
      </w:pPr>
      <w:r>
        <w:rPr>
          <w:rFonts w:ascii="Calibri"/>
          <w:w w:val="105"/>
          <w:sz w:val="10"/>
        </w:rPr>
        <w:t>10.0</w:t>
      </w:r>
    </w:p>
    <w:p>
      <w:pPr>
        <w:pStyle w:val="BodyText"/>
        <w:spacing w:before="3"/>
        <w:rPr>
          <w:rFonts w:ascii="Calibri"/>
          <w:sz w:val="9"/>
        </w:rPr>
      </w:pPr>
    </w:p>
    <w:p>
      <w:pPr>
        <w:spacing w:before="80"/>
        <w:ind w:left="967" w:right="6547" w:firstLine="0"/>
        <w:jc w:val="left"/>
        <w:rPr>
          <w:rFonts w:ascii="Calibri"/>
          <w:sz w:val="10"/>
        </w:rPr>
      </w:pPr>
      <w:r>
        <w:rPr>
          <w:rFonts w:ascii="Calibri"/>
          <w:w w:val="105"/>
          <w:sz w:val="10"/>
        </w:rPr>
        <w:t>0.0</w:t>
      </w:r>
    </w:p>
    <w:p>
      <w:pPr>
        <w:pStyle w:val="BodyText"/>
        <w:rPr>
          <w:rFonts w:ascii="Calibri"/>
          <w:sz w:val="10"/>
        </w:rPr>
      </w:pPr>
    </w:p>
    <w:p>
      <w:pPr>
        <w:spacing w:before="70"/>
        <w:ind w:left="880" w:right="6547" w:firstLine="0"/>
        <w:jc w:val="left"/>
        <w:rPr>
          <w:rFonts w:ascii="Calibri"/>
          <w:sz w:val="10"/>
        </w:rPr>
      </w:pPr>
      <w:r>
        <w:rPr>
          <w:rFonts w:ascii="Calibri"/>
          <w:w w:val="105"/>
          <w:sz w:val="10"/>
        </w:rPr>
        <w:t>-10.0</w:t>
      </w:r>
    </w:p>
    <w:p>
      <w:pPr>
        <w:pStyle w:val="BodyText"/>
        <w:spacing w:before="3"/>
        <w:rPr>
          <w:rFonts w:ascii="Calibri"/>
          <w:sz w:val="9"/>
        </w:rPr>
      </w:pPr>
    </w:p>
    <w:p>
      <w:pPr>
        <w:spacing w:before="79"/>
        <w:ind w:left="880" w:right="6547" w:firstLine="0"/>
        <w:jc w:val="left"/>
        <w:rPr>
          <w:rFonts w:ascii="Calibri"/>
          <w:sz w:val="10"/>
        </w:rPr>
      </w:pPr>
      <w:r>
        <w:rPr>
          <w:rFonts w:ascii="Calibri"/>
          <w:w w:val="105"/>
          <w:sz w:val="10"/>
        </w:rPr>
        <w:t>-20.0</w:t>
      </w:r>
    </w:p>
    <w:p>
      <w:pPr>
        <w:pStyle w:val="BodyText"/>
        <w:spacing w:before="3"/>
        <w:rPr>
          <w:rFonts w:ascii="Calibri"/>
          <w:sz w:val="9"/>
        </w:rPr>
      </w:pPr>
    </w:p>
    <w:p>
      <w:pPr>
        <w:spacing w:before="80"/>
        <w:ind w:left="880" w:right="6547" w:firstLine="0"/>
        <w:jc w:val="left"/>
        <w:rPr>
          <w:rFonts w:ascii="Calibri"/>
          <w:sz w:val="10"/>
        </w:rPr>
      </w:pPr>
      <w:r>
        <w:rPr>
          <w:rFonts w:ascii="Calibri"/>
          <w:w w:val="105"/>
          <w:sz w:val="10"/>
        </w:rPr>
        <w:t>-30.0</w:t>
      </w:r>
    </w:p>
    <w:p>
      <w:pPr>
        <w:pStyle w:val="BodyText"/>
        <w:spacing w:before="3"/>
        <w:rPr>
          <w:rFonts w:ascii="Calibri"/>
          <w:sz w:val="9"/>
        </w:rPr>
      </w:pPr>
    </w:p>
    <w:p>
      <w:pPr>
        <w:spacing w:before="79"/>
        <w:ind w:left="880" w:right="6547" w:firstLine="0"/>
        <w:jc w:val="left"/>
        <w:rPr>
          <w:rFonts w:ascii="Calibri"/>
          <w:sz w:val="10"/>
        </w:rPr>
      </w:pPr>
      <w:r>
        <w:rPr>
          <w:rFonts w:ascii="Calibri"/>
          <w:w w:val="105"/>
          <w:sz w:val="10"/>
        </w:rPr>
        <w:t>-40.0</w:t>
      </w:r>
    </w:p>
    <w:p>
      <w:pPr>
        <w:pStyle w:val="BodyText"/>
        <w:spacing w:before="3"/>
        <w:rPr>
          <w:rFonts w:ascii="Calibri"/>
          <w:sz w:val="9"/>
        </w:rPr>
      </w:pPr>
    </w:p>
    <w:p>
      <w:pPr>
        <w:spacing w:before="79"/>
        <w:ind w:left="880" w:right="6547" w:firstLine="0"/>
        <w:jc w:val="left"/>
        <w:rPr>
          <w:rFonts w:ascii="Calibri"/>
          <w:sz w:val="10"/>
        </w:rPr>
      </w:pPr>
      <w:r>
        <w:rPr>
          <w:rFonts w:ascii="Calibri"/>
          <w:w w:val="105"/>
          <w:sz w:val="10"/>
        </w:rPr>
        <w:t>-50.0</w:t>
      </w:r>
    </w:p>
    <w:p>
      <w:pPr>
        <w:pStyle w:val="BodyText"/>
        <w:spacing w:before="7"/>
        <w:rPr>
          <w:rFonts w:ascii="Calibri"/>
          <w:sz w:val="12"/>
        </w:rPr>
      </w:pPr>
    </w:p>
    <w:p>
      <w:pPr>
        <w:spacing w:before="1"/>
        <w:ind w:left="1250" w:right="0" w:firstLine="0"/>
        <w:jc w:val="left"/>
        <w:rPr>
          <w:rFonts w:ascii="Calibri" w:hAnsi="Calibri"/>
          <w:sz w:val="11"/>
        </w:rPr>
      </w:pPr>
      <w:r>
        <w:rPr>
          <w:rFonts w:ascii="Calibri" w:hAnsi="Calibri"/>
          <w:w w:val="110"/>
          <w:sz w:val="11"/>
        </w:rPr>
        <w:t>Fuente: Elaboración propia con base en los datos del INEGI.</w:t>
      </w:r>
    </w:p>
    <w:p>
      <w:pPr>
        <w:spacing w:after="0"/>
        <w:jc w:val="left"/>
        <w:rPr>
          <w:rFonts w:ascii="Calibri" w:hAnsi="Calibri"/>
          <w:sz w:val="11"/>
        </w:rPr>
        <w:sectPr>
          <w:pgSz w:w="12240" w:h="15840"/>
          <w:pgMar w:header="0" w:footer="1003" w:top="1360" w:bottom="1200" w:left="1600" w:right="1440"/>
        </w:sectPr>
      </w:pPr>
    </w:p>
    <w:p>
      <w:pPr>
        <w:pStyle w:val="BodyText"/>
        <w:spacing w:line="360" w:lineRule="auto" w:before="50"/>
        <w:ind w:left="102" w:right="118" w:firstLine="707"/>
        <w:jc w:val="both"/>
      </w:pPr>
      <w:r>
        <w:rPr/>
        <w:t>Con respecto al valor agregado también se presenta una gran volatilidad en los datos con respecto a su media obtenida de 9.47 y que supera por mucho, en la mayoría de los periodos de estudio la desviación estándar de 19.04, lo cual se observa en la Gráfica 4.2, donde sobresale Ocoyoacac en 1988 (-26.6), y en 1993 (50.1). A su  vez, San Mateo  Atenco en 1980 (58.1), y en 1993 (50.4), y Santiago Tianguistenco en 1985</w:t>
      </w:r>
      <w:r>
        <w:rPr>
          <w:spacing w:val="-10"/>
        </w:rPr>
        <w:t> </w:t>
      </w:r>
      <w:r>
        <w:rPr/>
        <w:t>(41.2).</w:t>
      </w:r>
    </w:p>
    <w:p>
      <w:pPr>
        <w:spacing w:line="230" w:lineRule="exact" w:before="85"/>
        <w:ind w:left="3915" w:right="3304" w:firstLine="443"/>
        <w:jc w:val="left"/>
        <w:rPr>
          <w:rFonts w:ascii="Calibri" w:hAnsi="Calibri"/>
          <w:b/>
          <w:sz w:val="19"/>
        </w:rPr>
      </w:pPr>
      <w:r>
        <w:rPr>
          <w:rFonts w:ascii="Calibri" w:hAnsi="Calibri"/>
          <w:b/>
          <w:w w:val="110"/>
          <w:sz w:val="19"/>
        </w:rPr>
        <w:t>Gráfica 4.2 Región Toluca-Lerma</w:t>
      </w:r>
    </w:p>
    <w:p>
      <w:pPr>
        <w:spacing w:before="2"/>
        <w:ind w:left="598" w:right="0" w:firstLine="0"/>
        <w:jc w:val="center"/>
        <w:rPr>
          <w:rFonts w:ascii="Calibri"/>
          <w:b/>
          <w:sz w:val="19"/>
        </w:rPr>
      </w:pPr>
      <w:r>
        <w:rPr>
          <w:rFonts w:ascii="Calibri"/>
          <w:b/>
          <w:w w:val="110"/>
          <w:sz w:val="19"/>
        </w:rPr>
        <w:t>Valor agregado</w:t>
      </w:r>
    </w:p>
    <w:p>
      <w:pPr>
        <w:spacing w:before="4"/>
        <w:ind w:left="601" w:right="0" w:firstLine="0"/>
        <w:jc w:val="center"/>
        <w:rPr>
          <w:rFonts w:ascii="Arial"/>
          <w:b/>
          <w:sz w:val="12"/>
        </w:rPr>
      </w:pPr>
      <w:r>
        <w:rPr>
          <w:rFonts w:ascii="Arial"/>
          <w:b/>
          <w:w w:val="120"/>
          <w:sz w:val="12"/>
        </w:rPr>
        <w:t>Tasas de crecimiento, 1980-2008</w:t>
      </w:r>
    </w:p>
    <w:p>
      <w:pPr>
        <w:pStyle w:val="BodyText"/>
        <w:spacing w:before="8"/>
        <w:rPr>
          <w:rFonts w:ascii="Arial"/>
          <w:b/>
          <w:sz w:val="17"/>
        </w:rPr>
      </w:pPr>
    </w:p>
    <w:p>
      <w:pPr>
        <w:spacing w:before="83"/>
        <w:ind w:left="922" w:right="121" w:firstLine="0"/>
        <w:jc w:val="left"/>
        <w:rPr>
          <w:rFonts w:ascii="Calibri"/>
          <w:sz w:val="10"/>
        </w:rPr>
      </w:pPr>
      <w:r>
        <w:rPr/>
        <w:pict>
          <v:group style="position:absolute;margin-left:141.878082pt;margin-top:7.196068pt;width:360.75pt;height:177.15pt;mso-position-horizontal-relative:page;mso-position-vertical-relative:paragraph;z-index:3352" coordorigin="2838,144" coordsize="7215,3543">
            <v:shape style="position:absolute;left:732;top:3755;width:12209;height:6761" coordorigin="732,3755" coordsize="12209,6761" path="m2842,3682l10048,3682m2842,3361l10048,3361m2842,3040l10048,3040m2842,2718l10048,2718m2842,2075l10048,2075m2842,1754l10048,1754m2842,1433l10048,1433m2842,1112l10048,1112m2842,791l10048,791m2842,470l10048,470m2842,148l10048,148m2842,3682l2842,148m2842,2396l10048,2396e" filled="false" stroked="true" strokeweight=".40066pt" strokecolor="#858585">
              <v:path arrowok="t"/>
            </v:shape>
            <v:shape style="position:absolute;left:2944;top:531;width:7001;height:2720" coordorigin="2944,531" coordsize="7001,2720" path="m2944,2593l3151,2118,3356,1661,3562,2321,3769,2266,3974,2286,4179,2203,4386,2991,4592,2008,4797,3251,5004,791,5209,1503,5416,2336,5621,1816,5827,531,6034,2912,6239,1449,6444,777,6651,2336,6857,2394,7062,2158,7269,2509,7474,1073,7680,2342,7887,1920,8092,2271,8297,2915,8504,1797,8710,2198,8915,2468,9122,2268,9327,2021,9533,2301,9739,2355,9945,2099e" filled="false" stroked="true" strokeweight="1.148156pt" strokecolor="#497dba">
              <v:path arrowok="t"/>
            </v:shape>
            <v:shape style="position:absolute;left:2838;top:144;width:7215;height:3543" type="#_x0000_t202" filled="false" stroked="false">
              <v:textbox inset="0,0,0,0">
                <w:txbxContent>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1"/>
                      <w:rPr>
                        <w:sz w:val="12"/>
                      </w:rPr>
                    </w:pPr>
                  </w:p>
                  <w:p>
                    <w:pPr>
                      <w:spacing w:line="252" w:lineRule="auto" w:before="0"/>
                      <w:ind w:left="1509" w:right="0" w:hanging="1501"/>
                      <w:jc w:val="left"/>
                      <w:rPr>
                        <w:rFonts w:ascii="Calibri"/>
                        <w:sz w:val="10"/>
                      </w:rPr>
                    </w:pPr>
                    <w:r>
                      <w:rPr>
                        <w:rFonts w:ascii="Calibri"/>
                        <w:w w:val="120"/>
                        <w:sz w:val="10"/>
                      </w:rPr>
                      <w:t>80 L85 L 88 L 93 L 98 L 03 L 09 L 80  85   88   93   98   03   09   80   85   88   93   98   03   09  80   85   88   93   98   03   09 80 T85 T88 T93 T98 T03 T09 T O    O    O    O    O    O    O   SM  SM  SM  SM  SM  SM  SM  ST   ST   ST   ST   ST   ST        ST</w:t>
                    </w:r>
                  </w:p>
                </w:txbxContent>
              </v:textbox>
              <w10:wrap type="none"/>
            </v:shape>
            <w10:wrap type="none"/>
          </v:group>
        </w:pict>
      </w:r>
      <w:r>
        <w:rPr>
          <w:rFonts w:ascii="Calibri"/>
          <w:w w:val="120"/>
          <w:sz w:val="10"/>
        </w:rPr>
        <w:t>70.0</w:t>
      </w:r>
    </w:p>
    <w:p>
      <w:pPr>
        <w:pStyle w:val="BodyText"/>
        <w:spacing w:before="6"/>
        <w:rPr>
          <w:rFonts w:ascii="Calibri"/>
          <w:sz w:val="9"/>
        </w:rPr>
      </w:pPr>
    </w:p>
    <w:p>
      <w:pPr>
        <w:spacing w:before="83"/>
        <w:ind w:left="922" w:right="121" w:firstLine="0"/>
        <w:jc w:val="left"/>
        <w:rPr>
          <w:rFonts w:ascii="Calibri"/>
          <w:sz w:val="10"/>
        </w:rPr>
      </w:pPr>
      <w:r>
        <w:rPr>
          <w:rFonts w:ascii="Calibri"/>
          <w:w w:val="120"/>
          <w:sz w:val="10"/>
        </w:rPr>
        <w:t>60.0</w:t>
      </w:r>
    </w:p>
    <w:p>
      <w:pPr>
        <w:pStyle w:val="BodyText"/>
        <w:spacing w:before="6"/>
        <w:rPr>
          <w:rFonts w:ascii="Calibri"/>
          <w:sz w:val="9"/>
        </w:rPr>
      </w:pPr>
    </w:p>
    <w:p>
      <w:pPr>
        <w:spacing w:before="83"/>
        <w:ind w:left="922" w:right="121" w:firstLine="0"/>
        <w:jc w:val="left"/>
        <w:rPr>
          <w:rFonts w:ascii="Calibri"/>
          <w:sz w:val="10"/>
        </w:rPr>
      </w:pPr>
      <w:r>
        <w:rPr>
          <w:rFonts w:ascii="Calibri"/>
          <w:w w:val="120"/>
          <w:sz w:val="10"/>
        </w:rPr>
        <w:t>50.0</w:t>
      </w:r>
    </w:p>
    <w:p>
      <w:pPr>
        <w:pStyle w:val="BodyText"/>
        <w:spacing w:before="6"/>
        <w:rPr>
          <w:rFonts w:ascii="Calibri"/>
          <w:sz w:val="9"/>
        </w:rPr>
      </w:pPr>
    </w:p>
    <w:p>
      <w:pPr>
        <w:spacing w:before="83"/>
        <w:ind w:left="922" w:right="121" w:firstLine="0"/>
        <w:jc w:val="left"/>
        <w:rPr>
          <w:rFonts w:ascii="Calibri"/>
          <w:sz w:val="10"/>
        </w:rPr>
      </w:pPr>
      <w:r>
        <w:rPr>
          <w:rFonts w:ascii="Calibri"/>
          <w:w w:val="120"/>
          <w:sz w:val="10"/>
        </w:rPr>
        <w:t>40.0</w:t>
      </w:r>
    </w:p>
    <w:p>
      <w:pPr>
        <w:pStyle w:val="BodyText"/>
        <w:spacing w:before="6"/>
        <w:rPr>
          <w:rFonts w:ascii="Calibri"/>
          <w:sz w:val="9"/>
        </w:rPr>
      </w:pPr>
    </w:p>
    <w:p>
      <w:pPr>
        <w:spacing w:before="83"/>
        <w:ind w:left="922" w:right="121" w:firstLine="0"/>
        <w:jc w:val="left"/>
        <w:rPr>
          <w:rFonts w:ascii="Calibri"/>
          <w:sz w:val="10"/>
        </w:rPr>
      </w:pPr>
      <w:r>
        <w:rPr>
          <w:rFonts w:ascii="Calibri"/>
          <w:w w:val="120"/>
          <w:sz w:val="10"/>
        </w:rPr>
        <w:t>30.0</w:t>
      </w:r>
    </w:p>
    <w:p>
      <w:pPr>
        <w:pStyle w:val="BodyText"/>
        <w:spacing w:before="6"/>
        <w:rPr>
          <w:rFonts w:ascii="Calibri"/>
          <w:sz w:val="9"/>
        </w:rPr>
      </w:pPr>
    </w:p>
    <w:p>
      <w:pPr>
        <w:spacing w:before="83"/>
        <w:ind w:left="922" w:right="121" w:firstLine="0"/>
        <w:jc w:val="left"/>
        <w:rPr>
          <w:rFonts w:ascii="Calibri"/>
          <w:sz w:val="10"/>
        </w:rPr>
      </w:pPr>
      <w:r>
        <w:rPr>
          <w:rFonts w:ascii="Calibri"/>
          <w:w w:val="120"/>
          <w:sz w:val="10"/>
        </w:rPr>
        <w:t>20.0</w:t>
      </w:r>
    </w:p>
    <w:p>
      <w:pPr>
        <w:pStyle w:val="BodyText"/>
        <w:spacing w:before="6"/>
        <w:rPr>
          <w:rFonts w:ascii="Calibri"/>
          <w:sz w:val="9"/>
        </w:rPr>
      </w:pPr>
    </w:p>
    <w:p>
      <w:pPr>
        <w:spacing w:before="83"/>
        <w:ind w:left="922" w:right="121" w:firstLine="0"/>
        <w:jc w:val="left"/>
        <w:rPr>
          <w:rFonts w:ascii="Calibri"/>
          <w:sz w:val="10"/>
        </w:rPr>
      </w:pPr>
      <w:r>
        <w:rPr>
          <w:rFonts w:ascii="Calibri"/>
          <w:w w:val="120"/>
          <w:sz w:val="10"/>
        </w:rPr>
        <w:t>10.0</w:t>
      </w:r>
    </w:p>
    <w:p>
      <w:pPr>
        <w:pStyle w:val="BodyText"/>
        <w:spacing w:before="6"/>
        <w:rPr>
          <w:rFonts w:ascii="Calibri"/>
          <w:sz w:val="9"/>
        </w:rPr>
      </w:pPr>
    </w:p>
    <w:p>
      <w:pPr>
        <w:spacing w:before="83"/>
        <w:ind w:left="982" w:right="121" w:firstLine="0"/>
        <w:jc w:val="left"/>
        <w:rPr>
          <w:rFonts w:ascii="Calibri"/>
          <w:sz w:val="10"/>
        </w:rPr>
      </w:pPr>
      <w:r>
        <w:rPr>
          <w:rFonts w:ascii="Calibri"/>
          <w:w w:val="120"/>
          <w:sz w:val="10"/>
        </w:rPr>
        <w:t>0.0</w:t>
      </w:r>
    </w:p>
    <w:p>
      <w:pPr>
        <w:pStyle w:val="BodyText"/>
        <w:rPr>
          <w:rFonts w:ascii="Calibri"/>
          <w:sz w:val="10"/>
        </w:rPr>
      </w:pPr>
    </w:p>
    <w:p>
      <w:pPr>
        <w:spacing w:before="77"/>
        <w:ind w:left="886" w:right="121" w:firstLine="0"/>
        <w:jc w:val="left"/>
        <w:rPr>
          <w:rFonts w:ascii="Calibri"/>
          <w:sz w:val="10"/>
        </w:rPr>
      </w:pPr>
      <w:r>
        <w:rPr>
          <w:rFonts w:ascii="Calibri"/>
          <w:w w:val="120"/>
          <w:sz w:val="10"/>
        </w:rPr>
        <w:t>-10.0</w:t>
      </w:r>
    </w:p>
    <w:p>
      <w:pPr>
        <w:pStyle w:val="BodyText"/>
        <w:spacing w:before="6"/>
        <w:rPr>
          <w:rFonts w:ascii="Calibri"/>
          <w:sz w:val="9"/>
        </w:rPr>
      </w:pPr>
    </w:p>
    <w:p>
      <w:pPr>
        <w:spacing w:before="83"/>
        <w:ind w:left="886" w:right="121" w:firstLine="0"/>
        <w:jc w:val="left"/>
        <w:rPr>
          <w:rFonts w:ascii="Calibri"/>
          <w:sz w:val="10"/>
        </w:rPr>
      </w:pPr>
      <w:r>
        <w:rPr>
          <w:rFonts w:ascii="Calibri"/>
          <w:w w:val="120"/>
          <w:sz w:val="10"/>
        </w:rPr>
        <w:t>-20.0</w:t>
      </w:r>
    </w:p>
    <w:p>
      <w:pPr>
        <w:pStyle w:val="BodyText"/>
        <w:spacing w:before="6"/>
        <w:rPr>
          <w:rFonts w:ascii="Calibri"/>
          <w:sz w:val="9"/>
        </w:rPr>
      </w:pPr>
    </w:p>
    <w:p>
      <w:pPr>
        <w:spacing w:before="83"/>
        <w:ind w:left="886" w:right="121" w:firstLine="0"/>
        <w:jc w:val="left"/>
        <w:rPr>
          <w:rFonts w:ascii="Calibri"/>
          <w:sz w:val="10"/>
        </w:rPr>
      </w:pPr>
      <w:r>
        <w:rPr>
          <w:rFonts w:ascii="Calibri"/>
          <w:w w:val="120"/>
          <w:sz w:val="10"/>
        </w:rPr>
        <w:t>-30.0</w:t>
      </w:r>
    </w:p>
    <w:p>
      <w:pPr>
        <w:pStyle w:val="BodyText"/>
        <w:spacing w:before="6"/>
        <w:rPr>
          <w:rFonts w:ascii="Calibri"/>
          <w:sz w:val="9"/>
        </w:rPr>
      </w:pPr>
    </w:p>
    <w:p>
      <w:pPr>
        <w:spacing w:after="0"/>
        <w:rPr>
          <w:rFonts w:ascii="Calibri"/>
          <w:sz w:val="9"/>
        </w:rPr>
        <w:sectPr>
          <w:pgSz w:w="12240" w:h="15840"/>
          <w:pgMar w:header="0" w:footer="1003" w:top="1360" w:bottom="1200" w:left="1600" w:right="1580"/>
        </w:sectPr>
      </w:pPr>
    </w:p>
    <w:p>
      <w:pPr>
        <w:spacing w:before="83"/>
        <w:ind w:left="0" w:right="0" w:firstLine="0"/>
        <w:jc w:val="right"/>
        <w:rPr>
          <w:rFonts w:ascii="Calibri"/>
          <w:sz w:val="10"/>
        </w:rPr>
      </w:pPr>
      <w:r>
        <w:rPr>
          <w:rFonts w:ascii="Calibri"/>
          <w:w w:val="115"/>
          <w:sz w:val="10"/>
        </w:rPr>
        <w:t>-40.0</w:t>
      </w:r>
    </w:p>
    <w:p>
      <w:pPr>
        <w:pStyle w:val="BodyText"/>
        <w:spacing w:before="1"/>
        <w:rPr>
          <w:rFonts w:ascii="Calibri"/>
          <w:sz w:val="14"/>
        </w:rPr>
      </w:pPr>
      <w:r>
        <w:rPr/>
        <w:br w:type="column"/>
      </w:r>
      <w:r>
        <w:rPr>
          <w:rFonts w:ascii="Calibri"/>
          <w:sz w:val="14"/>
        </w:rPr>
      </w:r>
    </w:p>
    <w:p>
      <w:pPr>
        <w:spacing w:before="0"/>
        <w:ind w:left="159" w:right="0" w:firstLine="0"/>
        <w:jc w:val="left"/>
        <w:rPr>
          <w:rFonts w:ascii="Calibri" w:hAnsi="Calibri"/>
          <w:sz w:val="11"/>
        </w:rPr>
      </w:pPr>
      <w:r>
        <w:rPr>
          <w:rFonts w:ascii="Calibri" w:hAnsi="Calibri"/>
          <w:w w:val="120"/>
          <w:sz w:val="11"/>
        </w:rPr>
        <w:t>Fuente: Elaboración propia con base en los datos del INEGI.</w:t>
      </w:r>
    </w:p>
    <w:p>
      <w:pPr>
        <w:spacing w:after="0"/>
        <w:jc w:val="left"/>
        <w:rPr>
          <w:rFonts w:ascii="Calibri" w:hAnsi="Calibri"/>
          <w:sz w:val="11"/>
        </w:rPr>
        <w:sectPr>
          <w:type w:val="continuous"/>
          <w:pgSz w:w="12240" w:h="15840"/>
          <w:pgMar w:top="500" w:bottom="1200" w:left="1600" w:right="1580"/>
          <w:cols w:num="2" w:equalWidth="0">
            <w:col w:w="1132" w:space="40"/>
            <w:col w:w="7888"/>
          </w:cols>
        </w:sectPr>
      </w:pPr>
    </w:p>
    <w:p>
      <w:pPr>
        <w:pStyle w:val="BodyText"/>
        <w:rPr>
          <w:rFonts w:ascii="Calibri"/>
          <w:sz w:val="20"/>
        </w:rPr>
      </w:pPr>
    </w:p>
    <w:p>
      <w:pPr>
        <w:pStyle w:val="BodyText"/>
        <w:rPr>
          <w:rFonts w:ascii="Calibri"/>
          <w:sz w:val="20"/>
        </w:rPr>
      </w:pPr>
    </w:p>
    <w:p>
      <w:pPr>
        <w:pStyle w:val="BodyText"/>
        <w:spacing w:before="2"/>
        <w:rPr>
          <w:rFonts w:ascii="Calibri"/>
          <w:sz w:val="17"/>
        </w:rPr>
      </w:pPr>
    </w:p>
    <w:p>
      <w:pPr>
        <w:pStyle w:val="BodyText"/>
        <w:spacing w:line="360" w:lineRule="auto" w:before="69"/>
        <w:ind w:left="102" w:right="117" w:firstLine="707"/>
        <w:jc w:val="both"/>
      </w:pPr>
      <w:r>
        <w:rPr/>
        <w:t>En la Gráfica 4.3 se observa la tendencia del valor agregado del subsector 35 y 38, respectivamente. Nuevamente el municipio más volátil es Ocoyoacac en 1985 (205) con más de dos veces la desviación estándar, y más de cinco en San Mateo Atenco en 1980 (493.1), y con un valor extremo en 1993 (128.9). En el subsector 35, también el municipio más volátil es Ocoyoacac en 1980 (-69.4), y en 1993 (80.7). A su vez San Mateo Atenco presenta más de dos desviaciones estándar en 1985 (-100) y más de tres en 2003 (131.3).</w:t>
      </w:r>
    </w:p>
    <w:p>
      <w:pPr>
        <w:spacing w:after="0" w:line="360" w:lineRule="auto"/>
        <w:jc w:val="both"/>
        <w:sectPr>
          <w:type w:val="continuous"/>
          <w:pgSz w:w="12240" w:h="15840"/>
          <w:pgMar w:top="500" w:bottom="1200" w:left="1600" w:right="1580"/>
        </w:sectPr>
      </w:pPr>
    </w:p>
    <w:p>
      <w:pPr>
        <w:spacing w:before="40"/>
        <w:ind w:left="3789" w:right="3447" w:firstLine="416"/>
        <w:jc w:val="left"/>
        <w:rPr>
          <w:rFonts w:ascii="Calibri" w:hAnsi="Calibri"/>
          <w:b/>
          <w:sz w:val="20"/>
        </w:rPr>
      </w:pPr>
      <w:r>
        <w:rPr>
          <w:rFonts w:ascii="Calibri" w:hAnsi="Calibri"/>
          <w:b/>
          <w:sz w:val="20"/>
        </w:rPr>
        <w:t>Gráfica 4.3 Región Toluca-Lerma</w:t>
      </w:r>
    </w:p>
    <w:p>
      <w:pPr>
        <w:spacing w:line="243" w:lineRule="exact" w:before="0"/>
        <w:ind w:left="238" w:right="0" w:firstLine="0"/>
        <w:jc w:val="center"/>
        <w:rPr>
          <w:rFonts w:ascii="Calibri"/>
          <w:b/>
          <w:sz w:val="20"/>
        </w:rPr>
      </w:pPr>
      <w:r>
        <w:rPr>
          <w:rFonts w:ascii="Calibri"/>
          <w:b/>
          <w:sz w:val="20"/>
        </w:rPr>
        <w:t>Valor agregado</w:t>
      </w:r>
    </w:p>
    <w:p>
      <w:pPr>
        <w:spacing w:before="2"/>
        <w:ind w:left="241" w:right="0" w:firstLine="0"/>
        <w:jc w:val="center"/>
        <w:rPr>
          <w:rFonts w:ascii="Arial"/>
          <w:b/>
          <w:sz w:val="13"/>
        </w:rPr>
      </w:pPr>
      <w:r>
        <w:rPr>
          <w:rFonts w:ascii="Arial"/>
          <w:b/>
          <w:sz w:val="13"/>
        </w:rPr>
        <w:t>Tasas de crecimiento. 1980-2008</w:t>
      </w:r>
    </w:p>
    <w:p>
      <w:pPr>
        <w:spacing w:before="70"/>
        <w:ind w:left="976" w:right="121" w:firstLine="0"/>
        <w:jc w:val="left"/>
        <w:rPr>
          <w:rFonts w:ascii="Calibri"/>
          <w:sz w:val="11"/>
        </w:rPr>
      </w:pPr>
      <w:r>
        <w:rPr/>
        <w:pict>
          <v:group style="position:absolute;margin-left:146.41011pt;margin-top:6.929791pt;width:299.05pt;height:198.1pt;mso-position-horizontal-relative:page;mso-position-vertical-relative:paragraph;z-index:-463576" coordorigin="2928,139" coordsize="5981,3962">
            <v:shape style="position:absolute;left:833;top:5558;width:10762;height:7136" coordorigin="833,5558" coordsize="10762,7136" path="m2932,4097l8905,4097m2932,3531l8905,3531m2932,2402l8905,2402m2932,1837l8905,1837m2932,1273l8905,1273m2932,708l8905,708m2932,143l8905,143m2932,4097l2932,143m2932,2966l8905,2966e" filled="false" stroked="true" strokeweight=".399296pt" strokecolor="#858585">
              <v:path arrowok="t"/>
            </v:shape>
            <v:shape style="position:absolute;left:3017;top:2225;width:5803;height:1306" coordorigin="3017,2225" coordsize="5803,1306" path="m3017,3015l3188,3009,3358,2725,3529,2936,3699,2914,3871,2987,4042,2909,4212,3312,4383,2662,4553,2650,4724,2511,4894,2745,5065,2944,5235,2872,5407,2966,5578,3531,5748,2966,5919,3272,6089,2957,6260,2225,6430,2910,6601,2922,6771,2904,6943,2902,7113,3015,7284,2807,7454,3027,7625,2898,7795,3026,7966,2776,8136,3005,8307,2938,8479,2921,8649,2949,8820,2920e" filled="false" stroked="true" strokeweight="1.197071pt" strokecolor="#bd4a47">
              <v:path arrowok="t"/>
            </v:shape>
            <v:shape style="position:absolute;left:3017;top:487;width:5803;height:2876" coordorigin="3017,487" coordsize="5803,2876" path="m3017,3029l3188,2676,3358,2925,3529,2969,3699,2962,3871,2971,4042,2853,4212,3358,4383,1806,4553,3220,4724,2700,4894,2946,5065,3151,5235,2757,5407,487,5578,3362,5748,2990,5919,2239,6089,2917,6260,3065,6430,2826,6601,3155,6771,2421,6943,2906,7113,2844,7284,2957,7454,3089,7625,2811,7795,2925,7966,3009,8136,2916,8307,2885,8479,2953,8649,2981,8820,2963e" filled="false" stroked="true" strokeweight="1.197341pt" strokecolor="#497dba">
              <v:path arrowok="t"/>
            </v:shape>
            <v:shape style="position:absolute;left:2979;top:2990;width:78;height:78" coordorigin="2979,2990" coordsize="78,78" path="m3018,2990l2979,3029,3018,3067,3056,3029,3018,2990xe" filled="true" fillcolor="#4f81bc" stroked="false">
              <v:path arrowok="t"/>
              <v:fill type="solid"/>
            </v:shape>
            <v:shape style="position:absolute;left:2979;top:2990;width:78;height:78" coordorigin="2979,2990" coordsize="78,78" path="m3018,2990l3056,3029,3018,3067,2979,3029,3018,2990xe" filled="false" stroked="true" strokeweight=".399296pt" strokecolor="#497dba">
              <v:path arrowok="t"/>
            </v:shape>
            <v:shape style="position:absolute;left:3149;top:2636;width:78;height:78" coordorigin="3149,2636" coordsize="78,78" path="m3188,2636l3149,2675,3188,2713,3227,2675,3188,2636xe" filled="true" fillcolor="#4f81bc" stroked="false">
              <v:path arrowok="t"/>
              <v:fill type="solid"/>
            </v:shape>
            <v:shape style="position:absolute;left:3149;top:2636;width:78;height:78" coordorigin="3149,2636" coordsize="78,78" path="m3188,2636l3227,2675,3188,2713,3149,2675,3188,2636xe" filled="false" stroked="true" strokeweight=".399296pt" strokecolor="#497dba">
              <v:path arrowok="t"/>
            </v:shape>
            <v:shape style="position:absolute;left:3320;top:2885;width:78;height:78" coordorigin="3320,2885" coordsize="78,78" path="m3359,2885l3320,2924,3359,2962,3397,2924,3359,2885xe" filled="true" fillcolor="#4f81bc" stroked="false">
              <v:path arrowok="t"/>
              <v:fill type="solid"/>
            </v:shape>
            <v:shape style="position:absolute;left:3320;top:2885;width:78;height:78" coordorigin="3320,2885" coordsize="78,78" path="m3359,2885l3397,2924,3359,2962,3320,2924,3359,2885xe" filled="false" stroked="true" strokeweight=".399296pt" strokecolor="#497dba">
              <v:path arrowok="t"/>
            </v:shape>
            <v:shape style="position:absolute;left:3490;top:2929;width:78;height:78" coordorigin="3490,2929" coordsize="78,78" path="m3529,2929l3490,2968,3529,3006,3568,2968,3529,2929xe" filled="true" fillcolor="#4f81bc" stroked="false">
              <v:path arrowok="t"/>
              <v:fill type="solid"/>
            </v:shape>
            <v:shape style="position:absolute;left:3490;top:2929;width:78;height:78" coordorigin="3490,2929" coordsize="78,78" path="m3529,2929l3568,2968,3529,3006,3490,2968,3529,2929xe" filled="false" stroked="true" strokeweight=".399296pt" strokecolor="#497dba">
              <v:path arrowok="t"/>
            </v:shape>
            <v:shape style="position:absolute;left:3661;top:2924;width:78;height:78" coordorigin="3661,2924" coordsize="78,78" path="m3700,2924l3661,2962,3700,3001,3738,2962,3700,2924xe" filled="true" fillcolor="#4f81bc" stroked="false">
              <v:path arrowok="t"/>
              <v:fill type="solid"/>
            </v:shape>
            <v:shape style="position:absolute;left:3661;top:2924;width:78;height:78" coordorigin="3661,2924" coordsize="78,78" path="m3700,2924l3738,2962,3700,3001,3661,2962,3700,2924xe" filled="false" stroked="true" strokeweight=".399296pt" strokecolor="#497dba">
              <v:path arrowok="t"/>
            </v:shape>
            <v:shape style="position:absolute;left:3831;top:2932;width:78;height:78" coordorigin="3831,2932" coordsize="78,78" path="m3870,2932l3831,2970,3870,3009,3909,2970,3870,2932xe" filled="true" fillcolor="#4f81bc" stroked="false">
              <v:path arrowok="t"/>
              <v:fill type="solid"/>
            </v:shape>
            <v:shape style="position:absolute;left:3831;top:2932;width:78;height:78" coordorigin="3831,2932" coordsize="78,78" path="m3870,2932l3909,2970,3870,3009,3831,2970,3870,2932xe" filled="false" stroked="true" strokeweight=".399296pt" strokecolor="#497dba">
              <v:path arrowok="t"/>
            </v:shape>
            <v:shape style="position:absolute;left:4002;top:2813;width:78;height:78" coordorigin="4002,2813" coordsize="78,78" path="m4041,2813l4002,2852,4041,2890,4079,2852,4041,2813xe" filled="true" fillcolor="#4f81bc" stroked="false">
              <v:path arrowok="t"/>
              <v:fill type="solid"/>
            </v:shape>
            <v:shape style="position:absolute;left:4002;top:2813;width:78;height:78" coordorigin="4002,2813" coordsize="78,78" path="m4041,2813l4079,2852,4041,2890,4002,2852,4041,2813xe" filled="false" stroked="true" strokeweight=".399296pt" strokecolor="#497dba">
              <v:path arrowok="t"/>
            </v:shape>
            <v:shape style="position:absolute;left:4172;top:3320;width:78;height:78" coordorigin="4172,3320" coordsize="78,78" path="m4211,3320l4172,3359,4211,3397,4250,3359,4211,3320xe" filled="true" fillcolor="#4f81bc" stroked="false">
              <v:path arrowok="t"/>
              <v:fill type="solid"/>
            </v:shape>
            <v:shape style="position:absolute;left:4172;top:3320;width:78;height:78" coordorigin="4172,3320" coordsize="78,78" path="m4211,3320l4250,3359,4211,3397,4172,3359,4211,3320xe" filled="false" stroked="true" strokeweight=".399296pt" strokecolor="#497dba">
              <v:path arrowok="t"/>
            </v:shape>
            <v:shape style="position:absolute;left:4343;top:1767;width:78;height:78" coordorigin="4343,1767" coordsize="78,78" path="m4382,1767l4343,1805,4382,1844,4420,1805,4382,1767xe" filled="true" fillcolor="#4f81bc" stroked="false">
              <v:path arrowok="t"/>
              <v:fill type="solid"/>
            </v:shape>
            <v:shape style="position:absolute;left:4343;top:1767;width:78;height:78" coordorigin="4343,1767" coordsize="78,78" path="m4382,1767l4420,1805,4382,1844,4343,1805,4382,1767xe" filled="false" stroked="true" strokeweight=".399296pt" strokecolor="#497dba">
              <v:path arrowok="t"/>
            </v:shape>
            <v:shape style="position:absolute;left:4515;top:3182;width:78;height:78" coordorigin="4515,3182" coordsize="78,78" path="m4553,3182l4515,3220,4553,3259,4592,3220,4553,3182xe" filled="true" fillcolor="#4f81bc" stroked="false">
              <v:path arrowok="t"/>
              <v:fill type="solid"/>
            </v:shape>
            <v:shape style="position:absolute;left:4515;top:3182;width:78;height:78" coordorigin="4515,3182" coordsize="78,78" path="m4553,3182l4592,3220,4553,3259,4515,3220,4553,3182xe" filled="false" stroked="true" strokeweight=".399296pt" strokecolor="#497dba">
              <v:path arrowok="t"/>
            </v:shape>
            <v:shape style="position:absolute;left:4685;top:2660;width:78;height:78" coordorigin="4685,2660" coordsize="78,78" path="m4724,2660l4685,2699,4724,2737,4762,2699,4724,2660xe" filled="true" fillcolor="#4f81bc" stroked="false">
              <v:path arrowok="t"/>
              <v:fill type="solid"/>
            </v:shape>
            <v:shape style="position:absolute;left:4685;top:2660;width:78;height:78" coordorigin="4685,2660" coordsize="78,78" path="m4724,2660l4762,2699,4724,2737,4685,2699,4724,2660xe" filled="false" stroked="true" strokeweight=".399296pt" strokecolor="#497dba">
              <v:path arrowok="t"/>
            </v:shape>
            <v:shape style="position:absolute;left:4856;top:2906;width:78;height:78" coordorigin="4856,2906" coordsize="78,78" path="m4894,2906l4856,2945,4894,2983,4933,2945,4894,2906xe" filled="true" fillcolor="#4f81bc" stroked="false">
              <v:path arrowok="t"/>
              <v:fill type="solid"/>
            </v:shape>
            <v:shape style="position:absolute;left:4856;top:2906;width:78;height:78" coordorigin="4856,2906" coordsize="78,78" path="m4894,2906l4933,2945,4894,2983,4856,2945,4894,2906xe" filled="false" stroked="true" strokeweight=".399296pt" strokecolor="#497dba">
              <v:path arrowok="t"/>
            </v:shape>
            <v:shape style="position:absolute;left:5026;top:3111;width:78;height:78" coordorigin="5026,3111" coordsize="78,78" path="m5065,3111l5026,3150,5065,3188,5103,3150,5065,3111xe" filled="true" fillcolor="#4f81bc" stroked="false">
              <v:path arrowok="t"/>
              <v:fill type="solid"/>
            </v:shape>
            <v:shape style="position:absolute;left:5026;top:3111;width:78;height:78" coordorigin="5026,3111" coordsize="78,78" path="m5065,3111l5103,3150,5065,3188,5026,3150,5065,3111xe" filled="false" stroked="true" strokeweight=".399296pt" strokecolor="#497dba">
              <v:path arrowok="t"/>
            </v:shape>
            <v:shape style="position:absolute;left:5197;top:2717;width:78;height:78" coordorigin="5197,2717" coordsize="78,78" path="m5235,2717l5197,2756,5235,2795,5274,2756,5235,2717xe" filled="true" fillcolor="#4f81bc" stroked="false">
              <v:path arrowok="t"/>
              <v:fill type="solid"/>
            </v:shape>
            <v:shape style="position:absolute;left:5197;top:2717;width:78;height:78" coordorigin="5197,2717" coordsize="78,78" path="m5235,2717l5274,2756,5235,2795,5197,2756,5235,2717xe" filled="false" stroked="true" strokeweight=".399296pt" strokecolor="#497dba">
              <v:path arrowok="t"/>
            </v:shape>
            <v:shape style="position:absolute;left:5367;top:447;width:78;height:78" coordorigin="5367,447" coordsize="78,78" path="m5406,447l5367,486,5406,524,5444,486,5406,447xe" filled="true" fillcolor="#4f81bc" stroked="false">
              <v:path arrowok="t"/>
              <v:fill type="solid"/>
            </v:shape>
            <v:shape style="position:absolute;left:5367;top:447;width:78;height:78" coordorigin="5367,447" coordsize="78,78" path="m5406,447l5444,486,5406,524,5367,486,5406,447xe" filled="false" stroked="true" strokeweight=".399296pt" strokecolor="#497dba">
              <v:path arrowok="t"/>
            </v:shape>
            <v:shape style="position:absolute;left:5538;top:3324;width:78;height:78" coordorigin="5538,3324" coordsize="78,78" path="m5576,3324l5538,3363,5576,3401,5615,3363,5576,3324xe" filled="true" fillcolor="#4f81bc" stroked="false">
              <v:path arrowok="t"/>
              <v:fill type="solid"/>
            </v:shape>
            <v:shape style="position:absolute;left:5538;top:3324;width:78;height:78" coordorigin="5538,3324" coordsize="78,78" path="m5576,3324l5615,3363,5576,3401,5538,3363,5576,3324xe" filled="false" stroked="true" strokeweight=".399296pt" strokecolor="#497dba">
              <v:path arrowok="t"/>
            </v:shape>
            <v:shape style="position:absolute;left:5708;top:2950;width:78;height:78" coordorigin="5708,2950" coordsize="78,78" path="m5747,2950l5708,2989,5747,3027,5785,2989,5747,2950xe" filled="true" fillcolor="#4f81bc" stroked="false">
              <v:path arrowok="t"/>
              <v:fill type="solid"/>
            </v:shape>
            <v:shape style="position:absolute;left:5708;top:2950;width:78;height:78" coordorigin="5708,2950" coordsize="78,78" path="m5747,2950l5785,2989,5747,3027,5708,2989,5747,2950xe" filled="false" stroked="true" strokeweight=".399296pt" strokecolor="#497dba">
              <v:path arrowok="t"/>
            </v:shape>
            <v:shape style="position:absolute;left:5879;top:2200;width:78;height:78" coordorigin="5879,2200" coordsize="78,78" path="m5917,2200l5879,2239,5917,2277,5956,2239,5917,2200xe" filled="true" fillcolor="#4f81bc" stroked="false">
              <v:path arrowok="t"/>
              <v:fill type="solid"/>
            </v:shape>
            <v:shape style="position:absolute;left:5879;top:2200;width:78;height:78" coordorigin="5879,2200" coordsize="78,78" path="m5917,2200l5956,2239,5917,2277,5879,2239,5917,2200xe" filled="false" stroked="true" strokeweight=".399296pt" strokecolor="#497dba">
              <v:path arrowok="t"/>
            </v:shape>
            <v:shape style="position:absolute;left:6050;top:2878;width:78;height:78" coordorigin="6050,2878" coordsize="78,78" path="m6089,2878l6050,2917,6089,2956,6128,2917,6089,2878xe" filled="true" fillcolor="#4f81bc" stroked="false">
              <v:path arrowok="t"/>
              <v:fill type="solid"/>
            </v:shape>
            <v:shape style="position:absolute;left:6050;top:2878;width:78;height:78" coordorigin="6050,2878" coordsize="78,78" path="m6089,2878l6128,2917,6089,2956,6050,2917,6089,2878xe" filled="false" stroked="true" strokeweight=".399296pt" strokecolor="#497dba">
              <v:path arrowok="t"/>
            </v:shape>
            <v:shape style="position:absolute;left:6221;top:3025;width:78;height:78" coordorigin="6221,3025" coordsize="78,78" path="m6260,3025l6221,3063,6260,3102,6298,3063,6260,3025xe" filled="true" fillcolor="#4f81bc" stroked="false">
              <v:path arrowok="t"/>
              <v:fill type="solid"/>
            </v:shape>
            <v:shape style="position:absolute;left:6221;top:3025;width:78;height:78" coordorigin="6221,3025" coordsize="78,78" path="m6260,3025l6298,3063,6260,3102,6221,3063,6260,3025xe" filled="false" stroked="true" strokeweight=".399296pt" strokecolor="#497dba">
              <v:path arrowok="t"/>
            </v:shape>
            <v:shape style="position:absolute;left:6391;top:2787;width:78;height:78" coordorigin="6391,2787" coordsize="78,78" path="m6430,2787l6391,2825,6430,2864,6469,2825,6430,2787xe" filled="true" fillcolor="#4f81bc" stroked="false">
              <v:path arrowok="t"/>
              <v:fill type="solid"/>
            </v:shape>
            <v:shape style="position:absolute;left:6391;top:2787;width:78;height:78" coordorigin="6391,2787" coordsize="78,78" path="m6430,2787l6469,2825,6430,2864,6391,2825,6430,2787xe" filled="false" stroked="true" strokeweight=".399296pt" strokecolor="#497dba">
              <v:path arrowok="t"/>
            </v:shape>
            <v:shape style="position:absolute;left:6562;top:3115;width:78;height:78" coordorigin="6562,3115" coordsize="78,78" path="m6601,3115l6562,3154,6601,3192,6639,3154,6601,3115xe" filled="true" fillcolor="#4f81bc" stroked="false">
              <v:path arrowok="t"/>
              <v:fill type="solid"/>
            </v:shape>
            <v:shape style="position:absolute;left:6562;top:3115;width:78;height:78" coordorigin="6562,3115" coordsize="78,78" path="m6601,3115l6639,3154,6601,3192,6562,3154,6601,3115xe" filled="false" stroked="true" strokeweight=".399296pt" strokecolor="#497dba">
              <v:path arrowok="t"/>
            </v:shape>
            <v:shape style="position:absolute;left:6732;top:2382;width:78;height:78" coordorigin="6732,2382" coordsize="78,78" path="m6771,2382l6732,2421,6771,2459,6810,2421,6771,2382xe" filled="true" fillcolor="#4f81bc" stroked="false">
              <v:path arrowok="t"/>
              <v:fill type="solid"/>
            </v:shape>
            <v:shape style="position:absolute;left:6732;top:2382;width:78;height:78" coordorigin="6732,2382" coordsize="78,78" path="m6771,2382l6810,2421,6771,2459,6732,2421,6771,2382xe" filled="false" stroked="true" strokeweight=".399296pt" strokecolor="#497dba">
              <v:path arrowok="t"/>
            </v:shape>
            <v:shape style="position:absolute;left:6903;top:2866;width:78;height:78" coordorigin="6903,2866" coordsize="78,78" path="m6942,2866l6903,2905,6942,2944,6980,2905,6942,2866xe" filled="true" fillcolor="#4f81bc" stroked="false">
              <v:path arrowok="t"/>
              <v:fill type="solid"/>
            </v:shape>
            <v:shape style="position:absolute;left:6903;top:2866;width:78;height:78" coordorigin="6903,2866" coordsize="78,78" path="m6942,2866l6980,2905,6942,2944,6903,2905,6942,2866xe" filled="false" stroked="true" strokeweight=".399296pt" strokecolor="#497dba">
              <v:path arrowok="t"/>
            </v:shape>
            <v:shape style="position:absolute;left:7073;top:2804;width:78;height:78" coordorigin="7073,2804" coordsize="78,78" path="m7112,2804l7073,2843,7112,2881,7151,2843,7112,2804xe" filled="true" fillcolor="#4f81bc" stroked="false">
              <v:path arrowok="t"/>
              <v:fill type="solid"/>
            </v:shape>
            <v:shape style="position:absolute;left:7073;top:2804;width:78;height:78" coordorigin="7073,2804" coordsize="78,78" path="m7112,2804l7151,2843,7112,2881,7073,2843,7112,2804xe" filled="false" stroked="true" strokeweight=".399296pt" strokecolor="#497dba">
              <v:path arrowok="t"/>
            </v:shape>
            <v:shape style="position:absolute;left:7244;top:2917;width:78;height:78" coordorigin="7244,2917" coordsize="78,78" path="m7283,2917l7244,2956,7283,2994,7321,2956,7283,2917xe" filled="true" fillcolor="#4f81bc" stroked="false">
              <v:path arrowok="t"/>
              <v:fill type="solid"/>
            </v:shape>
            <v:shape style="position:absolute;left:7244;top:2917;width:78;height:78" coordorigin="7244,2917" coordsize="78,78" path="m7283,2917l7321,2956,7283,2994,7244,2956,7283,2917xe" filled="false" stroked="true" strokeweight=".399296pt" strokecolor="#497dba">
              <v:path arrowok="t"/>
            </v:shape>
            <v:shape style="position:absolute;left:7414;top:3050;width:78;height:78" coordorigin="7414,3050" coordsize="78,78" path="m7453,3050l7414,3089,7453,3127,7492,3089,7453,3050xe" filled="true" fillcolor="#4f81bc" stroked="false">
              <v:path arrowok="t"/>
              <v:fill type="solid"/>
            </v:shape>
            <v:shape style="position:absolute;left:7414;top:3050;width:78;height:78" coordorigin="7414,3050" coordsize="78,78" path="m7453,3050l7492,3089,7453,3127,7414,3089,7453,3050xe" filled="false" stroked="true" strokeweight=".399296pt" strokecolor="#497dba">
              <v:path arrowok="t"/>
            </v:shape>
            <v:shape style="position:absolute;left:7585;top:2771;width:78;height:78" coordorigin="7585,2771" coordsize="78,78" path="m7624,2771l7585,2809,7624,2848,7662,2809,7624,2771xe" filled="true" fillcolor="#4f81bc" stroked="false">
              <v:path arrowok="t"/>
              <v:fill type="solid"/>
            </v:shape>
            <v:shape style="position:absolute;left:7585;top:2771;width:78;height:78" coordorigin="7585,2771" coordsize="78,78" path="m7624,2771l7662,2809,7624,2848,7585,2809,7624,2771xe" filled="false" stroked="true" strokeweight=".399296pt" strokecolor="#497dba">
              <v:path arrowok="t"/>
            </v:shape>
            <v:shape style="position:absolute;left:7757;top:2886;width:78;height:78" coordorigin="7757,2886" coordsize="78,78" path="m7796,2886l7757,2925,7796,2963,7834,2925,7796,2886xe" filled="true" fillcolor="#4f81bc" stroked="false">
              <v:path arrowok="t"/>
              <v:fill type="solid"/>
            </v:shape>
            <v:shape style="position:absolute;left:7757;top:2886;width:78;height:78" coordorigin="7757,2886" coordsize="78,78" path="m7796,2886l7834,2925,7796,2963,7757,2925,7796,2886xe" filled="false" stroked="true" strokeweight=".399296pt" strokecolor="#497dba">
              <v:path arrowok="t"/>
            </v:shape>
            <v:shape style="position:absolute;left:7927;top:2969;width:78;height:78" coordorigin="7927,2969" coordsize="78,78" path="m7966,2969l7927,3008,7966,3046,8004,3008,7966,2969xe" filled="true" fillcolor="#4f81bc" stroked="false">
              <v:path arrowok="t"/>
              <v:fill type="solid"/>
            </v:shape>
            <v:shape style="position:absolute;left:7927;top:2969;width:78;height:78" coordorigin="7927,2969" coordsize="78,78" path="m7966,2969l8004,3008,7966,3046,7927,3008,7966,2969xe" filled="false" stroked="true" strokeweight=".399296pt" strokecolor="#497dba">
              <v:path arrowok="t"/>
            </v:shape>
            <v:shape style="position:absolute;left:8098;top:2876;width:78;height:78" coordorigin="8098,2876" coordsize="78,78" path="m8137,2876l8098,2914,8137,2953,8175,2914,8137,2876xe" filled="true" fillcolor="#4f81bc" stroked="false">
              <v:path arrowok="t"/>
              <v:fill type="solid"/>
            </v:shape>
            <v:shape style="position:absolute;left:8098;top:2876;width:78;height:78" coordorigin="8098,2876" coordsize="78,78" path="m8137,2876l8175,2914,8137,2953,8098,2914,8137,2876xe" filled="false" stroked="true" strokeweight=".399296pt" strokecolor="#497dba">
              <v:path arrowok="t"/>
            </v:shape>
            <v:shape style="position:absolute;left:8268;top:2845;width:78;height:78" coordorigin="8268,2845" coordsize="78,78" path="m8307,2845l8268,2884,8307,2922,8345,2884,8307,2845xe" filled="true" fillcolor="#4f81bc" stroked="false">
              <v:path arrowok="t"/>
              <v:fill type="solid"/>
            </v:shape>
            <v:shape style="position:absolute;left:8268;top:2845;width:78;height:78" coordorigin="8268,2845" coordsize="78,78" path="m8307,2845l8345,2884,8307,2922,8268,2884,8307,2845xe" filled="false" stroked="true" strokeweight=".399296pt" strokecolor="#497dba">
              <v:path arrowok="t"/>
            </v:shape>
            <v:shape style="position:absolute;left:8439;top:2914;width:78;height:78" coordorigin="8439,2914" coordsize="78,78" path="m8478,2914l8439,2953,8478,2991,8516,2953,8478,2914xe" filled="true" fillcolor="#4f81bc" stroked="false">
              <v:path arrowok="t"/>
              <v:fill type="solid"/>
            </v:shape>
            <v:shape style="position:absolute;left:8439;top:2914;width:78;height:78" coordorigin="8439,2914" coordsize="78,78" path="m8478,2914l8516,2953,8478,2991,8439,2953,8478,2914xe" filled="false" stroked="true" strokeweight=".399296pt" strokecolor="#497dba">
              <v:path arrowok="t"/>
            </v:shape>
            <v:shape style="position:absolute;left:8609;top:2941;width:78;height:78" coordorigin="8609,2941" coordsize="78,78" path="m8648,2941l8609,2980,8648,3018,8686,2980,8648,2941xe" filled="true" fillcolor="#4f81bc" stroked="false">
              <v:path arrowok="t"/>
              <v:fill type="solid"/>
            </v:shape>
            <v:shape style="position:absolute;left:8609;top:2941;width:78;height:78" coordorigin="8609,2941" coordsize="78,78" path="m8648,2941l8686,2980,8648,3018,8609,2980,8648,2941xe" filled="false" stroked="true" strokeweight=".399296pt" strokecolor="#497dba">
              <v:path arrowok="t"/>
            </v:shape>
            <v:shape style="position:absolute;left:8780;top:2925;width:78;height:78" coordorigin="8780,2925" coordsize="78,78" path="m8819,2925l8780,2964,8819,3002,8857,2964,8819,2925xe" filled="true" fillcolor="#4f81bc" stroked="false">
              <v:path arrowok="t"/>
              <v:fill type="solid"/>
            </v:shape>
            <v:shape style="position:absolute;left:8780;top:2925;width:78;height:78" coordorigin="8780,2925" coordsize="78,78" path="m8819,2925l8857,2964,8819,3002,8780,2964,8819,2925xe" filled="false" stroked="true" strokeweight=".399296pt" strokecolor="#497dba">
              <v:path arrowok="t"/>
            </v:shape>
            <v:shape style="position:absolute;left:2928;top:139;width:5981;height:3962" type="#_x0000_t202" filled="false" stroked="false">
              <v:textbox inset="0,0,0,0">
                <w:txbxContent>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1"/>
                      <w:rPr>
                        <w:sz w:val="12"/>
                      </w:rPr>
                    </w:pPr>
                  </w:p>
                  <w:p>
                    <w:pPr>
                      <w:spacing w:before="1"/>
                      <w:ind w:left="33" w:right="0" w:firstLine="0"/>
                      <w:jc w:val="left"/>
                      <w:rPr>
                        <w:rFonts w:ascii="Calibri"/>
                        <w:sz w:val="11"/>
                      </w:rPr>
                    </w:pPr>
                    <w:r>
                      <w:rPr>
                        <w:rFonts w:ascii="Calibri"/>
                        <w:sz w:val="11"/>
                      </w:rPr>
                      <w:t>80  85  88  93  98  03  09  80  85  88  93  98  03  09  80  85  88  93  98  03  09  80  85  88  93  98  03  09  80  85  88  93  98  03  09</w:t>
                    </w:r>
                  </w:p>
                  <w:p>
                    <w:pPr>
                      <w:spacing w:before="1"/>
                      <w:ind w:left="66" w:right="0" w:firstLine="0"/>
                      <w:jc w:val="left"/>
                      <w:rPr>
                        <w:rFonts w:ascii="Calibri"/>
                        <w:sz w:val="11"/>
                      </w:rPr>
                    </w:pPr>
                    <w:r>
                      <w:rPr>
                        <w:rFonts w:ascii="Calibri"/>
                        <w:sz w:val="11"/>
                      </w:rPr>
                      <w:t>L     L     L     L     L     L     L    O    O    O    O    O    O    O  SM SM SM SM SM SM SM  ST  ST  ST  ST  ST  ST  ST   T    T    T    T    T    T            T</w:t>
                    </w:r>
                  </w:p>
                </w:txbxContent>
              </v:textbox>
              <w10:wrap type="none"/>
            </v:shape>
            <w10:wrap type="none"/>
          </v:group>
        </w:pict>
      </w:r>
      <w:r>
        <w:rPr>
          <w:rFonts w:ascii="Calibri"/>
          <w:sz w:val="11"/>
        </w:rPr>
        <w:t>500.0</w:t>
      </w:r>
    </w:p>
    <w:p>
      <w:pPr>
        <w:pStyle w:val="BodyText"/>
        <w:spacing w:before="10"/>
        <w:rPr>
          <w:rFonts w:ascii="Calibri"/>
          <w:sz w:val="28"/>
        </w:rPr>
      </w:pPr>
    </w:p>
    <w:p>
      <w:pPr>
        <w:spacing w:before="79"/>
        <w:ind w:left="976" w:right="121" w:firstLine="0"/>
        <w:jc w:val="left"/>
        <w:rPr>
          <w:rFonts w:ascii="Calibri"/>
          <w:sz w:val="11"/>
        </w:rPr>
      </w:pPr>
      <w:r>
        <w:rPr>
          <w:rFonts w:ascii="Calibri"/>
          <w:sz w:val="11"/>
        </w:rPr>
        <w:t>400.0</w:t>
      </w:r>
    </w:p>
    <w:p>
      <w:pPr>
        <w:pStyle w:val="BodyText"/>
        <w:spacing w:before="10"/>
        <w:rPr>
          <w:rFonts w:ascii="Calibri"/>
          <w:sz w:val="28"/>
        </w:rPr>
      </w:pPr>
    </w:p>
    <w:p>
      <w:pPr>
        <w:spacing w:before="78"/>
        <w:ind w:left="976" w:right="121" w:firstLine="0"/>
        <w:jc w:val="left"/>
        <w:rPr>
          <w:rFonts w:ascii="Calibri"/>
          <w:sz w:val="11"/>
        </w:rPr>
      </w:pPr>
      <w:r>
        <w:rPr>
          <w:rFonts w:ascii="Calibri"/>
          <w:sz w:val="11"/>
        </w:rPr>
        <w:t>300.0</w:t>
      </w:r>
    </w:p>
    <w:p>
      <w:pPr>
        <w:pStyle w:val="BodyText"/>
        <w:spacing w:before="10"/>
        <w:rPr>
          <w:rFonts w:ascii="Calibri"/>
          <w:sz w:val="28"/>
        </w:rPr>
      </w:pPr>
    </w:p>
    <w:p>
      <w:pPr>
        <w:spacing w:before="79"/>
        <w:ind w:left="976" w:right="121" w:firstLine="0"/>
        <w:jc w:val="left"/>
        <w:rPr>
          <w:rFonts w:ascii="Calibri"/>
          <w:sz w:val="11"/>
        </w:rPr>
      </w:pPr>
      <w:r>
        <w:rPr>
          <w:rFonts w:ascii="Calibri"/>
          <w:sz w:val="11"/>
        </w:rPr>
        <w:t>200.0</w:t>
      </w:r>
    </w:p>
    <w:p>
      <w:pPr>
        <w:pStyle w:val="BodyText"/>
        <w:spacing w:before="8"/>
        <w:rPr>
          <w:rFonts w:ascii="Calibri"/>
          <w:sz w:val="9"/>
        </w:rPr>
      </w:pPr>
    </w:p>
    <w:p>
      <w:pPr>
        <w:tabs>
          <w:tab w:pos="235" w:val="left" w:leader="none"/>
        </w:tabs>
        <w:spacing w:before="78"/>
        <w:ind w:left="0" w:right="741" w:firstLine="0"/>
        <w:jc w:val="right"/>
        <w:rPr>
          <w:rFonts w:ascii="Calibri"/>
          <w:sz w:val="11"/>
        </w:rPr>
      </w:pPr>
      <w:r>
        <w:rPr>
          <w:rFonts w:ascii="Calibri"/>
          <w:w w:val="100"/>
          <w:sz w:val="11"/>
          <w:u w:val="thick" w:color="BD4A47"/>
        </w:rPr>
        <w:t> </w:t>
      </w:r>
      <w:r>
        <w:rPr>
          <w:rFonts w:ascii="Calibri"/>
          <w:sz w:val="11"/>
          <w:u w:val="thick" w:color="BD4A47"/>
        </w:rPr>
        <w:tab/>
      </w:r>
      <w:r>
        <w:rPr>
          <w:rFonts w:ascii="Calibri"/>
          <w:spacing w:val="1"/>
          <w:sz w:val="11"/>
        </w:rPr>
        <w:t> </w:t>
      </w:r>
      <w:r>
        <w:rPr>
          <w:rFonts w:ascii="Calibri"/>
          <w:sz w:val="11"/>
        </w:rPr>
        <w:t>subsector</w:t>
      </w:r>
      <w:r>
        <w:rPr>
          <w:rFonts w:ascii="Calibri"/>
          <w:spacing w:val="1"/>
          <w:sz w:val="11"/>
        </w:rPr>
        <w:t> </w:t>
      </w:r>
      <w:r>
        <w:rPr>
          <w:rFonts w:ascii="Calibri"/>
          <w:sz w:val="11"/>
        </w:rPr>
        <w:t>35</w:t>
      </w:r>
    </w:p>
    <w:p>
      <w:pPr>
        <w:tabs>
          <w:tab w:pos="6501" w:val="left" w:leader="none"/>
          <w:tab w:pos="6737" w:val="left" w:leader="none"/>
        </w:tabs>
        <w:spacing w:before="66"/>
        <w:ind w:left="0" w:right="741" w:firstLine="0"/>
        <w:jc w:val="right"/>
        <w:rPr>
          <w:rFonts w:ascii="Calibri"/>
          <w:sz w:val="11"/>
        </w:rPr>
      </w:pPr>
      <w:r>
        <w:rPr/>
        <w:pict>
          <v:group style="position:absolute;margin-left:457.375458pt;margin-top:5.061762pt;width:3.75pt;height:3.75pt;mso-position-horizontal-relative:page;mso-position-vertical-relative:paragraph;z-index:-463552" coordorigin="9148,101" coordsize="75,75">
            <v:shape style="position:absolute;left:9152;top:105;width:67;height:67" coordorigin="9152,105" coordsize="67,67" path="m9185,105l9152,138,9185,172,9218,138,9185,105xe" filled="true" fillcolor="#4f81bc" stroked="false">
              <v:path arrowok="t"/>
              <v:fill type="solid"/>
            </v:shape>
            <v:shape style="position:absolute;left:9152;top:105;width:67;height:67" coordorigin="9152,105" coordsize="67,67" path="m9185,105l9218,138,9185,172,9152,138,9185,105e" filled="false" stroked="true" strokeweight=".399296pt" strokecolor="#497dba">
              <v:path arrowok="t"/>
            </v:shape>
            <w10:wrap type="none"/>
          </v:group>
        </w:pict>
      </w:r>
      <w:r>
        <w:rPr>
          <w:rFonts w:ascii="Calibri"/>
          <w:position w:val="-2"/>
          <w:sz w:val="11"/>
        </w:rPr>
        <w:t>100.0</w:t>
        <w:tab/>
      </w:r>
      <w:r>
        <w:rPr>
          <w:rFonts w:ascii="Calibri"/>
          <w:sz w:val="11"/>
          <w:u w:val="thick" w:color="497DBA"/>
        </w:rPr>
        <w:tab/>
      </w:r>
      <w:r>
        <w:rPr>
          <w:rFonts w:ascii="Calibri"/>
          <w:sz w:val="11"/>
        </w:rPr>
        <w:t>subsector 38</w:t>
      </w:r>
    </w:p>
    <w:p>
      <w:pPr>
        <w:pStyle w:val="BodyText"/>
        <w:spacing w:before="1"/>
        <w:rPr>
          <w:rFonts w:ascii="Calibri"/>
          <w:sz w:val="29"/>
        </w:rPr>
      </w:pPr>
    </w:p>
    <w:p>
      <w:pPr>
        <w:spacing w:before="79"/>
        <w:ind w:left="1088" w:right="121" w:firstLine="0"/>
        <w:jc w:val="left"/>
        <w:rPr>
          <w:rFonts w:ascii="Calibri"/>
          <w:sz w:val="11"/>
        </w:rPr>
      </w:pPr>
      <w:r>
        <w:rPr>
          <w:rFonts w:ascii="Calibri"/>
          <w:sz w:val="11"/>
        </w:rPr>
        <w:t>0.0</w:t>
      </w:r>
    </w:p>
    <w:p>
      <w:pPr>
        <w:pStyle w:val="BodyText"/>
        <w:spacing w:before="10"/>
        <w:rPr>
          <w:rFonts w:ascii="Calibri"/>
          <w:sz w:val="28"/>
        </w:rPr>
      </w:pPr>
    </w:p>
    <w:p>
      <w:pPr>
        <w:spacing w:before="79"/>
        <w:ind w:left="942" w:right="121" w:firstLine="0"/>
        <w:jc w:val="left"/>
        <w:rPr>
          <w:rFonts w:ascii="Calibri"/>
          <w:sz w:val="11"/>
        </w:rPr>
      </w:pPr>
      <w:r>
        <w:rPr>
          <w:rFonts w:ascii="Calibri"/>
          <w:sz w:val="11"/>
        </w:rPr>
        <w:t>-100.0</w:t>
      </w:r>
    </w:p>
    <w:p>
      <w:pPr>
        <w:pStyle w:val="BodyText"/>
        <w:spacing w:before="10"/>
        <w:rPr>
          <w:rFonts w:ascii="Calibri"/>
          <w:sz w:val="28"/>
        </w:rPr>
      </w:pPr>
    </w:p>
    <w:p>
      <w:pPr>
        <w:spacing w:after="0"/>
        <w:rPr>
          <w:rFonts w:ascii="Calibri"/>
          <w:sz w:val="28"/>
        </w:rPr>
        <w:sectPr>
          <w:pgSz w:w="12240" w:h="15840"/>
          <w:pgMar w:header="0" w:footer="1003" w:top="1460" w:bottom="1200" w:left="1600" w:right="1580"/>
        </w:sectPr>
      </w:pPr>
    </w:p>
    <w:p>
      <w:pPr>
        <w:spacing w:before="78"/>
        <w:ind w:left="0" w:right="0" w:firstLine="0"/>
        <w:jc w:val="right"/>
        <w:rPr>
          <w:rFonts w:ascii="Calibri"/>
          <w:sz w:val="11"/>
        </w:rPr>
      </w:pPr>
      <w:r>
        <w:rPr>
          <w:rFonts w:ascii="Calibri"/>
          <w:sz w:val="11"/>
        </w:rPr>
        <w:t>-200.0</w:t>
      </w:r>
    </w:p>
    <w:p>
      <w:pPr>
        <w:pStyle w:val="BodyText"/>
        <w:spacing w:before="5"/>
        <w:rPr>
          <w:rFonts w:ascii="Calibri"/>
          <w:sz w:val="15"/>
        </w:rPr>
      </w:pPr>
      <w:r>
        <w:rPr/>
        <w:br w:type="column"/>
      </w:r>
      <w:r>
        <w:rPr>
          <w:rFonts w:ascii="Calibri"/>
          <w:sz w:val="15"/>
        </w:rPr>
      </w:r>
    </w:p>
    <w:p>
      <w:pPr>
        <w:spacing w:before="1"/>
        <w:ind w:left="125" w:right="0" w:firstLine="0"/>
        <w:jc w:val="left"/>
        <w:rPr>
          <w:rFonts w:ascii="Calibri" w:hAnsi="Calibri"/>
          <w:sz w:val="12"/>
        </w:rPr>
      </w:pPr>
      <w:r>
        <w:rPr>
          <w:rFonts w:ascii="Calibri" w:hAnsi="Calibri"/>
          <w:sz w:val="12"/>
        </w:rPr>
        <w:t>Fuente: Elaboración propia con base en los datos del   INEGI.</w:t>
      </w:r>
    </w:p>
    <w:p>
      <w:pPr>
        <w:spacing w:after="0"/>
        <w:jc w:val="left"/>
        <w:rPr>
          <w:rFonts w:ascii="Calibri" w:hAnsi="Calibri"/>
          <w:sz w:val="12"/>
        </w:rPr>
        <w:sectPr>
          <w:type w:val="continuous"/>
          <w:pgSz w:w="12240" w:h="15840"/>
          <w:pgMar w:top="500" w:bottom="1200" w:left="1600" w:right="1580"/>
          <w:cols w:num="2" w:equalWidth="0">
            <w:col w:w="1229" w:space="40"/>
            <w:col w:w="7791"/>
          </w:cols>
        </w:sectPr>
      </w:pPr>
    </w:p>
    <w:p>
      <w:pPr>
        <w:pStyle w:val="BodyText"/>
        <w:rPr>
          <w:rFonts w:ascii="Calibri"/>
          <w:sz w:val="25"/>
        </w:rPr>
      </w:pPr>
    </w:p>
    <w:p>
      <w:pPr>
        <w:pStyle w:val="BodyText"/>
        <w:spacing w:line="360" w:lineRule="auto" w:before="70"/>
        <w:ind w:left="102" w:right="116" w:firstLine="707"/>
        <w:jc w:val="both"/>
      </w:pPr>
      <w:r>
        <w:rPr/>
        <w:t>Por su parte, la productividad del sector manufacturero de la región Valle  de México fluctúa con mayor amplitud porque las fases cíclicas tienden a ser más grandes en  la mayoría de sus municipios, como se aprecia en la Gráfica 4.4. Este comportamiento errático se da principalmente en el municipio de La Paz en 1980 (40.7), con casi cuatro veces su desviación estándar, en 1985 (-29.7), en 1988 (46) lo que es más de cuatro veces la desviación estándar, y en 1993 (-15.2), lo cual muestra que la desviación estándar de este municipio se encuentra muy por arriba de su valor. Cuautitlán también presenta cierto comportamiento muy por arriba y debajo de la media, como en 1998 (16.5), en 2003 (-21.2) y en 2009 (19.9). Finalmente, Tultitlán en 1988 (-18.2), y en 1993 (24.7). Como puede observarse ésta variable experimentó una reducción importante en sus tasas de</w:t>
      </w:r>
      <w:r>
        <w:rPr>
          <w:spacing w:val="-14"/>
        </w:rPr>
        <w:t> </w:t>
      </w:r>
      <w:r>
        <w:rPr/>
        <w:t>crecimiento.</w:t>
      </w:r>
    </w:p>
    <w:p>
      <w:pPr>
        <w:spacing w:after="0" w:line="360" w:lineRule="auto"/>
        <w:jc w:val="both"/>
        <w:sectPr>
          <w:type w:val="continuous"/>
          <w:pgSz w:w="12240" w:h="15840"/>
          <w:pgMar w:top="500" w:bottom="1200" w:left="1600" w:right="1580"/>
        </w:sectPr>
      </w:pPr>
    </w:p>
    <w:p>
      <w:pPr>
        <w:spacing w:before="41"/>
        <w:ind w:left="3653" w:right="3447" w:firstLine="499"/>
        <w:jc w:val="left"/>
        <w:rPr>
          <w:rFonts w:ascii="Calibri" w:hAnsi="Calibri"/>
          <w:b/>
          <w:sz w:val="20"/>
        </w:rPr>
      </w:pPr>
      <w:r>
        <w:rPr>
          <w:rFonts w:ascii="Calibri" w:hAnsi="Calibri"/>
          <w:b/>
          <w:sz w:val="20"/>
        </w:rPr>
        <w:t>Gráfica 4.4 Región Valle de México</w:t>
      </w:r>
    </w:p>
    <w:p>
      <w:pPr>
        <w:spacing w:before="0"/>
        <w:ind w:left="179" w:right="0" w:firstLine="0"/>
        <w:jc w:val="center"/>
        <w:rPr>
          <w:rFonts w:ascii="Calibri"/>
          <w:b/>
          <w:sz w:val="20"/>
        </w:rPr>
      </w:pPr>
      <w:r>
        <w:rPr>
          <w:rFonts w:ascii="Calibri"/>
          <w:b/>
          <w:sz w:val="20"/>
        </w:rPr>
        <w:t>Productividad</w:t>
      </w:r>
    </w:p>
    <w:p>
      <w:pPr>
        <w:spacing w:before="3"/>
        <w:ind w:left="180" w:right="0" w:firstLine="0"/>
        <w:jc w:val="center"/>
        <w:rPr>
          <w:rFonts w:ascii="Arial"/>
          <w:b/>
          <w:sz w:val="13"/>
        </w:rPr>
      </w:pPr>
      <w:r>
        <w:rPr>
          <w:rFonts w:ascii="Arial"/>
          <w:b/>
          <w:w w:val="105"/>
          <w:sz w:val="13"/>
        </w:rPr>
        <w:t>Tasas de crecimiento, 1980-2008</w:t>
      </w:r>
    </w:p>
    <w:p>
      <w:pPr>
        <w:spacing w:before="68"/>
        <w:ind w:left="916" w:right="121" w:firstLine="0"/>
        <w:jc w:val="left"/>
        <w:rPr>
          <w:rFonts w:ascii="Calibri"/>
          <w:sz w:val="11"/>
        </w:rPr>
      </w:pPr>
      <w:r>
        <w:rPr/>
        <w:pict>
          <v:group style="position:absolute;margin-left:140.729919pt;margin-top:6.833526pt;width:335.95pt;height:206.25pt;mso-position-horizontal-relative:page;mso-position-vertical-relative:paragraph;z-index:3472" coordorigin="2815,137" coordsize="6719,4125">
            <v:shape style="position:absolute;left:732;top:5542;width:12005;height:7381" coordorigin="732,5542" coordsize="12005,7381" path="m2819,4257l9528,4257m2819,3799l9528,3799m2819,3343l9528,3343m2819,2885l9528,2885m2819,1971l9528,1971m2819,1513l9528,1513m2819,1055l9528,1055m2819,599l9528,599m2819,141l9528,141m2819,4257l2819,141m2819,2427l9528,2427e" filled="false" stroked="true" strokeweight=".401965pt" strokecolor="#858585">
              <v:path arrowok="t"/>
            </v:shape>
            <v:shape style="position:absolute;left:2866;top:322;width:6614;height:3466" coordorigin="2866,322" coordsize="6614,3466" path="m2866,2663l2963,2501,3058,2827,3154,1948,3250,2265,3346,2846,3441,2455,3538,2803,3633,2368,3730,2394,3825,2189,3920,1674,4017,3399,4112,1516,4209,1808,4304,2200,4400,3179,4496,2652,4592,2284,4688,2340,4784,2558,4879,2597,4975,2787,5071,1714,5166,2371,5263,2374,5358,2617,5455,2196,5550,565,5647,3787,5742,322,5838,3123,5934,2450,6029,2338,6125,2185,6221,2682,6317,2368,6412,2374,6509,1953,6604,2719,6701,2277,6796,2462,6893,2502,6988,2596,7083,2651,7180,2271,7275,2264,7371,2530,7467,2620,7563,1885,7659,2316,7755,2972,7850,1927,7947,2351,8042,2458,8137,2599,8234,2739,8329,2363,8426,2213,8521,2372,8618,2036,8713,2873,8809,2415,8905,2941,9001,3175,9096,3261,9192,1299,9288,2166,9383,2546,9480,2445e" filled="false" stroked="true" strokeweight="1.205167pt" strokecolor="#497dba">
              <v:path arrowok="t"/>
            </v:shape>
            <v:shape style="position:absolute;left:2815;top:137;width:6718;height:4124" type="#_x0000_t202" filled="false" stroked="false">
              <v:textbox inset="0,0,0,0">
                <w:txbxContent>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before="63"/>
                      <w:ind w:left="-6" w:right="0" w:firstLine="0"/>
                      <w:jc w:val="left"/>
                      <w:rPr>
                        <w:rFonts w:ascii="Calibri"/>
                        <w:sz w:val="11"/>
                      </w:rPr>
                    </w:pPr>
                    <w:r>
                      <w:rPr>
                        <w:rFonts w:ascii="Calibri"/>
                        <w:sz w:val="11"/>
                      </w:rPr>
                      <w:t>80   88   98   09   85   93   03   80   88   98   09   85   93   03   80   88   98   09   85   93   03   80   88   98   09   85   93   03   80   88   98   09   85   93        03</w:t>
                    </w:r>
                  </w:p>
                  <w:p>
                    <w:pPr>
                      <w:spacing w:before="2"/>
                      <w:ind w:left="-7" w:right="0" w:firstLine="0"/>
                      <w:jc w:val="left"/>
                      <w:rPr>
                        <w:rFonts w:ascii="Calibri"/>
                        <w:sz w:val="11"/>
                      </w:rPr>
                    </w:pPr>
                    <w:r>
                      <w:rPr>
                        <w:rFonts w:ascii="Calibri"/>
                        <w:sz w:val="11"/>
                      </w:rPr>
                      <w:t>AZ   AZ   AZ   AZ    C     C     C     CI    CI    CI    CI     E     E     E    LP   LP   LP   LP   NA  NA  NA  NE   NE   NE   NE   TE   TE   TE      TLA TLA TLA TLA TUL TUL TUL</w:t>
                    </w:r>
                  </w:p>
                </w:txbxContent>
              </v:textbox>
              <w10:wrap type="none"/>
            </v:shape>
            <w10:wrap type="none"/>
          </v:group>
        </w:pict>
      </w:r>
      <w:r>
        <w:rPr>
          <w:rFonts w:ascii="Calibri"/>
          <w:sz w:val="11"/>
        </w:rPr>
        <w:t>50.0</w:t>
      </w:r>
    </w:p>
    <w:p>
      <w:pPr>
        <w:pStyle w:val="BodyText"/>
        <w:rPr>
          <w:rFonts w:ascii="Calibri"/>
          <w:sz w:val="20"/>
        </w:rPr>
      </w:pPr>
    </w:p>
    <w:p>
      <w:pPr>
        <w:spacing w:before="79"/>
        <w:ind w:left="916" w:right="121" w:firstLine="0"/>
        <w:jc w:val="left"/>
        <w:rPr>
          <w:rFonts w:ascii="Calibri"/>
          <w:sz w:val="11"/>
        </w:rPr>
      </w:pPr>
      <w:r>
        <w:rPr>
          <w:rFonts w:ascii="Calibri"/>
          <w:sz w:val="11"/>
        </w:rPr>
        <w:t>40.0</w:t>
      </w:r>
    </w:p>
    <w:p>
      <w:pPr>
        <w:pStyle w:val="BodyText"/>
        <w:rPr>
          <w:rFonts w:ascii="Calibri"/>
          <w:sz w:val="20"/>
        </w:rPr>
      </w:pPr>
    </w:p>
    <w:p>
      <w:pPr>
        <w:spacing w:before="79"/>
        <w:ind w:left="916" w:right="121" w:firstLine="0"/>
        <w:jc w:val="left"/>
        <w:rPr>
          <w:rFonts w:ascii="Calibri"/>
          <w:sz w:val="11"/>
        </w:rPr>
      </w:pPr>
      <w:r>
        <w:rPr>
          <w:rFonts w:ascii="Calibri"/>
          <w:sz w:val="11"/>
        </w:rPr>
        <w:t>30.0</w:t>
      </w:r>
    </w:p>
    <w:p>
      <w:pPr>
        <w:pStyle w:val="BodyText"/>
        <w:rPr>
          <w:rFonts w:ascii="Calibri"/>
          <w:sz w:val="20"/>
        </w:rPr>
      </w:pPr>
    </w:p>
    <w:p>
      <w:pPr>
        <w:spacing w:before="78"/>
        <w:ind w:left="916" w:right="121" w:firstLine="0"/>
        <w:jc w:val="left"/>
        <w:rPr>
          <w:rFonts w:ascii="Calibri"/>
          <w:sz w:val="11"/>
        </w:rPr>
      </w:pPr>
      <w:r>
        <w:rPr>
          <w:rFonts w:ascii="Calibri"/>
          <w:sz w:val="11"/>
        </w:rPr>
        <w:t>20.0</w:t>
      </w:r>
    </w:p>
    <w:p>
      <w:pPr>
        <w:pStyle w:val="BodyText"/>
        <w:rPr>
          <w:rFonts w:ascii="Calibri"/>
          <w:sz w:val="20"/>
        </w:rPr>
      </w:pPr>
    </w:p>
    <w:p>
      <w:pPr>
        <w:spacing w:before="79"/>
        <w:ind w:left="916" w:right="121" w:firstLine="0"/>
        <w:jc w:val="left"/>
        <w:rPr>
          <w:rFonts w:ascii="Calibri"/>
          <w:sz w:val="11"/>
        </w:rPr>
      </w:pPr>
      <w:r>
        <w:rPr>
          <w:rFonts w:ascii="Calibri"/>
          <w:sz w:val="11"/>
        </w:rPr>
        <w:t>10.0</w:t>
      </w:r>
    </w:p>
    <w:p>
      <w:pPr>
        <w:pStyle w:val="BodyText"/>
        <w:rPr>
          <w:rFonts w:ascii="Calibri"/>
          <w:sz w:val="20"/>
        </w:rPr>
      </w:pPr>
    </w:p>
    <w:p>
      <w:pPr>
        <w:spacing w:before="79"/>
        <w:ind w:left="973" w:right="121" w:firstLine="0"/>
        <w:jc w:val="left"/>
        <w:rPr>
          <w:rFonts w:ascii="Calibri"/>
          <w:sz w:val="11"/>
        </w:rPr>
      </w:pPr>
      <w:r>
        <w:rPr>
          <w:rFonts w:ascii="Calibri"/>
          <w:sz w:val="11"/>
        </w:rPr>
        <w:t>0.0</w:t>
      </w:r>
    </w:p>
    <w:p>
      <w:pPr>
        <w:pStyle w:val="BodyText"/>
        <w:rPr>
          <w:rFonts w:ascii="Calibri"/>
          <w:sz w:val="20"/>
        </w:rPr>
      </w:pPr>
    </w:p>
    <w:p>
      <w:pPr>
        <w:spacing w:before="78"/>
        <w:ind w:left="882" w:right="121" w:firstLine="0"/>
        <w:jc w:val="left"/>
        <w:rPr>
          <w:rFonts w:ascii="Calibri"/>
          <w:sz w:val="11"/>
        </w:rPr>
      </w:pPr>
      <w:r>
        <w:rPr>
          <w:rFonts w:ascii="Calibri"/>
          <w:sz w:val="11"/>
        </w:rPr>
        <w:t>-10.0</w:t>
      </w:r>
    </w:p>
    <w:p>
      <w:pPr>
        <w:pStyle w:val="BodyText"/>
        <w:rPr>
          <w:rFonts w:ascii="Calibri"/>
          <w:sz w:val="20"/>
        </w:rPr>
      </w:pPr>
    </w:p>
    <w:p>
      <w:pPr>
        <w:spacing w:before="79"/>
        <w:ind w:left="882" w:right="121" w:firstLine="0"/>
        <w:jc w:val="left"/>
        <w:rPr>
          <w:rFonts w:ascii="Calibri"/>
          <w:sz w:val="11"/>
        </w:rPr>
      </w:pPr>
      <w:r>
        <w:rPr>
          <w:rFonts w:ascii="Calibri"/>
          <w:sz w:val="11"/>
        </w:rPr>
        <w:t>-20.0</w:t>
      </w:r>
    </w:p>
    <w:p>
      <w:pPr>
        <w:pStyle w:val="BodyText"/>
        <w:rPr>
          <w:rFonts w:ascii="Calibri"/>
          <w:sz w:val="20"/>
        </w:rPr>
      </w:pPr>
    </w:p>
    <w:p>
      <w:pPr>
        <w:spacing w:before="79"/>
        <w:ind w:left="882" w:right="121" w:firstLine="0"/>
        <w:jc w:val="left"/>
        <w:rPr>
          <w:rFonts w:ascii="Calibri"/>
          <w:sz w:val="11"/>
        </w:rPr>
      </w:pPr>
      <w:r>
        <w:rPr>
          <w:rFonts w:ascii="Calibri"/>
          <w:sz w:val="11"/>
        </w:rPr>
        <w:t>-30.0</w:t>
      </w:r>
    </w:p>
    <w:p>
      <w:pPr>
        <w:pStyle w:val="BodyText"/>
        <w:rPr>
          <w:rFonts w:ascii="Calibri"/>
          <w:sz w:val="20"/>
        </w:rPr>
      </w:pPr>
    </w:p>
    <w:p>
      <w:pPr>
        <w:spacing w:after="0"/>
        <w:rPr>
          <w:rFonts w:ascii="Calibri"/>
          <w:sz w:val="20"/>
        </w:rPr>
        <w:sectPr>
          <w:pgSz w:w="12240" w:h="15840"/>
          <w:pgMar w:header="0" w:footer="1003" w:top="1460" w:bottom="1200" w:left="1600" w:right="1580"/>
        </w:sectPr>
      </w:pPr>
    </w:p>
    <w:p>
      <w:pPr>
        <w:spacing w:before="79"/>
        <w:ind w:left="0" w:right="0" w:firstLine="0"/>
        <w:jc w:val="right"/>
        <w:rPr>
          <w:rFonts w:ascii="Calibri"/>
          <w:sz w:val="11"/>
        </w:rPr>
      </w:pPr>
      <w:r>
        <w:rPr>
          <w:rFonts w:ascii="Calibri"/>
          <w:sz w:val="11"/>
        </w:rPr>
        <w:t>-40.0</w:t>
      </w:r>
    </w:p>
    <w:p>
      <w:pPr>
        <w:pStyle w:val="BodyText"/>
        <w:spacing w:before="8"/>
        <w:rPr>
          <w:rFonts w:ascii="Calibri"/>
          <w:sz w:val="17"/>
        </w:rPr>
      </w:pPr>
      <w:r>
        <w:rPr/>
        <w:br w:type="column"/>
      </w:r>
      <w:r>
        <w:rPr>
          <w:rFonts w:ascii="Calibri"/>
          <w:sz w:val="17"/>
        </w:rPr>
      </w:r>
    </w:p>
    <w:p>
      <w:pPr>
        <w:spacing w:before="0"/>
        <w:ind w:left="123" w:right="0" w:firstLine="0"/>
        <w:jc w:val="left"/>
        <w:rPr>
          <w:rFonts w:ascii="Calibri" w:hAnsi="Calibri"/>
          <w:sz w:val="12"/>
        </w:rPr>
      </w:pPr>
      <w:r>
        <w:rPr>
          <w:rFonts w:ascii="Calibri" w:hAnsi="Calibri"/>
          <w:w w:val="105"/>
          <w:sz w:val="12"/>
        </w:rPr>
        <w:t>Fuente: Elaboración propia con base en los datos del INEGI.</w:t>
      </w:r>
    </w:p>
    <w:p>
      <w:pPr>
        <w:spacing w:after="0"/>
        <w:jc w:val="left"/>
        <w:rPr>
          <w:rFonts w:ascii="Calibri" w:hAnsi="Calibri"/>
          <w:sz w:val="12"/>
        </w:rPr>
        <w:sectPr>
          <w:type w:val="continuous"/>
          <w:pgSz w:w="12240" w:h="15840"/>
          <w:pgMar w:top="500" w:bottom="1200" w:left="1600" w:right="1580"/>
          <w:cols w:num="2" w:equalWidth="0">
            <w:col w:w="1115" w:space="40"/>
            <w:col w:w="7905"/>
          </w:cols>
        </w:sectPr>
      </w:pPr>
    </w:p>
    <w:p>
      <w:pPr>
        <w:pStyle w:val="BodyText"/>
        <w:spacing w:before="2"/>
        <w:rPr>
          <w:rFonts w:ascii="Calibri"/>
          <w:sz w:val="12"/>
        </w:rPr>
      </w:pPr>
    </w:p>
    <w:p>
      <w:pPr>
        <w:pStyle w:val="BodyText"/>
        <w:spacing w:line="360" w:lineRule="auto" w:before="69"/>
        <w:ind w:left="102" w:right="120" w:firstLine="707"/>
        <w:jc w:val="both"/>
      </w:pPr>
      <w:r>
        <w:rPr/>
        <w:t>En la Gráfica 4.5, se aprecia el comportamiento del valor agregado de la región Valle de México, los valores de la serie de la mayoría de los municipios están muy dispersos</w:t>
      </w:r>
      <w:r>
        <w:rPr>
          <w:spacing w:val="23"/>
        </w:rPr>
        <w:t> </w:t>
      </w:r>
      <w:r>
        <w:rPr/>
        <w:t>con</w:t>
      </w:r>
      <w:r>
        <w:rPr>
          <w:spacing w:val="22"/>
        </w:rPr>
        <w:t> </w:t>
      </w:r>
      <w:r>
        <w:rPr/>
        <w:t>respecto</w:t>
      </w:r>
      <w:r>
        <w:rPr>
          <w:spacing w:val="23"/>
        </w:rPr>
        <w:t> </w:t>
      </w:r>
      <w:r>
        <w:rPr/>
        <w:t>al</w:t>
      </w:r>
      <w:r>
        <w:rPr>
          <w:spacing w:val="23"/>
        </w:rPr>
        <w:t> </w:t>
      </w:r>
      <w:r>
        <w:rPr/>
        <w:t>valor</w:t>
      </w:r>
      <w:r>
        <w:rPr>
          <w:spacing w:val="22"/>
        </w:rPr>
        <w:t> </w:t>
      </w:r>
      <w:r>
        <w:rPr/>
        <w:t>de</w:t>
      </w:r>
      <w:r>
        <w:rPr>
          <w:spacing w:val="21"/>
        </w:rPr>
        <w:t> </w:t>
      </w:r>
      <w:r>
        <w:rPr/>
        <w:t>su</w:t>
      </w:r>
      <w:r>
        <w:rPr>
          <w:spacing w:val="23"/>
        </w:rPr>
        <w:t> </w:t>
      </w:r>
      <w:r>
        <w:rPr/>
        <w:t>media,</w:t>
      </w:r>
      <w:r>
        <w:rPr>
          <w:spacing w:val="22"/>
        </w:rPr>
        <w:t> </w:t>
      </w:r>
      <w:r>
        <w:rPr/>
        <w:t>que</w:t>
      </w:r>
      <w:r>
        <w:rPr>
          <w:spacing w:val="21"/>
        </w:rPr>
        <w:t> </w:t>
      </w:r>
      <w:r>
        <w:rPr/>
        <w:t>es</w:t>
      </w:r>
      <w:r>
        <w:rPr>
          <w:spacing w:val="23"/>
        </w:rPr>
        <w:t> </w:t>
      </w:r>
      <w:r>
        <w:rPr/>
        <w:t>de</w:t>
      </w:r>
      <w:r>
        <w:rPr>
          <w:spacing w:val="21"/>
        </w:rPr>
        <w:t> </w:t>
      </w:r>
      <w:r>
        <w:rPr/>
        <w:t>3.39</w:t>
      </w:r>
      <w:r>
        <w:rPr>
          <w:spacing w:val="25"/>
        </w:rPr>
        <w:t> </w:t>
      </w:r>
      <w:r>
        <w:rPr/>
        <w:t>y</w:t>
      </w:r>
      <w:r>
        <w:rPr>
          <w:spacing w:val="15"/>
        </w:rPr>
        <w:t> </w:t>
      </w:r>
      <w:r>
        <w:rPr/>
        <w:t>una</w:t>
      </w:r>
      <w:r>
        <w:rPr>
          <w:spacing w:val="21"/>
        </w:rPr>
        <w:t> </w:t>
      </w:r>
      <w:r>
        <w:rPr/>
        <w:t>desviación</w:t>
      </w:r>
      <w:r>
        <w:rPr>
          <w:spacing w:val="23"/>
        </w:rPr>
        <w:t> </w:t>
      </w:r>
      <w:r>
        <w:rPr/>
        <w:t>estándar</w:t>
      </w:r>
      <w:r>
        <w:rPr>
          <w:spacing w:val="22"/>
        </w:rPr>
        <w:t> </w:t>
      </w:r>
      <w:r>
        <w:rPr/>
        <w:t>de</w:t>
      </w:r>
    </w:p>
    <w:p>
      <w:pPr>
        <w:pStyle w:val="BodyText"/>
        <w:spacing w:line="360" w:lineRule="auto" w:before="4"/>
        <w:ind w:left="102" w:right="119"/>
        <w:jc w:val="both"/>
      </w:pPr>
      <w:r>
        <w:rPr/>
        <w:t>12.66. Se observa que las tasas de crecimiento son muy erráticas principalmente en Cuautitlán en 1988 donde los valores se localizan más lejos de su media puesto que la desviación estándar es superada en dos veces (26.5), en 2003 (-22.1), Cuautitlán Izcalli en 1980 (27.8), La Paz en 1980 (23.1) y en 1988 con más de cuatro desviaciones estándar (48.6), Tepotzotlán en 1980 (40.2), en 1993 (23.9) y Tultitlán en 1988 (-23.3), y en 1993 (20.0).</w:t>
      </w:r>
    </w:p>
    <w:p>
      <w:pPr>
        <w:pStyle w:val="BodyText"/>
        <w:spacing w:line="360" w:lineRule="auto" w:before="6"/>
        <w:ind w:left="102" w:right="118" w:firstLine="707"/>
        <w:jc w:val="both"/>
      </w:pPr>
      <w:r>
        <w:rPr/>
        <w:t>A su vez, el comportamiento del valor agregado del subsector 35 y 38 se observa en la Gráfica 4.6, donde se aprecia que el subsector 35 tiene más valores por encima de su media, e incluso por arriba de la desviación estándar. El subsector 38, por ejemplo en Cuautitlán en 1988, casi tres veces su desviación estándar, en 1998 (25.2), y más de dos veces su desviación estándar en valores negativos en 2003 (-36.3).</w:t>
      </w:r>
    </w:p>
    <w:p>
      <w:pPr>
        <w:spacing w:after="0" w:line="360" w:lineRule="auto"/>
        <w:jc w:val="both"/>
        <w:sectPr>
          <w:type w:val="continuous"/>
          <w:pgSz w:w="12240" w:h="15840"/>
          <w:pgMar w:top="500" w:bottom="1200" w:left="1600" w:right="1580"/>
        </w:sectPr>
      </w:pPr>
    </w:p>
    <w:p>
      <w:pPr>
        <w:spacing w:before="31"/>
        <w:ind w:left="3630" w:right="3468" w:firstLine="516"/>
        <w:jc w:val="left"/>
        <w:rPr>
          <w:rFonts w:ascii="Calibri" w:hAnsi="Calibri"/>
          <w:b/>
          <w:sz w:val="20"/>
        </w:rPr>
      </w:pPr>
      <w:r>
        <w:rPr>
          <w:rFonts w:ascii="Calibri" w:hAnsi="Calibri"/>
          <w:b/>
          <w:sz w:val="20"/>
        </w:rPr>
        <w:t>Gráfica 4.5 Región Valle de México</w:t>
      </w:r>
    </w:p>
    <w:p>
      <w:pPr>
        <w:spacing w:line="244" w:lineRule="exact" w:before="0"/>
        <w:ind w:left="118" w:right="0" w:firstLine="0"/>
        <w:jc w:val="center"/>
        <w:rPr>
          <w:rFonts w:ascii="Calibri"/>
          <w:b/>
          <w:sz w:val="20"/>
        </w:rPr>
      </w:pPr>
      <w:r>
        <w:rPr>
          <w:rFonts w:ascii="Calibri"/>
          <w:b/>
          <w:sz w:val="20"/>
        </w:rPr>
        <w:t>Valor agregado</w:t>
      </w:r>
    </w:p>
    <w:p>
      <w:pPr>
        <w:spacing w:before="2"/>
        <w:ind w:left="121" w:right="0" w:firstLine="0"/>
        <w:jc w:val="center"/>
        <w:rPr>
          <w:rFonts w:ascii="Arial"/>
          <w:b/>
          <w:sz w:val="13"/>
        </w:rPr>
      </w:pPr>
      <w:r>
        <w:rPr>
          <w:rFonts w:ascii="Arial"/>
          <w:b/>
          <w:sz w:val="13"/>
        </w:rPr>
        <w:t>Tasas de crecimiento, 1980-2008</w:t>
      </w:r>
    </w:p>
    <w:p>
      <w:pPr>
        <w:spacing w:before="55"/>
        <w:ind w:left="916" w:right="121" w:firstLine="0"/>
        <w:jc w:val="left"/>
        <w:rPr>
          <w:rFonts w:ascii="Calibri"/>
          <w:sz w:val="11"/>
        </w:rPr>
      </w:pPr>
      <w:r>
        <w:rPr/>
        <w:pict>
          <v:group style="position:absolute;margin-left:140.61293pt;margin-top:6.218947pt;width:333.1pt;height:195.95pt;mso-position-horizontal-relative:page;mso-position-vertical-relative:paragraph;z-index:3520" coordorigin="2812,124" coordsize="6662,3919">
            <v:shape style="position:absolute;left:732;top:5539;width:11988;height:7059" coordorigin="732,5539" coordsize="11988,7059" path="m2816,4039l9470,4039m2816,3605l9470,3605m2816,3171l9470,3171m2816,2301l9470,2301m2816,1866l9470,1866m2816,1431l9470,1431m2816,998l9470,998m2816,563l9470,563m2816,128l9470,128m2816,4039l2816,128m2816,2736l9470,2736e" filled="false" stroked="true" strokeweight=".399242pt" strokecolor="#858585">
              <v:path arrowok="t"/>
            </v:shape>
            <v:shape style="position:absolute;left:2863;top:622;width:6561;height:3128" coordorigin="2863,622" coordsize="6561,3128" path="m2863,2793l2959,2401,3053,3373,3149,2076,3244,2397,3338,2942,3434,2862,3529,3241,3623,2621,3719,1582,3814,2668,3908,1982,4004,3694,4099,2062,4195,1528,4289,2079,4384,2882,4480,2827,4574,2413,4669,2773,4765,2915,4860,2597,4954,3119,5050,2087,5145,2699,5240,2522,5335,3060,5430,2457,5526,1731,5620,3077,5715,622,5811,3073,5905,2946,6001,2651,6096,2471,6190,2817,6286,2793,6381,2701,6475,2373,6571,2951,6666,2820,6760,2889,6856,2328,6951,2649,7047,2870,7141,2098,7236,2341,7332,2958,7426,2810,7521,991,7617,2007,7711,3363,7806,1696,7902,2683,7996,2510,8092,2657,8187,2794,8281,2681,8377,2708,8472,2696,8566,2434,8662,3286,8757,2870,8852,2745,8947,3398,9042,3749,9138,1866,9232,2270,9327,2652,9423,2499e" filled="false" stroked="true" strokeweight="1.197051pt" strokecolor="#bd4a47">
              <v:path arrowok="t"/>
            </v:shape>
            <v:shape style="position:absolute;left:2812;top:124;width:6662;height:3919" type="#_x0000_t202" filled="false" stroked="false">
              <v:textbox inset="0,0,0,0">
                <w:txbxContent>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0"/>
                      <w:rPr>
                        <w:sz w:val="10"/>
                      </w:rPr>
                    </w:pPr>
                  </w:p>
                  <w:p>
                    <w:pPr>
                      <w:spacing w:line="240" w:lineRule="auto" w:before="3"/>
                      <w:rPr>
                        <w:sz w:val="13"/>
                      </w:rPr>
                    </w:pPr>
                  </w:p>
                  <w:p>
                    <w:pPr>
                      <w:spacing w:before="0"/>
                      <w:ind w:left="-6" w:right="0" w:firstLine="0"/>
                      <w:jc w:val="left"/>
                      <w:rPr>
                        <w:rFonts w:ascii="Calibri"/>
                        <w:sz w:val="11"/>
                      </w:rPr>
                    </w:pPr>
                    <w:r>
                      <w:rPr>
                        <w:rFonts w:ascii="Calibri"/>
                        <w:sz w:val="11"/>
                      </w:rPr>
                      <w:t>80   88   98   09   85   93   03   80   88   98   09   85   93   03   80   88   98   09   85   93   03   80   88   98   09   85   93   03   80   88   98   09   85   93      03</w:t>
                    </w:r>
                  </w:p>
                  <w:p>
                    <w:pPr>
                      <w:spacing w:before="1"/>
                      <w:ind w:left="-7" w:right="0" w:firstLine="0"/>
                      <w:jc w:val="left"/>
                      <w:rPr>
                        <w:rFonts w:ascii="Calibri"/>
                        <w:sz w:val="11"/>
                      </w:rPr>
                    </w:pPr>
                    <w:r>
                      <w:rPr>
                        <w:rFonts w:ascii="Calibri"/>
                        <w:sz w:val="11"/>
                      </w:rPr>
                      <w:t>AZ   AZ   AZ   AZ    C     C     C     CI    CI    CI    CI     E     E     E    LP   LP   LP   LP   NA  NA  NA  NE   NE   NE   NE   TE   TE   TE    TLA TLA TLA TLA TUL TUL TUL</w:t>
                    </w:r>
                  </w:p>
                </w:txbxContent>
              </v:textbox>
              <w10:wrap type="none"/>
            </v:shape>
            <w10:wrap type="none"/>
          </v:group>
        </w:pict>
      </w:r>
      <w:r>
        <w:rPr>
          <w:rFonts w:ascii="Calibri"/>
          <w:sz w:val="11"/>
        </w:rPr>
        <w:t>60.0</w:t>
      </w:r>
    </w:p>
    <w:p>
      <w:pPr>
        <w:pStyle w:val="BodyText"/>
        <w:spacing w:before="2"/>
        <w:rPr>
          <w:rFonts w:ascii="Calibri"/>
          <w:sz w:val="18"/>
        </w:rPr>
      </w:pPr>
    </w:p>
    <w:p>
      <w:pPr>
        <w:spacing w:before="78"/>
        <w:ind w:left="916" w:right="121" w:firstLine="0"/>
        <w:jc w:val="left"/>
        <w:rPr>
          <w:rFonts w:ascii="Calibri"/>
          <w:sz w:val="11"/>
        </w:rPr>
      </w:pPr>
      <w:r>
        <w:rPr>
          <w:rFonts w:ascii="Calibri"/>
          <w:sz w:val="11"/>
        </w:rPr>
        <w:t>50.0</w:t>
      </w:r>
    </w:p>
    <w:p>
      <w:pPr>
        <w:pStyle w:val="BodyText"/>
        <w:spacing w:before="2"/>
        <w:rPr>
          <w:rFonts w:ascii="Calibri"/>
          <w:sz w:val="18"/>
        </w:rPr>
      </w:pPr>
    </w:p>
    <w:p>
      <w:pPr>
        <w:spacing w:before="78"/>
        <w:ind w:left="916" w:right="121" w:firstLine="0"/>
        <w:jc w:val="left"/>
        <w:rPr>
          <w:rFonts w:ascii="Calibri"/>
          <w:sz w:val="11"/>
        </w:rPr>
      </w:pPr>
      <w:r>
        <w:rPr>
          <w:rFonts w:ascii="Calibri"/>
          <w:sz w:val="11"/>
        </w:rPr>
        <w:t>40.0</w:t>
      </w:r>
    </w:p>
    <w:p>
      <w:pPr>
        <w:pStyle w:val="BodyText"/>
        <w:spacing w:before="2"/>
        <w:rPr>
          <w:rFonts w:ascii="Calibri"/>
          <w:sz w:val="18"/>
        </w:rPr>
      </w:pPr>
    </w:p>
    <w:p>
      <w:pPr>
        <w:spacing w:before="78"/>
        <w:ind w:left="916" w:right="121" w:firstLine="0"/>
        <w:jc w:val="left"/>
        <w:rPr>
          <w:rFonts w:ascii="Calibri"/>
          <w:sz w:val="11"/>
        </w:rPr>
      </w:pPr>
      <w:r>
        <w:rPr>
          <w:rFonts w:ascii="Calibri"/>
          <w:sz w:val="11"/>
        </w:rPr>
        <w:t>30.0</w:t>
      </w:r>
    </w:p>
    <w:p>
      <w:pPr>
        <w:pStyle w:val="BodyText"/>
        <w:spacing w:before="2"/>
        <w:rPr>
          <w:rFonts w:ascii="Calibri"/>
          <w:sz w:val="18"/>
        </w:rPr>
      </w:pPr>
    </w:p>
    <w:p>
      <w:pPr>
        <w:spacing w:before="78"/>
        <w:ind w:left="916" w:right="121" w:firstLine="0"/>
        <w:jc w:val="left"/>
        <w:rPr>
          <w:rFonts w:ascii="Calibri"/>
          <w:sz w:val="11"/>
        </w:rPr>
      </w:pPr>
      <w:r>
        <w:rPr>
          <w:rFonts w:ascii="Calibri"/>
          <w:sz w:val="11"/>
        </w:rPr>
        <w:t>20.0</w:t>
      </w:r>
    </w:p>
    <w:p>
      <w:pPr>
        <w:pStyle w:val="BodyText"/>
        <w:spacing w:before="2"/>
        <w:rPr>
          <w:rFonts w:ascii="Calibri"/>
          <w:sz w:val="18"/>
        </w:rPr>
      </w:pPr>
    </w:p>
    <w:p>
      <w:pPr>
        <w:spacing w:before="78"/>
        <w:ind w:left="916" w:right="121" w:firstLine="0"/>
        <w:jc w:val="left"/>
        <w:rPr>
          <w:rFonts w:ascii="Calibri"/>
          <w:sz w:val="11"/>
        </w:rPr>
      </w:pPr>
      <w:r>
        <w:rPr>
          <w:rFonts w:ascii="Calibri"/>
          <w:sz w:val="11"/>
        </w:rPr>
        <w:t>10.0</w:t>
      </w:r>
    </w:p>
    <w:p>
      <w:pPr>
        <w:pStyle w:val="BodyText"/>
        <w:spacing w:before="2"/>
        <w:rPr>
          <w:rFonts w:ascii="Calibri"/>
          <w:sz w:val="18"/>
        </w:rPr>
      </w:pPr>
    </w:p>
    <w:p>
      <w:pPr>
        <w:spacing w:before="78"/>
        <w:ind w:left="972" w:right="121" w:firstLine="0"/>
        <w:jc w:val="left"/>
        <w:rPr>
          <w:rFonts w:ascii="Calibri"/>
          <w:sz w:val="11"/>
        </w:rPr>
      </w:pPr>
      <w:r>
        <w:rPr>
          <w:rFonts w:ascii="Calibri"/>
          <w:sz w:val="11"/>
        </w:rPr>
        <w:t>0.0</w:t>
      </w:r>
    </w:p>
    <w:p>
      <w:pPr>
        <w:pStyle w:val="BodyText"/>
        <w:spacing w:before="2"/>
        <w:rPr>
          <w:rFonts w:ascii="Calibri"/>
          <w:sz w:val="18"/>
        </w:rPr>
      </w:pPr>
    </w:p>
    <w:p>
      <w:pPr>
        <w:spacing w:before="78"/>
        <w:ind w:left="882" w:right="121" w:firstLine="0"/>
        <w:jc w:val="left"/>
        <w:rPr>
          <w:rFonts w:ascii="Calibri"/>
          <w:sz w:val="11"/>
        </w:rPr>
      </w:pPr>
      <w:r>
        <w:rPr>
          <w:rFonts w:ascii="Calibri"/>
          <w:sz w:val="11"/>
        </w:rPr>
        <w:t>-10.0</w:t>
      </w:r>
    </w:p>
    <w:p>
      <w:pPr>
        <w:pStyle w:val="BodyText"/>
        <w:spacing w:before="2"/>
        <w:rPr>
          <w:rFonts w:ascii="Calibri"/>
          <w:sz w:val="18"/>
        </w:rPr>
      </w:pPr>
    </w:p>
    <w:p>
      <w:pPr>
        <w:spacing w:before="78"/>
        <w:ind w:left="882" w:right="121" w:firstLine="0"/>
        <w:jc w:val="left"/>
        <w:rPr>
          <w:rFonts w:ascii="Calibri"/>
          <w:sz w:val="11"/>
        </w:rPr>
      </w:pPr>
      <w:r>
        <w:rPr>
          <w:rFonts w:ascii="Calibri"/>
          <w:sz w:val="11"/>
        </w:rPr>
        <w:t>-20.0</w:t>
      </w:r>
    </w:p>
    <w:p>
      <w:pPr>
        <w:pStyle w:val="BodyText"/>
        <w:spacing w:before="2"/>
        <w:rPr>
          <w:rFonts w:ascii="Calibri"/>
          <w:sz w:val="18"/>
        </w:rPr>
      </w:pPr>
    </w:p>
    <w:p>
      <w:pPr>
        <w:spacing w:before="78"/>
        <w:ind w:left="882" w:right="121" w:firstLine="0"/>
        <w:jc w:val="left"/>
        <w:rPr>
          <w:rFonts w:ascii="Calibri"/>
          <w:sz w:val="11"/>
        </w:rPr>
      </w:pPr>
      <w:r>
        <w:rPr>
          <w:rFonts w:ascii="Calibri"/>
          <w:sz w:val="11"/>
        </w:rPr>
        <w:t>-30.0</w:t>
      </w:r>
    </w:p>
    <w:p>
      <w:pPr>
        <w:pStyle w:val="BodyText"/>
        <w:spacing w:before="11"/>
        <w:rPr>
          <w:rFonts w:ascii="Calibri"/>
          <w:sz w:val="8"/>
        </w:rPr>
      </w:pPr>
    </w:p>
    <w:p>
      <w:pPr>
        <w:spacing w:before="78"/>
        <w:ind w:left="1134" w:right="121" w:firstLine="0"/>
        <w:jc w:val="left"/>
        <w:rPr>
          <w:rFonts w:ascii="Calibri" w:hAnsi="Calibri"/>
          <w:sz w:val="12"/>
        </w:rPr>
      </w:pPr>
      <w:r>
        <w:rPr>
          <w:rFonts w:ascii="Calibri" w:hAnsi="Calibri"/>
          <w:sz w:val="12"/>
        </w:rPr>
        <w:t>Fuente: Elaboración propia con base en los datos del   INEGI.</w:t>
      </w:r>
    </w:p>
    <w:p>
      <w:pPr>
        <w:pStyle w:val="BodyText"/>
        <w:spacing w:before="6"/>
        <w:rPr>
          <w:rFonts w:ascii="Calibri"/>
          <w:sz w:val="11"/>
        </w:rPr>
      </w:pPr>
    </w:p>
    <w:p>
      <w:pPr>
        <w:pStyle w:val="BodyText"/>
        <w:spacing w:before="70"/>
        <w:ind w:left="810" w:right="121"/>
      </w:pPr>
      <w:r>
        <w:rPr/>
        <w:t>Por su parte Cuautitlán Izcalli en 1980 (-20.7), en 1985 (47.9), La Paz en 1985</w:t>
      </w:r>
    </w:p>
    <w:p>
      <w:pPr>
        <w:pStyle w:val="BodyText"/>
        <w:spacing w:line="360" w:lineRule="auto" w:before="139"/>
        <w:ind w:left="102" w:right="114"/>
        <w:jc w:val="both"/>
      </w:pPr>
      <w:r>
        <w:rPr/>
        <w:t>(30.5), Nezahualcóyotl en 1988 (-27.9), Tepotzotlán en 2003 (56.8) y Tultitlán en 1988 (- 34.7). Con respecto al comportamiento del subsector 38, casi todos los valores de los municipios convergen alrededor de la media y están fluctuando alrededor del valor de la desviación estándar, por lo tanto, el valor medio se considera más representativo de los datos, a excepción de Cuautitlán Izcalli en 1980 con casi tres desviaciones estándar (115.1), La Paz en 1980 con un comportamiento negativo de más de una desviación estándar (- 65.9), y el caso más extremo es La Paz, con un valor de siete veces más su desviación estándar (289.5), Tepotzotlán en 1980 (61.8) y en 1993 (52.8).</w:t>
      </w:r>
    </w:p>
    <w:p>
      <w:pPr>
        <w:spacing w:after="0" w:line="360" w:lineRule="auto"/>
        <w:jc w:val="both"/>
        <w:sectPr>
          <w:pgSz w:w="12240" w:h="15840"/>
          <w:pgMar w:header="0" w:footer="1003" w:top="1480" w:bottom="1200" w:left="1600" w:right="1580"/>
        </w:sectPr>
      </w:pPr>
    </w:p>
    <w:p>
      <w:pPr>
        <w:spacing w:before="41"/>
        <w:ind w:left="3667" w:right="3448" w:firstLine="519"/>
        <w:jc w:val="left"/>
        <w:rPr>
          <w:rFonts w:ascii="Calibri" w:hAnsi="Calibri"/>
          <w:b/>
          <w:sz w:val="20"/>
        </w:rPr>
      </w:pPr>
      <w:r>
        <w:rPr>
          <w:rFonts w:ascii="Calibri" w:hAnsi="Calibri"/>
          <w:b/>
          <w:sz w:val="20"/>
        </w:rPr>
        <w:t>Gráfica 4.6 Región Valle de México</w:t>
      </w:r>
    </w:p>
    <w:p>
      <w:pPr>
        <w:spacing w:before="0"/>
        <w:ind w:left="3551" w:right="3368" w:firstLine="0"/>
        <w:jc w:val="center"/>
        <w:rPr>
          <w:rFonts w:ascii="Calibri"/>
          <w:b/>
          <w:sz w:val="20"/>
        </w:rPr>
      </w:pPr>
      <w:r>
        <w:rPr>
          <w:rFonts w:ascii="Calibri"/>
          <w:b/>
          <w:sz w:val="20"/>
        </w:rPr>
        <w:t>Valor agregado</w:t>
      </w:r>
    </w:p>
    <w:p>
      <w:pPr>
        <w:spacing w:before="3"/>
        <w:ind w:left="3554" w:right="3368" w:firstLine="0"/>
        <w:jc w:val="center"/>
        <w:rPr>
          <w:rFonts w:ascii="Arial"/>
          <w:b/>
          <w:sz w:val="13"/>
        </w:rPr>
      </w:pPr>
      <w:r>
        <w:rPr>
          <w:rFonts w:ascii="Arial"/>
          <w:b/>
          <w:w w:val="105"/>
          <w:sz w:val="13"/>
        </w:rPr>
        <w:t>Tasas de crecimiento. 1980-2008</w:t>
      </w:r>
    </w:p>
    <w:p>
      <w:pPr>
        <w:spacing w:before="72"/>
        <w:ind w:left="936" w:right="243" w:firstLine="0"/>
        <w:jc w:val="left"/>
        <w:rPr>
          <w:rFonts w:ascii="Calibri"/>
          <w:sz w:val="11"/>
        </w:rPr>
      </w:pPr>
      <w:r>
        <w:rPr/>
        <w:pict>
          <v:group style="position:absolute;margin-left:143.524231pt;margin-top:6.995082pt;width:300.9pt;height:203.25pt;mso-position-horizontal-relative:page;mso-position-vertical-relative:paragraph;z-index:-463408" coordorigin="2870,140" coordsize="6018,4065">
            <v:shape style="position:absolute;left:833;top:5553;width:10762;height:7275" coordorigin="833,5553" coordsize="10762,7275" path="m2875,4200l8884,4200m2875,3749l8884,3749m2875,2848l8884,2848m2875,2398l8884,2398m2875,1947l8884,1947m2875,1497l8884,1497m2875,1046l8884,1046m2875,595l8884,595m2875,144l8884,144m2875,4200l2875,144m2875,3299l8884,3299e" filled="false" stroked="true" strokeweight=".401698pt" strokecolor="#858585">
              <v:path arrowok="t"/>
            </v:shape>
            <v:shape style="position:absolute;left:910;top:10293;width:10608;height:1505" coordorigin="910,10293" coordsize="10608,1505" path="m2918,3386l3004,3266,3089,3348,3175,3113,3261,3285,3347,3266,3432,3302,3518,3393,3604,3315,3691,2919,3777,3199,3863,3072,3948,3626,4034,3167,4120,3485,4206,2867,4291,3389,4377,3155,4463,3200,4549,3294,4634,3385,4720,3257,4806,3338,4892,3196,4977,3325,5063,3259,5149,3381,5235,3266,5322,3349,5408,3024,5493,3281,5579,3158,5665,3384,5751,3299,5836,3373m6008,3357l6094,3216,6179,3175,6265,3344,6351,3295,6437,3246,6523,3200,6608,3139,6694,3551,6780,3184,6867,3107,6953,3294,7038,3244m7381,3348l7467,3188,7553,2787,7639,3401,7724,3322,7810,3289,7896,3278,7982,3294,8068,3286,8153,3314,8239,3370,8325,3187,8411,3408,8498,3611,8583,3202,8669,3127,8755,3358,8841,3246e" filled="false" stroked="true" strokeweight="1.205095pt" strokecolor="#bd4a47">
              <v:path arrowok="t"/>
            </v:shape>
            <v:shape style="position:absolute;left:2918;top:690;width:5923;height:3204" coordorigin="2918,690" coordsize="5923,3204" path="m2918,3307l3004,3230,3089,3578,3175,3227,3261,3176,3347,3306,3432,3278,3518,3440,3604,3362,3691,3517,3777,3124,3863,3279,3948,3440,4034,3151,4120,2261,4206,3491,4291,2970,4377,3429,4463,3224,4549,3376,4634,3341,4720,3214,4806,3461,4892,3315,4977,3298,5063,3251,5149,3350,5235,3279,5322,3893,5408,690,5493,3487,5579,3211,5665,3293,5751,3445,5836,3287,5922,3244,6008,3360,6094,3369,6179,3271,6265,3302,6351,3310,6437,3337,6523,3127,6608,3348,6694,3330,6780,3109,6867,3290,6953,3283,7038,3361,7124,2741,7210,3361,7296,3683,7381,2823,7467,3128,7553,3428,7639,3104,7724,3258,7810,3350,7896,3315,7982,3253,8068,3220,8153,3521,8239,3267,8325,3303,8411,3508,8498,3329,8583,3036,8669,3350,8755,3238,8841,3319e" filled="false" stroked="true" strokeweight="1.204593pt" strokecolor="#497dba">
              <v:path arrowok="t"/>
            </v:shape>
            <v:shape style="position:absolute;left:2875;top:3186;width:172;height:163" type="#_x0000_t75" stroked="false">
              <v:imagedata r:id="rId41" o:title=""/>
            </v:shape>
            <v:shape style="position:absolute;left:3051;top:3537;width:78;height:78" coordorigin="3051,3537" coordsize="78,78" path="m3090,3537l3051,3577,3090,3615,3128,3577,3090,3537xe" filled="true" fillcolor="#4f81bc" stroked="false">
              <v:path arrowok="t"/>
              <v:fill type="solid"/>
            </v:shape>
            <v:shape style="position:absolute;left:3051;top:3537;width:78;height:78" coordorigin="3051,3537" coordsize="78,78" path="m3090,3537l3128,3577,3090,3615,3051,3577,3090,3537xe" filled="false" stroked="true" strokeweight=".401698pt" strokecolor="#497dba">
              <v:path arrowok="t"/>
            </v:shape>
            <v:shape style="position:absolute;left:3132;top:3132;width:343;height:217" type="#_x0000_t75" stroked="false">
              <v:imagedata r:id="rId42" o:title=""/>
            </v:shape>
            <v:shape style="position:absolute;left:3475;top:3318;width:257;height:242" type="#_x0000_t75" stroked="false">
              <v:imagedata r:id="rId43" o:title=""/>
            </v:shape>
            <v:shape style="position:absolute;left:3737;top:3085;width:78;height:78" coordorigin="3737,3085" coordsize="78,78" path="m3776,3085l3737,3124,3776,3163,3814,3124,3776,3085xe" filled="true" fillcolor="#4f81bc" stroked="false">
              <v:path arrowok="t"/>
              <v:fill type="solid"/>
            </v:shape>
            <v:shape style="position:absolute;left:3737;top:3085;width:78;height:78" coordorigin="3737,3085" coordsize="78,78" path="m3776,3085l3814,3124,3776,3163,3737,3124,3776,3085xe" filled="false" stroked="true" strokeweight=".401698pt" strokecolor="#497dba">
              <v:path arrowok="t"/>
            </v:shape>
            <v:shape style="position:absolute;left:3822;top:3240;width:78;height:78" coordorigin="3822,3240" coordsize="78,78" path="m3861,3240l3822,3280,3861,3318,3900,3280,3861,3240xe" filled="true" fillcolor="#4f81bc" stroked="false">
              <v:path arrowok="t"/>
              <v:fill type="solid"/>
            </v:shape>
            <v:shape style="position:absolute;left:3822;top:3240;width:78;height:78" coordorigin="3822,3240" coordsize="78,78" path="m3861,3240l3900,3280,3861,3318,3822,3280,3861,3240xe" filled="false" stroked="true" strokeweight=".401698pt" strokecolor="#497dba">
              <v:path arrowok="t"/>
            </v:shape>
            <v:shape style="position:absolute;left:3908;top:3400;width:78;height:78" coordorigin="3908,3400" coordsize="78,78" path="m3947,3400l3908,3439,3947,3477,3986,3439,3947,3400xe" filled="true" fillcolor="#4f81bc" stroked="false">
              <v:path arrowok="t"/>
              <v:fill type="solid"/>
            </v:shape>
            <v:shape style="position:absolute;left:3908;top:3400;width:78;height:78" coordorigin="3908,3400" coordsize="78,78" path="m3947,3400l3986,3439,3947,3477,3908,3439,3947,3400xe" filled="false" stroked="true" strokeweight=".401698pt" strokecolor="#497dba">
              <v:path arrowok="t"/>
            </v:shape>
            <v:shape style="position:absolute;left:3994;top:3112;width:78;height:78" coordorigin="3994,3112" coordsize="78,78" path="m4033,3112l3994,3151,4033,3190,4072,3151,4033,3112xe" filled="true" fillcolor="#4f81bc" stroked="false">
              <v:path arrowok="t"/>
              <v:fill type="solid"/>
            </v:shape>
            <v:shape style="position:absolute;left:3994;top:3112;width:78;height:78" coordorigin="3994,3112" coordsize="78,78" path="m4033,3112l4072,3151,4033,3190,3994,3151,4033,3112xe" filled="false" stroked="true" strokeweight=".401698pt" strokecolor="#497dba">
              <v:path arrowok="t"/>
            </v:shape>
            <v:shape style="position:absolute;left:4080;top:2222;width:78;height:78" coordorigin="4080,2222" coordsize="78,78" path="m4119,2222l4080,2261,4119,2300,4157,2261,4119,2222xe" filled="true" fillcolor="#4f81bc" stroked="false">
              <v:path arrowok="t"/>
              <v:fill type="solid"/>
            </v:shape>
            <v:shape style="position:absolute;left:4080;top:2222;width:78;height:78" coordorigin="4080,2222" coordsize="78,78" path="m4119,2222l4157,2261,4119,2300,4080,2261,4119,2222xe" filled="false" stroked="true" strokeweight=".401698pt" strokecolor="#497dba">
              <v:path arrowok="t"/>
            </v:shape>
            <v:shape style="position:absolute;left:4165;top:3452;width:78;height:78" coordorigin="4165,3452" coordsize="78,78" path="m4205,3452l4165,3491,4205,3529,4243,3491,4205,3452xe" filled="true" fillcolor="#4f81bc" stroked="false">
              <v:path arrowok="t"/>
              <v:fill type="solid"/>
            </v:shape>
            <v:shape style="position:absolute;left:4165;top:3452;width:78;height:78" coordorigin="4165,3452" coordsize="78,78" path="m4205,3452l4243,3491,4205,3529,4165,3491,4205,3452xe" filled="false" stroked="true" strokeweight=".401698pt" strokecolor="#497dba">
              <v:path arrowok="t"/>
            </v:shape>
            <v:shape style="position:absolute;left:4251;top:2930;width:78;height:78" coordorigin="4251,2930" coordsize="78,78" path="m4290,2930l4251,2969,4290,3008,4329,2969,4290,2930xe" filled="true" fillcolor="#4f81bc" stroked="false">
              <v:path arrowok="t"/>
              <v:fill type="solid"/>
            </v:shape>
            <v:shape style="position:absolute;left:4251;top:2930;width:78;height:78" coordorigin="4251,2930" coordsize="78,78" path="m4290,2930l4329,2969,4290,3008,4251,2969,4290,2930xe" filled="false" stroked="true" strokeweight=".401698pt" strokecolor="#497dba">
              <v:path arrowok="t"/>
            </v:shape>
            <v:shape style="position:absolute;left:4337;top:3389;width:78;height:78" coordorigin="4337,3389" coordsize="78,78" path="m4376,3389l4337,3428,4376,3467,4415,3428,4376,3389xe" filled="true" fillcolor="#4f81bc" stroked="false">
              <v:path arrowok="t"/>
              <v:fill type="solid"/>
            </v:shape>
            <v:shape style="position:absolute;left:4337;top:3389;width:78;height:78" coordorigin="4337,3389" coordsize="78,78" path="m4376,3389l4415,3428,4376,3467,4337,3428,4376,3389xe" filled="false" stroked="true" strokeweight=".401698pt" strokecolor="#497dba">
              <v:path arrowok="t"/>
            </v:shape>
            <v:shape style="position:absolute;left:4424;top:3186;width:78;height:78" coordorigin="4424,3186" coordsize="78,78" path="m4463,3186l4424,3225,4463,3263,4502,3225,4463,3186xe" filled="true" fillcolor="#4f81bc" stroked="false">
              <v:path arrowok="t"/>
              <v:fill type="solid"/>
            </v:shape>
            <v:shape style="position:absolute;left:4424;top:3186;width:78;height:78" coordorigin="4424,3186" coordsize="78,78" path="m4463,3186l4502,3225,4463,3263,4424,3225,4463,3186xe" filled="false" stroked="true" strokeweight=".401698pt" strokecolor="#497dba">
              <v:path arrowok="t"/>
            </v:shape>
            <v:shape style="position:absolute;left:4506;top:3298;width:172;height:120" type="#_x0000_t75" stroked="false">
              <v:imagedata r:id="rId44" o:title=""/>
            </v:shape>
            <v:shape style="position:absolute;left:4681;top:3174;width:78;height:78" coordorigin="4681,3174" coordsize="78,78" path="m4720,3174l4681,3213,4720,3251,4759,3213,4720,3174xe" filled="true" fillcolor="#4f81bc" stroked="false">
              <v:path arrowok="t"/>
              <v:fill type="solid"/>
            </v:shape>
            <v:shape style="position:absolute;left:4681;top:3174;width:78;height:78" coordorigin="4681,3174" coordsize="78,78" path="m4720,3174l4759,3213,4720,3251,4681,3213,4720,3174xe" filled="false" stroked="true" strokeweight=".401698pt" strokecolor="#497dba">
              <v:path arrowok="t"/>
            </v:shape>
            <v:shape style="position:absolute;left:4767;top:3421;width:78;height:78" coordorigin="4767,3421" coordsize="78,78" path="m4806,3421l4767,3460,4806,3499,4845,3460,4806,3421xe" filled="true" fillcolor="#4f81bc" stroked="false">
              <v:path arrowok="t"/>
              <v:fill type="solid"/>
            </v:shape>
            <v:shape style="position:absolute;left:4767;top:3421;width:78;height:78" coordorigin="4767,3421" coordsize="78,78" path="m4806,3421l4845,3460,4806,3499,4767,3460,4806,3421xe" filled="false" stroked="true" strokeweight=".401698pt" strokecolor="#497dba">
              <v:path arrowok="t"/>
            </v:shape>
            <v:shape style="position:absolute;left:4849;top:3208;width:429;height:185" type="#_x0000_t75" stroked="false">
              <v:imagedata r:id="rId45" o:title=""/>
            </v:shape>
            <v:shape style="position:absolute;left:5282;top:3853;width:78;height:78" coordorigin="5282,3853" coordsize="78,78" path="m5321,3853l5282,3892,5321,3931,5359,3892,5321,3853xe" filled="true" fillcolor="#4f81bc" stroked="false">
              <v:path arrowok="t"/>
              <v:fill type="solid"/>
            </v:shape>
            <v:shape style="position:absolute;left:5282;top:3853;width:78;height:78" coordorigin="5282,3853" coordsize="78,78" path="m5321,3853l5359,3892,5321,3931,5282,3892,5321,3853xe" filled="false" stroked="true" strokeweight=".401698pt" strokecolor="#497dba">
              <v:path arrowok="t"/>
            </v:shape>
            <v:shape style="position:absolute;left:5367;top:651;width:78;height:78" coordorigin="5367,651" coordsize="78,78" path="m5406,651l5367,691,5406,729,5445,691,5406,651xe" filled="true" fillcolor="#4f81bc" stroked="false">
              <v:path arrowok="t"/>
              <v:fill type="solid"/>
            </v:shape>
            <v:shape style="position:absolute;left:5367;top:651;width:78;height:78" coordorigin="5367,651" coordsize="78,78" path="m5406,651l5445,691,5406,729,5367,691,5406,651xe" filled="false" stroked="true" strokeweight=".401698pt" strokecolor="#497dba">
              <v:path arrowok="t"/>
            </v:shape>
            <v:shape style="position:absolute;left:5453;top:3448;width:78;height:78" coordorigin="5453,3448" coordsize="78,78" path="m5492,3448l5453,3487,5492,3525,5531,3487,5492,3448xe" filled="true" fillcolor="#4f81bc" stroked="false">
              <v:path arrowok="t"/>
              <v:fill type="solid"/>
            </v:shape>
            <v:shape style="position:absolute;left:5453;top:3448;width:78;height:78" coordorigin="5453,3448" coordsize="78,78" path="m5492,3448l5531,3487,5492,3525,5453,3487,5492,3448xe" filled="false" stroked="true" strokeweight=".401698pt" strokecolor="#497dba">
              <v:path arrowok="t"/>
            </v:shape>
            <v:shape style="position:absolute;left:5535;top:3168;width:172;height:166" type="#_x0000_t75" stroked="false">
              <v:imagedata r:id="rId46" o:title=""/>
            </v:shape>
            <v:shape style="position:absolute;left:5710;top:3406;width:78;height:78" coordorigin="5710,3406" coordsize="78,78" path="m5750,3406l5710,3445,5750,3484,5788,3445,5750,3406xe" filled="true" fillcolor="#4f81bc" stroked="false">
              <v:path arrowok="t"/>
              <v:fill type="solid"/>
            </v:shape>
            <v:shape style="position:absolute;left:5710;top:3406;width:78;height:78" coordorigin="5710,3406" coordsize="78,78" path="m5750,3406l5788,3445,5750,3484,5710,3445,5750,3406xe" filled="false" stroked="true" strokeweight=".401698pt" strokecolor="#497dba">
              <v:path arrowok="t"/>
            </v:shape>
            <v:shape style="position:absolute;left:5792;top:3202;width:687;height:209" type="#_x0000_t75" stroked="false">
              <v:imagedata r:id="rId47" o:title=""/>
            </v:shape>
            <v:shape style="position:absolute;left:6484;top:3087;width:78;height:78" coordorigin="6484,3087" coordsize="78,78" path="m6523,3087l6484,3126,6523,3164,6561,3126,6523,3087xe" filled="true" fillcolor="#4f81bc" stroked="false">
              <v:path arrowok="t"/>
              <v:fill type="solid"/>
            </v:shape>
            <v:shape style="position:absolute;left:6484;top:3087;width:78;height:78" coordorigin="6484,3087" coordsize="78,78" path="m6523,3087l6561,3126,6523,3164,6484,3126,6523,3087xe" filled="false" stroked="true" strokeweight=".401698pt" strokecolor="#497dba">
              <v:path arrowok="t"/>
            </v:shape>
            <v:shape style="position:absolute;left:6565;top:3287;width:172;height:102" type="#_x0000_t75" stroked="false">
              <v:imagedata r:id="rId48" o:title=""/>
            </v:shape>
            <v:shape style="position:absolute;left:6741;top:3069;width:78;height:78" coordorigin="6741,3069" coordsize="78,78" path="m6780,3069l6741,3108,6780,3147,6819,3108,6780,3069xe" filled="true" fillcolor="#4f81bc" stroked="false">
              <v:path arrowok="t"/>
              <v:fill type="solid"/>
            </v:shape>
            <v:shape style="position:absolute;left:6741;top:3069;width:78;height:78" coordorigin="6741,3069" coordsize="78,78" path="m6780,3069l6819,3108,6780,3147,6741,3108,6780,3069xe" filled="false" stroked="true" strokeweight=".401698pt" strokecolor="#497dba">
              <v:path arrowok="t"/>
            </v:shape>
            <v:shape style="position:absolute;left:6823;top:3239;width:257;height:163" type="#_x0000_t75" stroked="false">
              <v:imagedata r:id="rId49" o:title=""/>
            </v:shape>
            <v:shape style="position:absolute;left:7084;top:2703;width:78;height:78" coordorigin="7084,2703" coordsize="78,78" path="m7123,2703l7084,2742,7123,2780,7162,2742,7123,2703xe" filled="true" fillcolor="#4f81bc" stroked="false">
              <v:path arrowok="t"/>
              <v:fill type="solid"/>
            </v:shape>
            <v:shape style="position:absolute;left:7084;top:2703;width:78;height:78" coordorigin="7084,2703" coordsize="78,78" path="m7123,2703l7162,2742,7123,2780,7084,2742,7123,2703xe" filled="false" stroked="true" strokeweight=".401698pt" strokecolor="#497dba">
              <v:path arrowok="t"/>
            </v:shape>
            <v:shape style="position:absolute;left:7170;top:3321;width:78;height:78" coordorigin="7170,3321" coordsize="78,78" path="m7209,3321l7170,3360,7209,3398,7247,3360,7209,3321xe" filled="true" fillcolor="#4f81bc" stroked="false">
              <v:path arrowok="t"/>
              <v:fill type="solid"/>
            </v:shape>
            <v:shape style="position:absolute;left:7170;top:3321;width:78;height:78" coordorigin="7170,3321" coordsize="78,78" path="m7209,3321l7247,3360,7209,3398,7170,3360,7209,3321xe" filled="false" stroked="true" strokeweight=".401698pt" strokecolor="#497dba">
              <v:path arrowok="t"/>
            </v:shape>
            <v:shape style="position:absolute;left:7255;top:3643;width:78;height:78" coordorigin="7255,3643" coordsize="78,78" path="m7295,3643l7255,3682,7295,3721,7333,3682,7295,3643xe" filled="true" fillcolor="#4f81bc" stroked="false">
              <v:path arrowok="t"/>
              <v:fill type="solid"/>
            </v:shape>
            <v:shape style="position:absolute;left:7255;top:3643;width:78;height:78" coordorigin="7255,3643" coordsize="78,78" path="m7295,3643l7333,3682,7295,3721,7255,3682,7295,3643xe" filled="false" stroked="true" strokeweight=".401698pt" strokecolor="#497dba">
              <v:path arrowok="t"/>
            </v:shape>
            <v:shape style="position:absolute;left:7341;top:2784;width:78;height:78" coordorigin="7341,2784" coordsize="78,78" path="m7380,2784l7341,2823,7380,2862,7419,2823,7380,2784xe" filled="true" fillcolor="#4f81bc" stroked="false">
              <v:path arrowok="t"/>
              <v:fill type="solid"/>
            </v:shape>
            <v:shape style="position:absolute;left:7341;top:2784;width:78;height:78" coordorigin="7341,2784" coordsize="78,78" path="m7380,2784l7419,2823,7380,2862,7341,2823,7380,2784xe" filled="false" stroked="true" strokeweight=".401698pt" strokecolor="#497dba">
              <v:path arrowok="t"/>
            </v:shape>
            <v:shape style="position:absolute;left:7427;top:3088;width:78;height:78" coordorigin="7427,3088" coordsize="78,78" path="m7466,3088l7427,3127,7466,3166,7505,3127,7466,3088xe" filled="true" fillcolor="#4f81bc" stroked="false">
              <v:path arrowok="t"/>
              <v:fill type="solid"/>
            </v:shape>
            <v:shape style="position:absolute;left:7427;top:3088;width:78;height:78" coordorigin="7427,3088" coordsize="78,78" path="m7466,3088l7505,3127,7466,3166,7427,3127,7466,3088xe" filled="false" stroked="true" strokeweight=".401698pt" strokecolor="#497dba">
              <v:path arrowok="t"/>
            </v:shape>
            <v:shape style="position:absolute;left:7513;top:3388;width:78;height:78" coordorigin="7513,3388" coordsize="78,78" path="m7552,3388l7513,3427,7552,3465,7590,3427,7552,3388xe" filled="true" fillcolor="#4f81bc" stroked="false">
              <v:path arrowok="t"/>
              <v:fill type="solid"/>
            </v:shape>
            <v:shape style="position:absolute;left:7513;top:3388;width:78;height:78" coordorigin="7513,3388" coordsize="78,78" path="m7552,3388l7590,3427,7552,3465,7513,3427,7552,3388xe" filled="false" stroked="true" strokeweight=".401698pt" strokecolor="#497dba">
              <v:path arrowok="t"/>
            </v:shape>
            <v:shape style="position:absolute;left:7600;top:3064;width:78;height:78" coordorigin="7600,3064" coordsize="78,78" path="m7639,3064l7600,3103,7639,3141,7678,3103,7639,3064xe" filled="true" fillcolor="#4f81bc" stroked="false">
              <v:path arrowok="t"/>
              <v:fill type="solid"/>
            </v:shape>
            <v:shape style="position:absolute;left:7600;top:3064;width:78;height:78" coordorigin="7600,3064" coordsize="78,78" path="m7639,3064l7678,3103,7639,3141,7600,3103,7639,3064xe" filled="false" stroked="true" strokeweight=".401698pt" strokecolor="#497dba">
              <v:path arrowok="t"/>
            </v:shape>
            <v:shape style="position:absolute;left:7682;top:3178;width:429;height:215" type="#_x0000_t75" stroked="false">
              <v:imagedata r:id="rId50" o:title=""/>
            </v:shape>
            <v:shape style="position:absolute;left:8114;top:3483;width:78;height:78" coordorigin="8114,3483" coordsize="78,78" path="m8154,3483l8114,3522,8154,3560,8192,3522,8154,3483xe" filled="true" fillcolor="#4f81bc" stroked="false">
              <v:path arrowok="t"/>
              <v:fill type="solid"/>
            </v:shape>
            <v:shape style="position:absolute;left:8114;top:3483;width:78;height:78" coordorigin="8114,3483" coordsize="78,78" path="m8154,3483l8192,3522,8154,3560,8114,3522,8154,3483xe" filled="false" stroked="true" strokeweight=".401698pt" strokecolor="#497dba">
              <v:path arrowok="t"/>
            </v:shape>
            <v:shape style="position:absolute;left:8196;top:3224;width:172;height:122" type="#_x0000_t75" stroked="false">
              <v:imagedata r:id="rId51" o:title=""/>
            </v:shape>
            <v:shape style="position:absolute;left:8372;top:3468;width:78;height:78" coordorigin="8372,3468" coordsize="78,78" path="m8411,3468l8372,3507,8411,3546,8449,3507,8411,3468xe" filled="true" fillcolor="#4f81bc" stroked="false">
              <v:path arrowok="t"/>
              <v:fill type="solid"/>
            </v:shape>
            <v:shape style="position:absolute;left:8372;top:3468;width:78;height:78" coordorigin="8372,3468" coordsize="78,78" path="m8411,3468l8449,3507,8411,3546,8372,3507,8411,3468xe" filled="false" stroked="true" strokeweight=".401698pt" strokecolor="#497dba">
              <v:path arrowok="t"/>
            </v:shape>
            <v:shape style="position:absolute;left:8457;top:3289;width:78;height:78" coordorigin="8457,3289" coordsize="78,78" path="m8497,3289l8457,3328,8497,3366,8535,3328,8497,3289xe" filled="true" fillcolor="#4f81bc" stroked="false">
              <v:path arrowok="t"/>
              <v:fill type="solid"/>
            </v:shape>
            <v:shape style="position:absolute;left:8457;top:3289;width:78;height:78" coordorigin="8457,3289" coordsize="78,78" path="m8497,3289l8535,3328,8497,3366,8457,3328,8497,3289xe" filled="false" stroked="true" strokeweight=".401698pt" strokecolor="#497dba">
              <v:path arrowok="t"/>
            </v:shape>
            <v:shape style="position:absolute;left:8543;top:2997;width:78;height:78" coordorigin="8543,2997" coordsize="78,78" path="m8582,2997l8543,3036,8582,3075,8621,3036,8582,2997xe" filled="true" fillcolor="#4f81bc" stroked="false">
              <v:path arrowok="t"/>
              <v:fill type="solid"/>
            </v:shape>
            <v:shape style="position:absolute;left:8543;top:2997;width:78;height:78" coordorigin="8543,2997" coordsize="78,78" path="m8582,2997l8621,3036,8582,3075,8543,3036,8582,2997xe" filled="false" stroked="true" strokeweight=".401698pt" strokecolor="#497dba">
              <v:path arrowok="t"/>
            </v:shape>
            <v:shape style="position:absolute;left:8629;top:3310;width:78;height:78" coordorigin="8629,3310" coordsize="78,78" path="m8668,3310l8629,3349,8668,3388,8707,3349,8668,3310xe" filled="true" fillcolor="#4f81bc" stroked="false">
              <v:path arrowok="t"/>
              <v:fill type="solid"/>
            </v:shape>
            <v:shape style="position:absolute;left:8625;top:3194;width:257;height:198" type="#_x0000_t75" stroked="false">
              <v:imagedata r:id="rId52" o:title=""/>
            </v:shape>
            <w10:wrap type="none"/>
          </v:group>
        </w:pict>
      </w:r>
      <w:r>
        <w:rPr>
          <w:rFonts w:ascii="Calibri"/>
          <w:sz w:val="11"/>
        </w:rPr>
        <w:t>350.0</w:t>
      </w:r>
    </w:p>
    <w:p>
      <w:pPr>
        <w:pStyle w:val="BodyText"/>
        <w:spacing w:before="5"/>
        <w:rPr>
          <w:rFonts w:ascii="Calibri"/>
          <w:sz w:val="19"/>
        </w:rPr>
      </w:pPr>
    </w:p>
    <w:p>
      <w:pPr>
        <w:spacing w:before="79"/>
        <w:ind w:left="936" w:right="243" w:firstLine="0"/>
        <w:jc w:val="left"/>
        <w:rPr>
          <w:rFonts w:ascii="Calibri"/>
          <w:sz w:val="11"/>
        </w:rPr>
      </w:pPr>
      <w:r>
        <w:rPr>
          <w:rFonts w:ascii="Calibri"/>
          <w:sz w:val="11"/>
        </w:rPr>
        <w:t>300.0</w:t>
      </w:r>
    </w:p>
    <w:p>
      <w:pPr>
        <w:pStyle w:val="BodyText"/>
        <w:spacing w:before="5"/>
        <w:rPr>
          <w:rFonts w:ascii="Calibri"/>
          <w:sz w:val="19"/>
        </w:rPr>
      </w:pPr>
    </w:p>
    <w:p>
      <w:pPr>
        <w:spacing w:before="79"/>
        <w:ind w:left="936" w:right="243" w:firstLine="0"/>
        <w:jc w:val="left"/>
        <w:rPr>
          <w:rFonts w:ascii="Calibri"/>
          <w:sz w:val="11"/>
        </w:rPr>
      </w:pPr>
      <w:r>
        <w:rPr>
          <w:rFonts w:ascii="Calibri"/>
          <w:sz w:val="11"/>
        </w:rPr>
        <w:t>250.0</w:t>
      </w:r>
    </w:p>
    <w:p>
      <w:pPr>
        <w:pStyle w:val="BodyText"/>
        <w:spacing w:before="5"/>
        <w:rPr>
          <w:rFonts w:ascii="Calibri"/>
          <w:sz w:val="19"/>
        </w:rPr>
      </w:pPr>
    </w:p>
    <w:p>
      <w:pPr>
        <w:spacing w:before="79"/>
        <w:ind w:left="936" w:right="243" w:firstLine="0"/>
        <w:jc w:val="left"/>
        <w:rPr>
          <w:rFonts w:ascii="Calibri"/>
          <w:sz w:val="11"/>
        </w:rPr>
      </w:pPr>
      <w:r>
        <w:rPr>
          <w:rFonts w:ascii="Calibri"/>
          <w:sz w:val="11"/>
        </w:rPr>
        <w:t>200.0</w:t>
      </w:r>
    </w:p>
    <w:p>
      <w:pPr>
        <w:pStyle w:val="BodyText"/>
        <w:spacing w:before="5"/>
        <w:rPr>
          <w:rFonts w:ascii="Calibri"/>
          <w:sz w:val="19"/>
        </w:rPr>
      </w:pPr>
    </w:p>
    <w:p>
      <w:pPr>
        <w:spacing w:before="79"/>
        <w:ind w:left="936" w:right="243" w:firstLine="0"/>
        <w:jc w:val="left"/>
        <w:rPr>
          <w:rFonts w:ascii="Calibri"/>
          <w:sz w:val="11"/>
        </w:rPr>
      </w:pPr>
      <w:r>
        <w:rPr>
          <w:rFonts w:ascii="Calibri"/>
          <w:sz w:val="11"/>
        </w:rPr>
        <w:t>150.0</w:t>
      </w:r>
    </w:p>
    <w:p>
      <w:pPr>
        <w:pStyle w:val="BodyText"/>
        <w:spacing w:before="2"/>
        <w:rPr>
          <w:rFonts w:ascii="Calibri"/>
          <w:sz w:val="8"/>
        </w:rPr>
      </w:pPr>
    </w:p>
    <w:p>
      <w:pPr>
        <w:spacing w:before="0"/>
        <w:ind w:left="0" w:right="756" w:firstLine="0"/>
        <w:jc w:val="right"/>
        <w:rPr>
          <w:rFonts w:ascii="Calibri"/>
          <w:sz w:val="11"/>
        </w:rPr>
      </w:pPr>
      <w:r>
        <w:rPr/>
        <w:pict>
          <v:line style="position:absolute;mso-position-horizontal-relative:page;mso-position-vertical-relative:paragraph;z-index:3592" from="452.89035pt,3.631221pt" to="463.610458pt,3.631221pt" stroked="true" strokeweight="1.204178pt" strokecolor="#bd4a47">
            <w10:wrap type="none"/>
          </v:line>
        </w:pict>
      </w:r>
      <w:r>
        <w:rPr>
          <w:rFonts w:ascii="Calibri"/>
          <w:sz w:val="11"/>
        </w:rPr>
        <w:t>subsector 35</w:t>
      </w:r>
    </w:p>
    <w:p>
      <w:pPr>
        <w:tabs>
          <w:tab w:pos="6541" w:val="left" w:leader="none"/>
          <w:tab w:pos="6778" w:val="left" w:leader="none"/>
        </w:tabs>
        <w:spacing w:before="71"/>
        <w:ind w:left="0" w:right="756" w:firstLine="0"/>
        <w:jc w:val="right"/>
        <w:rPr>
          <w:rFonts w:ascii="Calibri"/>
          <w:sz w:val="11"/>
        </w:rPr>
      </w:pPr>
      <w:r>
        <w:rPr/>
        <w:pict>
          <v:group style="position:absolute;margin-left:456.361542pt;margin-top:5.053436pt;width:3.8pt;height:3.8pt;mso-position-horizontal-relative:page;mso-position-vertical-relative:paragraph;z-index:-463360" coordorigin="9127,101" coordsize="76,76">
            <v:shape style="position:absolute;left:9132;top:106;width:67;height:67" coordorigin="9132,106" coordsize="67,67" path="m9165,106l9132,139,9165,172,9199,139,9165,106xe" filled="true" fillcolor="#4f81bc" stroked="false">
              <v:path arrowok="t"/>
              <v:fill type="solid"/>
            </v:shape>
            <v:shape style="position:absolute;left:9132;top:106;width:67;height:67" coordorigin="9132,106" coordsize="67,67" path="m9165,106l9199,139,9165,172,9132,139,9165,106e" filled="false" stroked="true" strokeweight=".401698pt" strokecolor="#497dba">
              <v:path arrowok="t"/>
            </v:shape>
            <w10:wrap type="none"/>
          </v:group>
        </w:pict>
      </w:r>
      <w:r>
        <w:rPr>
          <w:rFonts w:ascii="Calibri"/>
          <w:sz w:val="11"/>
        </w:rPr>
        <w:t>100.0</w:t>
        <w:tab/>
      </w:r>
      <w:r>
        <w:rPr>
          <w:rFonts w:ascii="Calibri"/>
          <w:position w:val="1"/>
          <w:sz w:val="11"/>
          <w:u w:val="thick" w:color="497DBA"/>
        </w:rPr>
        <w:tab/>
      </w:r>
      <w:r>
        <w:rPr>
          <w:rFonts w:ascii="Calibri"/>
          <w:position w:val="1"/>
          <w:sz w:val="11"/>
        </w:rPr>
        <w:t>subsector 38</w:t>
      </w:r>
    </w:p>
    <w:p>
      <w:pPr>
        <w:pStyle w:val="BodyText"/>
        <w:spacing w:before="5"/>
        <w:rPr>
          <w:rFonts w:ascii="Calibri"/>
          <w:sz w:val="19"/>
        </w:rPr>
      </w:pPr>
    </w:p>
    <w:p>
      <w:pPr>
        <w:spacing w:before="79"/>
        <w:ind w:left="993" w:right="243" w:firstLine="0"/>
        <w:jc w:val="left"/>
        <w:rPr>
          <w:rFonts w:ascii="Calibri"/>
          <w:sz w:val="11"/>
        </w:rPr>
      </w:pPr>
      <w:r>
        <w:rPr>
          <w:rFonts w:ascii="Calibri"/>
          <w:sz w:val="11"/>
        </w:rPr>
        <w:t>50.0</w:t>
      </w:r>
    </w:p>
    <w:p>
      <w:pPr>
        <w:pStyle w:val="BodyText"/>
        <w:spacing w:before="5"/>
        <w:rPr>
          <w:rFonts w:ascii="Calibri"/>
          <w:sz w:val="19"/>
        </w:rPr>
      </w:pPr>
    </w:p>
    <w:p>
      <w:pPr>
        <w:spacing w:before="79"/>
        <w:ind w:left="1050" w:right="243" w:firstLine="0"/>
        <w:jc w:val="left"/>
        <w:rPr>
          <w:rFonts w:ascii="Calibri"/>
          <w:sz w:val="11"/>
        </w:rPr>
      </w:pPr>
      <w:r>
        <w:rPr/>
        <w:pict>
          <v:shape style="position:absolute;margin-left:142.611877pt;margin-top:10.138551pt;width:299.5pt;height:17.6pt;mso-position-horizontal-relative:page;mso-position-vertical-relative:paragraph;z-index:3640" type="#_x0000_t202" filled="false" stroked="false">
            <v:textbox inset="0,0,0,0" style="layout-flow:vertical;mso-layout-flow-alt:bottom-to-top">
              <w:txbxContent>
                <w:p>
                  <w:pPr>
                    <w:spacing w:line="133" w:lineRule="exact" w:before="0"/>
                    <w:ind w:left="75" w:right="0" w:firstLine="0"/>
                    <w:jc w:val="left"/>
                    <w:rPr>
                      <w:rFonts w:ascii="Calibri"/>
                      <w:sz w:val="11"/>
                    </w:rPr>
                  </w:pPr>
                  <w:r>
                    <w:rPr>
                      <w:rFonts w:ascii="Calibri"/>
                      <w:w w:val="100"/>
                      <w:sz w:val="11"/>
                    </w:rPr>
                    <w:t>80</w:t>
                  </w:r>
                  <w:r>
                    <w:rPr>
                      <w:rFonts w:ascii="Calibri"/>
                      <w:sz w:val="11"/>
                    </w:rPr>
                    <w:t> </w:t>
                  </w:r>
                  <w:r>
                    <w:rPr>
                      <w:rFonts w:ascii="Calibri"/>
                      <w:spacing w:val="1"/>
                      <w:w w:val="100"/>
                      <w:sz w:val="11"/>
                    </w:rPr>
                    <w:t>A</w:t>
                  </w:r>
                  <w:r>
                    <w:rPr>
                      <w:rFonts w:ascii="Calibri"/>
                      <w:w w:val="100"/>
                      <w:sz w:val="11"/>
                    </w:rPr>
                    <w:t>Z</w:t>
                  </w:r>
                </w:p>
                <w:p>
                  <w:pPr>
                    <w:spacing w:before="37"/>
                    <w:ind w:left="75" w:right="0" w:firstLine="0"/>
                    <w:jc w:val="left"/>
                    <w:rPr>
                      <w:rFonts w:ascii="Calibri"/>
                      <w:sz w:val="11"/>
                    </w:rPr>
                  </w:pPr>
                  <w:r>
                    <w:rPr>
                      <w:rFonts w:ascii="Calibri"/>
                      <w:w w:val="100"/>
                      <w:sz w:val="11"/>
                    </w:rPr>
                    <w:t>88</w:t>
                  </w:r>
                  <w:r>
                    <w:rPr>
                      <w:rFonts w:ascii="Calibri"/>
                      <w:sz w:val="11"/>
                    </w:rPr>
                    <w:t> </w:t>
                  </w:r>
                  <w:r>
                    <w:rPr>
                      <w:rFonts w:ascii="Calibri"/>
                      <w:spacing w:val="1"/>
                      <w:w w:val="100"/>
                      <w:sz w:val="11"/>
                    </w:rPr>
                    <w:t>A</w:t>
                  </w:r>
                  <w:r>
                    <w:rPr>
                      <w:rFonts w:ascii="Calibri"/>
                      <w:w w:val="100"/>
                      <w:sz w:val="11"/>
                    </w:rPr>
                    <w:t>Z</w:t>
                  </w:r>
                </w:p>
                <w:p>
                  <w:pPr>
                    <w:spacing w:before="37"/>
                    <w:ind w:left="75" w:right="0" w:firstLine="0"/>
                    <w:jc w:val="left"/>
                    <w:rPr>
                      <w:rFonts w:ascii="Calibri"/>
                      <w:sz w:val="11"/>
                    </w:rPr>
                  </w:pPr>
                  <w:r>
                    <w:rPr>
                      <w:rFonts w:ascii="Calibri"/>
                      <w:w w:val="100"/>
                      <w:sz w:val="11"/>
                    </w:rPr>
                    <w:t>98</w:t>
                  </w:r>
                  <w:r>
                    <w:rPr>
                      <w:rFonts w:ascii="Calibri"/>
                      <w:sz w:val="11"/>
                    </w:rPr>
                    <w:t> </w:t>
                  </w:r>
                  <w:r>
                    <w:rPr>
                      <w:rFonts w:ascii="Calibri"/>
                      <w:spacing w:val="1"/>
                      <w:w w:val="100"/>
                      <w:sz w:val="11"/>
                    </w:rPr>
                    <w:t>A</w:t>
                  </w:r>
                  <w:r>
                    <w:rPr>
                      <w:rFonts w:ascii="Calibri"/>
                      <w:w w:val="100"/>
                      <w:sz w:val="11"/>
                    </w:rPr>
                    <w:t>Z</w:t>
                  </w:r>
                </w:p>
                <w:p>
                  <w:pPr>
                    <w:spacing w:before="37"/>
                    <w:ind w:left="75" w:right="0" w:firstLine="0"/>
                    <w:jc w:val="left"/>
                    <w:rPr>
                      <w:rFonts w:ascii="Calibri"/>
                      <w:sz w:val="11"/>
                    </w:rPr>
                  </w:pPr>
                  <w:r>
                    <w:rPr>
                      <w:rFonts w:ascii="Calibri"/>
                      <w:w w:val="100"/>
                      <w:sz w:val="11"/>
                    </w:rPr>
                    <w:t>09</w:t>
                  </w:r>
                  <w:r>
                    <w:rPr>
                      <w:rFonts w:ascii="Calibri"/>
                      <w:sz w:val="11"/>
                    </w:rPr>
                    <w:t> </w:t>
                  </w:r>
                  <w:r>
                    <w:rPr>
                      <w:rFonts w:ascii="Calibri"/>
                      <w:spacing w:val="1"/>
                      <w:w w:val="100"/>
                      <w:sz w:val="11"/>
                    </w:rPr>
                    <w:t>A</w:t>
                  </w:r>
                  <w:r>
                    <w:rPr>
                      <w:rFonts w:ascii="Calibri"/>
                      <w:w w:val="100"/>
                      <w:sz w:val="11"/>
                    </w:rPr>
                    <w:t>Z</w:t>
                  </w:r>
                </w:p>
                <w:p>
                  <w:pPr>
                    <w:spacing w:before="37"/>
                    <w:ind w:left="2820" w:right="2708" w:firstLine="0"/>
                    <w:jc w:val="center"/>
                    <w:rPr>
                      <w:rFonts w:ascii="Calibri"/>
                      <w:sz w:val="11"/>
                    </w:rPr>
                  </w:pPr>
                  <w:r>
                    <w:rPr>
                      <w:rFonts w:ascii="Calibri"/>
                      <w:w w:val="100"/>
                      <w:sz w:val="11"/>
                    </w:rPr>
                    <w:t>85</w:t>
                  </w:r>
                  <w:r>
                    <w:rPr>
                      <w:rFonts w:ascii="Calibri"/>
                      <w:sz w:val="11"/>
                    </w:rPr>
                    <w:t> </w:t>
                  </w:r>
                  <w:r>
                    <w:rPr>
                      <w:rFonts w:ascii="Calibri"/>
                      <w:w w:val="100"/>
                      <w:sz w:val="11"/>
                    </w:rPr>
                    <w:t>C</w:t>
                  </w:r>
                </w:p>
                <w:p>
                  <w:pPr>
                    <w:spacing w:before="37"/>
                    <w:ind w:left="2820" w:right="2708" w:firstLine="0"/>
                    <w:jc w:val="center"/>
                    <w:rPr>
                      <w:rFonts w:ascii="Calibri"/>
                      <w:sz w:val="11"/>
                    </w:rPr>
                  </w:pPr>
                  <w:r>
                    <w:rPr>
                      <w:rFonts w:ascii="Calibri"/>
                      <w:w w:val="101"/>
                      <w:sz w:val="11"/>
                    </w:rPr>
                    <w:t>93</w:t>
                  </w:r>
                  <w:r>
                    <w:rPr>
                      <w:rFonts w:ascii="Calibri"/>
                      <w:spacing w:val="-1"/>
                      <w:sz w:val="11"/>
                    </w:rPr>
                    <w:t> </w:t>
                  </w:r>
                  <w:r>
                    <w:rPr>
                      <w:rFonts w:ascii="Calibri"/>
                      <w:w w:val="101"/>
                      <w:sz w:val="11"/>
                    </w:rPr>
                    <w:t>C</w:t>
                  </w:r>
                </w:p>
                <w:p>
                  <w:pPr>
                    <w:spacing w:before="37"/>
                    <w:ind w:left="2820" w:right="2708" w:firstLine="0"/>
                    <w:jc w:val="center"/>
                    <w:rPr>
                      <w:rFonts w:ascii="Calibri"/>
                      <w:sz w:val="11"/>
                    </w:rPr>
                  </w:pPr>
                  <w:r>
                    <w:rPr>
                      <w:rFonts w:ascii="Calibri"/>
                      <w:w w:val="100"/>
                      <w:sz w:val="11"/>
                    </w:rPr>
                    <w:t>03</w:t>
                  </w:r>
                  <w:r>
                    <w:rPr>
                      <w:rFonts w:ascii="Calibri"/>
                      <w:sz w:val="11"/>
                    </w:rPr>
                    <w:t> </w:t>
                  </w:r>
                  <w:r>
                    <w:rPr>
                      <w:rFonts w:ascii="Calibri"/>
                      <w:w w:val="100"/>
                      <w:sz w:val="11"/>
                    </w:rPr>
                    <w:t>C</w:t>
                  </w:r>
                </w:p>
                <w:p>
                  <w:pPr>
                    <w:spacing w:before="37"/>
                    <w:ind w:left="105" w:right="0" w:firstLine="0"/>
                    <w:jc w:val="left"/>
                    <w:rPr>
                      <w:rFonts w:ascii="Calibri"/>
                      <w:sz w:val="11"/>
                    </w:rPr>
                  </w:pPr>
                  <w:r>
                    <w:rPr>
                      <w:rFonts w:ascii="Calibri"/>
                      <w:w w:val="100"/>
                      <w:sz w:val="11"/>
                    </w:rPr>
                    <w:t>80</w:t>
                  </w:r>
                  <w:r>
                    <w:rPr>
                      <w:rFonts w:ascii="Calibri"/>
                      <w:sz w:val="11"/>
                    </w:rPr>
                    <w:t> </w:t>
                  </w:r>
                  <w:r>
                    <w:rPr>
                      <w:rFonts w:ascii="Calibri"/>
                      <w:w w:val="100"/>
                      <w:sz w:val="11"/>
                    </w:rPr>
                    <w:t>CI</w:t>
                  </w:r>
                </w:p>
                <w:p>
                  <w:pPr>
                    <w:spacing w:before="37"/>
                    <w:ind w:left="105" w:right="0" w:firstLine="0"/>
                    <w:jc w:val="left"/>
                    <w:rPr>
                      <w:rFonts w:ascii="Calibri"/>
                      <w:sz w:val="11"/>
                    </w:rPr>
                  </w:pPr>
                  <w:r>
                    <w:rPr>
                      <w:rFonts w:ascii="Calibri"/>
                      <w:w w:val="101"/>
                      <w:sz w:val="11"/>
                    </w:rPr>
                    <w:t>88</w:t>
                  </w:r>
                  <w:r>
                    <w:rPr>
                      <w:rFonts w:ascii="Calibri"/>
                      <w:spacing w:val="-1"/>
                      <w:sz w:val="11"/>
                    </w:rPr>
                    <w:t> </w:t>
                  </w:r>
                  <w:r>
                    <w:rPr>
                      <w:rFonts w:ascii="Calibri"/>
                      <w:w w:val="101"/>
                      <w:sz w:val="11"/>
                    </w:rPr>
                    <w:t>CI</w:t>
                  </w:r>
                </w:p>
                <w:p>
                  <w:pPr>
                    <w:spacing w:before="37"/>
                    <w:ind w:left="105" w:right="0" w:firstLine="0"/>
                    <w:jc w:val="left"/>
                    <w:rPr>
                      <w:rFonts w:ascii="Calibri"/>
                      <w:sz w:val="11"/>
                    </w:rPr>
                  </w:pPr>
                  <w:r>
                    <w:rPr>
                      <w:rFonts w:ascii="Calibri"/>
                      <w:w w:val="100"/>
                      <w:sz w:val="11"/>
                    </w:rPr>
                    <w:t>98</w:t>
                  </w:r>
                  <w:r>
                    <w:rPr>
                      <w:rFonts w:ascii="Calibri"/>
                      <w:sz w:val="11"/>
                    </w:rPr>
                    <w:t> </w:t>
                  </w:r>
                  <w:r>
                    <w:rPr>
                      <w:rFonts w:ascii="Calibri"/>
                      <w:w w:val="100"/>
                      <w:sz w:val="11"/>
                    </w:rPr>
                    <w:t>CI</w:t>
                  </w:r>
                </w:p>
                <w:p>
                  <w:pPr>
                    <w:spacing w:before="37"/>
                    <w:ind w:left="105" w:right="0" w:firstLine="0"/>
                    <w:jc w:val="left"/>
                    <w:rPr>
                      <w:rFonts w:ascii="Calibri"/>
                      <w:sz w:val="11"/>
                    </w:rPr>
                  </w:pPr>
                  <w:r>
                    <w:rPr>
                      <w:rFonts w:ascii="Calibri"/>
                      <w:w w:val="100"/>
                      <w:sz w:val="11"/>
                    </w:rPr>
                    <w:t>09</w:t>
                  </w:r>
                  <w:r>
                    <w:rPr>
                      <w:rFonts w:ascii="Calibri"/>
                      <w:sz w:val="11"/>
                    </w:rPr>
                    <w:t> </w:t>
                  </w:r>
                  <w:r>
                    <w:rPr>
                      <w:rFonts w:ascii="Calibri"/>
                      <w:w w:val="100"/>
                      <w:sz w:val="11"/>
                    </w:rPr>
                    <w:t>CI</w:t>
                  </w:r>
                </w:p>
                <w:p>
                  <w:pPr>
                    <w:spacing w:before="37"/>
                    <w:ind w:left="2820" w:right="2703" w:firstLine="0"/>
                    <w:jc w:val="center"/>
                    <w:rPr>
                      <w:rFonts w:ascii="Calibri"/>
                      <w:sz w:val="11"/>
                    </w:rPr>
                  </w:pPr>
                  <w:r>
                    <w:rPr>
                      <w:rFonts w:ascii="Calibri"/>
                      <w:w w:val="100"/>
                      <w:sz w:val="11"/>
                    </w:rPr>
                    <w:t>85</w:t>
                  </w:r>
                  <w:r>
                    <w:rPr>
                      <w:rFonts w:ascii="Calibri"/>
                      <w:sz w:val="11"/>
                    </w:rPr>
                    <w:t> </w:t>
                  </w:r>
                  <w:r>
                    <w:rPr>
                      <w:rFonts w:ascii="Calibri"/>
                      <w:w w:val="100"/>
                      <w:sz w:val="11"/>
                    </w:rPr>
                    <w:t>E</w:t>
                  </w:r>
                </w:p>
                <w:p>
                  <w:pPr>
                    <w:spacing w:before="37"/>
                    <w:ind w:left="2820" w:right="2703" w:firstLine="0"/>
                    <w:jc w:val="center"/>
                    <w:rPr>
                      <w:rFonts w:ascii="Calibri"/>
                      <w:sz w:val="11"/>
                    </w:rPr>
                  </w:pPr>
                  <w:r>
                    <w:rPr>
                      <w:rFonts w:ascii="Calibri"/>
                      <w:w w:val="100"/>
                      <w:sz w:val="11"/>
                    </w:rPr>
                    <w:t>93</w:t>
                  </w:r>
                  <w:r>
                    <w:rPr>
                      <w:rFonts w:ascii="Calibri"/>
                      <w:sz w:val="11"/>
                    </w:rPr>
                    <w:t> </w:t>
                  </w:r>
                  <w:r>
                    <w:rPr>
                      <w:rFonts w:ascii="Calibri"/>
                      <w:w w:val="100"/>
                      <w:sz w:val="11"/>
                    </w:rPr>
                    <w:t>E</w:t>
                  </w:r>
                </w:p>
                <w:p>
                  <w:pPr>
                    <w:spacing w:before="37"/>
                    <w:ind w:left="2820" w:right="2703" w:firstLine="0"/>
                    <w:jc w:val="center"/>
                    <w:rPr>
                      <w:rFonts w:ascii="Calibri"/>
                      <w:sz w:val="11"/>
                    </w:rPr>
                  </w:pPr>
                  <w:r>
                    <w:rPr>
                      <w:rFonts w:ascii="Calibri"/>
                      <w:w w:val="100"/>
                      <w:sz w:val="11"/>
                    </w:rPr>
                    <w:t>03</w:t>
                  </w:r>
                  <w:r>
                    <w:rPr>
                      <w:rFonts w:ascii="Calibri"/>
                      <w:sz w:val="11"/>
                    </w:rPr>
                    <w:t> </w:t>
                  </w:r>
                  <w:r>
                    <w:rPr>
                      <w:rFonts w:ascii="Calibri"/>
                      <w:w w:val="100"/>
                      <w:sz w:val="11"/>
                    </w:rPr>
                    <w:t>E</w:t>
                  </w:r>
                </w:p>
                <w:p>
                  <w:pPr>
                    <w:spacing w:before="37"/>
                    <w:ind w:left="88" w:right="0" w:firstLine="0"/>
                    <w:jc w:val="left"/>
                    <w:rPr>
                      <w:rFonts w:ascii="Calibri"/>
                      <w:sz w:val="11"/>
                    </w:rPr>
                  </w:pPr>
                  <w:r>
                    <w:rPr>
                      <w:rFonts w:ascii="Calibri"/>
                      <w:w w:val="100"/>
                      <w:sz w:val="11"/>
                    </w:rPr>
                    <w:t>80</w:t>
                  </w:r>
                  <w:r>
                    <w:rPr>
                      <w:rFonts w:ascii="Calibri"/>
                      <w:sz w:val="11"/>
                    </w:rPr>
                    <w:t> </w:t>
                  </w:r>
                  <w:r>
                    <w:rPr>
                      <w:rFonts w:ascii="Calibri"/>
                      <w:spacing w:val="-1"/>
                      <w:w w:val="100"/>
                      <w:sz w:val="11"/>
                    </w:rPr>
                    <w:t>LP</w:t>
                  </w:r>
                </w:p>
                <w:p>
                  <w:pPr>
                    <w:spacing w:before="37"/>
                    <w:ind w:left="88" w:right="0" w:firstLine="0"/>
                    <w:jc w:val="left"/>
                    <w:rPr>
                      <w:rFonts w:ascii="Calibri"/>
                      <w:sz w:val="11"/>
                    </w:rPr>
                  </w:pPr>
                  <w:r>
                    <w:rPr>
                      <w:rFonts w:ascii="Calibri"/>
                      <w:w w:val="100"/>
                      <w:sz w:val="11"/>
                    </w:rPr>
                    <w:t>88</w:t>
                  </w:r>
                  <w:r>
                    <w:rPr>
                      <w:rFonts w:ascii="Calibri"/>
                      <w:sz w:val="11"/>
                    </w:rPr>
                    <w:t> </w:t>
                  </w:r>
                  <w:r>
                    <w:rPr>
                      <w:rFonts w:ascii="Calibri"/>
                      <w:spacing w:val="-1"/>
                      <w:w w:val="100"/>
                      <w:sz w:val="11"/>
                    </w:rPr>
                    <w:t>LP</w:t>
                  </w:r>
                </w:p>
                <w:p>
                  <w:pPr>
                    <w:spacing w:before="37"/>
                    <w:ind w:left="88" w:right="0" w:firstLine="0"/>
                    <w:jc w:val="left"/>
                    <w:rPr>
                      <w:rFonts w:ascii="Calibri"/>
                      <w:sz w:val="11"/>
                    </w:rPr>
                  </w:pPr>
                  <w:r>
                    <w:rPr>
                      <w:rFonts w:ascii="Calibri"/>
                      <w:w w:val="100"/>
                      <w:sz w:val="11"/>
                    </w:rPr>
                    <w:t>98</w:t>
                  </w:r>
                  <w:r>
                    <w:rPr>
                      <w:rFonts w:ascii="Calibri"/>
                      <w:sz w:val="11"/>
                    </w:rPr>
                    <w:t> </w:t>
                  </w:r>
                  <w:r>
                    <w:rPr>
                      <w:rFonts w:ascii="Calibri"/>
                      <w:spacing w:val="-1"/>
                      <w:w w:val="100"/>
                      <w:sz w:val="11"/>
                    </w:rPr>
                    <w:t>LP</w:t>
                  </w:r>
                </w:p>
                <w:p>
                  <w:pPr>
                    <w:spacing w:before="37"/>
                    <w:ind w:left="88" w:right="0" w:firstLine="0"/>
                    <w:jc w:val="left"/>
                    <w:rPr>
                      <w:rFonts w:ascii="Calibri"/>
                      <w:sz w:val="11"/>
                    </w:rPr>
                  </w:pPr>
                  <w:r>
                    <w:rPr>
                      <w:rFonts w:ascii="Calibri"/>
                      <w:w w:val="100"/>
                      <w:sz w:val="11"/>
                    </w:rPr>
                    <w:t>09</w:t>
                  </w:r>
                  <w:r>
                    <w:rPr>
                      <w:rFonts w:ascii="Calibri"/>
                      <w:sz w:val="11"/>
                    </w:rPr>
                    <w:t> </w:t>
                  </w:r>
                  <w:r>
                    <w:rPr>
                      <w:rFonts w:ascii="Calibri"/>
                      <w:spacing w:val="-1"/>
                      <w:w w:val="100"/>
                      <w:sz w:val="11"/>
                    </w:rPr>
                    <w:t>LP</w:t>
                  </w:r>
                </w:p>
                <w:p>
                  <w:pPr>
                    <w:spacing w:before="37"/>
                    <w:ind w:left="56" w:right="0" w:firstLine="0"/>
                    <w:jc w:val="left"/>
                    <w:rPr>
                      <w:rFonts w:ascii="Calibri"/>
                      <w:sz w:val="11"/>
                    </w:rPr>
                  </w:pPr>
                  <w:r>
                    <w:rPr>
                      <w:rFonts w:ascii="Calibri"/>
                      <w:w w:val="100"/>
                      <w:sz w:val="11"/>
                    </w:rPr>
                    <w:t>85</w:t>
                  </w:r>
                  <w:r>
                    <w:rPr>
                      <w:rFonts w:ascii="Calibri"/>
                      <w:sz w:val="11"/>
                    </w:rPr>
                    <w:t> </w:t>
                  </w:r>
                  <w:r>
                    <w:rPr>
                      <w:rFonts w:ascii="Calibri"/>
                      <w:w w:val="100"/>
                      <w:sz w:val="11"/>
                    </w:rPr>
                    <w:t>NA</w:t>
                  </w:r>
                </w:p>
                <w:p>
                  <w:pPr>
                    <w:spacing w:before="37"/>
                    <w:ind w:left="56" w:right="0" w:firstLine="0"/>
                    <w:jc w:val="left"/>
                    <w:rPr>
                      <w:rFonts w:ascii="Calibri"/>
                      <w:sz w:val="11"/>
                    </w:rPr>
                  </w:pPr>
                  <w:r>
                    <w:rPr>
                      <w:rFonts w:ascii="Calibri"/>
                      <w:w w:val="100"/>
                      <w:sz w:val="11"/>
                    </w:rPr>
                    <w:t>93</w:t>
                  </w:r>
                  <w:r>
                    <w:rPr>
                      <w:rFonts w:ascii="Calibri"/>
                      <w:sz w:val="11"/>
                    </w:rPr>
                    <w:t> </w:t>
                  </w:r>
                  <w:r>
                    <w:rPr>
                      <w:rFonts w:ascii="Calibri"/>
                      <w:w w:val="100"/>
                      <w:sz w:val="11"/>
                    </w:rPr>
                    <w:t>NA</w:t>
                  </w:r>
                </w:p>
                <w:p>
                  <w:pPr>
                    <w:spacing w:before="37"/>
                    <w:ind w:left="56" w:right="0" w:firstLine="0"/>
                    <w:jc w:val="left"/>
                    <w:rPr>
                      <w:rFonts w:ascii="Calibri"/>
                      <w:sz w:val="11"/>
                    </w:rPr>
                  </w:pPr>
                  <w:r>
                    <w:rPr>
                      <w:rFonts w:ascii="Calibri"/>
                      <w:w w:val="100"/>
                      <w:sz w:val="11"/>
                    </w:rPr>
                    <w:t>03</w:t>
                  </w:r>
                  <w:r>
                    <w:rPr>
                      <w:rFonts w:ascii="Calibri"/>
                      <w:sz w:val="11"/>
                    </w:rPr>
                    <w:t> </w:t>
                  </w:r>
                  <w:r>
                    <w:rPr>
                      <w:rFonts w:ascii="Calibri"/>
                      <w:w w:val="100"/>
                      <w:sz w:val="11"/>
                    </w:rPr>
                    <w:t>NA</w:t>
                  </w:r>
                </w:p>
                <w:p>
                  <w:pPr>
                    <w:spacing w:before="37"/>
                    <w:ind w:left="66" w:right="0" w:firstLine="0"/>
                    <w:jc w:val="left"/>
                    <w:rPr>
                      <w:rFonts w:ascii="Calibri"/>
                      <w:sz w:val="11"/>
                    </w:rPr>
                  </w:pPr>
                  <w:r>
                    <w:rPr>
                      <w:rFonts w:ascii="Calibri"/>
                      <w:w w:val="100"/>
                      <w:sz w:val="11"/>
                    </w:rPr>
                    <w:t>80</w:t>
                  </w:r>
                  <w:r>
                    <w:rPr>
                      <w:rFonts w:ascii="Calibri"/>
                      <w:sz w:val="11"/>
                    </w:rPr>
                    <w:t> </w:t>
                  </w:r>
                  <w:r>
                    <w:rPr>
                      <w:rFonts w:ascii="Calibri"/>
                      <w:w w:val="100"/>
                      <w:sz w:val="11"/>
                    </w:rPr>
                    <w:t>NE</w:t>
                  </w:r>
                </w:p>
                <w:p>
                  <w:pPr>
                    <w:spacing w:before="37"/>
                    <w:ind w:left="66" w:right="0" w:firstLine="0"/>
                    <w:jc w:val="left"/>
                    <w:rPr>
                      <w:rFonts w:ascii="Calibri"/>
                      <w:sz w:val="11"/>
                    </w:rPr>
                  </w:pPr>
                  <w:r>
                    <w:rPr>
                      <w:rFonts w:ascii="Calibri"/>
                      <w:w w:val="100"/>
                      <w:sz w:val="11"/>
                    </w:rPr>
                    <w:t>88</w:t>
                  </w:r>
                  <w:r>
                    <w:rPr>
                      <w:rFonts w:ascii="Calibri"/>
                      <w:sz w:val="11"/>
                    </w:rPr>
                    <w:t> </w:t>
                  </w:r>
                  <w:r>
                    <w:rPr>
                      <w:rFonts w:ascii="Calibri"/>
                      <w:w w:val="100"/>
                      <w:sz w:val="11"/>
                    </w:rPr>
                    <w:t>NE</w:t>
                  </w:r>
                </w:p>
                <w:p>
                  <w:pPr>
                    <w:spacing w:before="37"/>
                    <w:ind w:left="66" w:right="0" w:firstLine="0"/>
                    <w:jc w:val="left"/>
                    <w:rPr>
                      <w:rFonts w:ascii="Calibri"/>
                      <w:sz w:val="11"/>
                    </w:rPr>
                  </w:pPr>
                  <w:r>
                    <w:rPr>
                      <w:rFonts w:ascii="Calibri"/>
                      <w:w w:val="100"/>
                      <w:sz w:val="11"/>
                    </w:rPr>
                    <w:t>98</w:t>
                  </w:r>
                  <w:r>
                    <w:rPr>
                      <w:rFonts w:ascii="Calibri"/>
                      <w:sz w:val="11"/>
                    </w:rPr>
                    <w:t> </w:t>
                  </w:r>
                  <w:r>
                    <w:rPr>
                      <w:rFonts w:ascii="Calibri"/>
                      <w:w w:val="100"/>
                      <w:sz w:val="11"/>
                    </w:rPr>
                    <w:t>NE</w:t>
                  </w:r>
                </w:p>
                <w:p>
                  <w:pPr>
                    <w:spacing w:before="37"/>
                    <w:ind w:left="66" w:right="0" w:firstLine="0"/>
                    <w:jc w:val="left"/>
                    <w:rPr>
                      <w:rFonts w:ascii="Calibri"/>
                      <w:sz w:val="11"/>
                    </w:rPr>
                  </w:pPr>
                  <w:r>
                    <w:rPr>
                      <w:rFonts w:ascii="Calibri"/>
                      <w:w w:val="100"/>
                      <w:sz w:val="11"/>
                    </w:rPr>
                    <w:t>09</w:t>
                  </w:r>
                  <w:r>
                    <w:rPr>
                      <w:rFonts w:ascii="Calibri"/>
                      <w:sz w:val="11"/>
                    </w:rPr>
                    <w:t> </w:t>
                  </w:r>
                  <w:r>
                    <w:rPr>
                      <w:rFonts w:ascii="Calibri"/>
                      <w:w w:val="100"/>
                      <w:sz w:val="11"/>
                    </w:rPr>
                    <w:t>NE</w:t>
                  </w:r>
                </w:p>
                <w:p>
                  <w:pPr>
                    <w:spacing w:before="37"/>
                    <w:ind w:left="83" w:right="0" w:firstLine="0"/>
                    <w:jc w:val="left"/>
                    <w:rPr>
                      <w:rFonts w:ascii="Calibri"/>
                      <w:sz w:val="11"/>
                    </w:rPr>
                  </w:pPr>
                  <w:r>
                    <w:rPr>
                      <w:rFonts w:ascii="Calibri"/>
                      <w:w w:val="100"/>
                      <w:sz w:val="11"/>
                    </w:rPr>
                    <w:t>85</w:t>
                  </w:r>
                  <w:r>
                    <w:rPr>
                      <w:rFonts w:ascii="Calibri"/>
                      <w:sz w:val="11"/>
                    </w:rPr>
                    <w:t> </w:t>
                  </w:r>
                  <w:r>
                    <w:rPr>
                      <w:rFonts w:ascii="Calibri"/>
                      <w:w w:val="100"/>
                      <w:sz w:val="11"/>
                    </w:rPr>
                    <w:t>TE</w:t>
                  </w:r>
                </w:p>
                <w:p>
                  <w:pPr>
                    <w:spacing w:before="37"/>
                    <w:ind w:left="83" w:right="0" w:firstLine="0"/>
                    <w:jc w:val="left"/>
                    <w:rPr>
                      <w:rFonts w:ascii="Calibri"/>
                      <w:sz w:val="11"/>
                    </w:rPr>
                  </w:pPr>
                  <w:r>
                    <w:rPr>
                      <w:rFonts w:ascii="Calibri"/>
                      <w:w w:val="100"/>
                      <w:sz w:val="11"/>
                    </w:rPr>
                    <w:t>93</w:t>
                  </w:r>
                  <w:r>
                    <w:rPr>
                      <w:rFonts w:ascii="Calibri"/>
                      <w:sz w:val="11"/>
                    </w:rPr>
                    <w:t> </w:t>
                  </w:r>
                  <w:r>
                    <w:rPr>
                      <w:rFonts w:ascii="Calibri"/>
                      <w:w w:val="100"/>
                      <w:sz w:val="11"/>
                    </w:rPr>
                    <w:t>TE</w:t>
                  </w:r>
                </w:p>
                <w:p>
                  <w:pPr>
                    <w:spacing w:before="37"/>
                    <w:ind w:left="83" w:right="0" w:firstLine="0"/>
                    <w:jc w:val="left"/>
                    <w:rPr>
                      <w:rFonts w:ascii="Calibri"/>
                      <w:sz w:val="11"/>
                    </w:rPr>
                  </w:pPr>
                  <w:r>
                    <w:rPr>
                      <w:rFonts w:ascii="Calibri"/>
                      <w:w w:val="100"/>
                      <w:sz w:val="11"/>
                    </w:rPr>
                    <w:t>03</w:t>
                  </w:r>
                  <w:r>
                    <w:rPr>
                      <w:rFonts w:ascii="Calibri"/>
                      <w:sz w:val="11"/>
                    </w:rPr>
                    <w:t> </w:t>
                  </w:r>
                  <w:r>
                    <w:rPr>
                      <w:rFonts w:ascii="Calibri"/>
                      <w:w w:val="100"/>
                      <w:sz w:val="11"/>
                    </w:rPr>
                    <w:t>TE</w:t>
                  </w:r>
                </w:p>
                <w:p>
                  <w:pPr>
                    <w:spacing w:before="37"/>
                    <w:ind w:left="2820" w:right="2815" w:firstLine="0"/>
                    <w:jc w:val="center"/>
                    <w:rPr>
                      <w:rFonts w:ascii="Calibri"/>
                      <w:sz w:val="11"/>
                    </w:rPr>
                  </w:pPr>
                  <w:r>
                    <w:rPr>
                      <w:rFonts w:ascii="Calibri"/>
                      <w:w w:val="100"/>
                      <w:sz w:val="11"/>
                    </w:rPr>
                    <w:t>80</w:t>
                  </w:r>
                  <w:r>
                    <w:rPr>
                      <w:rFonts w:ascii="Calibri"/>
                      <w:sz w:val="11"/>
                    </w:rPr>
                    <w:t> </w:t>
                  </w:r>
                  <w:r>
                    <w:rPr>
                      <w:rFonts w:ascii="Calibri"/>
                      <w:w w:val="100"/>
                      <w:sz w:val="11"/>
                    </w:rPr>
                    <w:t>T</w:t>
                  </w:r>
                  <w:r>
                    <w:rPr>
                      <w:rFonts w:ascii="Calibri"/>
                      <w:spacing w:val="-1"/>
                      <w:w w:val="100"/>
                      <w:sz w:val="11"/>
                    </w:rPr>
                    <w:t>LA</w:t>
                  </w:r>
                </w:p>
                <w:p>
                  <w:pPr>
                    <w:spacing w:before="37"/>
                    <w:ind w:left="2820" w:right="2815" w:firstLine="0"/>
                    <w:jc w:val="center"/>
                    <w:rPr>
                      <w:rFonts w:ascii="Calibri"/>
                      <w:sz w:val="11"/>
                    </w:rPr>
                  </w:pPr>
                  <w:r>
                    <w:rPr>
                      <w:rFonts w:ascii="Calibri"/>
                      <w:w w:val="100"/>
                      <w:sz w:val="11"/>
                    </w:rPr>
                    <w:t>88</w:t>
                  </w:r>
                  <w:r>
                    <w:rPr>
                      <w:rFonts w:ascii="Calibri"/>
                      <w:sz w:val="11"/>
                    </w:rPr>
                    <w:t> </w:t>
                  </w:r>
                  <w:r>
                    <w:rPr>
                      <w:rFonts w:ascii="Calibri"/>
                      <w:w w:val="100"/>
                      <w:sz w:val="11"/>
                    </w:rPr>
                    <w:t>T</w:t>
                  </w:r>
                  <w:r>
                    <w:rPr>
                      <w:rFonts w:ascii="Calibri"/>
                      <w:spacing w:val="-1"/>
                      <w:w w:val="100"/>
                      <w:sz w:val="11"/>
                    </w:rPr>
                    <w:t>LA</w:t>
                  </w:r>
                </w:p>
                <w:p>
                  <w:pPr>
                    <w:spacing w:before="37"/>
                    <w:ind w:left="2820" w:right="2815" w:firstLine="0"/>
                    <w:jc w:val="center"/>
                    <w:rPr>
                      <w:rFonts w:ascii="Calibri"/>
                      <w:sz w:val="11"/>
                    </w:rPr>
                  </w:pPr>
                  <w:r>
                    <w:rPr>
                      <w:rFonts w:ascii="Calibri"/>
                      <w:w w:val="100"/>
                      <w:sz w:val="11"/>
                    </w:rPr>
                    <w:t>98</w:t>
                  </w:r>
                  <w:r>
                    <w:rPr>
                      <w:rFonts w:ascii="Calibri"/>
                      <w:sz w:val="11"/>
                    </w:rPr>
                    <w:t> </w:t>
                  </w:r>
                  <w:r>
                    <w:rPr>
                      <w:rFonts w:ascii="Calibri"/>
                      <w:w w:val="100"/>
                      <w:sz w:val="11"/>
                    </w:rPr>
                    <w:t>T</w:t>
                  </w:r>
                  <w:r>
                    <w:rPr>
                      <w:rFonts w:ascii="Calibri"/>
                      <w:spacing w:val="-1"/>
                      <w:w w:val="100"/>
                      <w:sz w:val="11"/>
                    </w:rPr>
                    <w:t>LA</w:t>
                  </w:r>
                </w:p>
                <w:p>
                  <w:pPr>
                    <w:spacing w:before="37"/>
                    <w:ind w:left="2820" w:right="2815" w:firstLine="0"/>
                    <w:jc w:val="center"/>
                    <w:rPr>
                      <w:rFonts w:ascii="Calibri"/>
                      <w:sz w:val="11"/>
                    </w:rPr>
                  </w:pPr>
                  <w:r>
                    <w:rPr>
                      <w:rFonts w:ascii="Calibri"/>
                      <w:w w:val="100"/>
                      <w:sz w:val="11"/>
                    </w:rPr>
                    <w:t>09</w:t>
                  </w:r>
                  <w:r>
                    <w:rPr>
                      <w:rFonts w:ascii="Calibri"/>
                      <w:sz w:val="11"/>
                    </w:rPr>
                    <w:t> </w:t>
                  </w:r>
                  <w:r>
                    <w:rPr>
                      <w:rFonts w:ascii="Calibri"/>
                      <w:w w:val="100"/>
                      <w:sz w:val="11"/>
                    </w:rPr>
                    <w:t>T</w:t>
                  </w:r>
                  <w:r>
                    <w:rPr>
                      <w:rFonts w:ascii="Calibri"/>
                      <w:spacing w:val="-1"/>
                      <w:w w:val="100"/>
                      <w:sz w:val="11"/>
                    </w:rPr>
                    <w:t>LA</w:t>
                  </w:r>
                </w:p>
                <w:p>
                  <w:pPr>
                    <w:spacing w:before="37"/>
                    <w:ind w:left="2819" w:right="2820" w:firstLine="0"/>
                    <w:jc w:val="center"/>
                    <w:rPr>
                      <w:rFonts w:ascii="Calibri"/>
                      <w:sz w:val="11"/>
                    </w:rPr>
                  </w:pPr>
                  <w:r>
                    <w:rPr>
                      <w:rFonts w:ascii="Calibri"/>
                      <w:w w:val="100"/>
                      <w:sz w:val="11"/>
                    </w:rPr>
                    <w:t>85</w:t>
                  </w:r>
                  <w:r>
                    <w:rPr>
                      <w:rFonts w:ascii="Calibri"/>
                      <w:sz w:val="11"/>
                    </w:rPr>
                    <w:t> </w:t>
                  </w:r>
                  <w:r>
                    <w:rPr>
                      <w:rFonts w:ascii="Calibri"/>
                      <w:w w:val="100"/>
                      <w:sz w:val="11"/>
                    </w:rPr>
                    <w:t>T</w:t>
                  </w:r>
                  <w:r>
                    <w:rPr>
                      <w:rFonts w:ascii="Calibri"/>
                      <w:spacing w:val="-1"/>
                      <w:w w:val="100"/>
                      <w:sz w:val="11"/>
                    </w:rPr>
                    <w:t>U</w:t>
                  </w:r>
                  <w:r>
                    <w:rPr>
                      <w:rFonts w:ascii="Calibri"/>
                      <w:w w:val="100"/>
                      <w:sz w:val="11"/>
                    </w:rPr>
                    <w:t>L</w:t>
                  </w:r>
                </w:p>
                <w:p>
                  <w:pPr>
                    <w:spacing w:before="37"/>
                    <w:ind w:left="2819" w:right="2820" w:firstLine="0"/>
                    <w:jc w:val="center"/>
                    <w:rPr>
                      <w:rFonts w:ascii="Calibri"/>
                      <w:sz w:val="11"/>
                    </w:rPr>
                  </w:pPr>
                  <w:r>
                    <w:rPr>
                      <w:rFonts w:ascii="Calibri"/>
                      <w:w w:val="100"/>
                      <w:sz w:val="11"/>
                    </w:rPr>
                    <w:t>93</w:t>
                  </w:r>
                  <w:r>
                    <w:rPr>
                      <w:rFonts w:ascii="Calibri"/>
                      <w:sz w:val="11"/>
                    </w:rPr>
                    <w:t> </w:t>
                  </w:r>
                  <w:r>
                    <w:rPr>
                      <w:rFonts w:ascii="Calibri"/>
                      <w:w w:val="100"/>
                      <w:sz w:val="11"/>
                    </w:rPr>
                    <w:t>T</w:t>
                  </w:r>
                  <w:r>
                    <w:rPr>
                      <w:rFonts w:ascii="Calibri"/>
                      <w:spacing w:val="-1"/>
                      <w:w w:val="100"/>
                      <w:sz w:val="11"/>
                    </w:rPr>
                    <w:t>U</w:t>
                  </w:r>
                  <w:r>
                    <w:rPr>
                      <w:rFonts w:ascii="Calibri"/>
                      <w:w w:val="100"/>
                      <w:sz w:val="11"/>
                    </w:rPr>
                    <w:t>L</w:t>
                  </w:r>
                </w:p>
                <w:p>
                  <w:pPr>
                    <w:spacing w:before="37"/>
                    <w:ind w:left="2819" w:right="2820" w:firstLine="0"/>
                    <w:jc w:val="center"/>
                    <w:rPr>
                      <w:rFonts w:ascii="Calibri"/>
                      <w:sz w:val="11"/>
                    </w:rPr>
                  </w:pPr>
                  <w:r>
                    <w:rPr>
                      <w:rFonts w:ascii="Calibri"/>
                      <w:w w:val="101"/>
                      <w:sz w:val="11"/>
                    </w:rPr>
                    <w:t>03</w:t>
                  </w:r>
                  <w:r>
                    <w:rPr>
                      <w:rFonts w:ascii="Calibri"/>
                      <w:spacing w:val="-1"/>
                      <w:sz w:val="11"/>
                    </w:rPr>
                    <w:t> </w:t>
                  </w:r>
                  <w:r>
                    <w:rPr>
                      <w:rFonts w:ascii="Calibri"/>
                      <w:w w:val="101"/>
                      <w:sz w:val="11"/>
                    </w:rPr>
                    <w:t>T</w:t>
                  </w:r>
                  <w:r>
                    <w:rPr>
                      <w:rFonts w:ascii="Calibri"/>
                      <w:spacing w:val="-1"/>
                      <w:w w:val="101"/>
                      <w:sz w:val="11"/>
                    </w:rPr>
                    <w:t>U</w:t>
                  </w:r>
                  <w:r>
                    <w:rPr>
                      <w:rFonts w:ascii="Calibri"/>
                      <w:w w:val="101"/>
                      <w:sz w:val="11"/>
                    </w:rPr>
                    <w:t>L</w:t>
                  </w:r>
                </w:p>
              </w:txbxContent>
            </v:textbox>
            <w10:wrap type="none"/>
          </v:shape>
        </w:pict>
      </w:r>
      <w:r>
        <w:rPr>
          <w:rFonts w:ascii="Calibri"/>
          <w:sz w:val="11"/>
        </w:rPr>
        <w:t>0.0</w:t>
      </w:r>
    </w:p>
    <w:p>
      <w:pPr>
        <w:pStyle w:val="BodyText"/>
        <w:spacing w:before="5"/>
        <w:rPr>
          <w:rFonts w:ascii="Calibri"/>
          <w:sz w:val="19"/>
        </w:rPr>
      </w:pPr>
    </w:p>
    <w:p>
      <w:pPr>
        <w:spacing w:before="79"/>
        <w:ind w:left="959" w:right="243" w:firstLine="0"/>
        <w:jc w:val="left"/>
        <w:rPr>
          <w:rFonts w:ascii="Calibri"/>
          <w:sz w:val="11"/>
        </w:rPr>
      </w:pPr>
      <w:r>
        <w:rPr>
          <w:rFonts w:ascii="Calibri"/>
          <w:sz w:val="11"/>
        </w:rPr>
        <w:t>-50.0</w:t>
      </w:r>
    </w:p>
    <w:p>
      <w:pPr>
        <w:pStyle w:val="BodyText"/>
        <w:spacing w:before="5"/>
        <w:rPr>
          <w:rFonts w:ascii="Calibri"/>
          <w:sz w:val="19"/>
        </w:rPr>
      </w:pPr>
    </w:p>
    <w:p>
      <w:pPr>
        <w:spacing w:after="0"/>
        <w:rPr>
          <w:rFonts w:ascii="Calibri"/>
          <w:sz w:val="19"/>
        </w:rPr>
        <w:sectPr>
          <w:pgSz w:w="12240" w:h="15840"/>
          <w:pgMar w:header="0" w:footer="1003" w:top="1460" w:bottom="1200" w:left="1580" w:right="1580"/>
        </w:sectPr>
      </w:pPr>
    </w:p>
    <w:p>
      <w:pPr>
        <w:spacing w:before="79"/>
        <w:ind w:left="0" w:right="0" w:firstLine="0"/>
        <w:jc w:val="right"/>
        <w:rPr>
          <w:rFonts w:ascii="Calibri"/>
          <w:sz w:val="11"/>
        </w:rPr>
      </w:pPr>
      <w:r>
        <w:rPr>
          <w:rFonts w:ascii="Calibri"/>
          <w:sz w:val="11"/>
        </w:rPr>
        <w:t>-100.0</w:t>
      </w:r>
    </w:p>
    <w:p>
      <w:pPr>
        <w:pStyle w:val="BodyText"/>
        <w:spacing w:before="7"/>
        <w:rPr>
          <w:rFonts w:ascii="Calibri"/>
          <w:sz w:val="15"/>
        </w:rPr>
      </w:pPr>
      <w:r>
        <w:rPr/>
        <w:br w:type="column"/>
      </w:r>
      <w:r>
        <w:rPr>
          <w:rFonts w:ascii="Calibri"/>
          <w:sz w:val="15"/>
        </w:rPr>
      </w:r>
    </w:p>
    <w:p>
      <w:pPr>
        <w:spacing w:before="0"/>
        <w:ind w:left="148" w:right="0" w:firstLine="0"/>
        <w:jc w:val="left"/>
        <w:rPr>
          <w:rFonts w:ascii="Calibri" w:hAnsi="Calibri"/>
          <w:sz w:val="12"/>
        </w:rPr>
      </w:pPr>
      <w:r>
        <w:rPr>
          <w:rFonts w:ascii="Calibri" w:hAnsi="Calibri"/>
          <w:w w:val="105"/>
          <w:sz w:val="12"/>
        </w:rPr>
        <w:t>Fuente: Elaboración propia con base en los datos del INEGI.</w:t>
      </w:r>
    </w:p>
    <w:p>
      <w:pPr>
        <w:spacing w:after="0"/>
        <w:jc w:val="left"/>
        <w:rPr>
          <w:rFonts w:ascii="Calibri" w:hAnsi="Calibri"/>
          <w:sz w:val="12"/>
        </w:rPr>
        <w:sectPr>
          <w:type w:val="continuous"/>
          <w:pgSz w:w="12240" w:h="15840"/>
          <w:pgMar w:top="500" w:bottom="1200" w:left="1580" w:right="1580"/>
          <w:cols w:num="2" w:equalWidth="0">
            <w:col w:w="1191" w:space="40"/>
            <w:col w:w="7849"/>
          </w:cols>
        </w:sectPr>
      </w:pPr>
    </w:p>
    <w:p>
      <w:pPr>
        <w:pStyle w:val="BodyText"/>
        <w:spacing w:before="7"/>
        <w:rPr>
          <w:rFonts w:ascii="Calibri"/>
          <w:sz w:val="18"/>
        </w:rPr>
      </w:pPr>
    </w:p>
    <w:p>
      <w:pPr>
        <w:pStyle w:val="BodyText"/>
        <w:spacing w:line="360" w:lineRule="auto" w:before="69"/>
        <w:ind w:left="122" w:right="117" w:firstLine="707"/>
        <w:jc w:val="both"/>
      </w:pPr>
      <w:r>
        <w:rPr/>
        <w:t>Con el análisis anterior se puede tener una idea sobre si los datos explican o no el comportamiento esperado y si es posible obtener de ellos estimadores robustos. En este sentido, se estimó un modelo de panel por la ausencia de una serie de tiempo. En total se obtuvieron 70 observaciones para los 10 municipios de la región Valle de México y 35 observaciones para los 5 municipios que conforman región Toluca-Lerma en total se obtuvieron 35 datos. En el siguiente apartado se explica más a detalle el modelo de panel.</w:t>
      </w:r>
    </w:p>
    <w:p>
      <w:pPr>
        <w:pStyle w:val="BodyText"/>
      </w:pPr>
    </w:p>
    <w:p>
      <w:pPr>
        <w:pStyle w:val="Heading2"/>
        <w:spacing w:before="148"/>
        <w:ind w:left="122" w:right="0"/>
        <w:jc w:val="both"/>
      </w:pPr>
      <w:r>
        <w:rPr/>
        <w:t>4.4 Resultados</w:t>
      </w:r>
    </w:p>
    <w:p>
      <w:pPr>
        <w:pStyle w:val="BodyText"/>
        <w:spacing w:line="352" w:lineRule="auto" w:before="134"/>
        <w:ind w:left="122" w:right="117"/>
        <w:jc w:val="both"/>
      </w:pPr>
      <w:r>
        <w:rPr/>
        <w:t>En este capítulo, la verificación empírica de la Primera y Segunda Ley de Kaldor-  Verdoorn se hizo para cada región por separado para obtener el efecto en cada una, y a su vez, también se realizó para el conjunto todos los municipios de estudio. La estimación se hizo a través de modelos de panel agrupados,</w:t>
      </w:r>
      <w:r>
        <w:rPr>
          <w:position w:val="11"/>
          <w:sz w:val="16"/>
        </w:rPr>
        <w:t>84 </w:t>
      </w:r>
      <w:r>
        <w:rPr/>
        <w:t>de efectos fijos y efectos aleatorios de sección cruzada con temporalidad y</w:t>
      </w:r>
      <w:r>
        <w:rPr>
          <w:spacing w:val="-10"/>
        </w:rPr>
        <w:t> </w:t>
      </w:r>
      <w:r>
        <w:rPr/>
        <w:t>espacio.</w:t>
      </w:r>
    </w:p>
    <w:p>
      <w:pPr>
        <w:pStyle w:val="BodyText"/>
        <w:spacing w:line="360" w:lineRule="auto" w:before="12"/>
        <w:ind w:left="122" w:right="117" w:firstLine="707"/>
        <w:jc w:val="both"/>
      </w:pPr>
      <w:r>
        <w:rPr/>
        <w:t>Dado el valor de la probabilidad de la prueba F, se encontró que los modelos más apropiados son los de efectos aleatorios de sección cruzada espacial para obtener el peso de cada municipio en la productividad de la región.</w:t>
      </w:r>
    </w:p>
    <w:p>
      <w:pPr>
        <w:pStyle w:val="BodyText"/>
        <w:spacing w:before="4"/>
        <w:rPr>
          <w:sz w:val="10"/>
        </w:rPr>
      </w:pPr>
      <w:r>
        <w:rPr/>
        <w:pict>
          <v:line style="position:absolute;mso-position-horizontal-relative:page;mso-position-vertical-relative:paragraph;z-index:3544;mso-wrap-distance-left:0;mso-wrap-distance-right:0" from="85.103996pt,8.275749pt" to="229.123996pt,8.275749pt" stroked="true" strokeweight=".72003pt" strokecolor="#000000">
            <w10:wrap type="topAndBottom"/>
          </v:line>
        </w:pict>
      </w:r>
    </w:p>
    <w:p>
      <w:pPr>
        <w:spacing w:before="42"/>
        <w:ind w:left="122" w:right="243" w:firstLine="0"/>
        <w:jc w:val="left"/>
        <w:rPr>
          <w:sz w:val="20"/>
        </w:rPr>
      </w:pPr>
      <w:r>
        <w:rPr>
          <w:position w:val="9"/>
          <w:sz w:val="13"/>
        </w:rPr>
        <w:t>84 </w:t>
      </w:r>
      <w:r>
        <w:rPr>
          <w:sz w:val="20"/>
        </w:rPr>
        <w:t>Al considerar el comportamiento de las unidades (municipios) a lo largo del tiempo se hace necesaria la utilización de un proceso en </w:t>
      </w:r>
      <w:r>
        <w:rPr>
          <w:i/>
          <w:sz w:val="20"/>
        </w:rPr>
        <w:t>pooling </w:t>
      </w:r>
      <w:r>
        <w:rPr>
          <w:sz w:val="20"/>
        </w:rPr>
        <w:t>considerando la heterogeneidad individual.</w:t>
      </w:r>
    </w:p>
    <w:p>
      <w:pPr>
        <w:spacing w:after="0"/>
        <w:jc w:val="left"/>
        <w:rPr>
          <w:sz w:val="20"/>
        </w:rPr>
        <w:sectPr>
          <w:type w:val="continuous"/>
          <w:pgSz w:w="12240" w:h="15840"/>
          <w:pgMar w:top="500" w:bottom="1200" w:left="1580" w:right="1580"/>
        </w:sectPr>
      </w:pPr>
    </w:p>
    <w:p>
      <w:pPr>
        <w:pStyle w:val="BodyText"/>
        <w:spacing w:line="362" w:lineRule="auto" w:before="50"/>
        <w:ind w:left="102" w:right="121" w:firstLine="707"/>
      </w:pPr>
      <w:r>
        <w:rPr/>
        <w:t>Una vez aclarado lo anterior se procedió a la estimación de los siete modelos, definidos en la ecuación 4.2 y cuyos resultados se aprecian en el Cuadro 4.2.</w:t>
      </w:r>
    </w:p>
    <w:p>
      <w:pPr>
        <w:pStyle w:val="BodyText"/>
      </w:pPr>
    </w:p>
    <w:p>
      <w:pPr>
        <w:spacing w:line="252" w:lineRule="auto" w:before="149"/>
        <w:ind w:left="3282" w:right="2980" w:firstLine="864"/>
        <w:jc w:val="left"/>
        <w:rPr>
          <w:rFonts w:ascii="Arial"/>
          <w:b/>
          <w:sz w:val="17"/>
        </w:rPr>
      </w:pPr>
      <w:r>
        <w:rPr>
          <w:rFonts w:ascii="Arial"/>
          <w:b/>
          <w:w w:val="120"/>
          <w:sz w:val="17"/>
        </w:rPr>
        <w:t>Cuadro  4.2 Modelos de panel estimados</w:t>
      </w:r>
    </w:p>
    <w:p>
      <w:pPr>
        <w:pStyle w:val="BodyText"/>
        <w:spacing w:before="6"/>
        <w:rPr>
          <w:rFonts w:ascii="Arial"/>
          <w:b/>
          <w:sz w:val="19"/>
        </w:rPr>
      </w:pPr>
    </w:p>
    <w:p>
      <w:pPr>
        <w:spacing w:before="1"/>
        <w:ind w:left="906" w:right="121" w:firstLine="0"/>
        <w:jc w:val="left"/>
        <w:rPr>
          <w:rFonts w:ascii="Calibri"/>
          <w:b/>
          <w:sz w:val="16"/>
        </w:rPr>
      </w:pPr>
      <w:r>
        <w:rPr>
          <w:rFonts w:ascii="Calibri"/>
          <w:b/>
          <w:w w:val="120"/>
          <w:sz w:val="16"/>
        </w:rPr>
        <w:t>Modelo 1</w:t>
      </w:r>
    </w:p>
    <w:p>
      <w:pPr>
        <w:pStyle w:val="BodyText"/>
        <w:rPr>
          <w:rFonts w:ascii="Calibri"/>
          <w:b/>
          <w:sz w:val="15"/>
        </w:rPr>
      </w:pPr>
    </w:p>
    <w:p>
      <w:pPr>
        <w:spacing w:before="0"/>
        <w:ind w:left="906" w:right="121" w:firstLine="0"/>
        <w:jc w:val="left"/>
        <w:rPr>
          <w:rFonts w:ascii="Arial" w:hAnsi="Arial"/>
          <w:sz w:val="12"/>
        </w:rPr>
      </w:pPr>
      <w:r>
        <w:rPr>
          <w:rFonts w:ascii="Arial" w:hAnsi="Arial"/>
          <w:w w:val="120"/>
          <w:sz w:val="17"/>
        </w:rPr>
        <w:t>ẏ = α</w:t>
      </w:r>
      <w:r>
        <w:rPr>
          <w:rFonts w:ascii="Arial" w:hAnsi="Arial"/>
          <w:w w:val="120"/>
          <w:position w:val="-1"/>
          <w:sz w:val="12"/>
        </w:rPr>
        <w:t>i  </w:t>
      </w:r>
      <w:r>
        <w:rPr>
          <w:rFonts w:ascii="Arial" w:hAnsi="Arial"/>
          <w:w w:val="120"/>
          <w:sz w:val="17"/>
        </w:rPr>
        <w:t>+ α</w:t>
      </w:r>
      <w:r>
        <w:rPr>
          <w:rFonts w:ascii="Arial" w:hAnsi="Arial"/>
          <w:w w:val="120"/>
          <w:position w:val="-1"/>
          <w:sz w:val="12"/>
        </w:rPr>
        <w:t>1 </w:t>
      </w:r>
      <w:r>
        <w:rPr>
          <w:rFonts w:ascii="Arial" w:hAnsi="Arial"/>
          <w:w w:val="120"/>
          <w:sz w:val="17"/>
        </w:rPr>
        <w:t>ẏ</w:t>
      </w:r>
      <w:r>
        <w:rPr>
          <w:rFonts w:ascii="Arial" w:hAnsi="Arial"/>
          <w:w w:val="120"/>
          <w:position w:val="-1"/>
          <w:sz w:val="12"/>
        </w:rPr>
        <w:t>35 </w:t>
      </w:r>
      <w:r>
        <w:rPr>
          <w:rFonts w:ascii="Arial" w:hAnsi="Arial"/>
          <w:w w:val="120"/>
          <w:sz w:val="17"/>
        </w:rPr>
        <w:t>+ α</w:t>
      </w:r>
      <w:r>
        <w:rPr>
          <w:rFonts w:ascii="Arial" w:hAnsi="Arial"/>
          <w:w w:val="120"/>
          <w:position w:val="-1"/>
          <w:sz w:val="12"/>
        </w:rPr>
        <w:t>2 </w:t>
      </w:r>
      <w:r>
        <w:rPr>
          <w:rFonts w:ascii="Arial" w:hAnsi="Arial"/>
          <w:w w:val="120"/>
          <w:sz w:val="17"/>
        </w:rPr>
        <w:t>ẏ</w:t>
      </w:r>
      <w:r>
        <w:rPr>
          <w:rFonts w:ascii="Arial" w:hAnsi="Arial"/>
          <w:w w:val="120"/>
          <w:position w:val="-1"/>
          <w:sz w:val="12"/>
        </w:rPr>
        <w:t>38 </w:t>
      </w:r>
      <w:r>
        <w:rPr>
          <w:rFonts w:ascii="Arial" w:hAnsi="Arial"/>
          <w:w w:val="120"/>
          <w:sz w:val="17"/>
        </w:rPr>
        <w:t>+ </w:t>
      </w:r>
      <w:r>
        <w:rPr>
          <w:rFonts w:ascii="Arial" w:hAnsi="Arial"/>
          <w:i/>
          <w:w w:val="120"/>
          <w:sz w:val="17"/>
        </w:rPr>
        <w:t>v</w:t>
      </w:r>
      <w:r>
        <w:rPr>
          <w:rFonts w:ascii="Arial" w:hAnsi="Arial"/>
          <w:w w:val="120"/>
          <w:position w:val="-1"/>
          <w:sz w:val="12"/>
        </w:rPr>
        <w:t>it</w:t>
      </w:r>
    </w:p>
    <w:p>
      <w:pPr>
        <w:pStyle w:val="BodyText"/>
        <w:spacing w:before="3"/>
        <w:rPr>
          <w:rFonts w:ascii="Arial"/>
          <w:sz w:val="16"/>
        </w:rPr>
      </w:pPr>
    </w:p>
    <w:tbl>
      <w:tblPr>
        <w:tblW w:w="0" w:type="auto"/>
        <w:jc w:val="left"/>
        <w:tblInd w:w="81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40"/>
        <w:gridCol w:w="725"/>
        <w:gridCol w:w="846"/>
        <w:gridCol w:w="848"/>
        <w:gridCol w:w="725"/>
        <w:gridCol w:w="848"/>
        <w:gridCol w:w="846"/>
        <w:gridCol w:w="725"/>
        <w:gridCol w:w="848"/>
        <w:gridCol w:w="725"/>
      </w:tblGrid>
      <w:tr>
        <w:trPr>
          <w:trHeight w:val="416" w:hRule="exact"/>
        </w:trPr>
        <w:tc>
          <w:tcPr>
            <w:tcW w:w="940" w:type="dxa"/>
            <w:tcBorders>
              <w:left w:val="single" w:sz="3" w:space="0" w:color="000000"/>
              <w:right w:val="single" w:sz="3" w:space="0" w:color="000000"/>
            </w:tcBorders>
          </w:tcPr>
          <w:p>
            <w:pPr/>
          </w:p>
        </w:tc>
        <w:tc>
          <w:tcPr>
            <w:tcW w:w="2419" w:type="dxa"/>
            <w:gridSpan w:val="3"/>
            <w:tcBorders>
              <w:left w:val="single" w:sz="3" w:space="0" w:color="000000"/>
              <w:right w:val="single" w:sz="3" w:space="0" w:color="000000"/>
            </w:tcBorders>
          </w:tcPr>
          <w:p>
            <w:pPr>
              <w:pStyle w:val="TableParagraph"/>
              <w:spacing w:before="4"/>
              <w:jc w:val="left"/>
              <w:rPr>
                <w:sz w:val="11"/>
              </w:rPr>
            </w:pPr>
          </w:p>
          <w:p>
            <w:pPr>
              <w:pStyle w:val="TableParagraph"/>
              <w:ind w:left="364"/>
              <w:jc w:val="left"/>
              <w:rPr>
                <w:b/>
                <w:sz w:val="12"/>
              </w:rPr>
            </w:pPr>
            <w:r>
              <w:rPr>
                <w:b/>
                <w:w w:val="115"/>
                <w:sz w:val="12"/>
              </w:rPr>
              <w:t>REGIÓN TOLUCA-LERMA</w:t>
            </w:r>
          </w:p>
        </w:tc>
        <w:tc>
          <w:tcPr>
            <w:tcW w:w="2419" w:type="dxa"/>
            <w:gridSpan w:val="3"/>
            <w:tcBorders>
              <w:left w:val="single" w:sz="3" w:space="0" w:color="000000"/>
              <w:right w:val="single" w:sz="3" w:space="0" w:color="000000"/>
            </w:tcBorders>
          </w:tcPr>
          <w:p>
            <w:pPr>
              <w:pStyle w:val="TableParagraph"/>
              <w:spacing w:before="4"/>
              <w:jc w:val="left"/>
              <w:rPr>
                <w:sz w:val="11"/>
              </w:rPr>
            </w:pPr>
          </w:p>
          <w:p>
            <w:pPr>
              <w:pStyle w:val="TableParagraph"/>
              <w:ind w:left="290"/>
              <w:jc w:val="left"/>
              <w:rPr>
                <w:b/>
                <w:sz w:val="12"/>
              </w:rPr>
            </w:pPr>
            <w:r>
              <w:rPr>
                <w:b/>
                <w:w w:val="115"/>
                <w:sz w:val="12"/>
              </w:rPr>
              <w:t>REGIÓN VALLE DE MÉXICO</w:t>
            </w:r>
          </w:p>
        </w:tc>
        <w:tc>
          <w:tcPr>
            <w:tcW w:w="2298" w:type="dxa"/>
            <w:gridSpan w:val="3"/>
            <w:tcBorders>
              <w:left w:val="single" w:sz="3" w:space="0" w:color="000000"/>
              <w:right w:val="single" w:sz="3" w:space="0" w:color="000000"/>
            </w:tcBorders>
          </w:tcPr>
          <w:p>
            <w:pPr>
              <w:pStyle w:val="TableParagraph"/>
              <w:spacing w:before="4"/>
              <w:jc w:val="left"/>
              <w:rPr>
                <w:sz w:val="11"/>
              </w:rPr>
            </w:pPr>
          </w:p>
          <w:p>
            <w:pPr>
              <w:pStyle w:val="TableParagraph"/>
              <w:ind w:left="514"/>
              <w:jc w:val="left"/>
              <w:rPr>
                <w:b/>
                <w:sz w:val="12"/>
              </w:rPr>
            </w:pPr>
            <w:r>
              <w:rPr>
                <w:b/>
                <w:w w:val="115"/>
                <w:sz w:val="12"/>
              </w:rPr>
              <w:t>AMBAS REGIONES</w:t>
            </w:r>
          </w:p>
        </w:tc>
      </w:tr>
      <w:tr>
        <w:trPr>
          <w:trHeight w:val="391" w:hRule="exact"/>
        </w:trPr>
        <w:tc>
          <w:tcPr>
            <w:tcW w:w="940" w:type="dxa"/>
            <w:tcBorders>
              <w:left w:val="single" w:sz="3" w:space="0" w:color="000000"/>
              <w:right w:val="single" w:sz="3" w:space="0" w:color="000000"/>
            </w:tcBorders>
          </w:tcPr>
          <w:p>
            <w:pPr>
              <w:pStyle w:val="TableParagraph"/>
              <w:spacing w:before="4"/>
              <w:jc w:val="center"/>
              <w:rPr>
                <w:b/>
                <w:sz w:val="17"/>
              </w:rPr>
            </w:pPr>
            <w:r>
              <w:rPr>
                <w:b/>
                <w:w w:val="120"/>
                <w:sz w:val="17"/>
              </w:rPr>
              <w:t>ẏ</w:t>
            </w:r>
          </w:p>
        </w:tc>
        <w:tc>
          <w:tcPr>
            <w:tcW w:w="725" w:type="dxa"/>
            <w:tcBorders>
              <w:left w:val="single" w:sz="3" w:space="0" w:color="000000"/>
              <w:right w:val="single" w:sz="3" w:space="0" w:color="000000"/>
            </w:tcBorders>
          </w:tcPr>
          <w:p>
            <w:pPr>
              <w:pStyle w:val="TableParagraph"/>
              <w:spacing w:before="9"/>
              <w:jc w:val="left"/>
              <w:rPr>
                <w:sz w:val="11"/>
              </w:rPr>
            </w:pPr>
          </w:p>
          <w:p>
            <w:pPr>
              <w:pStyle w:val="TableParagraph"/>
              <w:ind w:right="143"/>
              <w:rPr>
                <w:b/>
                <w:sz w:val="9"/>
              </w:rPr>
            </w:pPr>
            <w:r>
              <w:rPr>
                <w:b/>
                <w:w w:val="110"/>
                <w:sz w:val="9"/>
              </w:rPr>
              <w:t>POOLED</w:t>
            </w:r>
          </w:p>
        </w:tc>
        <w:tc>
          <w:tcPr>
            <w:tcW w:w="846" w:type="dxa"/>
            <w:tcBorders>
              <w:left w:val="single" w:sz="3" w:space="0" w:color="000000"/>
              <w:right w:val="single" w:sz="3" w:space="0" w:color="000000"/>
            </w:tcBorders>
          </w:tcPr>
          <w:p>
            <w:pPr>
              <w:pStyle w:val="TableParagraph"/>
              <w:spacing w:before="8"/>
              <w:jc w:val="left"/>
              <w:rPr>
                <w:sz w:val="7"/>
              </w:rPr>
            </w:pPr>
          </w:p>
          <w:p>
            <w:pPr>
              <w:pStyle w:val="TableParagraph"/>
              <w:spacing w:line="102" w:lineRule="exact"/>
              <w:ind w:left="184" w:right="182" w:firstLine="4"/>
              <w:jc w:val="left"/>
              <w:rPr>
                <w:b/>
                <w:sz w:val="9"/>
              </w:rPr>
            </w:pPr>
            <w:r>
              <w:rPr>
                <w:b/>
                <w:w w:val="110"/>
                <w:sz w:val="9"/>
              </w:rPr>
              <w:t>RANDOM EFFECTS</w:t>
            </w:r>
          </w:p>
        </w:tc>
        <w:tc>
          <w:tcPr>
            <w:tcW w:w="848" w:type="dxa"/>
            <w:tcBorders>
              <w:left w:val="single" w:sz="3" w:space="0" w:color="000000"/>
              <w:right w:val="single" w:sz="3" w:space="0" w:color="000000"/>
            </w:tcBorders>
          </w:tcPr>
          <w:p>
            <w:pPr>
              <w:pStyle w:val="TableParagraph"/>
              <w:spacing w:before="8"/>
              <w:jc w:val="left"/>
              <w:rPr>
                <w:sz w:val="7"/>
              </w:rPr>
            </w:pPr>
          </w:p>
          <w:p>
            <w:pPr>
              <w:pStyle w:val="TableParagraph"/>
              <w:spacing w:line="102" w:lineRule="exact"/>
              <w:ind w:left="186" w:right="182" w:firstLine="83"/>
              <w:jc w:val="left"/>
              <w:rPr>
                <w:b/>
                <w:sz w:val="9"/>
              </w:rPr>
            </w:pPr>
            <w:r>
              <w:rPr>
                <w:b/>
                <w:w w:val="115"/>
                <w:sz w:val="9"/>
              </w:rPr>
              <w:t>FIXED </w:t>
            </w:r>
            <w:r>
              <w:rPr>
                <w:b/>
                <w:w w:val="110"/>
                <w:sz w:val="9"/>
              </w:rPr>
              <w:t>EFFECTS</w:t>
            </w:r>
          </w:p>
        </w:tc>
        <w:tc>
          <w:tcPr>
            <w:tcW w:w="725" w:type="dxa"/>
            <w:tcBorders>
              <w:left w:val="single" w:sz="3" w:space="0" w:color="000000"/>
              <w:right w:val="single" w:sz="3" w:space="0" w:color="000000"/>
            </w:tcBorders>
          </w:tcPr>
          <w:p>
            <w:pPr>
              <w:pStyle w:val="TableParagraph"/>
              <w:spacing w:before="9"/>
              <w:jc w:val="left"/>
              <w:rPr>
                <w:sz w:val="11"/>
              </w:rPr>
            </w:pPr>
          </w:p>
          <w:p>
            <w:pPr>
              <w:pStyle w:val="TableParagraph"/>
              <w:ind w:left="141"/>
              <w:jc w:val="left"/>
              <w:rPr>
                <w:b/>
                <w:sz w:val="9"/>
              </w:rPr>
            </w:pPr>
            <w:r>
              <w:rPr>
                <w:b/>
                <w:w w:val="115"/>
                <w:sz w:val="9"/>
              </w:rPr>
              <w:t>POOLED</w:t>
            </w:r>
          </w:p>
        </w:tc>
        <w:tc>
          <w:tcPr>
            <w:tcW w:w="848" w:type="dxa"/>
            <w:tcBorders>
              <w:left w:val="single" w:sz="3" w:space="0" w:color="000000"/>
              <w:right w:val="single" w:sz="3" w:space="0" w:color="000000"/>
            </w:tcBorders>
          </w:tcPr>
          <w:p>
            <w:pPr>
              <w:pStyle w:val="TableParagraph"/>
              <w:spacing w:before="8"/>
              <w:jc w:val="left"/>
              <w:rPr>
                <w:sz w:val="7"/>
              </w:rPr>
            </w:pPr>
          </w:p>
          <w:p>
            <w:pPr>
              <w:pStyle w:val="TableParagraph"/>
              <w:spacing w:line="102" w:lineRule="exact"/>
              <w:ind w:left="184" w:right="184" w:firstLine="4"/>
              <w:jc w:val="left"/>
              <w:rPr>
                <w:b/>
                <w:sz w:val="9"/>
              </w:rPr>
            </w:pPr>
            <w:r>
              <w:rPr>
                <w:b/>
                <w:w w:val="110"/>
                <w:sz w:val="9"/>
              </w:rPr>
              <w:t>RANDOM EFFECTS</w:t>
            </w:r>
          </w:p>
        </w:tc>
        <w:tc>
          <w:tcPr>
            <w:tcW w:w="846" w:type="dxa"/>
            <w:tcBorders>
              <w:left w:val="single" w:sz="3" w:space="0" w:color="000000"/>
              <w:right w:val="single" w:sz="3" w:space="0" w:color="000000"/>
            </w:tcBorders>
          </w:tcPr>
          <w:p>
            <w:pPr>
              <w:pStyle w:val="TableParagraph"/>
              <w:spacing w:before="8"/>
              <w:jc w:val="left"/>
              <w:rPr>
                <w:sz w:val="7"/>
              </w:rPr>
            </w:pPr>
          </w:p>
          <w:p>
            <w:pPr>
              <w:pStyle w:val="TableParagraph"/>
              <w:spacing w:line="102" w:lineRule="exact"/>
              <w:ind w:left="184" w:right="182" w:firstLine="84"/>
              <w:jc w:val="left"/>
              <w:rPr>
                <w:b/>
                <w:sz w:val="9"/>
              </w:rPr>
            </w:pPr>
            <w:r>
              <w:rPr>
                <w:b/>
                <w:w w:val="115"/>
                <w:sz w:val="9"/>
              </w:rPr>
              <w:t>FIXED </w:t>
            </w:r>
            <w:r>
              <w:rPr>
                <w:b/>
                <w:w w:val="110"/>
                <w:sz w:val="9"/>
              </w:rPr>
              <w:t>EFFECTS</w:t>
            </w:r>
          </w:p>
        </w:tc>
        <w:tc>
          <w:tcPr>
            <w:tcW w:w="725" w:type="dxa"/>
            <w:tcBorders>
              <w:left w:val="single" w:sz="3" w:space="0" w:color="000000"/>
              <w:right w:val="single" w:sz="3" w:space="0" w:color="000000"/>
            </w:tcBorders>
          </w:tcPr>
          <w:p>
            <w:pPr>
              <w:pStyle w:val="TableParagraph"/>
              <w:spacing w:before="9"/>
              <w:jc w:val="left"/>
              <w:rPr>
                <w:sz w:val="11"/>
              </w:rPr>
            </w:pPr>
          </w:p>
          <w:p>
            <w:pPr>
              <w:pStyle w:val="TableParagraph"/>
              <w:ind w:right="141"/>
              <w:rPr>
                <w:b/>
                <w:sz w:val="9"/>
              </w:rPr>
            </w:pPr>
            <w:r>
              <w:rPr>
                <w:b/>
                <w:w w:val="110"/>
                <w:sz w:val="9"/>
              </w:rPr>
              <w:t>POOLED</w:t>
            </w:r>
          </w:p>
        </w:tc>
        <w:tc>
          <w:tcPr>
            <w:tcW w:w="848" w:type="dxa"/>
            <w:tcBorders>
              <w:left w:val="single" w:sz="3" w:space="0" w:color="000000"/>
              <w:right w:val="single" w:sz="3" w:space="0" w:color="000000"/>
            </w:tcBorders>
          </w:tcPr>
          <w:p>
            <w:pPr>
              <w:pStyle w:val="TableParagraph"/>
              <w:spacing w:before="8"/>
              <w:jc w:val="left"/>
              <w:rPr>
                <w:sz w:val="7"/>
              </w:rPr>
            </w:pPr>
          </w:p>
          <w:p>
            <w:pPr>
              <w:pStyle w:val="TableParagraph"/>
              <w:spacing w:line="102" w:lineRule="exact"/>
              <w:ind w:left="184" w:right="185" w:firstLine="4"/>
              <w:jc w:val="left"/>
              <w:rPr>
                <w:b/>
                <w:sz w:val="9"/>
              </w:rPr>
            </w:pPr>
            <w:r>
              <w:rPr>
                <w:b/>
                <w:w w:val="110"/>
                <w:sz w:val="9"/>
              </w:rPr>
              <w:t>RANDOM EFFECTS</w:t>
            </w:r>
          </w:p>
        </w:tc>
        <w:tc>
          <w:tcPr>
            <w:tcW w:w="725" w:type="dxa"/>
            <w:tcBorders>
              <w:left w:val="single" w:sz="3" w:space="0" w:color="000000"/>
              <w:right w:val="single" w:sz="3" w:space="0" w:color="000000"/>
            </w:tcBorders>
          </w:tcPr>
          <w:p>
            <w:pPr>
              <w:pStyle w:val="TableParagraph"/>
              <w:spacing w:before="8"/>
              <w:jc w:val="left"/>
              <w:rPr>
                <w:sz w:val="7"/>
              </w:rPr>
            </w:pPr>
          </w:p>
          <w:p>
            <w:pPr>
              <w:pStyle w:val="TableParagraph"/>
              <w:spacing w:line="102" w:lineRule="exact"/>
              <w:ind w:left="122" w:right="123" w:firstLine="83"/>
              <w:jc w:val="left"/>
              <w:rPr>
                <w:b/>
                <w:sz w:val="9"/>
              </w:rPr>
            </w:pPr>
            <w:r>
              <w:rPr>
                <w:b/>
                <w:w w:val="115"/>
                <w:sz w:val="9"/>
              </w:rPr>
              <w:t>FIXED </w:t>
            </w:r>
            <w:r>
              <w:rPr>
                <w:b/>
                <w:w w:val="110"/>
                <w:sz w:val="9"/>
              </w:rPr>
              <w:t>EFFECTS</w:t>
            </w:r>
          </w:p>
        </w:tc>
      </w:tr>
      <w:tr>
        <w:trPr>
          <w:trHeight w:val="153" w:hRule="exact"/>
        </w:trPr>
        <w:tc>
          <w:tcPr>
            <w:tcW w:w="940" w:type="dxa"/>
            <w:vMerge w:val="restart"/>
            <w:tcBorders>
              <w:left w:val="single" w:sz="3" w:space="0" w:color="000000"/>
              <w:right w:val="single" w:sz="3" w:space="0" w:color="000000"/>
            </w:tcBorders>
          </w:tcPr>
          <w:p>
            <w:pPr>
              <w:pStyle w:val="TableParagraph"/>
              <w:spacing w:before="7"/>
              <w:ind w:left="314" w:right="315"/>
              <w:jc w:val="center"/>
              <w:rPr>
                <w:b/>
                <w:sz w:val="12"/>
              </w:rPr>
            </w:pPr>
            <w:r>
              <w:rPr>
                <w:b/>
                <w:w w:val="115"/>
                <w:position w:val="2"/>
                <w:sz w:val="17"/>
              </w:rPr>
              <w:t>ẏ</w:t>
            </w:r>
            <w:r>
              <w:rPr>
                <w:b/>
                <w:w w:val="115"/>
                <w:sz w:val="12"/>
              </w:rPr>
              <w:t>35</w:t>
            </w:r>
          </w:p>
        </w:tc>
        <w:tc>
          <w:tcPr>
            <w:tcW w:w="725"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0.030</w:t>
            </w:r>
          </w:p>
        </w:tc>
        <w:tc>
          <w:tcPr>
            <w:tcW w:w="846"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0.030</w:t>
            </w:r>
          </w:p>
        </w:tc>
        <w:tc>
          <w:tcPr>
            <w:tcW w:w="848"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0.032</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0.300</w:t>
            </w: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0.300</w:t>
            </w:r>
          </w:p>
        </w:tc>
        <w:tc>
          <w:tcPr>
            <w:tcW w:w="846"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0.286</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0.119</w:t>
            </w: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0.119</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0.113</w:t>
            </w:r>
          </w:p>
        </w:tc>
      </w:tr>
      <w:tr>
        <w:trPr>
          <w:trHeight w:val="151" w:hRule="exact"/>
        </w:trPr>
        <w:tc>
          <w:tcPr>
            <w:tcW w:w="940" w:type="dxa"/>
            <w:vMerge/>
            <w:tcBorders>
              <w:left w:val="single" w:sz="3" w:space="0" w:color="000000"/>
              <w:right w:val="single" w:sz="3" w:space="0" w:color="000000"/>
            </w:tcBorders>
          </w:tcPr>
          <w:p>
            <w:pPr/>
          </w:p>
        </w:tc>
        <w:tc>
          <w:tcPr>
            <w:tcW w:w="725" w:type="dxa"/>
            <w:tcBorders>
              <w:left w:val="single" w:sz="3" w:space="0" w:color="000000"/>
              <w:right w:val="single" w:sz="3" w:space="0" w:color="000000"/>
            </w:tcBorders>
          </w:tcPr>
          <w:p>
            <w:pPr>
              <w:pStyle w:val="TableParagraph"/>
              <w:spacing w:line="144" w:lineRule="exact"/>
              <w:ind w:right="85"/>
              <w:rPr>
                <w:rFonts w:ascii="Calibri"/>
                <w:sz w:val="12"/>
              </w:rPr>
            </w:pPr>
            <w:r>
              <w:rPr>
                <w:rFonts w:ascii="Calibri"/>
                <w:w w:val="115"/>
                <w:sz w:val="12"/>
              </w:rPr>
              <w:t>(0.059)</w:t>
            </w:r>
          </w:p>
        </w:tc>
        <w:tc>
          <w:tcPr>
            <w:tcW w:w="846"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(0.059)</w:t>
            </w:r>
          </w:p>
        </w:tc>
        <w:tc>
          <w:tcPr>
            <w:tcW w:w="848"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(0.065)</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(0.0859</w:t>
            </w:r>
          </w:p>
        </w:tc>
        <w:tc>
          <w:tcPr>
            <w:tcW w:w="848" w:type="dxa"/>
            <w:tcBorders>
              <w:left w:val="single" w:sz="3" w:space="0" w:color="000000"/>
              <w:right w:val="single" w:sz="3" w:space="0" w:color="000000"/>
            </w:tcBorders>
          </w:tcPr>
          <w:p>
            <w:pPr>
              <w:pStyle w:val="TableParagraph"/>
              <w:spacing w:line="144" w:lineRule="exact"/>
              <w:ind w:right="85"/>
              <w:rPr>
                <w:rFonts w:ascii="Calibri"/>
                <w:sz w:val="12"/>
              </w:rPr>
            </w:pPr>
            <w:r>
              <w:rPr>
                <w:rFonts w:ascii="Calibri"/>
                <w:w w:val="115"/>
                <w:sz w:val="12"/>
              </w:rPr>
              <w:t>(0.085)</w:t>
            </w:r>
          </w:p>
        </w:tc>
        <w:tc>
          <w:tcPr>
            <w:tcW w:w="846"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(0.091)</w:t>
            </w:r>
          </w:p>
        </w:tc>
        <w:tc>
          <w:tcPr>
            <w:tcW w:w="725"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(0.049)</w:t>
            </w:r>
          </w:p>
        </w:tc>
        <w:tc>
          <w:tcPr>
            <w:tcW w:w="848" w:type="dxa"/>
            <w:tcBorders>
              <w:left w:val="single" w:sz="3" w:space="0" w:color="000000"/>
              <w:right w:val="single" w:sz="3" w:space="0" w:color="000000"/>
            </w:tcBorders>
          </w:tcPr>
          <w:p>
            <w:pPr>
              <w:pStyle w:val="TableParagraph"/>
              <w:spacing w:line="144" w:lineRule="exact"/>
              <w:ind w:right="85"/>
              <w:rPr>
                <w:rFonts w:ascii="Calibri"/>
                <w:sz w:val="12"/>
              </w:rPr>
            </w:pPr>
            <w:r>
              <w:rPr>
                <w:rFonts w:ascii="Calibri"/>
                <w:w w:val="115"/>
                <w:sz w:val="12"/>
              </w:rPr>
              <w:t>(0.049)</w:t>
            </w:r>
          </w:p>
        </w:tc>
        <w:tc>
          <w:tcPr>
            <w:tcW w:w="725"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(0.054)</w:t>
            </w:r>
          </w:p>
        </w:tc>
      </w:tr>
      <w:tr>
        <w:trPr>
          <w:trHeight w:val="153" w:hRule="exact"/>
        </w:trPr>
        <w:tc>
          <w:tcPr>
            <w:tcW w:w="940" w:type="dxa"/>
            <w:vMerge/>
            <w:tcBorders>
              <w:left w:val="single" w:sz="3" w:space="0" w:color="000000"/>
              <w:right w:val="single" w:sz="3" w:space="0" w:color="000000"/>
            </w:tcBorders>
          </w:tcPr>
          <w:p>
            <w:pPr/>
          </w:p>
        </w:tc>
        <w:tc>
          <w:tcPr>
            <w:tcW w:w="725" w:type="dxa"/>
            <w:tcBorders>
              <w:left w:val="single" w:sz="3" w:space="0" w:color="000000"/>
              <w:right w:val="single" w:sz="3" w:space="0" w:color="000000"/>
            </w:tcBorders>
          </w:tcPr>
          <w:p>
            <w:pPr>
              <w:pStyle w:val="TableParagraph"/>
              <w:spacing w:line="144" w:lineRule="exact"/>
              <w:ind w:right="87"/>
              <w:rPr>
                <w:rFonts w:ascii="Calibri"/>
                <w:sz w:val="12"/>
              </w:rPr>
            </w:pPr>
            <w:r>
              <w:rPr>
                <w:rFonts w:ascii="Calibri"/>
                <w:w w:val="115"/>
                <w:sz w:val="12"/>
              </w:rPr>
              <w:t>t= 0.51</w:t>
            </w:r>
          </w:p>
        </w:tc>
        <w:tc>
          <w:tcPr>
            <w:tcW w:w="846"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z= 0.51</w:t>
            </w: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t= 0.50</w:t>
            </w:r>
          </w:p>
        </w:tc>
        <w:tc>
          <w:tcPr>
            <w:tcW w:w="725"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t=3.52</w:t>
            </w:r>
          </w:p>
        </w:tc>
        <w:tc>
          <w:tcPr>
            <w:tcW w:w="848" w:type="dxa"/>
            <w:tcBorders>
              <w:left w:val="single" w:sz="3" w:space="0" w:color="000000"/>
              <w:right w:val="single" w:sz="3" w:space="0" w:color="000000"/>
            </w:tcBorders>
          </w:tcPr>
          <w:p>
            <w:pPr>
              <w:pStyle w:val="TableParagraph"/>
              <w:spacing w:line="144" w:lineRule="exact"/>
              <w:ind w:right="88"/>
              <w:rPr>
                <w:rFonts w:ascii="Calibri"/>
                <w:sz w:val="12"/>
              </w:rPr>
            </w:pPr>
            <w:r>
              <w:rPr>
                <w:rFonts w:ascii="Calibri"/>
                <w:w w:val="115"/>
                <w:sz w:val="12"/>
              </w:rPr>
              <w:t>z=3.52</w:t>
            </w:r>
          </w:p>
        </w:tc>
        <w:tc>
          <w:tcPr>
            <w:tcW w:w="846"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t=3.12</w:t>
            </w:r>
          </w:p>
        </w:tc>
        <w:tc>
          <w:tcPr>
            <w:tcW w:w="725"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t=2.40</w:t>
            </w:r>
          </w:p>
        </w:tc>
        <w:tc>
          <w:tcPr>
            <w:tcW w:w="848" w:type="dxa"/>
            <w:tcBorders>
              <w:left w:val="single" w:sz="3" w:space="0" w:color="000000"/>
              <w:right w:val="single" w:sz="3" w:space="0" w:color="000000"/>
            </w:tcBorders>
          </w:tcPr>
          <w:p>
            <w:pPr>
              <w:pStyle w:val="TableParagraph"/>
              <w:spacing w:line="144" w:lineRule="exact"/>
              <w:ind w:right="88"/>
              <w:rPr>
                <w:rFonts w:ascii="Calibri"/>
                <w:sz w:val="12"/>
              </w:rPr>
            </w:pPr>
            <w:r>
              <w:rPr>
                <w:rFonts w:ascii="Calibri"/>
                <w:w w:val="115"/>
                <w:sz w:val="12"/>
              </w:rPr>
              <w:t>z=2.40</w:t>
            </w:r>
          </w:p>
        </w:tc>
        <w:tc>
          <w:tcPr>
            <w:tcW w:w="725"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t=2.08</w:t>
            </w:r>
          </w:p>
        </w:tc>
      </w:tr>
      <w:tr>
        <w:trPr>
          <w:trHeight w:val="151" w:hRule="exact"/>
        </w:trPr>
        <w:tc>
          <w:tcPr>
            <w:tcW w:w="940" w:type="dxa"/>
            <w:vMerge/>
            <w:tcBorders>
              <w:left w:val="single" w:sz="3" w:space="0" w:color="000000"/>
              <w:right w:val="single" w:sz="3" w:space="0" w:color="000000"/>
            </w:tcBorders>
          </w:tcPr>
          <w:p>
            <w:pPr/>
          </w:p>
        </w:tc>
        <w:tc>
          <w:tcPr>
            <w:tcW w:w="725" w:type="dxa"/>
            <w:tcBorders>
              <w:left w:val="single" w:sz="3" w:space="0" w:color="000000"/>
              <w:right w:val="single" w:sz="3" w:space="0" w:color="000000"/>
            </w:tcBorders>
          </w:tcPr>
          <w:p>
            <w:pPr>
              <w:pStyle w:val="TableParagraph"/>
              <w:spacing w:line="144" w:lineRule="exact"/>
              <w:ind w:right="87"/>
              <w:rPr>
                <w:rFonts w:ascii="Calibri"/>
                <w:sz w:val="12"/>
              </w:rPr>
            </w:pPr>
            <w:r>
              <w:rPr>
                <w:rFonts w:ascii="Calibri"/>
                <w:w w:val="115"/>
                <w:sz w:val="12"/>
              </w:rPr>
              <w:t>p= 0.616</w:t>
            </w:r>
          </w:p>
        </w:tc>
        <w:tc>
          <w:tcPr>
            <w:tcW w:w="846"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 0.616</w:t>
            </w:r>
          </w:p>
        </w:tc>
        <w:tc>
          <w:tcPr>
            <w:tcW w:w="848"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 0.623</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p=0.001</w:t>
            </w: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p=0.000</w:t>
            </w:r>
          </w:p>
        </w:tc>
        <w:tc>
          <w:tcPr>
            <w:tcW w:w="846"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p=0.003</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p=0.018</w:t>
            </w: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p=0.016</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p=0.041</w:t>
            </w:r>
          </w:p>
        </w:tc>
      </w:tr>
      <w:tr>
        <w:trPr>
          <w:trHeight w:val="153" w:hRule="exact"/>
        </w:trPr>
        <w:tc>
          <w:tcPr>
            <w:tcW w:w="940" w:type="dxa"/>
            <w:vMerge w:val="restart"/>
            <w:tcBorders>
              <w:left w:val="single" w:sz="3" w:space="0" w:color="000000"/>
              <w:right w:val="single" w:sz="3" w:space="0" w:color="000000"/>
            </w:tcBorders>
          </w:tcPr>
          <w:p>
            <w:pPr>
              <w:pStyle w:val="TableParagraph"/>
              <w:spacing w:before="7"/>
              <w:ind w:left="314" w:right="315"/>
              <w:jc w:val="center"/>
              <w:rPr>
                <w:b/>
                <w:sz w:val="12"/>
              </w:rPr>
            </w:pPr>
            <w:r>
              <w:rPr>
                <w:b/>
                <w:w w:val="115"/>
                <w:position w:val="2"/>
                <w:sz w:val="17"/>
              </w:rPr>
              <w:t>ẏ</w:t>
            </w:r>
            <w:r>
              <w:rPr>
                <w:b/>
                <w:w w:val="115"/>
                <w:sz w:val="12"/>
              </w:rPr>
              <w:t>38</w:t>
            </w:r>
          </w:p>
        </w:tc>
        <w:tc>
          <w:tcPr>
            <w:tcW w:w="725"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0.216</w:t>
            </w:r>
          </w:p>
        </w:tc>
        <w:tc>
          <w:tcPr>
            <w:tcW w:w="846"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0.216</w:t>
            </w:r>
          </w:p>
        </w:tc>
        <w:tc>
          <w:tcPr>
            <w:tcW w:w="848"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0.215</w:t>
            </w:r>
          </w:p>
        </w:tc>
        <w:tc>
          <w:tcPr>
            <w:tcW w:w="725"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-0.002</w:t>
            </w: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-0.002</w:t>
            </w:r>
          </w:p>
        </w:tc>
        <w:tc>
          <w:tcPr>
            <w:tcW w:w="846"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-0.017</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0.093</w:t>
            </w: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0.093</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0.085</w:t>
            </w:r>
          </w:p>
        </w:tc>
      </w:tr>
      <w:tr>
        <w:trPr>
          <w:trHeight w:val="151" w:hRule="exact"/>
        </w:trPr>
        <w:tc>
          <w:tcPr>
            <w:tcW w:w="940" w:type="dxa"/>
            <w:vMerge/>
            <w:tcBorders>
              <w:left w:val="single" w:sz="3" w:space="0" w:color="000000"/>
              <w:right w:val="single" w:sz="3" w:space="0" w:color="000000"/>
            </w:tcBorders>
          </w:tcPr>
          <w:p>
            <w:pPr/>
          </w:p>
        </w:tc>
        <w:tc>
          <w:tcPr>
            <w:tcW w:w="725" w:type="dxa"/>
            <w:tcBorders>
              <w:left w:val="single" w:sz="3" w:space="0" w:color="000000"/>
              <w:right w:val="single" w:sz="3" w:space="0" w:color="000000"/>
            </w:tcBorders>
          </w:tcPr>
          <w:p>
            <w:pPr>
              <w:pStyle w:val="TableParagraph"/>
              <w:spacing w:line="144" w:lineRule="exact"/>
              <w:ind w:right="85"/>
              <w:rPr>
                <w:rFonts w:ascii="Calibri"/>
                <w:sz w:val="12"/>
              </w:rPr>
            </w:pPr>
            <w:r>
              <w:rPr>
                <w:rFonts w:ascii="Calibri"/>
                <w:w w:val="115"/>
                <w:sz w:val="12"/>
              </w:rPr>
              <w:t>(0.045)</w:t>
            </w:r>
          </w:p>
        </w:tc>
        <w:tc>
          <w:tcPr>
            <w:tcW w:w="846"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(0.045)</w:t>
            </w:r>
          </w:p>
        </w:tc>
        <w:tc>
          <w:tcPr>
            <w:tcW w:w="848"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(0.048)</w:t>
            </w:r>
          </w:p>
        </w:tc>
        <w:tc>
          <w:tcPr>
            <w:tcW w:w="725"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(0.033)</w:t>
            </w:r>
          </w:p>
        </w:tc>
        <w:tc>
          <w:tcPr>
            <w:tcW w:w="848" w:type="dxa"/>
            <w:tcBorders>
              <w:left w:val="single" w:sz="3" w:space="0" w:color="000000"/>
              <w:right w:val="single" w:sz="3" w:space="0" w:color="000000"/>
            </w:tcBorders>
          </w:tcPr>
          <w:p>
            <w:pPr>
              <w:pStyle w:val="TableParagraph"/>
              <w:spacing w:line="144" w:lineRule="exact"/>
              <w:ind w:right="85"/>
              <w:rPr>
                <w:rFonts w:ascii="Calibri"/>
                <w:sz w:val="12"/>
              </w:rPr>
            </w:pPr>
            <w:r>
              <w:rPr>
                <w:rFonts w:ascii="Calibri"/>
                <w:w w:val="115"/>
                <w:sz w:val="12"/>
              </w:rPr>
              <w:t>(0.033)</w:t>
            </w:r>
          </w:p>
        </w:tc>
        <w:tc>
          <w:tcPr>
            <w:tcW w:w="846"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(0.035)</w:t>
            </w:r>
          </w:p>
        </w:tc>
        <w:tc>
          <w:tcPr>
            <w:tcW w:w="725"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(0.029)</w:t>
            </w:r>
          </w:p>
        </w:tc>
        <w:tc>
          <w:tcPr>
            <w:tcW w:w="848" w:type="dxa"/>
            <w:tcBorders>
              <w:left w:val="single" w:sz="3" w:space="0" w:color="000000"/>
              <w:right w:val="single" w:sz="3" w:space="0" w:color="000000"/>
            </w:tcBorders>
          </w:tcPr>
          <w:p>
            <w:pPr>
              <w:pStyle w:val="TableParagraph"/>
              <w:spacing w:line="144" w:lineRule="exact"/>
              <w:ind w:right="85"/>
              <w:rPr>
                <w:rFonts w:ascii="Calibri"/>
                <w:sz w:val="12"/>
              </w:rPr>
            </w:pPr>
            <w:r>
              <w:rPr>
                <w:rFonts w:ascii="Calibri"/>
                <w:w w:val="115"/>
                <w:sz w:val="12"/>
              </w:rPr>
              <w:t>(0.029)</w:t>
            </w:r>
          </w:p>
        </w:tc>
        <w:tc>
          <w:tcPr>
            <w:tcW w:w="725"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(0.031)</w:t>
            </w:r>
          </w:p>
        </w:tc>
      </w:tr>
      <w:tr>
        <w:trPr>
          <w:trHeight w:val="153" w:hRule="exact"/>
        </w:trPr>
        <w:tc>
          <w:tcPr>
            <w:tcW w:w="940" w:type="dxa"/>
            <w:vMerge/>
            <w:tcBorders>
              <w:left w:val="single" w:sz="3" w:space="0" w:color="000000"/>
              <w:right w:val="single" w:sz="3" w:space="0" w:color="000000"/>
            </w:tcBorders>
          </w:tcPr>
          <w:p>
            <w:pPr/>
          </w:p>
        </w:tc>
        <w:tc>
          <w:tcPr>
            <w:tcW w:w="725" w:type="dxa"/>
            <w:tcBorders>
              <w:left w:val="single" w:sz="3" w:space="0" w:color="000000"/>
              <w:right w:val="single" w:sz="3" w:space="0" w:color="000000"/>
            </w:tcBorders>
          </w:tcPr>
          <w:p>
            <w:pPr>
              <w:pStyle w:val="TableParagraph"/>
              <w:spacing w:line="144" w:lineRule="exact"/>
              <w:ind w:right="87"/>
              <w:rPr>
                <w:rFonts w:ascii="Calibri"/>
                <w:sz w:val="12"/>
              </w:rPr>
            </w:pPr>
            <w:r>
              <w:rPr>
                <w:rFonts w:ascii="Calibri"/>
                <w:w w:val="115"/>
                <w:sz w:val="12"/>
              </w:rPr>
              <w:t>t= 4.78</w:t>
            </w:r>
          </w:p>
        </w:tc>
        <w:tc>
          <w:tcPr>
            <w:tcW w:w="846"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z= 4.78</w:t>
            </w: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t= 4.42</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t=-0.08</w:t>
            </w: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z=-0.08</w:t>
            </w:r>
          </w:p>
        </w:tc>
        <w:tc>
          <w:tcPr>
            <w:tcW w:w="846"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t=-0.04</w:t>
            </w:r>
          </w:p>
        </w:tc>
        <w:tc>
          <w:tcPr>
            <w:tcW w:w="725"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t=3.23</w:t>
            </w:r>
          </w:p>
        </w:tc>
        <w:tc>
          <w:tcPr>
            <w:tcW w:w="848" w:type="dxa"/>
            <w:tcBorders>
              <w:left w:val="single" w:sz="3" w:space="0" w:color="000000"/>
              <w:right w:val="single" w:sz="3" w:space="0" w:color="000000"/>
            </w:tcBorders>
          </w:tcPr>
          <w:p>
            <w:pPr>
              <w:pStyle w:val="TableParagraph"/>
              <w:spacing w:line="144" w:lineRule="exact"/>
              <w:ind w:right="88"/>
              <w:rPr>
                <w:rFonts w:ascii="Calibri"/>
                <w:sz w:val="12"/>
              </w:rPr>
            </w:pPr>
            <w:r>
              <w:rPr>
                <w:rFonts w:ascii="Calibri"/>
                <w:w w:val="115"/>
                <w:sz w:val="12"/>
              </w:rPr>
              <w:t>z=3.23</w:t>
            </w:r>
          </w:p>
        </w:tc>
        <w:tc>
          <w:tcPr>
            <w:tcW w:w="725"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t=2.71</w:t>
            </w:r>
          </w:p>
        </w:tc>
      </w:tr>
      <w:tr>
        <w:trPr>
          <w:trHeight w:val="152" w:hRule="exact"/>
        </w:trPr>
        <w:tc>
          <w:tcPr>
            <w:tcW w:w="940" w:type="dxa"/>
            <w:vMerge/>
            <w:tcBorders>
              <w:left w:val="single" w:sz="3" w:space="0" w:color="000000"/>
              <w:right w:val="single" w:sz="3" w:space="0" w:color="000000"/>
            </w:tcBorders>
          </w:tcPr>
          <w:p>
            <w:pPr/>
          </w:p>
        </w:tc>
        <w:tc>
          <w:tcPr>
            <w:tcW w:w="725" w:type="dxa"/>
            <w:tcBorders>
              <w:left w:val="single" w:sz="3" w:space="0" w:color="000000"/>
              <w:right w:val="single" w:sz="3" w:space="0" w:color="000000"/>
            </w:tcBorders>
          </w:tcPr>
          <w:p>
            <w:pPr>
              <w:pStyle w:val="TableParagraph"/>
              <w:spacing w:line="144" w:lineRule="exact"/>
              <w:ind w:right="87"/>
              <w:rPr>
                <w:rFonts w:ascii="Calibri"/>
                <w:sz w:val="12"/>
              </w:rPr>
            </w:pPr>
            <w:r>
              <w:rPr>
                <w:rFonts w:ascii="Calibri"/>
                <w:w w:val="115"/>
                <w:sz w:val="12"/>
              </w:rPr>
              <w:t>p= 0.000</w:t>
            </w:r>
          </w:p>
        </w:tc>
        <w:tc>
          <w:tcPr>
            <w:tcW w:w="846"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 0.000</w:t>
            </w:r>
          </w:p>
        </w:tc>
        <w:tc>
          <w:tcPr>
            <w:tcW w:w="848"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 0.000</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p=0.935</w:t>
            </w: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p=0.935</w:t>
            </w:r>
          </w:p>
        </w:tc>
        <w:tc>
          <w:tcPr>
            <w:tcW w:w="846"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p=0.632</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p=0.002</w:t>
            </w: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p=0.001</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p=0.008</w:t>
            </w:r>
          </w:p>
        </w:tc>
      </w:tr>
      <w:tr>
        <w:trPr>
          <w:trHeight w:val="153" w:hRule="exact"/>
        </w:trPr>
        <w:tc>
          <w:tcPr>
            <w:tcW w:w="940" w:type="dxa"/>
            <w:vMerge w:val="restart"/>
            <w:tcBorders>
              <w:left w:val="single" w:sz="3" w:space="0" w:color="000000"/>
              <w:right w:val="single" w:sz="3" w:space="0" w:color="000000"/>
            </w:tcBorders>
          </w:tcPr>
          <w:p>
            <w:pPr>
              <w:pStyle w:val="TableParagraph"/>
              <w:spacing w:line="134" w:lineRule="exact"/>
              <w:ind w:left="131"/>
              <w:jc w:val="left"/>
              <w:rPr>
                <w:b/>
                <w:sz w:val="12"/>
              </w:rPr>
            </w:pPr>
            <w:r>
              <w:rPr>
                <w:b/>
                <w:w w:val="115"/>
                <w:sz w:val="12"/>
              </w:rPr>
              <w:t>Constante</w:t>
            </w:r>
          </w:p>
        </w:tc>
        <w:tc>
          <w:tcPr>
            <w:tcW w:w="725" w:type="dxa"/>
            <w:tcBorders>
              <w:left w:val="single" w:sz="3" w:space="0" w:color="000000"/>
              <w:right w:val="single" w:sz="3" w:space="0" w:color="000000"/>
            </w:tcBorders>
          </w:tcPr>
          <w:p>
            <w:pPr>
              <w:pStyle w:val="TableParagraph"/>
              <w:spacing w:line="146" w:lineRule="exact"/>
              <w:ind w:right="86"/>
              <w:rPr>
                <w:rFonts w:ascii="Calibri"/>
                <w:sz w:val="12"/>
              </w:rPr>
            </w:pPr>
            <w:r>
              <w:rPr>
                <w:rFonts w:ascii="Calibri"/>
                <w:w w:val="115"/>
                <w:sz w:val="12"/>
              </w:rPr>
              <w:t>4.370</w:t>
            </w:r>
          </w:p>
        </w:tc>
        <w:tc>
          <w:tcPr>
            <w:tcW w:w="846" w:type="dxa"/>
            <w:tcBorders>
              <w:left w:val="single" w:sz="3" w:space="0" w:color="000000"/>
              <w:right w:val="single" w:sz="3" w:space="0" w:color="000000"/>
            </w:tcBorders>
          </w:tcPr>
          <w:p>
            <w:pPr>
              <w:pStyle w:val="TableParagraph"/>
              <w:spacing w:line="146" w:lineRule="exact"/>
              <w:ind w:right="84"/>
              <w:rPr>
                <w:rFonts w:ascii="Calibri"/>
                <w:sz w:val="12"/>
              </w:rPr>
            </w:pPr>
            <w:r>
              <w:rPr>
                <w:rFonts w:ascii="Calibri"/>
                <w:w w:val="115"/>
                <w:sz w:val="12"/>
              </w:rPr>
              <w:t>4.370</w:t>
            </w:r>
          </w:p>
        </w:tc>
        <w:tc>
          <w:tcPr>
            <w:tcW w:w="848" w:type="dxa"/>
            <w:tcBorders>
              <w:left w:val="single" w:sz="3" w:space="0" w:color="000000"/>
              <w:right w:val="single" w:sz="3" w:space="0" w:color="000000"/>
            </w:tcBorders>
          </w:tcPr>
          <w:p>
            <w:pPr>
              <w:pStyle w:val="TableParagraph"/>
              <w:spacing w:line="146" w:lineRule="exact"/>
              <w:ind w:right="84"/>
              <w:rPr>
                <w:rFonts w:ascii="Calibri"/>
                <w:sz w:val="12"/>
              </w:rPr>
            </w:pPr>
            <w:r>
              <w:rPr>
                <w:rFonts w:ascii="Calibri"/>
                <w:w w:val="115"/>
                <w:sz w:val="12"/>
              </w:rPr>
              <w:t>4.358</w:t>
            </w:r>
          </w:p>
        </w:tc>
        <w:tc>
          <w:tcPr>
            <w:tcW w:w="725" w:type="dxa"/>
            <w:tcBorders>
              <w:left w:val="single" w:sz="3" w:space="0" w:color="000000"/>
              <w:right w:val="single" w:sz="3" w:space="0" w:color="000000"/>
            </w:tcBorders>
          </w:tcPr>
          <w:p>
            <w:pPr>
              <w:pStyle w:val="TableParagraph"/>
              <w:spacing w:line="146" w:lineRule="exact"/>
              <w:ind w:right="84"/>
              <w:rPr>
                <w:rFonts w:ascii="Calibri"/>
                <w:sz w:val="12"/>
              </w:rPr>
            </w:pPr>
            <w:r>
              <w:rPr>
                <w:rFonts w:ascii="Calibri"/>
                <w:w w:val="115"/>
                <w:sz w:val="12"/>
              </w:rPr>
              <w:t>1.969</w:t>
            </w:r>
          </w:p>
        </w:tc>
        <w:tc>
          <w:tcPr>
            <w:tcW w:w="848" w:type="dxa"/>
            <w:tcBorders>
              <w:left w:val="single" w:sz="3" w:space="0" w:color="000000"/>
              <w:right w:val="single" w:sz="3" w:space="0" w:color="000000"/>
            </w:tcBorders>
          </w:tcPr>
          <w:p>
            <w:pPr>
              <w:pStyle w:val="TableParagraph"/>
              <w:spacing w:line="146" w:lineRule="exact"/>
              <w:ind w:right="86"/>
              <w:rPr>
                <w:rFonts w:ascii="Calibri"/>
                <w:sz w:val="12"/>
              </w:rPr>
            </w:pPr>
            <w:r>
              <w:rPr>
                <w:rFonts w:ascii="Calibri"/>
                <w:w w:val="115"/>
                <w:sz w:val="12"/>
              </w:rPr>
              <w:t>1.969</w:t>
            </w:r>
          </w:p>
        </w:tc>
        <w:tc>
          <w:tcPr>
            <w:tcW w:w="846" w:type="dxa"/>
            <w:tcBorders>
              <w:left w:val="single" w:sz="3" w:space="0" w:color="000000"/>
              <w:right w:val="single" w:sz="3" w:space="0" w:color="000000"/>
            </w:tcBorders>
          </w:tcPr>
          <w:p>
            <w:pPr>
              <w:pStyle w:val="TableParagraph"/>
              <w:spacing w:line="146" w:lineRule="exact"/>
              <w:ind w:right="84"/>
              <w:rPr>
                <w:rFonts w:ascii="Calibri"/>
                <w:sz w:val="12"/>
              </w:rPr>
            </w:pPr>
            <w:r>
              <w:rPr>
                <w:rFonts w:ascii="Calibri"/>
                <w:w w:val="115"/>
                <w:sz w:val="12"/>
              </w:rPr>
              <w:t>2.096</w:t>
            </w:r>
          </w:p>
        </w:tc>
        <w:tc>
          <w:tcPr>
            <w:tcW w:w="725" w:type="dxa"/>
            <w:tcBorders>
              <w:left w:val="single" w:sz="3" w:space="0" w:color="000000"/>
              <w:right w:val="single" w:sz="3" w:space="0" w:color="000000"/>
            </w:tcBorders>
          </w:tcPr>
          <w:p>
            <w:pPr>
              <w:pStyle w:val="TableParagraph"/>
              <w:spacing w:line="146" w:lineRule="exact"/>
              <w:ind w:right="84"/>
              <w:rPr>
                <w:rFonts w:ascii="Calibri"/>
                <w:sz w:val="12"/>
              </w:rPr>
            </w:pPr>
            <w:r>
              <w:rPr>
                <w:rFonts w:ascii="Calibri"/>
                <w:w w:val="115"/>
                <w:sz w:val="12"/>
              </w:rPr>
              <w:t>3.063</w:t>
            </w:r>
          </w:p>
        </w:tc>
        <w:tc>
          <w:tcPr>
            <w:tcW w:w="848" w:type="dxa"/>
            <w:tcBorders>
              <w:left w:val="single" w:sz="3" w:space="0" w:color="000000"/>
              <w:right w:val="single" w:sz="3" w:space="0" w:color="000000"/>
            </w:tcBorders>
          </w:tcPr>
          <w:p>
            <w:pPr>
              <w:pStyle w:val="TableParagraph"/>
              <w:spacing w:line="146" w:lineRule="exact"/>
              <w:ind w:right="86"/>
              <w:rPr>
                <w:rFonts w:ascii="Calibri"/>
                <w:sz w:val="12"/>
              </w:rPr>
            </w:pPr>
            <w:r>
              <w:rPr>
                <w:rFonts w:ascii="Calibri"/>
                <w:w w:val="115"/>
                <w:sz w:val="12"/>
              </w:rPr>
              <w:t>3.063</w:t>
            </w:r>
          </w:p>
        </w:tc>
        <w:tc>
          <w:tcPr>
            <w:tcW w:w="725" w:type="dxa"/>
            <w:tcBorders>
              <w:left w:val="single" w:sz="3" w:space="0" w:color="000000"/>
              <w:right w:val="single" w:sz="3" w:space="0" w:color="000000"/>
            </w:tcBorders>
          </w:tcPr>
          <w:p>
            <w:pPr>
              <w:pStyle w:val="TableParagraph"/>
              <w:spacing w:line="146" w:lineRule="exact"/>
              <w:ind w:right="84"/>
              <w:rPr>
                <w:rFonts w:ascii="Calibri"/>
                <w:sz w:val="12"/>
              </w:rPr>
            </w:pPr>
            <w:r>
              <w:rPr>
                <w:rFonts w:ascii="Calibri"/>
                <w:w w:val="115"/>
                <w:sz w:val="12"/>
              </w:rPr>
              <w:t>3.159</w:t>
            </w:r>
          </w:p>
        </w:tc>
      </w:tr>
      <w:tr>
        <w:trPr>
          <w:trHeight w:val="151" w:hRule="exact"/>
        </w:trPr>
        <w:tc>
          <w:tcPr>
            <w:tcW w:w="940" w:type="dxa"/>
            <w:vMerge/>
            <w:tcBorders>
              <w:left w:val="single" w:sz="3" w:space="0" w:color="000000"/>
              <w:right w:val="single" w:sz="3" w:space="0" w:color="000000"/>
            </w:tcBorders>
          </w:tcPr>
          <w:p>
            <w:pPr/>
          </w:p>
        </w:tc>
        <w:tc>
          <w:tcPr>
            <w:tcW w:w="725" w:type="dxa"/>
            <w:tcBorders>
              <w:left w:val="single" w:sz="3" w:space="0" w:color="000000"/>
              <w:right w:val="single" w:sz="3" w:space="0" w:color="000000"/>
            </w:tcBorders>
          </w:tcPr>
          <w:p>
            <w:pPr>
              <w:pStyle w:val="TableParagraph"/>
              <w:spacing w:line="144" w:lineRule="exact"/>
              <w:ind w:right="85"/>
              <w:rPr>
                <w:rFonts w:ascii="Calibri"/>
                <w:sz w:val="12"/>
              </w:rPr>
            </w:pPr>
            <w:r>
              <w:rPr>
                <w:rFonts w:ascii="Calibri"/>
                <w:w w:val="115"/>
                <w:sz w:val="12"/>
              </w:rPr>
              <w:t>(2.392)</w:t>
            </w:r>
          </w:p>
        </w:tc>
        <w:tc>
          <w:tcPr>
            <w:tcW w:w="846"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(2.392)</w:t>
            </w:r>
          </w:p>
        </w:tc>
        <w:tc>
          <w:tcPr>
            <w:tcW w:w="848"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(2.570)</w:t>
            </w:r>
          </w:p>
        </w:tc>
        <w:tc>
          <w:tcPr>
            <w:tcW w:w="725"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(1.396)</w:t>
            </w:r>
          </w:p>
        </w:tc>
        <w:tc>
          <w:tcPr>
            <w:tcW w:w="848" w:type="dxa"/>
            <w:tcBorders>
              <w:left w:val="single" w:sz="3" w:space="0" w:color="000000"/>
              <w:right w:val="single" w:sz="3" w:space="0" w:color="000000"/>
            </w:tcBorders>
          </w:tcPr>
          <w:p>
            <w:pPr>
              <w:pStyle w:val="TableParagraph"/>
              <w:spacing w:line="144" w:lineRule="exact"/>
              <w:ind w:right="85"/>
              <w:rPr>
                <w:rFonts w:ascii="Calibri"/>
                <w:sz w:val="12"/>
              </w:rPr>
            </w:pPr>
            <w:r>
              <w:rPr>
                <w:rFonts w:ascii="Calibri"/>
                <w:w w:val="115"/>
                <w:sz w:val="12"/>
              </w:rPr>
              <w:t>(1.396)</w:t>
            </w:r>
          </w:p>
        </w:tc>
        <w:tc>
          <w:tcPr>
            <w:tcW w:w="846"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(1.465)</w:t>
            </w:r>
          </w:p>
        </w:tc>
        <w:tc>
          <w:tcPr>
            <w:tcW w:w="725"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(1.333)</w:t>
            </w:r>
          </w:p>
        </w:tc>
        <w:tc>
          <w:tcPr>
            <w:tcW w:w="848" w:type="dxa"/>
            <w:tcBorders>
              <w:left w:val="single" w:sz="3" w:space="0" w:color="000000"/>
              <w:right w:val="single" w:sz="3" w:space="0" w:color="000000"/>
            </w:tcBorders>
          </w:tcPr>
          <w:p>
            <w:pPr>
              <w:pStyle w:val="TableParagraph"/>
              <w:spacing w:line="144" w:lineRule="exact"/>
              <w:ind w:right="85"/>
              <w:rPr>
                <w:rFonts w:ascii="Calibri"/>
                <w:sz w:val="12"/>
              </w:rPr>
            </w:pPr>
            <w:r>
              <w:rPr>
                <w:rFonts w:ascii="Calibri"/>
                <w:w w:val="115"/>
                <w:sz w:val="12"/>
              </w:rPr>
              <w:t>(1.333)</w:t>
            </w:r>
          </w:p>
        </w:tc>
        <w:tc>
          <w:tcPr>
            <w:tcW w:w="725"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(1.419)</w:t>
            </w:r>
          </w:p>
        </w:tc>
      </w:tr>
      <w:tr>
        <w:trPr>
          <w:trHeight w:val="153" w:hRule="exact"/>
        </w:trPr>
        <w:tc>
          <w:tcPr>
            <w:tcW w:w="940" w:type="dxa"/>
            <w:vMerge/>
            <w:tcBorders>
              <w:left w:val="single" w:sz="3" w:space="0" w:color="000000"/>
              <w:right w:val="single" w:sz="3" w:space="0" w:color="000000"/>
            </w:tcBorders>
          </w:tcPr>
          <w:p>
            <w:pPr/>
          </w:p>
        </w:tc>
        <w:tc>
          <w:tcPr>
            <w:tcW w:w="725" w:type="dxa"/>
            <w:tcBorders>
              <w:left w:val="single" w:sz="3" w:space="0" w:color="000000"/>
              <w:right w:val="single" w:sz="3" w:space="0" w:color="000000"/>
            </w:tcBorders>
          </w:tcPr>
          <w:p>
            <w:pPr>
              <w:pStyle w:val="TableParagraph"/>
              <w:spacing w:line="146" w:lineRule="exact"/>
              <w:ind w:right="87"/>
              <w:rPr>
                <w:rFonts w:ascii="Calibri"/>
                <w:sz w:val="12"/>
              </w:rPr>
            </w:pPr>
            <w:r>
              <w:rPr>
                <w:rFonts w:ascii="Calibri"/>
                <w:w w:val="115"/>
                <w:sz w:val="12"/>
              </w:rPr>
              <w:t>t= 1.83</w:t>
            </w:r>
          </w:p>
        </w:tc>
        <w:tc>
          <w:tcPr>
            <w:tcW w:w="846" w:type="dxa"/>
            <w:tcBorders>
              <w:left w:val="single" w:sz="3" w:space="0" w:color="000000"/>
              <w:right w:val="single" w:sz="3" w:space="0" w:color="000000"/>
            </w:tcBorders>
          </w:tcPr>
          <w:p>
            <w:pPr>
              <w:pStyle w:val="TableParagraph"/>
              <w:spacing w:line="146" w:lineRule="exact"/>
              <w:ind w:right="86"/>
              <w:rPr>
                <w:rFonts w:ascii="Calibri"/>
                <w:sz w:val="12"/>
              </w:rPr>
            </w:pPr>
            <w:r>
              <w:rPr>
                <w:rFonts w:ascii="Calibri"/>
                <w:w w:val="115"/>
                <w:sz w:val="12"/>
              </w:rPr>
              <w:t>z= 1.83</w:t>
            </w:r>
          </w:p>
        </w:tc>
        <w:tc>
          <w:tcPr>
            <w:tcW w:w="848" w:type="dxa"/>
            <w:tcBorders>
              <w:left w:val="single" w:sz="3" w:space="0" w:color="000000"/>
              <w:right w:val="single" w:sz="3" w:space="0" w:color="000000"/>
            </w:tcBorders>
          </w:tcPr>
          <w:p>
            <w:pPr>
              <w:pStyle w:val="TableParagraph"/>
              <w:spacing w:line="146" w:lineRule="exact"/>
              <w:ind w:right="86"/>
              <w:rPr>
                <w:rFonts w:ascii="Calibri"/>
                <w:sz w:val="12"/>
              </w:rPr>
            </w:pPr>
            <w:r>
              <w:rPr>
                <w:rFonts w:ascii="Calibri"/>
                <w:w w:val="115"/>
                <w:sz w:val="12"/>
              </w:rPr>
              <w:t>t= 1.70</w:t>
            </w:r>
          </w:p>
        </w:tc>
        <w:tc>
          <w:tcPr>
            <w:tcW w:w="725" w:type="dxa"/>
            <w:tcBorders>
              <w:left w:val="single" w:sz="3" w:space="0" w:color="000000"/>
              <w:right w:val="single" w:sz="3" w:space="0" w:color="000000"/>
            </w:tcBorders>
          </w:tcPr>
          <w:p>
            <w:pPr>
              <w:pStyle w:val="TableParagraph"/>
              <w:spacing w:line="146" w:lineRule="exact"/>
              <w:ind w:right="86"/>
              <w:rPr>
                <w:rFonts w:ascii="Calibri"/>
                <w:sz w:val="12"/>
              </w:rPr>
            </w:pPr>
            <w:r>
              <w:rPr>
                <w:rFonts w:ascii="Calibri"/>
                <w:w w:val="115"/>
                <w:sz w:val="12"/>
              </w:rPr>
              <w:t>t=1.41</w:t>
            </w:r>
          </w:p>
        </w:tc>
        <w:tc>
          <w:tcPr>
            <w:tcW w:w="848" w:type="dxa"/>
            <w:tcBorders>
              <w:left w:val="single" w:sz="3" w:space="0" w:color="000000"/>
              <w:right w:val="single" w:sz="3" w:space="0" w:color="000000"/>
            </w:tcBorders>
          </w:tcPr>
          <w:p>
            <w:pPr>
              <w:pStyle w:val="TableParagraph"/>
              <w:spacing w:line="146" w:lineRule="exact"/>
              <w:ind w:right="88"/>
              <w:rPr>
                <w:rFonts w:ascii="Calibri"/>
                <w:sz w:val="12"/>
              </w:rPr>
            </w:pPr>
            <w:r>
              <w:rPr>
                <w:rFonts w:ascii="Calibri"/>
                <w:w w:val="115"/>
                <w:sz w:val="12"/>
              </w:rPr>
              <w:t>z=1.41</w:t>
            </w:r>
          </w:p>
        </w:tc>
        <w:tc>
          <w:tcPr>
            <w:tcW w:w="846" w:type="dxa"/>
            <w:tcBorders>
              <w:left w:val="single" w:sz="3" w:space="0" w:color="000000"/>
              <w:right w:val="single" w:sz="3" w:space="0" w:color="000000"/>
            </w:tcBorders>
          </w:tcPr>
          <w:p>
            <w:pPr>
              <w:pStyle w:val="TableParagraph"/>
              <w:spacing w:line="146" w:lineRule="exact"/>
              <w:ind w:right="86"/>
              <w:rPr>
                <w:rFonts w:ascii="Calibri"/>
                <w:sz w:val="12"/>
              </w:rPr>
            </w:pPr>
            <w:r>
              <w:rPr>
                <w:rFonts w:ascii="Calibri"/>
                <w:w w:val="115"/>
                <w:sz w:val="12"/>
              </w:rPr>
              <w:t>t=1.43</w:t>
            </w:r>
          </w:p>
        </w:tc>
        <w:tc>
          <w:tcPr>
            <w:tcW w:w="725" w:type="dxa"/>
            <w:tcBorders>
              <w:left w:val="single" w:sz="3" w:space="0" w:color="000000"/>
              <w:right w:val="single" w:sz="3" w:space="0" w:color="000000"/>
            </w:tcBorders>
          </w:tcPr>
          <w:p>
            <w:pPr>
              <w:pStyle w:val="TableParagraph"/>
              <w:spacing w:line="146" w:lineRule="exact"/>
              <w:ind w:right="86"/>
              <w:rPr>
                <w:rFonts w:ascii="Calibri"/>
                <w:sz w:val="12"/>
              </w:rPr>
            </w:pPr>
            <w:r>
              <w:rPr>
                <w:rFonts w:ascii="Calibri"/>
                <w:w w:val="115"/>
                <w:sz w:val="12"/>
              </w:rPr>
              <w:t>t=2.30</w:t>
            </w:r>
          </w:p>
        </w:tc>
        <w:tc>
          <w:tcPr>
            <w:tcW w:w="848" w:type="dxa"/>
            <w:tcBorders>
              <w:left w:val="single" w:sz="3" w:space="0" w:color="000000"/>
              <w:right w:val="single" w:sz="3" w:space="0" w:color="000000"/>
            </w:tcBorders>
          </w:tcPr>
          <w:p>
            <w:pPr>
              <w:pStyle w:val="TableParagraph"/>
              <w:spacing w:line="146" w:lineRule="exact"/>
              <w:ind w:right="88"/>
              <w:rPr>
                <w:rFonts w:ascii="Calibri"/>
                <w:sz w:val="12"/>
              </w:rPr>
            </w:pPr>
            <w:r>
              <w:rPr>
                <w:rFonts w:ascii="Calibri"/>
                <w:w w:val="115"/>
                <w:sz w:val="12"/>
              </w:rPr>
              <w:t>z=2.30</w:t>
            </w:r>
          </w:p>
        </w:tc>
        <w:tc>
          <w:tcPr>
            <w:tcW w:w="725" w:type="dxa"/>
            <w:tcBorders>
              <w:left w:val="single" w:sz="3" w:space="0" w:color="000000"/>
              <w:right w:val="single" w:sz="3" w:space="0" w:color="000000"/>
            </w:tcBorders>
          </w:tcPr>
          <w:p>
            <w:pPr>
              <w:pStyle w:val="TableParagraph"/>
              <w:spacing w:line="146" w:lineRule="exact"/>
              <w:ind w:right="86"/>
              <w:rPr>
                <w:rFonts w:ascii="Calibri"/>
                <w:sz w:val="12"/>
              </w:rPr>
            </w:pPr>
            <w:r>
              <w:rPr>
                <w:rFonts w:ascii="Calibri"/>
                <w:w w:val="115"/>
                <w:sz w:val="12"/>
              </w:rPr>
              <w:t>t=2.23</w:t>
            </w:r>
          </w:p>
        </w:tc>
      </w:tr>
      <w:tr>
        <w:trPr>
          <w:trHeight w:val="153" w:hRule="exact"/>
        </w:trPr>
        <w:tc>
          <w:tcPr>
            <w:tcW w:w="940" w:type="dxa"/>
            <w:vMerge/>
            <w:tcBorders>
              <w:left w:val="single" w:sz="3" w:space="0" w:color="000000"/>
              <w:right w:val="single" w:sz="3" w:space="0" w:color="000000"/>
            </w:tcBorders>
          </w:tcPr>
          <w:p>
            <w:pPr/>
          </w:p>
        </w:tc>
        <w:tc>
          <w:tcPr>
            <w:tcW w:w="725" w:type="dxa"/>
            <w:tcBorders>
              <w:left w:val="single" w:sz="3" w:space="0" w:color="000000"/>
              <w:right w:val="single" w:sz="3" w:space="0" w:color="000000"/>
            </w:tcBorders>
          </w:tcPr>
          <w:p>
            <w:pPr>
              <w:pStyle w:val="TableParagraph"/>
              <w:spacing w:line="144" w:lineRule="exact"/>
              <w:ind w:right="87"/>
              <w:rPr>
                <w:rFonts w:ascii="Calibri"/>
                <w:sz w:val="12"/>
              </w:rPr>
            </w:pPr>
            <w:r>
              <w:rPr>
                <w:rFonts w:ascii="Calibri"/>
                <w:w w:val="115"/>
                <w:sz w:val="12"/>
              </w:rPr>
              <w:t>p= 0.078</w:t>
            </w:r>
          </w:p>
        </w:tc>
        <w:tc>
          <w:tcPr>
            <w:tcW w:w="846"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 0.068</w:t>
            </w:r>
          </w:p>
        </w:tc>
        <w:tc>
          <w:tcPr>
            <w:tcW w:w="848"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 0.102</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p=0.163</w:t>
            </w: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p=0.158</w:t>
            </w:r>
          </w:p>
        </w:tc>
        <w:tc>
          <w:tcPr>
            <w:tcW w:w="846"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p=0.158</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p=0.024</w:t>
            </w: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p=0.022</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p=0.029</w:t>
            </w:r>
          </w:p>
        </w:tc>
      </w:tr>
      <w:tr>
        <w:trPr>
          <w:trHeight w:val="151" w:hRule="exact"/>
        </w:trPr>
        <w:tc>
          <w:tcPr>
            <w:tcW w:w="940" w:type="dxa"/>
            <w:tcBorders>
              <w:left w:val="single" w:sz="3" w:space="0" w:color="000000"/>
              <w:right w:val="single" w:sz="3" w:space="0" w:color="000000"/>
            </w:tcBorders>
          </w:tcPr>
          <w:p>
            <w:pPr>
              <w:pStyle w:val="TableParagraph"/>
              <w:spacing w:line="146" w:lineRule="exact"/>
              <w:ind w:left="314" w:right="314"/>
              <w:jc w:val="center"/>
              <w:rPr>
                <w:rFonts w:ascii="Calibri"/>
                <w:b/>
                <w:sz w:val="7"/>
              </w:rPr>
            </w:pPr>
            <w:r>
              <w:rPr>
                <w:rFonts w:ascii="Calibri"/>
                <w:b/>
                <w:w w:val="120"/>
                <w:position w:val="-5"/>
                <w:sz w:val="12"/>
              </w:rPr>
              <w:t>R</w:t>
            </w:r>
            <w:r>
              <w:rPr>
                <w:rFonts w:ascii="Calibri"/>
                <w:b/>
                <w:w w:val="120"/>
                <w:sz w:val="7"/>
              </w:rPr>
              <w:t>2</w:t>
            </w:r>
          </w:p>
        </w:tc>
        <w:tc>
          <w:tcPr>
            <w:tcW w:w="725"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0"/>
                <w:sz w:val="12"/>
              </w:rPr>
              <w:t>0.454</w:t>
            </w:r>
          </w:p>
        </w:tc>
        <w:tc>
          <w:tcPr>
            <w:tcW w:w="846"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0"/>
                <w:sz w:val="12"/>
              </w:rPr>
              <w:t>0.449</w:t>
            </w:r>
          </w:p>
        </w:tc>
        <w:tc>
          <w:tcPr>
            <w:tcW w:w="848"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0"/>
                <w:sz w:val="12"/>
              </w:rPr>
              <w:t>0.450</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0"/>
                <w:sz w:val="12"/>
              </w:rPr>
              <w:t>0.165</w:t>
            </w: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0"/>
                <w:sz w:val="12"/>
              </w:rPr>
              <w:t>0.150</w:t>
            </w:r>
          </w:p>
        </w:tc>
        <w:tc>
          <w:tcPr>
            <w:tcW w:w="846"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0"/>
                <w:sz w:val="12"/>
              </w:rPr>
              <w:t>0.153</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0"/>
                <w:sz w:val="12"/>
              </w:rPr>
              <w:t>0.166</w:t>
            </w: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0"/>
                <w:sz w:val="12"/>
              </w:rPr>
              <w:t>0.145</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0"/>
                <w:sz w:val="12"/>
              </w:rPr>
              <w:t>0.141</w:t>
            </w:r>
          </w:p>
        </w:tc>
      </w:tr>
      <w:tr>
        <w:trPr>
          <w:trHeight w:val="153" w:hRule="exact"/>
        </w:trPr>
        <w:tc>
          <w:tcPr>
            <w:tcW w:w="940" w:type="dxa"/>
            <w:tcBorders>
              <w:left w:val="single" w:sz="3" w:space="0" w:color="000000"/>
              <w:right w:val="single" w:sz="3" w:space="0" w:color="000000"/>
            </w:tcBorders>
          </w:tcPr>
          <w:p>
            <w:pPr>
              <w:pStyle w:val="TableParagraph"/>
              <w:spacing w:line="144" w:lineRule="exact"/>
              <w:ind w:left="314" w:right="315"/>
              <w:jc w:val="center"/>
              <w:rPr>
                <w:rFonts w:ascii="Calibri"/>
                <w:b/>
                <w:sz w:val="7"/>
              </w:rPr>
            </w:pPr>
            <w:r>
              <w:rPr>
                <w:rFonts w:ascii="Calibri"/>
                <w:b/>
                <w:w w:val="115"/>
                <w:sz w:val="12"/>
              </w:rPr>
              <w:t>Chi</w:t>
            </w:r>
            <w:r>
              <w:rPr>
                <w:rFonts w:ascii="Calibri"/>
                <w:b/>
                <w:w w:val="115"/>
                <w:position w:val="6"/>
                <w:sz w:val="7"/>
              </w:rPr>
              <w:t>2</w:t>
            </w:r>
          </w:p>
        </w:tc>
        <w:tc>
          <w:tcPr>
            <w:tcW w:w="725" w:type="dxa"/>
            <w:tcBorders>
              <w:left w:val="single" w:sz="3" w:space="0" w:color="000000"/>
              <w:right w:val="single" w:sz="3" w:space="0" w:color="000000"/>
            </w:tcBorders>
          </w:tcPr>
          <w:p>
            <w:pPr/>
          </w:p>
        </w:tc>
        <w:tc>
          <w:tcPr>
            <w:tcW w:w="846"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0"/>
                <w:sz w:val="12"/>
              </w:rPr>
              <w:t>0.096</w:t>
            </w:r>
          </w:p>
        </w:tc>
        <w:tc>
          <w:tcPr>
            <w:tcW w:w="848" w:type="dxa"/>
            <w:tcBorders>
              <w:left w:val="single" w:sz="3" w:space="0" w:color="000000"/>
              <w:right w:val="single" w:sz="3" w:space="0" w:color="000000"/>
            </w:tcBorders>
          </w:tcPr>
          <w:p>
            <w:pPr/>
          </w:p>
        </w:tc>
        <w:tc>
          <w:tcPr>
            <w:tcW w:w="725" w:type="dxa"/>
            <w:tcBorders>
              <w:left w:val="single" w:sz="3" w:space="0" w:color="000000"/>
              <w:right w:val="single" w:sz="3" w:space="0" w:color="000000"/>
            </w:tcBorders>
          </w:tcPr>
          <w:p>
            <w:pP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0"/>
                <w:sz w:val="12"/>
              </w:rPr>
              <w:t>0.133</w:t>
            </w:r>
          </w:p>
        </w:tc>
        <w:tc>
          <w:tcPr>
            <w:tcW w:w="846" w:type="dxa"/>
            <w:tcBorders>
              <w:left w:val="single" w:sz="3" w:space="0" w:color="000000"/>
              <w:right w:val="single" w:sz="3" w:space="0" w:color="000000"/>
            </w:tcBorders>
          </w:tcPr>
          <w:p>
            <w:pPr/>
          </w:p>
        </w:tc>
        <w:tc>
          <w:tcPr>
            <w:tcW w:w="725" w:type="dxa"/>
            <w:tcBorders>
              <w:left w:val="single" w:sz="3" w:space="0" w:color="000000"/>
              <w:right w:val="single" w:sz="3" w:space="0" w:color="000000"/>
            </w:tcBorders>
          </w:tcPr>
          <w:p>
            <w:pPr/>
          </w:p>
        </w:tc>
        <w:tc>
          <w:tcPr>
            <w:tcW w:w="848"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0"/>
                <w:sz w:val="12"/>
              </w:rPr>
              <w:t>0.022</w:t>
            </w:r>
          </w:p>
        </w:tc>
        <w:tc>
          <w:tcPr>
            <w:tcW w:w="725" w:type="dxa"/>
            <w:tcBorders>
              <w:left w:val="single" w:sz="3" w:space="0" w:color="000000"/>
              <w:right w:val="single" w:sz="3" w:space="0" w:color="000000"/>
            </w:tcBorders>
          </w:tcPr>
          <w:p>
            <w:pPr/>
          </w:p>
        </w:tc>
      </w:tr>
      <w:tr>
        <w:trPr>
          <w:trHeight w:val="151" w:hRule="exact"/>
        </w:trPr>
        <w:tc>
          <w:tcPr>
            <w:tcW w:w="940" w:type="dxa"/>
            <w:tcBorders>
              <w:left w:val="single" w:sz="3" w:space="0" w:color="000000"/>
              <w:right w:val="single" w:sz="3" w:space="0" w:color="000000"/>
            </w:tcBorders>
          </w:tcPr>
          <w:p>
            <w:pPr>
              <w:pStyle w:val="TableParagraph"/>
              <w:spacing w:line="144" w:lineRule="exact"/>
              <w:jc w:val="center"/>
              <w:rPr>
                <w:rFonts w:ascii="Calibri"/>
                <w:b/>
                <w:sz w:val="12"/>
              </w:rPr>
            </w:pPr>
            <w:r>
              <w:rPr>
                <w:rFonts w:ascii="Calibri"/>
                <w:b/>
                <w:w w:val="114"/>
                <w:sz w:val="12"/>
              </w:rPr>
              <w:t>F</w:t>
            </w:r>
          </w:p>
        </w:tc>
        <w:tc>
          <w:tcPr>
            <w:tcW w:w="725" w:type="dxa"/>
            <w:tcBorders>
              <w:left w:val="single" w:sz="3" w:space="0" w:color="000000"/>
              <w:right w:val="nil"/>
            </w:tcBorders>
          </w:tcPr>
          <w:p>
            <w:pPr/>
          </w:p>
        </w:tc>
        <w:tc>
          <w:tcPr>
            <w:tcW w:w="846" w:type="dxa"/>
            <w:tcBorders>
              <w:left w:val="nil"/>
              <w:right w:val="single" w:sz="3" w:space="0" w:color="000000"/>
            </w:tcBorders>
          </w:tcPr>
          <w:p>
            <w:pPr/>
          </w:p>
        </w:tc>
        <w:tc>
          <w:tcPr>
            <w:tcW w:w="848"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0"/>
                <w:sz w:val="12"/>
              </w:rPr>
              <w:t>0.998</w:t>
            </w:r>
          </w:p>
        </w:tc>
        <w:tc>
          <w:tcPr>
            <w:tcW w:w="725" w:type="dxa"/>
            <w:tcBorders>
              <w:left w:val="single" w:sz="3" w:space="0" w:color="000000"/>
              <w:right w:val="nil"/>
            </w:tcBorders>
          </w:tcPr>
          <w:p>
            <w:pPr/>
          </w:p>
        </w:tc>
        <w:tc>
          <w:tcPr>
            <w:tcW w:w="848" w:type="dxa"/>
            <w:tcBorders>
              <w:left w:val="nil"/>
              <w:right w:val="single" w:sz="3" w:space="0" w:color="000000"/>
            </w:tcBorders>
          </w:tcPr>
          <w:p>
            <w:pPr/>
          </w:p>
        </w:tc>
        <w:tc>
          <w:tcPr>
            <w:tcW w:w="846"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0"/>
                <w:sz w:val="12"/>
              </w:rPr>
              <w:t>0.940</w:t>
            </w:r>
          </w:p>
        </w:tc>
        <w:tc>
          <w:tcPr>
            <w:tcW w:w="725" w:type="dxa"/>
            <w:tcBorders>
              <w:left w:val="single" w:sz="3" w:space="0" w:color="000000"/>
              <w:right w:val="nil"/>
            </w:tcBorders>
          </w:tcPr>
          <w:p>
            <w:pPr/>
          </w:p>
        </w:tc>
        <w:tc>
          <w:tcPr>
            <w:tcW w:w="848" w:type="dxa"/>
            <w:tcBorders>
              <w:left w:val="nil"/>
              <w:right w:val="single" w:sz="3" w:space="0" w:color="000000"/>
            </w:tcBorders>
          </w:tcPr>
          <w:p>
            <w:pP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0"/>
                <w:sz w:val="12"/>
              </w:rPr>
              <w:t>0.998</w:t>
            </w:r>
          </w:p>
        </w:tc>
      </w:tr>
    </w:tbl>
    <w:p>
      <w:pPr>
        <w:pStyle w:val="BodyText"/>
        <w:spacing w:before="10"/>
        <w:rPr>
          <w:rFonts w:ascii="Arial"/>
          <w:sz w:val="26"/>
        </w:rPr>
      </w:pPr>
    </w:p>
    <w:p>
      <w:pPr>
        <w:spacing w:before="70"/>
        <w:ind w:left="906" w:right="121" w:firstLine="0"/>
        <w:jc w:val="left"/>
        <w:rPr>
          <w:rFonts w:ascii="Calibri"/>
          <w:b/>
          <w:sz w:val="16"/>
        </w:rPr>
      </w:pPr>
      <w:r>
        <w:rPr>
          <w:rFonts w:ascii="Calibri"/>
          <w:b/>
          <w:w w:val="120"/>
          <w:sz w:val="16"/>
        </w:rPr>
        <w:t>Modelo 2</w:t>
      </w:r>
    </w:p>
    <w:p>
      <w:pPr>
        <w:pStyle w:val="BodyText"/>
        <w:rPr>
          <w:rFonts w:ascii="Calibri"/>
          <w:b/>
          <w:sz w:val="15"/>
        </w:rPr>
      </w:pPr>
    </w:p>
    <w:p>
      <w:pPr>
        <w:spacing w:before="0"/>
        <w:ind w:left="906" w:right="121" w:firstLine="0"/>
        <w:jc w:val="left"/>
        <w:rPr>
          <w:rFonts w:ascii="Arial" w:hAnsi="Arial"/>
          <w:sz w:val="12"/>
        </w:rPr>
      </w:pPr>
      <w:r>
        <w:rPr>
          <w:rFonts w:ascii="Arial" w:hAnsi="Arial"/>
          <w:w w:val="120"/>
          <w:sz w:val="17"/>
        </w:rPr>
        <w:t>ẏ = α</w:t>
      </w:r>
      <w:r>
        <w:rPr>
          <w:rFonts w:ascii="Arial" w:hAnsi="Arial"/>
          <w:w w:val="120"/>
          <w:position w:val="-1"/>
          <w:sz w:val="12"/>
        </w:rPr>
        <w:t>i  </w:t>
      </w:r>
      <w:r>
        <w:rPr>
          <w:rFonts w:ascii="Arial" w:hAnsi="Arial"/>
          <w:w w:val="120"/>
          <w:sz w:val="17"/>
        </w:rPr>
        <w:t>+ α</w:t>
      </w:r>
      <w:r>
        <w:rPr>
          <w:rFonts w:ascii="Arial" w:hAnsi="Arial"/>
          <w:w w:val="120"/>
          <w:position w:val="-1"/>
          <w:sz w:val="12"/>
        </w:rPr>
        <w:t>1 </w:t>
      </w:r>
      <w:r>
        <w:rPr>
          <w:rFonts w:ascii="Arial" w:hAnsi="Arial"/>
          <w:w w:val="120"/>
          <w:sz w:val="17"/>
        </w:rPr>
        <w:t>ẏ</w:t>
      </w:r>
      <w:r>
        <w:rPr>
          <w:rFonts w:ascii="Arial" w:hAnsi="Arial"/>
          <w:w w:val="120"/>
          <w:position w:val="-1"/>
          <w:sz w:val="12"/>
        </w:rPr>
        <w:t>35 </w:t>
      </w:r>
      <w:r>
        <w:rPr>
          <w:rFonts w:ascii="Arial" w:hAnsi="Arial"/>
          <w:w w:val="120"/>
          <w:sz w:val="17"/>
        </w:rPr>
        <w:t>+ </w:t>
      </w:r>
      <w:r>
        <w:rPr>
          <w:rFonts w:ascii="Arial" w:hAnsi="Arial"/>
          <w:i/>
          <w:w w:val="120"/>
          <w:sz w:val="17"/>
        </w:rPr>
        <w:t>v</w:t>
      </w:r>
      <w:r>
        <w:rPr>
          <w:rFonts w:ascii="Arial" w:hAnsi="Arial"/>
          <w:w w:val="120"/>
          <w:position w:val="-1"/>
          <w:sz w:val="12"/>
        </w:rPr>
        <w:t>it</w:t>
      </w:r>
    </w:p>
    <w:p>
      <w:pPr>
        <w:pStyle w:val="BodyText"/>
        <w:spacing w:before="3"/>
        <w:rPr>
          <w:rFonts w:ascii="Arial"/>
          <w:sz w:val="16"/>
        </w:rPr>
      </w:pPr>
    </w:p>
    <w:tbl>
      <w:tblPr>
        <w:tblW w:w="0" w:type="auto"/>
        <w:jc w:val="left"/>
        <w:tblInd w:w="80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38"/>
        <w:gridCol w:w="725"/>
        <w:gridCol w:w="848"/>
        <w:gridCol w:w="846"/>
        <w:gridCol w:w="725"/>
        <w:gridCol w:w="850"/>
        <w:gridCol w:w="844"/>
        <w:gridCol w:w="725"/>
        <w:gridCol w:w="850"/>
        <w:gridCol w:w="725"/>
      </w:tblGrid>
      <w:tr>
        <w:trPr>
          <w:trHeight w:val="416" w:hRule="exact"/>
        </w:trPr>
        <w:tc>
          <w:tcPr>
            <w:tcW w:w="938" w:type="dxa"/>
            <w:tcBorders>
              <w:left w:val="single" w:sz="3" w:space="0" w:color="000000"/>
              <w:right w:val="single" w:sz="2" w:space="0" w:color="000000"/>
            </w:tcBorders>
          </w:tcPr>
          <w:p>
            <w:pPr/>
          </w:p>
        </w:tc>
        <w:tc>
          <w:tcPr>
            <w:tcW w:w="2419" w:type="dxa"/>
            <w:gridSpan w:val="3"/>
            <w:tcBorders>
              <w:left w:val="single" w:sz="2" w:space="0" w:color="000000"/>
              <w:right w:val="single" w:sz="2" w:space="0" w:color="000000"/>
            </w:tcBorders>
          </w:tcPr>
          <w:p>
            <w:pPr>
              <w:pStyle w:val="TableParagraph"/>
              <w:spacing w:before="4"/>
              <w:jc w:val="left"/>
              <w:rPr>
                <w:sz w:val="11"/>
              </w:rPr>
            </w:pPr>
          </w:p>
          <w:p>
            <w:pPr>
              <w:pStyle w:val="TableParagraph"/>
              <w:spacing w:before="1"/>
              <w:ind w:left="369"/>
              <w:jc w:val="left"/>
              <w:rPr>
                <w:b/>
                <w:sz w:val="12"/>
              </w:rPr>
            </w:pPr>
            <w:r>
              <w:rPr>
                <w:b/>
                <w:w w:val="115"/>
                <w:sz w:val="12"/>
              </w:rPr>
              <w:t>REGIÓN TOLUCA-LERMA</w:t>
            </w:r>
          </w:p>
        </w:tc>
        <w:tc>
          <w:tcPr>
            <w:tcW w:w="2419" w:type="dxa"/>
            <w:gridSpan w:val="3"/>
            <w:tcBorders>
              <w:left w:val="single" w:sz="2" w:space="0" w:color="000000"/>
              <w:right w:val="single" w:sz="2" w:space="0" w:color="000000"/>
            </w:tcBorders>
          </w:tcPr>
          <w:p>
            <w:pPr>
              <w:pStyle w:val="TableParagraph"/>
              <w:spacing w:before="4"/>
              <w:jc w:val="left"/>
              <w:rPr>
                <w:sz w:val="11"/>
              </w:rPr>
            </w:pPr>
          </w:p>
          <w:p>
            <w:pPr>
              <w:pStyle w:val="TableParagraph"/>
              <w:spacing w:before="1"/>
              <w:ind w:left="294"/>
              <w:jc w:val="left"/>
              <w:rPr>
                <w:b/>
                <w:sz w:val="12"/>
              </w:rPr>
            </w:pPr>
            <w:r>
              <w:rPr>
                <w:b/>
                <w:w w:val="115"/>
                <w:sz w:val="12"/>
              </w:rPr>
              <w:t>REGIÓN VALLE DE MÉXICO</w:t>
            </w:r>
          </w:p>
        </w:tc>
        <w:tc>
          <w:tcPr>
            <w:tcW w:w="2300" w:type="dxa"/>
            <w:gridSpan w:val="3"/>
            <w:tcBorders>
              <w:left w:val="single" w:sz="2" w:space="0" w:color="000000"/>
              <w:right w:val="single" w:sz="3" w:space="0" w:color="000000"/>
            </w:tcBorders>
          </w:tcPr>
          <w:p>
            <w:pPr>
              <w:pStyle w:val="TableParagraph"/>
              <w:spacing w:before="4"/>
              <w:jc w:val="left"/>
              <w:rPr>
                <w:sz w:val="11"/>
              </w:rPr>
            </w:pPr>
          </w:p>
          <w:p>
            <w:pPr>
              <w:pStyle w:val="TableParagraph"/>
              <w:spacing w:before="1"/>
              <w:ind w:left="518"/>
              <w:jc w:val="left"/>
              <w:rPr>
                <w:b/>
                <w:sz w:val="12"/>
              </w:rPr>
            </w:pPr>
            <w:r>
              <w:rPr>
                <w:b/>
                <w:w w:val="115"/>
                <w:sz w:val="12"/>
              </w:rPr>
              <w:t>AMBAS REGIONES</w:t>
            </w:r>
          </w:p>
        </w:tc>
      </w:tr>
      <w:tr>
        <w:trPr>
          <w:trHeight w:val="391" w:hRule="exact"/>
        </w:trPr>
        <w:tc>
          <w:tcPr>
            <w:tcW w:w="938" w:type="dxa"/>
            <w:tcBorders>
              <w:left w:val="single" w:sz="3" w:space="0" w:color="000000"/>
              <w:right w:val="single" w:sz="2" w:space="0" w:color="000000"/>
            </w:tcBorders>
          </w:tcPr>
          <w:p>
            <w:pPr>
              <w:pStyle w:val="TableParagraph"/>
              <w:spacing w:before="4"/>
              <w:jc w:val="center"/>
              <w:rPr>
                <w:b/>
                <w:sz w:val="17"/>
              </w:rPr>
            </w:pPr>
            <w:r>
              <w:rPr>
                <w:b/>
                <w:w w:val="120"/>
                <w:sz w:val="17"/>
              </w:rPr>
              <w:t>ẏ</w:t>
            </w:r>
          </w:p>
        </w:tc>
        <w:tc>
          <w:tcPr>
            <w:tcW w:w="725" w:type="dxa"/>
            <w:tcBorders>
              <w:left w:val="single" w:sz="2" w:space="0" w:color="000000"/>
              <w:right w:val="single" w:sz="2" w:space="0" w:color="000000"/>
            </w:tcBorders>
          </w:tcPr>
          <w:p>
            <w:pPr>
              <w:pStyle w:val="TableParagraph"/>
              <w:spacing w:before="9"/>
              <w:jc w:val="left"/>
              <w:rPr>
                <w:sz w:val="11"/>
              </w:rPr>
            </w:pPr>
          </w:p>
          <w:p>
            <w:pPr>
              <w:pStyle w:val="TableParagraph"/>
              <w:ind w:right="143"/>
              <w:rPr>
                <w:b/>
                <w:sz w:val="9"/>
              </w:rPr>
            </w:pPr>
            <w:r>
              <w:rPr>
                <w:b/>
                <w:w w:val="110"/>
                <w:sz w:val="9"/>
              </w:rPr>
              <w:t>POOLED</w:t>
            </w:r>
          </w:p>
        </w:tc>
        <w:tc>
          <w:tcPr>
            <w:tcW w:w="848" w:type="dxa"/>
            <w:tcBorders>
              <w:left w:val="single" w:sz="2" w:space="0" w:color="000000"/>
              <w:right w:val="single" w:sz="3" w:space="0" w:color="000000"/>
            </w:tcBorders>
          </w:tcPr>
          <w:p>
            <w:pPr>
              <w:pStyle w:val="TableParagraph"/>
              <w:spacing w:before="8"/>
              <w:jc w:val="left"/>
              <w:rPr>
                <w:sz w:val="7"/>
              </w:rPr>
            </w:pPr>
          </w:p>
          <w:p>
            <w:pPr>
              <w:pStyle w:val="TableParagraph"/>
              <w:spacing w:line="102" w:lineRule="exact"/>
              <w:ind w:left="188" w:right="182" w:firstLine="4"/>
              <w:jc w:val="left"/>
              <w:rPr>
                <w:b/>
                <w:sz w:val="9"/>
              </w:rPr>
            </w:pPr>
            <w:r>
              <w:rPr>
                <w:b/>
                <w:w w:val="110"/>
                <w:sz w:val="9"/>
              </w:rPr>
              <w:t>RANDOM EFFECTS</w:t>
            </w:r>
          </w:p>
        </w:tc>
        <w:tc>
          <w:tcPr>
            <w:tcW w:w="846" w:type="dxa"/>
            <w:tcBorders>
              <w:left w:val="single" w:sz="3" w:space="0" w:color="000000"/>
              <w:right w:val="single" w:sz="2" w:space="0" w:color="000000"/>
            </w:tcBorders>
          </w:tcPr>
          <w:p>
            <w:pPr>
              <w:pStyle w:val="TableParagraph"/>
              <w:spacing w:before="8"/>
              <w:jc w:val="left"/>
              <w:rPr>
                <w:sz w:val="7"/>
              </w:rPr>
            </w:pPr>
          </w:p>
          <w:p>
            <w:pPr>
              <w:pStyle w:val="TableParagraph"/>
              <w:spacing w:line="102" w:lineRule="exact"/>
              <w:ind w:left="186" w:right="183" w:firstLine="83"/>
              <w:jc w:val="left"/>
              <w:rPr>
                <w:b/>
                <w:sz w:val="9"/>
              </w:rPr>
            </w:pPr>
            <w:r>
              <w:rPr>
                <w:b/>
                <w:w w:val="115"/>
                <w:sz w:val="9"/>
              </w:rPr>
              <w:t>FIXED </w:t>
            </w:r>
            <w:r>
              <w:rPr>
                <w:b/>
                <w:w w:val="110"/>
                <w:sz w:val="9"/>
              </w:rPr>
              <w:t>EFFECTS</w:t>
            </w:r>
          </w:p>
        </w:tc>
        <w:tc>
          <w:tcPr>
            <w:tcW w:w="725" w:type="dxa"/>
            <w:tcBorders>
              <w:left w:val="single" w:sz="2" w:space="0" w:color="000000"/>
              <w:right w:val="single" w:sz="2" w:space="0" w:color="000000"/>
            </w:tcBorders>
          </w:tcPr>
          <w:p>
            <w:pPr>
              <w:pStyle w:val="TableParagraph"/>
              <w:spacing w:before="9"/>
              <w:jc w:val="left"/>
              <w:rPr>
                <w:sz w:val="11"/>
              </w:rPr>
            </w:pPr>
          </w:p>
          <w:p>
            <w:pPr>
              <w:pStyle w:val="TableParagraph"/>
              <w:ind w:left="145"/>
              <w:jc w:val="left"/>
              <w:rPr>
                <w:b/>
                <w:sz w:val="9"/>
              </w:rPr>
            </w:pPr>
            <w:r>
              <w:rPr>
                <w:b/>
                <w:w w:val="115"/>
                <w:sz w:val="9"/>
              </w:rPr>
              <w:t>POOLED</w:t>
            </w:r>
          </w:p>
        </w:tc>
        <w:tc>
          <w:tcPr>
            <w:tcW w:w="850" w:type="dxa"/>
            <w:tcBorders>
              <w:left w:val="single" w:sz="2" w:space="0" w:color="000000"/>
              <w:right w:val="single" w:sz="3" w:space="0" w:color="000000"/>
            </w:tcBorders>
          </w:tcPr>
          <w:p>
            <w:pPr>
              <w:pStyle w:val="TableParagraph"/>
              <w:spacing w:before="8"/>
              <w:jc w:val="left"/>
              <w:rPr>
                <w:sz w:val="7"/>
              </w:rPr>
            </w:pPr>
          </w:p>
          <w:p>
            <w:pPr>
              <w:pStyle w:val="TableParagraph"/>
              <w:spacing w:line="102" w:lineRule="exact"/>
              <w:ind w:left="188" w:right="184" w:firstLine="4"/>
              <w:jc w:val="left"/>
              <w:rPr>
                <w:b/>
                <w:sz w:val="9"/>
              </w:rPr>
            </w:pPr>
            <w:r>
              <w:rPr>
                <w:b/>
                <w:w w:val="110"/>
                <w:sz w:val="9"/>
              </w:rPr>
              <w:t>RANDOM EFFECTS</w:t>
            </w:r>
          </w:p>
        </w:tc>
        <w:tc>
          <w:tcPr>
            <w:tcW w:w="844" w:type="dxa"/>
            <w:tcBorders>
              <w:left w:val="single" w:sz="3" w:space="0" w:color="000000"/>
              <w:right w:val="single" w:sz="2" w:space="0" w:color="000000"/>
            </w:tcBorders>
          </w:tcPr>
          <w:p>
            <w:pPr>
              <w:pStyle w:val="TableParagraph"/>
              <w:spacing w:before="8"/>
              <w:jc w:val="left"/>
              <w:rPr>
                <w:sz w:val="7"/>
              </w:rPr>
            </w:pPr>
          </w:p>
          <w:p>
            <w:pPr>
              <w:pStyle w:val="TableParagraph"/>
              <w:spacing w:line="102" w:lineRule="exact"/>
              <w:ind w:left="184" w:right="182" w:firstLine="84"/>
              <w:jc w:val="left"/>
              <w:rPr>
                <w:b/>
                <w:sz w:val="9"/>
              </w:rPr>
            </w:pPr>
            <w:r>
              <w:rPr>
                <w:b/>
                <w:w w:val="115"/>
                <w:sz w:val="9"/>
              </w:rPr>
              <w:t>FIXED </w:t>
            </w:r>
            <w:r>
              <w:rPr>
                <w:b/>
                <w:w w:val="110"/>
                <w:sz w:val="9"/>
              </w:rPr>
              <w:t>EFFECTS</w:t>
            </w:r>
          </w:p>
        </w:tc>
        <w:tc>
          <w:tcPr>
            <w:tcW w:w="725" w:type="dxa"/>
            <w:tcBorders>
              <w:left w:val="single" w:sz="2" w:space="0" w:color="000000"/>
              <w:right w:val="single" w:sz="2" w:space="0" w:color="000000"/>
            </w:tcBorders>
          </w:tcPr>
          <w:p>
            <w:pPr>
              <w:pStyle w:val="TableParagraph"/>
              <w:spacing w:before="9"/>
              <w:jc w:val="left"/>
              <w:rPr>
                <w:sz w:val="11"/>
              </w:rPr>
            </w:pPr>
          </w:p>
          <w:p>
            <w:pPr>
              <w:pStyle w:val="TableParagraph"/>
              <w:ind w:right="141"/>
              <w:rPr>
                <w:b/>
                <w:sz w:val="9"/>
              </w:rPr>
            </w:pPr>
            <w:r>
              <w:rPr>
                <w:b/>
                <w:w w:val="110"/>
                <w:sz w:val="9"/>
              </w:rPr>
              <w:t>POOLED</w:t>
            </w:r>
          </w:p>
        </w:tc>
        <w:tc>
          <w:tcPr>
            <w:tcW w:w="850" w:type="dxa"/>
            <w:tcBorders>
              <w:left w:val="single" w:sz="2" w:space="0" w:color="000000"/>
              <w:right w:val="single" w:sz="3" w:space="0" w:color="000000"/>
            </w:tcBorders>
          </w:tcPr>
          <w:p>
            <w:pPr>
              <w:pStyle w:val="TableParagraph"/>
              <w:spacing w:before="8"/>
              <w:jc w:val="left"/>
              <w:rPr>
                <w:sz w:val="7"/>
              </w:rPr>
            </w:pPr>
          </w:p>
          <w:p>
            <w:pPr>
              <w:pStyle w:val="TableParagraph"/>
              <w:spacing w:line="102" w:lineRule="exact"/>
              <w:ind w:left="188" w:right="185" w:firstLine="4"/>
              <w:jc w:val="left"/>
              <w:rPr>
                <w:b/>
                <w:sz w:val="9"/>
              </w:rPr>
            </w:pPr>
            <w:r>
              <w:rPr>
                <w:b/>
                <w:w w:val="110"/>
                <w:sz w:val="9"/>
              </w:rPr>
              <w:t>RANDOM EFFECTS</w:t>
            </w:r>
          </w:p>
        </w:tc>
        <w:tc>
          <w:tcPr>
            <w:tcW w:w="725" w:type="dxa"/>
            <w:tcBorders>
              <w:left w:val="single" w:sz="3" w:space="0" w:color="000000"/>
              <w:right w:val="single" w:sz="3" w:space="0" w:color="000000"/>
            </w:tcBorders>
          </w:tcPr>
          <w:p>
            <w:pPr>
              <w:pStyle w:val="TableParagraph"/>
              <w:spacing w:before="8"/>
              <w:jc w:val="left"/>
              <w:rPr>
                <w:sz w:val="7"/>
              </w:rPr>
            </w:pPr>
          </w:p>
          <w:p>
            <w:pPr>
              <w:pStyle w:val="TableParagraph"/>
              <w:spacing w:line="102" w:lineRule="exact"/>
              <w:ind w:left="122" w:right="123" w:firstLine="83"/>
              <w:jc w:val="left"/>
              <w:rPr>
                <w:b/>
                <w:sz w:val="9"/>
              </w:rPr>
            </w:pPr>
            <w:r>
              <w:rPr>
                <w:b/>
                <w:w w:val="115"/>
                <w:sz w:val="9"/>
              </w:rPr>
              <w:t>FIXED </w:t>
            </w:r>
            <w:r>
              <w:rPr>
                <w:b/>
                <w:w w:val="110"/>
                <w:sz w:val="9"/>
              </w:rPr>
              <w:t>EFFECTS</w:t>
            </w:r>
          </w:p>
        </w:tc>
      </w:tr>
      <w:tr>
        <w:trPr>
          <w:trHeight w:val="153" w:hRule="exact"/>
        </w:trPr>
        <w:tc>
          <w:tcPr>
            <w:tcW w:w="938" w:type="dxa"/>
            <w:vMerge w:val="restart"/>
            <w:tcBorders>
              <w:left w:val="single" w:sz="3" w:space="0" w:color="000000"/>
              <w:right w:val="single" w:sz="2" w:space="0" w:color="000000"/>
            </w:tcBorders>
          </w:tcPr>
          <w:p>
            <w:pPr>
              <w:pStyle w:val="TableParagraph"/>
              <w:spacing w:before="7"/>
              <w:ind w:left="314" w:right="315"/>
              <w:jc w:val="center"/>
              <w:rPr>
                <w:b/>
                <w:sz w:val="12"/>
              </w:rPr>
            </w:pPr>
            <w:r>
              <w:rPr>
                <w:b/>
                <w:w w:val="115"/>
                <w:position w:val="2"/>
                <w:sz w:val="17"/>
              </w:rPr>
              <w:t>ẏ</w:t>
            </w:r>
            <w:r>
              <w:rPr>
                <w:b/>
                <w:w w:val="115"/>
                <w:sz w:val="12"/>
              </w:rPr>
              <w:t>35</w:t>
            </w:r>
          </w:p>
        </w:tc>
        <w:tc>
          <w:tcPr>
            <w:tcW w:w="725" w:type="dxa"/>
            <w:tcBorders>
              <w:left w:val="single" w:sz="2" w:space="0" w:color="000000"/>
              <w:right w:val="single" w:sz="2" w:space="0" w:color="000000"/>
            </w:tcBorders>
          </w:tcPr>
          <w:p>
            <w:pPr>
              <w:pStyle w:val="TableParagraph"/>
              <w:spacing w:line="144" w:lineRule="exact"/>
              <w:ind w:right="86"/>
              <w:rPr>
                <w:rFonts w:ascii="Calibri"/>
                <w:sz w:val="12"/>
              </w:rPr>
            </w:pPr>
            <w:r>
              <w:rPr>
                <w:rFonts w:ascii="Calibri"/>
                <w:w w:val="110"/>
                <w:sz w:val="12"/>
              </w:rPr>
              <w:t>0.084</w:t>
            </w:r>
          </w:p>
        </w:tc>
        <w:tc>
          <w:tcPr>
            <w:tcW w:w="848" w:type="dxa"/>
            <w:tcBorders>
              <w:left w:val="single" w:sz="2" w:space="0" w:color="000000"/>
              <w:right w:val="single" w:sz="3" w:space="0" w:color="000000"/>
            </w:tcBorders>
          </w:tcPr>
          <w:p>
            <w:pPr>
              <w:pStyle w:val="TableParagraph"/>
              <w:spacing w:line="144" w:lineRule="exact"/>
              <w:ind w:right="84"/>
              <w:rPr>
                <w:rFonts w:ascii="Calibri"/>
                <w:sz w:val="12"/>
              </w:rPr>
            </w:pPr>
            <w:r>
              <w:rPr>
                <w:rFonts w:ascii="Calibri"/>
                <w:w w:val="110"/>
                <w:sz w:val="12"/>
              </w:rPr>
              <w:t>0.084</w:t>
            </w:r>
          </w:p>
        </w:tc>
        <w:tc>
          <w:tcPr>
            <w:tcW w:w="846" w:type="dxa"/>
            <w:tcBorders>
              <w:left w:val="single" w:sz="3" w:space="0" w:color="000000"/>
              <w:right w:val="single" w:sz="2" w:space="0" w:color="000000"/>
            </w:tcBorders>
          </w:tcPr>
          <w:p>
            <w:pPr>
              <w:pStyle w:val="TableParagraph"/>
              <w:spacing w:line="144" w:lineRule="exact"/>
              <w:ind w:right="84"/>
              <w:rPr>
                <w:rFonts w:ascii="Calibri"/>
                <w:sz w:val="12"/>
              </w:rPr>
            </w:pPr>
            <w:r>
              <w:rPr>
                <w:rFonts w:ascii="Calibri"/>
                <w:w w:val="110"/>
                <w:sz w:val="12"/>
              </w:rPr>
              <w:t>0.084</w:t>
            </w:r>
          </w:p>
        </w:tc>
        <w:tc>
          <w:tcPr>
            <w:tcW w:w="725" w:type="dxa"/>
            <w:tcBorders>
              <w:left w:val="single" w:sz="2" w:space="0" w:color="000000"/>
              <w:right w:val="single" w:sz="2" w:space="0" w:color="000000"/>
            </w:tcBorders>
          </w:tcPr>
          <w:p>
            <w:pPr>
              <w:pStyle w:val="TableParagraph"/>
              <w:spacing w:line="144" w:lineRule="exact"/>
              <w:ind w:right="84"/>
              <w:rPr>
                <w:rFonts w:ascii="Calibri"/>
                <w:sz w:val="12"/>
              </w:rPr>
            </w:pPr>
            <w:r>
              <w:rPr>
                <w:rFonts w:ascii="Calibri"/>
                <w:w w:val="110"/>
                <w:sz w:val="12"/>
              </w:rPr>
              <w:t>0.299</w:t>
            </w:r>
          </w:p>
        </w:tc>
        <w:tc>
          <w:tcPr>
            <w:tcW w:w="850" w:type="dxa"/>
            <w:tcBorders>
              <w:left w:val="single" w:sz="2" w:space="0" w:color="000000"/>
              <w:right w:val="single" w:sz="3" w:space="0" w:color="000000"/>
            </w:tcBorders>
          </w:tcPr>
          <w:p>
            <w:pPr>
              <w:pStyle w:val="TableParagraph"/>
              <w:spacing w:line="144" w:lineRule="exact"/>
              <w:ind w:right="86"/>
              <w:rPr>
                <w:rFonts w:ascii="Calibri"/>
                <w:sz w:val="12"/>
              </w:rPr>
            </w:pPr>
            <w:r>
              <w:rPr>
                <w:rFonts w:ascii="Calibri"/>
                <w:w w:val="110"/>
                <w:sz w:val="12"/>
              </w:rPr>
              <w:t>0.299</w:t>
            </w:r>
          </w:p>
        </w:tc>
        <w:tc>
          <w:tcPr>
            <w:tcW w:w="844" w:type="dxa"/>
            <w:tcBorders>
              <w:left w:val="single" w:sz="3" w:space="0" w:color="000000"/>
              <w:right w:val="single" w:sz="2" w:space="0" w:color="000000"/>
            </w:tcBorders>
          </w:tcPr>
          <w:p>
            <w:pPr>
              <w:pStyle w:val="TableParagraph"/>
              <w:spacing w:line="144" w:lineRule="exact"/>
              <w:ind w:right="84"/>
              <w:rPr>
                <w:rFonts w:ascii="Calibri"/>
                <w:sz w:val="12"/>
              </w:rPr>
            </w:pPr>
            <w:r>
              <w:rPr>
                <w:rFonts w:ascii="Calibri"/>
                <w:w w:val="110"/>
                <w:sz w:val="12"/>
              </w:rPr>
              <w:t>0.282</w:t>
            </w:r>
          </w:p>
        </w:tc>
        <w:tc>
          <w:tcPr>
            <w:tcW w:w="725" w:type="dxa"/>
            <w:tcBorders>
              <w:left w:val="single" w:sz="2" w:space="0" w:color="000000"/>
              <w:right w:val="single" w:sz="2" w:space="0" w:color="000000"/>
            </w:tcBorders>
          </w:tcPr>
          <w:p>
            <w:pPr>
              <w:pStyle w:val="TableParagraph"/>
              <w:spacing w:line="144" w:lineRule="exact"/>
              <w:ind w:right="84"/>
              <w:rPr>
                <w:rFonts w:ascii="Calibri"/>
                <w:sz w:val="12"/>
              </w:rPr>
            </w:pPr>
            <w:r>
              <w:rPr>
                <w:rFonts w:ascii="Calibri"/>
                <w:w w:val="110"/>
                <w:sz w:val="12"/>
              </w:rPr>
              <w:t>0.145</w:t>
            </w:r>
          </w:p>
        </w:tc>
        <w:tc>
          <w:tcPr>
            <w:tcW w:w="850" w:type="dxa"/>
            <w:tcBorders>
              <w:left w:val="single" w:sz="2" w:space="0" w:color="000000"/>
              <w:right w:val="single" w:sz="3" w:space="0" w:color="000000"/>
            </w:tcBorders>
          </w:tcPr>
          <w:p>
            <w:pPr>
              <w:pStyle w:val="TableParagraph"/>
              <w:spacing w:line="144" w:lineRule="exact"/>
              <w:ind w:right="86"/>
              <w:rPr>
                <w:rFonts w:ascii="Calibri"/>
                <w:sz w:val="12"/>
              </w:rPr>
            </w:pPr>
            <w:r>
              <w:rPr>
                <w:rFonts w:ascii="Calibri"/>
                <w:w w:val="110"/>
                <w:sz w:val="12"/>
              </w:rPr>
              <w:t>0.145</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0"/>
                <w:sz w:val="12"/>
              </w:rPr>
              <w:t>0.134</w:t>
            </w:r>
          </w:p>
        </w:tc>
      </w:tr>
      <w:tr>
        <w:trPr>
          <w:trHeight w:val="151" w:hRule="exact"/>
        </w:trPr>
        <w:tc>
          <w:tcPr>
            <w:tcW w:w="938" w:type="dxa"/>
            <w:vMerge/>
            <w:tcBorders>
              <w:left w:val="single" w:sz="3" w:space="0" w:color="000000"/>
              <w:right w:val="single" w:sz="2" w:space="0" w:color="000000"/>
            </w:tcBorders>
          </w:tcPr>
          <w:p>
            <w:pPr/>
          </w:p>
        </w:tc>
        <w:tc>
          <w:tcPr>
            <w:tcW w:w="725" w:type="dxa"/>
            <w:tcBorders>
              <w:left w:val="single" w:sz="2" w:space="0" w:color="000000"/>
              <w:right w:val="single" w:sz="2" w:space="0" w:color="000000"/>
            </w:tcBorders>
          </w:tcPr>
          <w:p>
            <w:pPr>
              <w:pStyle w:val="TableParagraph"/>
              <w:spacing w:line="144" w:lineRule="exact"/>
              <w:ind w:right="85"/>
              <w:rPr>
                <w:rFonts w:ascii="Calibri"/>
                <w:sz w:val="12"/>
              </w:rPr>
            </w:pPr>
            <w:r>
              <w:rPr>
                <w:rFonts w:ascii="Calibri"/>
                <w:w w:val="115"/>
                <w:sz w:val="12"/>
              </w:rPr>
              <w:t>(0.076)</w:t>
            </w:r>
          </w:p>
        </w:tc>
        <w:tc>
          <w:tcPr>
            <w:tcW w:w="848" w:type="dxa"/>
            <w:tcBorders>
              <w:left w:val="single" w:sz="2" w:space="0" w:color="000000"/>
              <w:right w:val="single" w:sz="3" w:space="0" w:color="000000"/>
            </w:tcBorders>
          </w:tcPr>
          <w:p>
            <w:pPr>
              <w:pStyle w:val="TableParagraph"/>
              <w:spacing w:line="144" w:lineRule="exact"/>
              <w:ind w:right="83"/>
              <w:rPr>
                <w:rFonts w:ascii="Calibri"/>
                <w:sz w:val="12"/>
              </w:rPr>
            </w:pPr>
            <w:r>
              <w:rPr>
                <w:rFonts w:ascii="Calibri"/>
                <w:w w:val="115"/>
                <w:sz w:val="12"/>
              </w:rPr>
              <w:t>(0.076)</w:t>
            </w:r>
          </w:p>
        </w:tc>
        <w:tc>
          <w:tcPr>
            <w:tcW w:w="846" w:type="dxa"/>
            <w:tcBorders>
              <w:left w:val="single" w:sz="3" w:space="0" w:color="000000"/>
              <w:right w:val="single" w:sz="2" w:space="0" w:color="000000"/>
            </w:tcBorders>
          </w:tcPr>
          <w:p>
            <w:pPr>
              <w:pStyle w:val="TableParagraph"/>
              <w:spacing w:line="144" w:lineRule="exact"/>
              <w:ind w:right="83"/>
              <w:rPr>
                <w:rFonts w:ascii="Calibri"/>
                <w:sz w:val="12"/>
              </w:rPr>
            </w:pPr>
            <w:r>
              <w:rPr>
                <w:rFonts w:ascii="Calibri"/>
                <w:w w:val="115"/>
                <w:sz w:val="12"/>
              </w:rPr>
              <w:t>(0.083)</w:t>
            </w:r>
          </w:p>
        </w:tc>
        <w:tc>
          <w:tcPr>
            <w:tcW w:w="725" w:type="dxa"/>
            <w:tcBorders>
              <w:left w:val="single" w:sz="2" w:space="0" w:color="000000"/>
              <w:right w:val="single" w:sz="2" w:space="0" w:color="000000"/>
            </w:tcBorders>
          </w:tcPr>
          <w:p>
            <w:pPr>
              <w:pStyle w:val="TableParagraph"/>
              <w:spacing w:line="144" w:lineRule="exact"/>
              <w:ind w:right="83"/>
              <w:rPr>
                <w:rFonts w:ascii="Calibri"/>
                <w:sz w:val="12"/>
              </w:rPr>
            </w:pPr>
            <w:r>
              <w:rPr>
                <w:rFonts w:ascii="Calibri"/>
                <w:w w:val="115"/>
                <w:sz w:val="12"/>
              </w:rPr>
              <w:t>(0.084)</w:t>
            </w:r>
          </w:p>
        </w:tc>
        <w:tc>
          <w:tcPr>
            <w:tcW w:w="850" w:type="dxa"/>
            <w:tcBorders>
              <w:left w:val="single" w:sz="2" w:space="0" w:color="000000"/>
              <w:right w:val="single" w:sz="3" w:space="0" w:color="000000"/>
            </w:tcBorders>
          </w:tcPr>
          <w:p>
            <w:pPr>
              <w:pStyle w:val="TableParagraph"/>
              <w:spacing w:line="144" w:lineRule="exact"/>
              <w:ind w:right="85"/>
              <w:rPr>
                <w:rFonts w:ascii="Calibri"/>
                <w:sz w:val="12"/>
              </w:rPr>
            </w:pPr>
            <w:r>
              <w:rPr>
                <w:rFonts w:ascii="Calibri"/>
                <w:w w:val="115"/>
                <w:sz w:val="12"/>
              </w:rPr>
              <w:t>(0.084)</w:t>
            </w:r>
          </w:p>
        </w:tc>
        <w:tc>
          <w:tcPr>
            <w:tcW w:w="844" w:type="dxa"/>
            <w:tcBorders>
              <w:left w:val="single" w:sz="3" w:space="0" w:color="000000"/>
              <w:right w:val="single" w:sz="2" w:space="0" w:color="000000"/>
            </w:tcBorders>
          </w:tcPr>
          <w:p>
            <w:pPr>
              <w:pStyle w:val="TableParagraph"/>
              <w:spacing w:line="144" w:lineRule="exact"/>
              <w:ind w:right="83"/>
              <w:rPr>
                <w:rFonts w:ascii="Calibri"/>
                <w:sz w:val="12"/>
              </w:rPr>
            </w:pPr>
            <w:r>
              <w:rPr>
                <w:rFonts w:ascii="Calibri"/>
                <w:w w:val="115"/>
                <w:sz w:val="12"/>
              </w:rPr>
              <w:t>(0.090)</w:t>
            </w:r>
          </w:p>
        </w:tc>
        <w:tc>
          <w:tcPr>
            <w:tcW w:w="725" w:type="dxa"/>
            <w:tcBorders>
              <w:left w:val="single" w:sz="2" w:space="0" w:color="000000"/>
              <w:right w:val="single" w:sz="2" w:space="0" w:color="000000"/>
            </w:tcBorders>
          </w:tcPr>
          <w:p>
            <w:pPr>
              <w:pStyle w:val="TableParagraph"/>
              <w:spacing w:line="144" w:lineRule="exact"/>
              <w:ind w:right="83"/>
              <w:rPr>
                <w:rFonts w:ascii="Calibri"/>
                <w:sz w:val="12"/>
              </w:rPr>
            </w:pPr>
            <w:r>
              <w:rPr>
                <w:rFonts w:ascii="Calibri"/>
                <w:w w:val="115"/>
                <w:sz w:val="12"/>
              </w:rPr>
              <w:t>(0.051)</w:t>
            </w:r>
          </w:p>
        </w:tc>
        <w:tc>
          <w:tcPr>
            <w:tcW w:w="850" w:type="dxa"/>
            <w:tcBorders>
              <w:left w:val="single" w:sz="2" w:space="0" w:color="000000"/>
              <w:right w:val="single" w:sz="3" w:space="0" w:color="000000"/>
            </w:tcBorders>
          </w:tcPr>
          <w:p>
            <w:pPr>
              <w:pStyle w:val="TableParagraph"/>
              <w:spacing w:line="144" w:lineRule="exact"/>
              <w:ind w:right="85"/>
              <w:rPr>
                <w:rFonts w:ascii="Calibri"/>
                <w:sz w:val="12"/>
              </w:rPr>
            </w:pPr>
            <w:r>
              <w:rPr>
                <w:rFonts w:ascii="Calibri"/>
                <w:w w:val="115"/>
                <w:sz w:val="12"/>
              </w:rPr>
              <w:t>(0.051)</w:t>
            </w:r>
          </w:p>
        </w:tc>
        <w:tc>
          <w:tcPr>
            <w:tcW w:w="725"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(0.056)</w:t>
            </w:r>
          </w:p>
        </w:tc>
      </w:tr>
      <w:tr>
        <w:trPr>
          <w:trHeight w:val="153" w:hRule="exact"/>
        </w:trPr>
        <w:tc>
          <w:tcPr>
            <w:tcW w:w="938" w:type="dxa"/>
            <w:vMerge/>
            <w:tcBorders>
              <w:left w:val="single" w:sz="3" w:space="0" w:color="000000"/>
              <w:right w:val="single" w:sz="2" w:space="0" w:color="000000"/>
            </w:tcBorders>
          </w:tcPr>
          <w:p>
            <w:pPr/>
          </w:p>
        </w:tc>
        <w:tc>
          <w:tcPr>
            <w:tcW w:w="725" w:type="dxa"/>
            <w:tcBorders>
              <w:left w:val="single" w:sz="2" w:space="0" w:color="000000"/>
              <w:right w:val="single" w:sz="2" w:space="0" w:color="000000"/>
            </w:tcBorders>
          </w:tcPr>
          <w:p>
            <w:pPr>
              <w:pStyle w:val="TableParagraph"/>
              <w:spacing w:line="144" w:lineRule="exact"/>
              <w:ind w:right="87"/>
              <w:rPr>
                <w:rFonts w:ascii="Calibri"/>
                <w:sz w:val="12"/>
              </w:rPr>
            </w:pPr>
            <w:r>
              <w:rPr>
                <w:rFonts w:ascii="Calibri"/>
                <w:w w:val="115"/>
                <w:sz w:val="12"/>
              </w:rPr>
              <w:t>t= 1.10</w:t>
            </w:r>
          </w:p>
        </w:tc>
        <w:tc>
          <w:tcPr>
            <w:tcW w:w="848" w:type="dxa"/>
            <w:tcBorders>
              <w:left w:val="single" w:sz="2" w:space="0" w:color="000000"/>
              <w:right w:val="single" w:sz="3" w:space="0" w:color="000000"/>
            </w:tcBorders>
          </w:tcPr>
          <w:p>
            <w:pPr>
              <w:pStyle w:val="TableParagraph"/>
              <w:spacing w:line="144" w:lineRule="exact"/>
              <w:ind w:right="86"/>
              <w:rPr>
                <w:rFonts w:ascii="Calibri"/>
                <w:sz w:val="12"/>
              </w:rPr>
            </w:pPr>
            <w:r>
              <w:rPr>
                <w:rFonts w:ascii="Calibri"/>
                <w:w w:val="115"/>
                <w:sz w:val="12"/>
              </w:rPr>
              <w:t>z= 0.270</w:t>
            </w:r>
          </w:p>
        </w:tc>
        <w:tc>
          <w:tcPr>
            <w:tcW w:w="846" w:type="dxa"/>
            <w:tcBorders>
              <w:left w:val="single" w:sz="3" w:space="0" w:color="000000"/>
              <w:right w:val="single" w:sz="2" w:space="0" w:color="000000"/>
            </w:tcBorders>
          </w:tcPr>
          <w:p>
            <w:pPr>
              <w:pStyle w:val="TableParagraph"/>
              <w:spacing w:line="144" w:lineRule="exact"/>
              <w:ind w:right="86"/>
              <w:rPr>
                <w:rFonts w:ascii="Calibri"/>
                <w:sz w:val="12"/>
              </w:rPr>
            </w:pPr>
            <w:r>
              <w:rPr>
                <w:rFonts w:ascii="Calibri"/>
                <w:w w:val="115"/>
                <w:sz w:val="12"/>
              </w:rPr>
              <w:t>t= 1.01</w:t>
            </w:r>
          </w:p>
        </w:tc>
        <w:tc>
          <w:tcPr>
            <w:tcW w:w="725" w:type="dxa"/>
            <w:tcBorders>
              <w:left w:val="single" w:sz="2" w:space="0" w:color="000000"/>
              <w:right w:val="single" w:sz="2" w:space="0" w:color="000000"/>
            </w:tcBorders>
          </w:tcPr>
          <w:p>
            <w:pPr>
              <w:pStyle w:val="TableParagraph"/>
              <w:spacing w:line="144" w:lineRule="exact"/>
              <w:ind w:right="86"/>
              <w:rPr>
                <w:rFonts w:ascii="Calibri"/>
                <w:sz w:val="12"/>
              </w:rPr>
            </w:pPr>
            <w:r>
              <w:rPr>
                <w:rFonts w:ascii="Calibri"/>
                <w:w w:val="115"/>
                <w:sz w:val="12"/>
              </w:rPr>
              <w:t>t=3.56</w:t>
            </w:r>
          </w:p>
        </w:tc>
        <w:tc>
          <w:tcPr>
            <w:tcW w:w="850" w:type="dxa"/>
            <w:tcBorders>
              <w:left w:val="single" w:sz="2" w:space="0" w:color="000000"/>
              <w:right w:val="single" w:sz="3" w:space="0" w:color="000000"/>
            </w:tcBorders>
          </w:tcPr>
          <w:p>
            <w:pPr>
              <w:pStyle w:val="TableParagraph"/>
              <w:spacing w:line="144" w:lineRule="exact"/>
              <w:ind w:right="88"/>
              <w:rPr>
                <w:rFonts w:ascii="Calibri"/>
                <w:sz w:val="12"/>
              </w:rPr>
            </w:pPr>
            <w:r>
              <w:rPr>
                <w:rFonts w:ascii="Calibri"/>
                <w:w w:val="115"/>
                <w:sz w:val="12"/>
              </w:rPr>
              <w:t>z=3.56</w:t>
            </w:r>
          </w:p>
        </w:tc>
        <w:tc>
          <w:tcPr>
            <w:tcW w:w="844" w:type="dxa"/>
            <w:tcBorders>
              <w:left w:val="single" w:sz="3" w:space="0" w:color="000000"/>
              <w:right w:val="single" w:sz="2" w:space="0" w:color="000000"/>
            </w:tcBorders>
          </w:tcPr>
          <w:p>
            <w:pPr>
              <w:pStyle w:val="TableParagraph"/>
              <w:spacing w:line="144" w:lineRule="exact"/>
              <w:ind w:right="86"/>
              <w:rPr>
                <w:rFonts w:ascii="Calibri"/>
                <w:sz w:val="12"/>
              </w:rPr>
            </w:pPr>
            <w:r>
              <w:rPr>
                <w:rFonts w:ascii="Calibri"/>
                <w:w w:val="115"/>
                <w:sz w:val="12"/>
              </w:rPr>
              <w:t>t=3.11</w:t>
            </w:r>
          </w:p>
        </w:tc>
        <w:tc>
          <w:tcPr>
            <w:tcW w:w="725" w:type="dxa"/>
            <w:tcBorders>
              <w:left w:val="single" w:sz="2" w:space="0" w:color="000000"/>
              <w:right w:val="single" w:sz="2" w:space="0" w:color="000000"/>
            </w:tcBorders>
          </w:tcPr>
          <w:p>
            <w:pPr>
              <w:pStyle w:val="TableParagraph"/>
              <w:spacing w:line="144" w:lineRule="exact"/>
              <w:ind w:right="86"/>
              <w:rPr>
                <w:rFonts w:ascii="Calibri"/>
                <w:sz w:val="12"/>
              </w:rPr>
            </w:pPr>
            <w:r>
              <w:rPr>
                <w:rFonts w:ascii="Calibri"/>
                <w:w w:val="115"/>
                <w:sz w:val="12"/>
              </w:rPr>
              <w:t>t=2.82</w:t>
            </w:r>
          </w:p>
        </w:tc>
        <w:tc>
          <w:tcPr>
            <w:tcW w:w="850" w:type="dxa"/>
            <w:tcBorders>
              <w:left w:val="single" w:sz="2" w:space="0" w:color="000000"/>
              <w:right w:val="single" w:sz="3" w:space="0" w:color="000000"/>
            </w:tcBorders>
          </w:tcPr>
          <w:p>
            <w:pPr>
              <w:pStyle w:val="TableParagraph"/>
              <w:spacing w:line="144" w:lineRule="exact"/>
              <w:ind w:right="88"/>
              <w:rPr>
                <w:rFonts w:ascii="Calibri"/>
                <w:sz w:val="12"/>
              </w:rPr>
            </w:pPr>
            <w:r>
              <w:rPr>
                <w:rFonts w:ascii="Calibri"/>
                <w:w w:val="115"/>
                <w:sz w:val="12"/>
              </w:rPr>
              <w:t>z=2.82</w:t>
            </w:r>
          </w:p>
        </w:tc>
        <w:tc>
          <w:tcPr>
            <w:tcW w:w="725"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t=2.39</w:t>
            </w:r>
          </w:p>
        </w:tc>
      </w:tr>
      <w:tr>
        <w:trPr>
          <w:trHeight w:val="151" w:hRule="exact"/>
        </w:trPr>
        <w:tc>
          <w:tcPr>
            <w:tcW w:w="938" w:type="dxa"/>
            <w:vMerge/>
            <w:tcBorders>
              <w:left w:val="single" w:sz="3" w:space="0" w:color="000000"/>
              <w:right w:val="single" w:sz="2" w:space="0" w:color="000000"/>
            </w:tcBorders>
          </w:tcPr>
          <w:p>
            <w:pPr/>
          </w:p>
        </w:tc>
        <w:tc>
          <w:tcPr>
            <w:tcW w:w="725" w:type="dxa"/>
            <w:tcBorders>
              <w:left w:val="single" w:sz="2" w:space="0" w:color="000000"/>
              <w:right w:val="single" w:sz="2" w:space="0" w:color="000000"/>
            </w:tcBorders>
          </w:tcPr>
          <w:p>
            <w:pPr>
              <w:pStyle w:val="TableParagraph"/>
              <w:spacing w:line="144" w:lineRule="exact"/>
              <w:ind w:right="87"/>
              <w:rPr>
                <w:rFonts w:ascii="Calibri"/>
                <w:sz w:val="12"/>
              </w:rPr>
            </w:pPr>
            <w:r>
              <w:rPr>
                <w:rFonts w:ascii="Calibri"/>
                <w:w w:val="115"/>
                <w:sz w:val="12"/>
              </w:rPr>
              <w:t>p= 0.278</w:t>
            </w:r>
          </w:p>
        </w:tc>
        <w:tc>
          <w:tcPr>
            <w:tcW w:w="848" w:type="dxa"/>
            <w:tcBorders>
              <w:left w:val="single" w:sz="2" w:space="0" w:color="000000"/>
              <w:right w:val="single" w:sz="3" w:space="0" w:color="000000"/>
            </w:tcBorders>
          </w:tcPr>
          <w:p>
            <w:pPr>
              <w:pStyle w:val="TableParagraph"/>
              <w:spacing w:line="144" w:lineRule="exact"/>
              <w:ind w:right="84"/>
              <w:rPr>
                <w:rFonts w:ascii="Calibri"/>
                <w:sz w:val="12"/>
              </w:rPr>
            </w:pPr>
            <w:r>
              <w:rPr>
                <w:rFonts w:ascii="Calibri"/>
                <w:w w:val="115"/>
                <w:sz w:val="12"/>
              </w:rPr>
              <w:t>p= 0.278</w:t>
            </w:r>
          </w:p>
        </w:tc>
        <w:tc>
          <w:tcPr>
            <w:tcW w:w="846" w:type="dxa"/>
            <w:tcBorders>
              <w:left w:val="single" w:sz="3" w:space="0" w:color="000000"/>
              <w:right w:val="single" w:sz="2" w:space="0" w:color="000000"/>
            </w:tcBorders>
          </w:tcPr>
          <w:p>
            <w:pPr>
              <w:pStyle w:val="TableParagraph"/>
              <w:spacing w:line="144" w:lineRule="exact"/>
              <w:ind w:right="84"/>
              <w:rPr>
                <w:rFonts w:ascii="Calibri"/>
                <w:sz w:val="12"/>
              </w:rPr>
            </w:pPr>
            <w:r>
              <w:rPr>
                <w:rFonts w:ascii="Calibri"/>
                <w:w w:val="115"/>
                <w:sz w:val="12"/>
              </w:rPr>
              <w:t>p= 0.321</w:t>
            </w:r>
          </w:p>
        </w:tc>
        <w:tc>
          <w:tcPr>
            <w:tcW w:w="725" w:type="dxa"/>
            <w:tcBorders>
              <w:left w:val="single" w:sz="2" w:space="0" w:color="000000"/>
              <w:right w:val="single" w:sz="2" w:space="0" w:color="000000"/>
            </w:tcBorders>
          </w:tcPr>
          <w:p>
            <w:pPr>
              <w:pStyle w:val="TableParagraph"/>
              <w:spacing w:line="144" w:lineRule="exact"/>
              <w:ind w:right="84"/>
              <w:rPr>
                <w:rFonts w:ascii="Calibri"/>
                <w:sz w:val="12"/>
              </w:rPr>
            </w:pPr>
            <w:r>
              <w:rPr>
                <w:rFonts w:ascii="Calibri"/>
                <w:w w:val="115"/>
                <w:sz w:val="12"/>
              </w:rPr>
              <w:t>p=0.001</w:t>
            </w:r>
          </w:p>
        </w:tc>
        <w:tc>
          <w:tcPr>
            <w:tcW w:w="850" w:type="dxa"/>
            <w:tcBorders>
              <w:left w:val="single" w:sz="2" w:space="0" w:color="000000"/>
              <w:right w:val="single" w:sz="3" w:space="0" w:color="000000"/>
            </w:tcBorders>
          </w:tcPr>
          <w:p>
            <w:pPr>
              <w:pStyle w:val="TableParagraph"/>
              <w:spacing w:line="144" w:lineRule="exact"/>
              <w:ind w:right="86"/>
              <w:rPr>
                <w:rFonts w:ascii="Calibri"/>
                <w:sz w:val="12"/>
              </w:rPr>
            </w:pPr>
            <w:r>
              <w:rPr>
                <w:rFonts w:ascii="Calibri"/>
                <w:w w:val="115"/>
                <w:sz w:val="12"/>
              </w:rPr>
              <w:t>p=0.000</w:t>
            </w:r>
          </w:p>
        </w:tc>
        <w:tc>
          <w:tcPr>
            <w:tcW w:w="844" w:type="dxa"/>
            <w:tcBorders>
              <w:left w:val="single" w:sz="3" w:space="0" w:color="000000"/>
              <w:right w:val="single" w:sz="2" w:space="0" w:color="000000"/>
            </w:tcBorders>
          </w:tcPr>
          <w:p>
            <w:pPr>
              <w:pStyle w:val="TableParagraph"/>
              <w:spacing w:line="144" w:lineRule="exact"/>
              <w:ind w:right="84"/>
              <w:rPr>
                <w:rFonts w:ascii="Calibri"/>
                <w:sz w:val="12"/>
              </w:rPr>
            </w:pPr>
            <w:r>
              <w:rPr>
                <w:rFonts w:ascii="Calibri"/>
                <w:w w:val="115"/>
                <w:sz w:val="12"/>
              </w:rPr>
              <w:t>p=0.003</w:t>
            </w:r>
          </w:p>
        </w:tc>
        <w:tc>
          <w:tcPr>
            <w:tcW w:w="725" w:type="dxa"/>
            <w:tcBorders>
              <w:left w:val="single" w:sz="2" w:space="0" w:color="000000"/>
              <w:right w:val="single" w:sz="2" w:space="0" w:color="000000"/>
            </w:tcBorders>
          </w:tcPr>
          <w:p>
            <w:pPr>
              <w:pStyle w:val="TableParagraph"/>
              <w:spacing w:line="144" w:lineRule="exact"/>
              <w:ind w:right="84"/>
              <w:rPr>
                <w:rFonts w:ascii="Calibri"/>
                <w:sz w:val="12"/>
              </w:rPr>
            </w:pPr>
            <w:r>
              <w:rPr>
                <w:rFonts w:ascii="Calibri"/>
                <w:w w:val="115"/>
                <w:sz w:val="12"/>
              </w:rPr>
              <w:t>p=0.006</w:t>
            </w:r>
          </w:p>
        </w:tc>
        <w:tc>
          <w:tcPr>
            <w:tcW w:w="850" w:type="dxa"/>
            <w:tcBorders>
              <w:left w:val="single" w:sz="2" w:space="0" w:color="000000"/>
              <w:right w:val="single" w:sz="3" w:space="0" w:color="000000"/>
            </w:tcBorders>
          </w:tcPr>
          <w:p>
            <w:pPr>
              <w:pStyle w:val="TableParagraph"/>
              <w:spacing w:line="144" w:lineRule="exact"/>
              <w:ind w:right="86"/>
              <w:rPr>
                <w:rFonts w:ascii="Calibri"/>
                <w:sz w:val="12"/>
              </w:rPr>
            </w:pPr>
            <w:r>
              <w:rPr>
                <w:rFonts w:ascii="Calibri"/>
                <w:w w:val="115"/>
                <w:sz w:val="12"/>
              </w:rPr>
              <w:t>p=0.005</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p=0.019</w:t>
            </w:r>
          </w:p>
        </w:tc>
      </w:tr>
      <w:tr>
        <w:trPr>
          <w:trHeight w:val="153" w:hRule="exact"/>
        </w:trPr>
        <w:tc>
          <w:tcPr>
            <w:tcW w:w="938" w:type="dxa"/>
            <w:vMerge w:val="restart"/>
            <w:tcBorders>
              <w:left w:val="single" w:sz="3" w:space="0" w:color="000000"/>
              <w:right w:val="single" w:sz="2" w:space="0" w:color="000000"/>
            </w:tcBorders>
          </w:tcPr>
          <w:p>
            <w:pPr>
              <w:pStyle w:val="TableParagraph"/>
              <w:spacing w:line="132" w:lineRule="exact"/>
              <w:ind w:left="131"/>
              <w:jc w:val="left"/>
              <w:rPr>
                <w:b/>
                <w:sz w:val="12"/>
              </w:rPr>
            </w:pPr>
            <w:r>
              <w:rPr>
                <w:b/>
                <w:w w:val="115"/>
                <w:sz w:val="12"/>
              </w:rPr>
              <w:t>Constante</w:t>
            </w:r>
          </w:p>
        </w:tc>
        <w:tc>
          <w:tcPr>
            <w:tcW w:w="725" w:type="dxa"/>
            <w:tcBorders>
              <w:left w:val="single" w:sz="2" w:space="0" w:color="000000"/>
              <w:right w:val="single" w:sz="2" w:space="0" w:color="000000"/>
            </w:tcBorders>
          </w:tcPr>
          <w:p>
            <w:pPr>
              <w:pStyle w:val="TableParagraph"/>
              <w:spacing w:line="144" w:lineRule="exact"/>
              <w:ind w:right="86"/>
              <w:rPr>
                <w:rFonts w:ascii="Calibri"/>
                <w:sz w:val="12"/>
              </w:rPr>
            </w:pPr>
            <w:r>
              <w:rPr>
                <w:rFonts w:ascii="Calibri"/>
                <w:w w:val="110"/>
                <w:sz w:val="12"/>
              </w:rPr>
              <w:t>6.581</w:t>
            </w:r>
          </w:p>
        </w:tc>
        <w:tc>
          <w:tcPr>
            <w:tcW w:w="848" w:type="dxa"/>
            <w:tcBorders>
              <w:left w:val="single" w:sz="2" w:space="0" w:color="000000"/>
              <w:right w:val="single" w:sz="3" w:space="0" w:color="000000"/>
            </w:tcBorders>
          </w:tcPr>
          <w:p>
            <w:pPr>
              <w:pStyle w:val="TableParagraph"/>
              <w:spacing w:line="144" w:lineRule="exact"/>
              <w:ind w:right="84"/>
              <w:rPr>
                <w:rFonts w:ascii="Calibri"/>
                <w:sz w:val="12"/>
              </w:rPr>
            </w:pPr>
            <w:r>
              <w:rPr>
                <w:rFonts w:ascii="Calibri"/>
                <w:w w:val="110"/>
                <w:sz w:val="12"/>
              </w:rPr>
              <w:t>6.581</w:t>
            </w:r>
          </w:p>
        </w:tc>
        <w:tc>
          <w:tcPr>
            <w:tcW w:w="846" w:type="dxa"/>
            <w:tcBorders>
              <w:left w:val="single" w:sz="3" w:space="0" w:color="000000"/>
              <w:right w:val="single" w:sz="2" w:space="0" w:color="000000"/>
            </w:tcBorders>
          </w:tcPr>
          <w:p>
            <w:pPr>
              <w:pStyle w:val="TableParagraph"/>
              <w:spacing w:line="144" w:lineRule="exact"/>
              <w:ind w:right="84"/>
              <w:rPr>
                <w:rFonts w:ascii="Calibri"/>
                <w:sz w:val="12"/>
              </w:rPr>
            </w:pPr>
            <w:r>
              <w:rPr>
                <w:rFonts w:ascii="Calibri"/>
                <w:w w:val="110"/>
                <w:sz w:val="12"/>
              </w:rPr>
              <w:t>6.576</w:t>
            </w:r>
          </w:p>
        </w:tc>
        <w:tc>
          <w:tcPr>
            <w:tcW w:w="725" w:type="dxa"/>
            <w:tcBorders>
              <w:left w:val="single" w:sz="2" w:space="0" w:color="000000"/>
              <w:right w:val="single" w:sz="2" w:space="0" w:color="000000"/>
            </w:tcBorders>
          </w:tcPr>
          <w:p>
            <w:pPr>
              <w:pStyle w:val="TableParagraph"/>
              <w:spacing w:line="144" w:lineRule="exact"/>
              <w:ind w:right="84"/>
              <w:rPr>
                <w:rFonts w:ascii="Calibri"/>
                <w:sz w:val="12"/>
              </w:rPr>
            </w:pPr>
            <w:r>
              <w:rPr>
                <w:rFonts w:ascii="Calibri"/>
                <w:w w:val="110"/>
                <w:sz w:val="12"/>
              </w:rPr>
              <w:t>1.957</w:t>
            </w:r>
          </w:p>
        </w:tc>
        <w:tc>
          <w:tcPr>
            <w:tcW w:w="850" w:type="dxa"/>
            <w:tcBorders>
              <w:left w:val="single" w:sz="2" w:space="0" w:color="000000"/>
              <w:right w:val="single" w:sz="3" w:space="0" w:color="000000"/>
            </w:tcBorders>
          </w:tcPr>
          <w:p>
            <w:pPr>
              <w:pStyle w:val="TableParagraph"/>
              <w:spacing w:line="144" w:lineRule="exact"/>
              <w:ind w:right="86"/>
              <w:rPr>
                <w:rFonts w:ascii="Calibri"/>
                <w:sz w:val="12"/>
              </w:rPr>
            </w:pPr>
            <w:r>
              <w:rPr>
                <w:rFonts w:ascii="Calibri"/>
                <w:w w:val="110"/>
                <w:sz w:val="12"/>
              </w:rPr>
              <w:t>1.957</w:t>
            </w:r>
          </w:p>
        </w:tc>
        <w:tc>
          <w:tcPr>
            <w:tcW w:w="844" w:type="dxa"/>
            <w:tcBorders>
              <w:left w:val="single" w:sz="3" w:space="0" w:color="000000"/>
              <w:right w:val="single" w:sz="2" w:space="0" w:color="000000"/>
            </w:tcBorders>
          </w:tcPr>
          <w:p>
            <w:pPr>
              <w:pStyle w:val="TableParagraph"/>
              <w:spacing w:line="144" w:lineRule="exact"/>
              <w:ind w:right="84"/>
              <w:rPr>
                <w:rFonts w:ascii="Calibri"/>
                <w:sz w:val="12"/>
              </w:rPr>
            </w:pPr>
            <w:r>
              <w:rPr>
                <w:rFonts w:ascii="Calibri"/>
                <w:w w:val="110"/>
                <w:sz w:val="12"/>
              </w:rPr>
              <w:t>2.018</w:t>
            </w:r>
          </w:p>
        </w:tc>
        <w:tc>
          <w:tcPr>
            <w:tcW w:w="725" w:type="dxa"/>
            <w:tcBorders>
              <w:left w:val="single" w:sz="2" w:space="0" w:color="000000"/>
              <w:right w:val="single" w:sz="2" w:space="0" w:color="000000"/>
            </w:tcBorders>
          </w:tcPr>
          <w:p>
            <w:pPr>
              <w:pStyle w:val="TableParagraph"/>
              <w:spacing w:line="144" w:lineRule="exact"/>
              <w:ind w:right="84"/>
              <w:rPr>
                <w:rFonts w:ascii="Calibri"/>
                <w:sz w:val="12"/>
              </w:rPr>
            </w:pPr>
            <w:r>
              <w:rPr>
                <w:rFonts w:ascii="Calibri"/>
                <w:w w:val="110"/>
                <w:sz w:val="12"/>
              </w:rPr>
              <w:t>3.653</w:t>
            </w:r>
          </w:p>
        </w:tc>
        <w:tc>
          <w:tcPr>
            <w:tcW w:w="850" w:type="dxa"/>
            <w:tcBorders>
              <w:left w:val="single" w:sz="2" w:space="0" w:color="000000"/>
              <w:right w:val="single" w:sz="3" w:space="0" w:color="000000"/>
            </w:tcBorders>
          </w:tcPr>
          <w:p>
            <w:pPr>
              <w:pStyle w:val="TableParagraph"/>
              <w:spacing w:line="144" w:lineRule="exact"/>
              <w:ind w:right="86"/>
              <w:rPr>
                <w:rFonts w:ascii="Calibri"/>
                <w:sz w:val="12"/>
              </w:rPr>
            </w:pPr>
            <w:r>
              <w:rPr>
                <w:rFonts w:ascii="Calibri"/>
                <w:w w:val="110"/>
                <w:sz w:val="12"/>
              </w:rPr>
              <w:t>3.653</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0"/>
                <w:sz w:val="12"/>
              </w:rPr>
              <w:t>3.712</w:t>
            </w:r>
          </w:p>
        </w:tc>
      </w:tr>
      <w:tr>
        <w:trPr>
          <w:trHeight w:val="151" w:hRule="exact"/>
        </w:trPr>
        <w:tc>
          <w:tcPr>
            <w:tcW w:w="938" w:type="dxa"/>
            <w:vMerge/>
            <w:tcBorders>
              <w:left w:val="single" w:sz="3" w:space="0" w:color="000000"/>
              <w:right w:val="single" w:sz="2" w:space="0" w:color="000000"/>
            </w:tcBorders>
          </w:tcPr>
          <w:p>
            <w:pPr/>
          </w:p>
        </w:tc>
        <w:tc>
          <w:tcPr>
            <w:tcW w:w="725" w:type="dxa"/>
            <w:tcBorders>
              <w:left w:val="single" w:sz="2" w:space="0" w:color="000000"/>
              <w:right w:val="single" w:sz="2" w:space="0" w:color="000000"/>
            </w:tcBorders>
          </w:tcPr>
          <w:p>
            <w:pPr>
              <w:pStyle w:val="TableParagraph"/>
              <w:spacing w:line="144" w:lineRule="exact"/>
              <w:ind w:right="85"/>
              <w:rPr>
                <w:rFonts w:ascii="Calibri"/>
                <w:sz w:val="12"/>
              </w:rPr>
            </w:pPr>
            <w:r>
              <w:rPr>
                <w:rFonts w:ascii="Calibri"/>
                <w:w w:val="115"/>
                <w:sz w:val="12"/>
              </w:rPr>
              <w:t>(3.065)</w:t>
            </w:r>
          </w:p>
        </w:tc>
        <w:tc>
          <w:tcPr>
            <w:tcW w:w="848" w:type="dxa"/>
            <w:tcBorders>
              <w:left w:val="single" w:sz="2" w:space="0" w:color="000000"/>
              <w:right w:val="single" w:sz="3" w:space="0" w:color="000000"/>
            </w:tcBorders>
          </w:tcPr>
          <w:p>
            <w:pPr>
              <w:pStyle w:val="TableParagraph"/>
              <w:spacing w:line="144" w:lineRule="exact"/>
              <w:ind w:right="83"/>
              <w:rPr>
                <w:rFonts w:ascii="Calibri"/>
                <w:sz w:val="12"/>
              </w:rPr>
            </w:pPr>
            <w:r>
              <w:rPr>
                <w:rFonts w:ascii="Calibri"/>
                <w:w w:val="115"/>
                <w:sz w:val="12"/>
              </w:rPr>
              <w:t>(3.065)</w:t>
            </w:r>
          </w:p>
        </w:tc>
        <w:tc>
          <w:tcPr>
            <w:tcW w:w="846" w:type="dxa"/>
            <w:tcBorders>
              <w:left w:val="single" w:sz="3" w:space="0" w:color="000000"/>
              <w:right w:val="single" w:sz="2" w:space="0" w:color="000000"/>
            </w:tcBorders>
          </w:tcPr>
          <w:p>
            <w:pPr>
              <w:pStyle w:val="TableParagraph"/>
              <w:spacing w:line="144" w:lineRule="exact"/>
              <w:ind w:right="83"/>
              <w:rPr>
                <w:rFonts w:ascii="Calibri"/>
                <w:sz w:val="12"/>
              </w:rPr>
            </w:pPr>
            <w:r>
              <w:rPr>
                <w:rFonts w:ascii="Calibri"/>
                <w:w w:val="115"/>
                <w:sz w:val="12"/>
              </w:rPr>
              <w:t>(3.274)</w:t>
            </w:r>
          </w:p>
        </w:tc>
        <w:tc>
          <w:tcPr>
            <w:tcW w:w="725" w:type="dxa"/>
            <w:tcBorders>
              <w:left w:val="single" w:sz="2" w:space="0" w:color="000000"/>
              <w:right w:val="single" w:sz="2" w:space="0" w:color="000000"/>
            </w:tcBorders>
          </w:tcPr>
          <w:p>
            <w:pPr>
              <w:pStyle w:val="TableParagraph"/>
              <w:spacing w:line="144" w:lineRule="exact"/>
              <w:ind w:right="83"/>
              <w:rPr>
                <w:rFonts w:ascii="Calibri"/>
                <w:sz w:val="12"/>
              </w:rPr>
            </w:pPr>
            <w:r>
              <w:rPr>
                <w:rFonts w:ascii="Calibri"/>
                <w:w w:val="115"/>
                <w:sz w:val="12"/>
              </w:rPr>
              <w:t>(1.378)</w:t>
            </w:r>
          </w:p>
        </w:tc>
        <w:tc>
          <w:tcPr>
            <w:tcW w:w="850" w:type="dxa"/>
            <w:tcBorders>
              <w:left w:val="single" w:sz="2" w:space="0" w:color="000000"/>
              <w:right w:val="single" w:sz="3" w:space="0" w:color="000000"/>
            </w:tcBorders>
          </w:tcPr>
          <w:p>
            <w:pPr>
              <w:pStyle w:val="TableParagraph"/>
              <w:spacing w:line="144" w:lineRule="exact"/>
              <w:ind w:right="85"/>
              <w:rPr>
                <w:rFonts w:ascii="Calibri"/>
                <w:sz w:val="12"/>
              </w:rPr>
            </w:pPr>
            <w:r>
              <w:rPr>
                <w:rFonts w:ascii="Calibri"/>
                <w:w w:val="115"/>
                <w:sz w:val="12"/>
              </w:rPr>
              <w:t>(1.378)</w:t>
            </w:r>
          </w:p>
        </w:tc>
        <w:tc>
          <w:tcPr>
            <w:tcW w:w="844" w:type="dxa"/>
            <w:tcBorders>
              <w:left w:val="single" w:sz="3" w:space="0" w:color="000000"/>
              <w:right w:val="single" w:sz="2" w:space="0" w:color="000000"/>
            </w:tcBorders>
          </w:tcPr>
          <w:p>
            <w:pPr>
              <w:pStyle w:val="TableParagraph"/>
              <w:spacing w:line="144" w:lineRule="exact"/>
              <w:ind w:right="83"/>
              <w:rPr>
                <w:rFonts w:ascii="Calibri"/>
                <w:sz w:val="12"/>
              </w:rPr>
            </w:pPr>
            <w:r>
              <w:rPr>
                <w:rFonts w:ascii="Calibri"/>
                <w:w w:val="115"/>
                <w:sz w:val="12"/>
              </w:rPr>
              <w:t>(1.446)</w:t>
            </w:r>
          </w:p>
        </w:tc>
        <w:tc>
          <w:tcPr>
            <w:tcW w:w="725" w:type="dxa"/>
            <w:tcBorders>
              <w:left w:val="single" w:sz="2" w:space="0" w:color="000000"/>
              <w:right w:val="single" w:sz="2" w:space="0" w:color="000000"/>
            </w:tcBorders>
          </w:tcPr>
          <w:p>
            <w:pPr>
              <w:pStyle w:val="TableParagraph"/>
              <w:spacing w:line="144" w:lineRule="exact"/>
              <w:ind w:right="83"/>
              <w:rPr>
                <w:rFonts w:ascii="Calibri"/>
                <w:sz w:val="12"/>
              </w:rPr>
            </w:pPr>
            <w:r>
              <w:rPr>
                <w:rFonts w:ascii="Calibri"/>
                <w:w w:val="115"/>
                <w:sz w:val="12"/>
              </w:rPr>
              <w:t>(1.383)</w:t>
            </w:r>
          </w:p>
        </w:tc>
        <w:tc>
          <w:tcPr>
            <w:tcW w:w="850" w:type="dxa"/>
            <w:tcBorders>
              <w:left w:val="single" w:sz="2" w:space="0" w:color="000000"/>
              <w:right w:val="single" w:sz="3" w:space="0" w:color="000000"/>
            </w:tcBorders>
          </w:tcPr>
          <w:p>
            <w:pPr>
              <w:pStyle w:val="TableParagraph"/>
              <w:spacing w:line="144" w:lineRule="exact"/>
              <w:ind w:right="85"/>
              <w:rPr>
                <w:rFonts w:ascii="Calibri"/>
                <w:sz w:val="12"/>
              </w:rPr>
            </w:pPr>
            <w:r>
              <w:rPr>
                <w:rFonts w:ascii="Calibri"/>
                <w:w w:val="115"/>
                <w:sz w:val="12"/>
              </w:rPr>
              <w:t>(1.383)</w:t>
            </w:r>
          </w:p>
        </w:tc>
        <w:tc>
          <w:tcPr>
            <w:tcW w:w="725" w:type="dxa"/>
            <w:tcBorders>
              <w:left w:val="single" w:sz="3" w:space="0" w:color="000000"/>
              <w:right w:val="single" w:sz="3" w:space="0" w:color="000000"/>
            </w:tcBorders>
          </w:tcPr>
          <w:p>
            <w:pPr>
              <w:pStyle w:val="TableParagraph"/>
              <w:spacing w:line="144" w:lineRule="exact"/>
              <w:ind w:right="83"/>
              <w:rPr>
                <w:rFonts w:ascii="Calibri"/>
                <w:sz w:val="12"/>
              </w:rPr>
            </w:pPr>
            <w:r>
              <w:rPr>
                <w:rFonts w:ascii="Calibri"/>
                <w:w w:val="115"/>
                <w:sz w:val="12"/>
              </w:rPr>
              <w:t>(1.458)</w:t>
            </w:r>
          </w:p>
        </w:tc>
      </w:tr>
      <w:tr>
        <w:trPr>
          <w:trHeight w:val="153" w:hRule="exact"/>
        </w:trPr>
        <w:tc>
          <w:tcPr>
            <w:tcW w:w="938" w:type="dxa"/>
            <w:vMerge/>
            <w:tcBorders>
              <w:left w:val="single" w:sz="3" w:space="0" w:color="000000"/>
              <w:right w:val="single" w:sz="2" w:space="0" w:color="000000"/>
            </w:tcBorders>
          </w:tcPr>
          <w:p>
            <w:pPr/>
          </w:p>
        </w:tc>
        <w:tc>
          <w:tcPr>
            <w:tcW w:w="725" w:type="dxa"/>
            <w:tcBorders>
              <w:left w:val="single" w:sz="2" w:space="0" w:color="000000"/>
              <w:right w:val="single" w:sz="2" w:space="0" w:color="000000"/>
            </w:tcBorders>
          </w:tcPr>
          <w:p>
            <w:pPr>
              <w:pStyle w:val="TableParagraph"/>
              <w:spacing w:line="144" w:lineRule="exact"/>
              <w:ind w:right="87"/>
              <w:rPr>
                <w:rFonts w:ascii="Calibri"/>
                <w:sz w:val="12"/>
              </w:rPr>
            </w:pPr>
            <w:r>
              <w:rPr>
                <w:rFonts w:ascii="Calibri"/>
                <w:w w:val="115"/>
                <w:sz w:val="12"/>
              </w:rPr>
              <w:t>t= 2.15</w:t>
            </w:r>
          </w:p>
        </w:tc>
        <w:tc>
          <w:tcPr>
            <w:tcW w:w="848" w:type="dxa"/>
            <w:tcBorders>
              <w:left w:val="single" w:sz="2" w:space="0" w:color="000000"/>
              <w:right w:val="single" w:sz="3" w:space="0" w:color="000000"/>
            </w:tcBorders>
          </w:tcPr>
          <w:p>
            <w:pPr>
              <w:pStyle w:val="TableParagraph"/>
              <w:spacing w:line="144" w:lineRule="exact"/>
              <w:ind w:right="85"/>
              <w:rPr>
                <w:rFonts w:ascii="Calibri"/>
                <w:sz w:val="12"/>
              </w:rPr>
            </w:pPr>
            <w:r>
              <w:rPr>
                <w:rFonts w:ascii="Calibri"/>
                <w:w w:val="115"/>
                <w:sz w:val="12"/>
              </w:rPr>
              <w:t>z= 2.15</w:t>
            </w:r>
          </w:p>
        </w:tc>
        <w:tc>
          <w:tcPr>
            <w:tcW w:w="846" w:type="dxa"/>
            <w:tcBorders>
              <w:left w:val="single" w:sz="3" w:space="0" w:color="000000"/>
              <w:right w:val="single" w:sz="2" w:space="0" w:color="000000"/>
            </w:tcBorders>
          </w:tcPr>
          <w:p>
            <w:pPr>
              <w:pStyle w:val="TableParagraph"/>
              <w:spacing w:line="144" w:lineRule="exact"/>
              <w:ind w:right="86"/>
              <w:rPr>
                <w:rFonts w:ascii="Calibri"/>
                <w:sz w:val="12"/>
              </w:rPr>
            </w:pPr>
            <w:r>
              <w:rPr>
                <w:rFonts w:ascii="Calibri"/>
                <w:w w:val="115"/>
                <w:sz w:val="12"/>
              </w:rPr>
              <w:t>t= 2.01</w:t>
            </w:r>
          </w:p>
        </w:tc>
        <w:tc>
          <w:tcPr>
            <w:tcW w:w="725" w:type="dxa"/>
            <w:tcBorders>
              <w:left w:val="single" w:sz="2" w:space="0" w:color="000000"/>
              <w:right w:val="single" w:sz="2" w:space="0" w:color="000000"/>
            </w:tcBorders>
          </w:tcPr>
          <w:p>
            <w:pPr>
              <w:pStyle w:val="TableParagraph"/>
              <w:spacing w:line="144" w:lineRule="exact"/>
              <w:ind w:right="86"/>
              <w:rPr>
                <w:rFonts w:ascii="Calibri"/>
                <w:sz w:val="12"/>
              </w:rPr>
            </w:pPr>
            <w:r>
              <w:rPr>
                <w:rFonts w:ascii="Calibri"/>
                <w:w w:val="115"/>
                <w:sz w:val="12"/>
              </w:rPr>
              <w:t>t=1.42</w:t>
            </w:r>
          </w:p>
        </w:tc>
        <w:tc>
          <w:tcPr>
            <w:tcW w:w="850" w:type="dxa"/>
            <w:tcBorders>
              <w:left w:val="single" w:sz="2" w:space="0" w:color="000000"/>
              <w:right w:val="single" w:sz="3" w:space="0" w:color="000000"/>
            </w:tcBorders>
          </w:tcPr>
          <w:p>
            <w:pPr>
              <w:pStyle w:val="TableParagraph"/>
              <w:spacing w:line="144" w:lineRule="exact"/>
              <w:ind w:right="88"/>
              <w:rPr>
                <w:rFonts w:ascii="Calibri"/>
                <w:sz w:val="12"/>
              </w:rPr>
            </w:pPr>
            <w:r>
              <w:rPr>
                <w:rFonts w:ascii="Calibri"/>
                <w:w w:val="115"/>
                <w:sz w:val="12"/>
              </w:rPr>
              <w:t>z=1.42</w:t>
            </w:r>
          </w:p>
        </w:tc>
        <w:tc>
          <w:tcPr>
            <w:tcW w:w="844" w:type="dxa"/>
            <w:tcBorders>
              <w:left w:val="single" w:sz="3" w:space="0" w:color="000000"/>
              <w:right w:val="single" w:sz="2" w:space="0" w:color="000000"/>
            </w:tcBorders>
          </w:tcPr>
          <w:p>
            <w:pPr>
              <w:pStyle w:val="TableParagraph"/>
              <w:spacing w:line="144" w:lineRule="exact"/>
              <w:ind w:right="86"/>
              <w:rPr>
                <w:rFonts w:ascii="Calibri"/>
                <w:sz w:val="12"/>
              </w:rPr>
            </w:pPr>
            <w:r>
              <w:rPr>
                <w:rFonts w:ascii="Calibri"/>
                <w:w w:val="115"/>
                <w:sz w:val="12"/>
              </w:rPr>
              <w:t>t=1.40</w:t>
            </w:r>
          </w:p>
        </w:tc>
        <w:tc>
          <w:tcPr>
            <w:tcW w:w="725" w:type="dxa"/>
            <w:tcBorders>
              <w:left w:val="single" w:sz="2" w:space="0" w:color="000000"/>
              <w:right w:val="single" w:sz="2" w:space="0" w:color="000000"/>
            </w:tcBorders>
          </w:tcPr>
          <w:p>
            <w:pPr>
              <w:pStyle w:val="TableParagraph"/>
              <w:spacing w:line="144" w:lineRule="exact"/>
              <w:ind w:right="86"/>
              <w:rPr>
                <w:rFonts w:ascii="Calibri"/>
                <w:sz w:val="12"/>
              </w:rPr>
            </w:pPr>
            <w:r>
              <w:rPr>
                <w:rFonts w:ascii="Calibri"/>
                <w:w w:val="115"/>
                <w:sz w:val="12"/>
              </w:rPr>
              <w:t>t=2.64</w:t>
            </w:r>
          </w:p>
        </w:tc>
        <w:tc>
          <w:tcPr>
            <w:tcW w:w="850" w:type="dxa"/>
            <w:tcBorders>
              <w:left w:val="single" w:sz="2" w:space="0" w:color="000000"/>
              <w:right w:val="single" w:sz="3" w:space="0" w:color="000000"/>
            </w:tcBorders>
          </w:tcPr>
          <w:p>
            <w:pPr>
              <w:pStyle w:val="TableParagraph"/>
              <w:spacing w:line="144" w:lineRule="exact"/>
              <w:ind w:right="88"/>
              <w:rPr>
                <w:rFonts w:ascii="Calibri"/>
                <w:sz w:val="12"/>
              </w:rPr>
            </w:pPr>
            <w:r>
              <w:rPr>
                <w:rFonts w:ascii="Calibri"/>
                <w:w w:val="115"/>
                <w:sz w:val="12"/>
              </w:rPr>
              <w:t>z=2.64</w:t>
            </w:r>
          </w:p>
        </w:tc>
        <w:tc>
          <w:tcPr>
            <w:tcW w:w="725" w:type="dxa"/>
            <w:tcBorders>
              <w:left w:val="single" w:sz="3" w:space="0" w:color="000000"/>
              <w:right w:val="single" w:sz="3" w:space="0" w:color="000000"/>
            </w:tcBorders>
          </w:tcPr>
          <w:p>
            <w:pPr>
              <w:pStyle w:val="TableParagraph"/>
              <w:spacing w:line="144" w:lineRule="exact"/>
              <w:ind w:right="86"/>
              <w:rPr>
                <w:rFonts w:ascii="Calibri"/>
                <w:sz w:val="12"/>
              </w:rPr>
            </w:pPr>
            <w:r>
              <w:rPr>
                <w:rFonts w:ascii="Calibri"/>
                <w:w w:val="115"/>
                <w:sz w:val="12"/>
              </w:rPr>
              <w:t>t=2.55</w:t>
            </w:r>
          </w:p>
        </w:tc>
      </w:tr>
      <w:tr>
        <w:trPr>
          <w:trHeight w:val="151" w:hRule="exact"/>
        </w:trPr>
        <w:tc>
          <w:tcPr>
            <w:tcW w:w="938" w:type="dxa"/>
            <w:vMerge/>
            <w:tcBorders>
              <w:left w:val="single" w:sz="3" w:space="0" w:color="000000"/>
              <w:right w:val="single" w:sz="2" w:space="0" w:color="000000"/>
            </w:tcBorders>
          </w:tcPr>
          <w:p>
            <w:pPr/>
          </w:p>
        </w:tc>
        <w:tc>
          <w:tcPr>
            <w:tcW w:w="725" w:type="dxa"/>
            <w:tcBorders>
              <w:left w:val="single" w:sz="2" w:space="0" w:color="000000"/>
              <w:right w:val="single" w:sz="2" w:space="0" w:color="000000"/>
            </w:tcBorders>
          </w:tcPr>
          <w:p>
            <w:pPr>
              <w:pStyle w:val="TableParagraph"/>
              <w:spacing w:line="144" w:lineRule="exact"/>
              <w:ind w:right="87"/>
              <w:rPr>
                <w:rFonts w:ascii="Calibri"/>
                <w:sz w:val="12"/>
              </w:rPr>
            </w:pPr>
            <w:r>
              <w:rPr>
                <w:rFonts w:ascii="Calibri"/>
                <w:w w:val="115"/>
                <w:sz w:val="12"/>
              </w:rPr>
              <w:t>p= 0.040</w:t>
            </w:r>
          </w:p>
        </w:tc>
        <w:tc>
          <w:tcPr>
            <w:tcW w:w="848" w:type="dxa"/>
            <w:tcBorders>
              <w:left w:val="single" w:sz="2" w:space="0" w:color="000000"/>
              <w:right w:val="single" w:sz="3" w:space="0" w:color="000000"/>
            </w:tcBorders>
          </w:tcPr>
          <w:p>
            <w:pPr>
              <w:pStyle w:val="TableParagraph"/>
              <w:spacing w:line="144" w:lineRule="exact"/>
              <w:ind w:right="84"/>
              <w:rPr>
                <w:rFonts w:ascii="Calibri"/>
                <w:sz w:val="12"/>
              </w:rPr>
            </w:pPr>
            <w:r>
              <w:rPr>
                <w:rFonts w:ascii="Calibri"/>
                <w:w w:val="115"/>
                <w:sz w:val="12"/>
              </w:rPr>
              <w:t>p= 0.040</w:t>
            </w:r>
          </w:p>
        </w:tc>
        <w:tc>
          <w:tcPr>
            <w:tcW w:w="846" w:type="dxa"/>
            <w:tcBorders>
              <w:left w:val="single" w:sz="3" w:space="0" w:color="000000"/>
              <w:right w:val="single" w:sz="2" w:space="0" w:color="000000"/>
            </w:tcBorders>
          </w:tcPr>
          <w:p>
            <w:pPr>
              <w:pStyle w:val="TableParagraph"/>
              <w:spacing w:line="144" w:lineRule="exact"/>
              <w:ind w:right="84"/>
              <w:rPr>
                <w:rFonts w:ascii="Calibri"/>
                <w:sz w:val="12"/>
              </w:rPr>
            </w:pPr>
            <w:r>
              <w:rPr>
                <w:rFonts w:ascii="Calibri"/>
                <w:w w:val="115"/>
                <w:sz w:val="12"/>
              </w:rPr>
              <w:t>p= 0.321</w:t>
            </w:r>
          </w:p>
        </w:tc>
        <w:tc>
          <w:tcPr>
            <w:tcW w:w="725" w:type="dxa"/>
            <w:tcBorders>
              <w:left w:val="single" w:sz="2" w:space="0" w:color="000000"/>
              <w:right w:val="single" w:sz="2" w:space="0" w:color="000000"/>
            </w:tcBorders>
          </w:tcPr>
          <w:p>
            <w:pPr>
              <w:pStyle w:val="TableParagraph"/>
              <w:spacing w:line="144" w:lineRule="exact"/>
              <w:ind w:right="84"/>
              <w:rPr>
                <w:rFonts w:ascii="Calibri"/>
                <w:sz w:val="12"/>
              </w:rPr>
            </w:pPr>
            <w:r>
              <w:rPr>
                <w:rFonts w:ascii="Calibri"/>
                <w:w w:val="115"/>
                <w:sz w:val="12"/>
              </w:rPr>
              <w:t>p=0.160</w:t>
            </w:r>
          </w:p>
        </w:tc>
        <w:tc>
          <w:tcPr>
            <w:tcW w:w="850" w:type="dxa"/>
            <w:tcBorders>
              <w:left w:val="single" w:sz="2" w:space="0" w:color="000000"/>
              <w:right w:val="single" w:sz="3" w:space="0" w:color="000000"/>
            </w:tcBorders>
          </w:tcPr>
          <w:p>
            <w:pPr>
              <w:pStyle w:val="TableParagraph"/>
              <w:spacing w:line="144" w:lineRule="exact"/>
              <w:ind w:right="86"/>
              <w:rPr>
                <w:rFonts w:ascii="Calibri"/>
                <w:sz w:val="12"/>
              </w:rPr>
            </w:pPr>
            <w:r>
              <w:rPr>
                <w:rFonts w:ascii="Calibri"/>
                <w:w w:val="115"/>
                <w:sz w:val="12"/>
              </w:rPr>
              <w:t>p=0.155</w:t>
            </w:r>
          </w:p>
        </w:tc>
        <w:tc>
          <w:tcPr>
            <w:tcW w:w="844" w:type="dxa"/>
            <w:tcBorders>
              <w:left w:val="single" w:sz="3" w:space="0" w:color="000000"/>
              <w:right w:val="single" w:sz="2" w:space="0" w:color="000000"/>
            </w:tcBorders>
          </w:tcPr>
          <w:p>
            <w:pPr>
              <w:pStyle w:val="TableParagraph"/>
              <w:spacing w:line="144" w:lineRule="exact"/>
              <w:ind w:right="84"/>
              <w:rPr>
                <w:rFonts w:ascii="Calibri"/>
                <w:sz w:val="12"/>
              </w:rPr>
            </w:pPr>
            <w:r>
              <w:rPr>
                <w:rFonts w:ascii="Calibri"/>
                <w:w w:val="115"/>
                <w:sz w:val="12"/>
              </w:rPr>
              <w:t>p=0.168</w:t>
            </w:r>
          </w:p>
        </w:tc>
        <w:tc>
          <w:tcPr>
            <w:tcW w:w="725" w:type="dxa"/>
            <w:tcBorders>
              <w:left w:val="single" w:sz="2" w:space="0" w:color="000000"/>
              <w:right w:val="single" w:sz="2" w:space="0" w:color="000000"/>
            </w:tcBorders>
          </w:tcPr>
          <w:p>
            <w:pPr>
              <w:pStyle w:val="TableParagraph"/>
              <w:spacing w:line="144" w:lineRule="exact"/>
              <w:ind w:right="84"/>
              <w:rPr>
                <w:rFonts w:ascii="Calibri"/>
                <w:sz w:val="12"/>
              </w:rPr>
            </w:pPr>
            <w:r>
              <w:rPr>
                <w:rFonts w:ascii="Calibri"/>
                <w:w w:val="115"/>
                <w:sz w:val="12"/>
              </w:rPr>
              <w:t>p=0.010</w:t>
            </w:r>
          </w:p>
        </w:tc>
        <w:tc>
          <w:tcPr>
            <w:tcW w:w="850" w:type="dxa"/>
            <w:tcBorders>
              <w:left w:val="single" w:sz="2" w:space="0" w:color="000000"/>
              <w:right w:val="single" w:sz="3" w:space="0" w:color="000000"/>
            </w:tcBorders>
          </w:tcPr>
          <w:p>
            <w:pPr>
              <w:pStyle w:val="TableParagraph"/>
              <w:spacing w:line="144" w:lineRule="exact"/>
              <w:ind w:right="86"/>
              <w:rPr>
                <w:rFonts w:ascii="Calibri"/>
                <w:sz w:val="12"/>
              </w:rPr>
            </w:pPr>
            <w:r>
              <w:rPr>
                <w:rFonts w:ascii="Calibri"/>
                <w:w w:val="115"/>
                <w:sz w:val="12"/>
              </w:rPr>
              <w:t>p=0.008</w:t>
            </w:r>
          </w:p>
        </w:tc>
        <w:tc>
          <w:tcPr>
            <w:tcW w:w="725" w:type="dxa"/>
            <w:tcBorders>
              <w:left w:val="single" w:sz="3" w:space="0" w:color="000000"/>
              <w:right w:val="single" w:sz="3" w:space="0" w:color="000000"/>
            </w:tcBorders>
          </w:tcPr>
          <w:p>
            <w:pPr>
              <w:pStyle w:val="TableParagraph"/>
              <w:spacing w:line="144" w:lineRule="exact"/>
              <w:ind w:right="84"/>
              <w:rPr>
                <w:rFonts w:ascii="Calibri"/>
                <w:sz w:val="12"/>
              </w:rPr>
            </w:pPr>
            <w:r>
              <w:rPr>
                <w:rFonts w:ascii="Calibri"/>
                <w:w w:val="115"/>
                <w:sz w:val="12"/>
              </w:rPr>
              <w:t>p=0.013</w:t>
            </w:r>
          </w:p>
        </w:tc>
      </w:tr>
      <w:tr>
        <w:trPr>
          <w:trHeight w:val="153" w:hRule="exact"/>
        </w:trPr>
        <w:tc>
          <w:tcPr>
            <w:tcW w:w="938" w:type="dxa"/>
            <w:tcBorders>
              <w:left w:val="single" w:sz="3" w:space="0" w:color="000000"/>
              <w:right w:val="single" w:sz="2" w:space="0" w:color="000000"/>
            </w:tcBorders>
          </w:tcPr>
          <w:p>
            <w:pPr>
              <w:pStyle w:val="TableParagraph"/>
              <w:spacing w:line="147" w:lineRule="exact"/>
              <w:ind w:left="314" w:right="314"/>
              <w:jc w:val="center"/>
              <w:rPr>
                <w:rFonts w:ascii="Calibri"/>
                <w:b/>
                <w:sz w:val="7"/>
              </w:rPr>
            </w:pPr>
            <w:r>
              <w:rPr>
                <w:rFonts w:ascii="Calibri"/>
                <w:b/>
                <w:w w:val="120"/>
                <w:position w:val="-5"/>
                <w:sz w:val="12"/>
              </w:rPr>
              <w:t>R</w:t>
            </w:r>
            <w:r>
              <w:rPr>
                <w:rFonts w:ascii="Calibri"/>
                <w:b/>
                <w:w w:val="120"/>
                <w:sz w:val="7"/>
              </w:rPr>
              <w:t>2</w:t>
            </w:r>
          </w:p>
        </w:tc>
        <w:tc>
          <w:tcPr>
            <w:tcW w:w="725" w:type="dxa"/>
            <w:tcBorders>
              <w:left w:val="single" w:sz="2" w:space="0" w:color="000000"/>
              <w:right w:val="single" w:sz="2" w:space="0" w:color="000000"/>
            </w:tcBorders>
          </w:tcPr>
          <w:p>
            <w:pPr>
              <w:pStyle w:val="TableParagraph"/>
              <w:spacing w:line="146" w:lineRule="exact"/>
              <w:ind w:right="86"/>
              <w:rPr>
                <w:rFonts w:ascii="Calibri"/>
                <w:sz w:val="12"/>
              </w:rPr>
            </w:pPr>
            <w:r>
              <w:rPr>
                <w:rFonts w:ascii="Calibri"/>
                <w:w w:val="110"/>
                <w:sz w:val="12"/>
              </w:rPr>
              <w:t>0.037</w:t>
            </w:r>
          </w:p>
        </w:tc>
        <w:tc>
          <w:tcPr>
            <w:tcW w:w="848" w:type="dxa"/>
            <w:tcBorders>
              <w:left w:val="single" w:sz="2" w:space="0" w:color="000000"/>
              <w:right w:val="single" w:sz="3" w:space="0" w:color="000000"/>
            </w:tcBorders>
          </w:tcPr>
          <w:p>
            <w:pPr>
              <w:pStyle w:val="TableParagraph"/>
              <w:spacing w:line="146" w:lineRule="exact"/>
              <w:ind w:right="84"/>
              <w:rPr>
                <w:rFonts w:ascii="Calibri"/>
                <w:sz w:val="12"/>
              </w:rPr>
            </w:pPr>
            <w:r>
              <w:rPr>
                <w:rFonts w:ascii="Calibri"/>
                <w:w w:val="115"/>
                <w:sz w:val="12"/>
              </w:rPr>
              <w:t>0.365</w:t>
            </w:r>
          </w:p>
        </w:tc>
        <w:tc>
          <w:tcPr>
            <w:tcW w:w="846" w:type="dxa"/>
            <w:tcBorders>
              <w:left w:val="single" w:sz="3" w:space="0" w:color="000000"/>
              <w:right w:val="single" w:sz="2" w:space="0" w:color="000000"/>
            </w:tcBorders>
          </w:tcPr>
          <w:p>
            <w:pPr>
              <w:pStyle w:val="TableParagraph"/>
              <w:spacing w:line="146" w:lineRule="exact"/>
              <w:ind w:right="84"/>
              <w:rPr>
                <w:rFonts w:ascii="Calibri"/>
                <w:sz w:val="12"/>
              </w:rPr>
            </w:pPr>
            <w:r>
              <w:rPr>
                <w:rFonts w:ascii="Calibri"/>
                <w:w w:val="115"/>
                <w:sz w:val="12"/>
              </w:rPr>
              <w:t>0.037</w:t>
            </w:r>
          </w:p>
        </w:tc>
        <w:tc>
          <w:tcPr>
            <w:tcW w:w="725" w:type="dxa"/>
            <w:tcBorders>
              <w:left w:val="single" w:sz="2" w:space="0" w:color="000000"/>
              <w:right w:val="single" w:sz="2" w:space="0" w:color="000000"/>
            </w:tcBorders>
          </w:tcPr>
          <w:p>
            <w:pPr>
              <w:pStyle w:val="TableParagraph"/>
              <w:spacing w:line="146" w:lineRule="exact"/>
              <w:ind w:right="84"/>
              <w:rPr>
                <w:rFonts w:ascii="Calibri"/>
                <w:sz w:val="12"/>
              </w:rPr>
            </w:pPr>
            <w:r>
              <w:rPr>
                <w:rFonts w:ascii="Calibri"/>
                <w:w w:val="110"/>
                <w:sz w:val="12"/>
              </w:rPr>
              <w:t>0.149</w:t>
            </w:r>
          </w:p>
        </w:tc>
        <w:tc>
          <w:tcPr>
            <w:tcW w:w="850" w:type="dxa"/>
            <w:tcBorders>
              <w:left w:val="single" w:sz="2" w:space="0" w:color="000000"/>
              <w:right w:val="single" w:sz="3" w:space="0" w:color="000000"/>
            </w:tcBorders>
          </w:tcPr>
          <w:p>
            <w:pPr>
              <w:pStyle w:val="TableParagraph"/>
              <w:spacing w:line="146" w:lineRule="exact"/>
              <w:ind w:right="86"/>
              <w:rPr>
                <w:rFonts w:ascii="Calibri"/>
                <w:sz w:val="12"/>
              </w:rPr>
            </w:pPr>
            <w:r>
              <w:rPr>
                <w:rFonts w:ascii="Calibri"/>
                <w:w w:val="115"/>
                <w:sz w:val="12"/>
              </w:rPr>
              <w:t>0.149</w:t>
            </w:r>
          </w:p>
        </w:tc>
        <w:tc>
          <w:tcPr>
            <w:tcW w:w="844" w:type="dxa"/>
            <w:tcBorders>
              <w:left w:val="single" w:sz="3" w:space="0" w:color="000000"/>
              <w:right w:val="single" w:sz="2" w:space="0" w:color="000000"/>
            </w:tcBorders>
          </w:tcPr>
          <w:p>
            <w:pPr>
              <w:pStyle w:val="TableParagraph"/>
              <w:spacing w:line="146" w:lineRule="exact"/>
              <w:ind w:right="84"/>
              <w:rPr>
                <w:rFonts w:ascii="Calibri"/>
                <w:sz w:val="12"/>
              </w:rPr>
            </w:pPr>
            <w:r>
              <w:rPr>
                <w:rFonts w:ascii="Calibri"/>
                <w:w w:val="115"/>
                <w:sz w:val="12"/>
              </w:rPr>
              <w:t>0.149</w:t>
            </w:r>
          </w:p>
        </w:tc>
        <w:tc>
          <w:tcPr>
            <w:tcW w:w="725" w:type="dxa"/>
            <w:tcBorders>
              <w:left w:val="single" w:sz="2" w:space="0" w:color="000000"/>
              <w:right w:val="single" w:sz="2" w:space="0" w:color="000000"/>
            </w:tcBorders>
          </w:tcPr>
          <w:p>
            <w:pPr>
              <w:pStyle w:val="TableParagraph"/>
              <w:spacing w:line="146" w:lineRule="exact"/>
              <w:ind w:right="84"/>
              <w:rPr>
                <w:rFonts w:ascii="Calibri"/>
                <w:sz w:val="12"/>
              </w:rPr>
            </w:pPr>
            <w:r>
              <w:rPr>
                <w:rFonts w:ascii="Calibri"/>
                <w:w w:val="110"/>
                <w:sz w:val="12"/>
              </w:rPr>
              <w:t>0.075</w:t>
            </w:r>
          </w:p>
        </w:tc>
        <w:tc>
          <w:tcPr>
            <w:tcW w:w="850" w:type="dxa"/>
            <w:tcBorders>
              <w:left w:val="single" w:sz="2" w:space="0" w:color="000000"/>
              <w:right w:val="single" w:sz="3" w:space="0" w:color="000000"/>
            </w:tcBorders>
          </w:tcPr>
          <w:p>
            <w:pPr>
              <w:pStyle w:val="TableParagraph"/>
              <w:spacing w:line="146" w:lineRule="exact"/>
              <w:ind w:right="86"/>
              <w:rPr>
                <w:rFonts w:ascii="Calibri"/>
                <w:sz w:val="12"/>
              </w:rPr>
            </w:pPr>
            <w:r>
              <w:rPr>
                <w:rFonts w:ascii="Calibri"/>
                <w:w w:val="115"/>
                <w:sz w:val="12"/>
              </w:rPr>
              <w:t>0.064</w:t>
            </w:r>
          </w:p>
        </w:tc>
        <w:tc>
          <w:tcPr>
            <w:tcW w:w="725" w:type="dxa"/>
            <w:tcBorders>
              <w:left w:val="single" w:sz="3" w:space="0" w:color="000000"/>
              <w:right w:val="single" w:sz="3" w:space="0" w:color="000000"/>
            </w:tcBorders>
          </w:tcPr>
          <w:p>
            <w:pPr>
              <w:pStyle w:val="TableParagraph"/>
              <w:spacing w:line="146" w:lineRule="exact"/>
              <w:ind w:right="84"/>
              <w:rPr>
                <w:rFonts w:ascii="Calibri"/>
                <w:sz w:val="12"/>
              </w:rPr>
            </w:pPr>
            <w:r>
              <w:rPr>
                <w:rFonts w:ascii="Calibri"/>
                <w:w w:val="115"/>
                <w:sz w:val="12"/>
              </w:rPr>
              <w:t>0.064</w:t>
            </w:r>
          </w:p>
        </w:tc>
      </w:tr>
      <w:tr>
        <w:trPr>
          <w:trHeight w:val="152" w:hRule="exact"/>
        </w:trPr>
        <w:tc>
          <w:tcPr>
            <w:tcW w:w="938" w:type="dxa"/>
            <w:tcBorders>
              <w:left w:val="single" w:sz="3" w:space="0" w:color="000000"/>
              <w:right w:val="single" w:sz="2" w:space="0" w:color="000000"/>
            </w:tcBorders>
          </w:tcPr>
          <w:p>
            <w:pPr>
              <w:pStyle w:val="TableParagraph"/>
              <w:spacing w:line="144" w:lineRule="exact"/>
              <w:ind w:left="314" w:right="315"/>
              <w:jc w:val="center"/>
              <w:rPr>
                <w:rFonts w:ascii="Calibri"/>
                <w:b/>
                <w:sz w:val="7"/>
              </w:rPr>
            </w:pPr>
            <w:r>
              <w:rPr>
                <w:rFonts w:ascii="Calibri"/>
                <w:b/>
                <w:w w:val="115"/>
                <w:sz w:val="12"/>
              </w:rPr>
              <w:t>Chi</w:t>
            </w:r>
            <w:r>
              <w:rPr>
                <w:rFonts w:ascii="Calibri"/>
                <w:b/>
                <w:w w:val="115"/>
                <w:position w:val="6"/>
                <w:sz w:val="7"/>
              </w:rPr>
              <w:t>2</w:t>
            </w:r>
          </w:p>
        </w:tc>
        <w:tc>
          <w:tcPr>
            <w:tcW w:w="725" w:type="dxa"/>
            <w:tcBorders>
              <w:left w:val="single" w:sz="2" w:space="0" w:color="000000"/>
              <w:right w:val="single" w:sz="2" w:space="0" w:color="000000"/>
            </w:tcBorders>
          </w:tcPr>
          <w:p>
            <w:pPr/>
          </w:p>
        </w:tc>
        <w:tc>
          <w:tcPr>
            <w:tcW w:w="848" w:type="dxa"/>
            <w:tcBorders>
              <w:left w:val="single" w:sz="2" w:space="0" w:color="000000"/>
              <w:right w:val="single" w:sz="3" w:space="0" w:color="000000"/>
            </w:tcBorders>
          </w:tcPr>
          <w:p>
            <w:pPr>
              <w:pStyle w:val="TableParagraph"/>
              <w:spacing w:line="144" w:lineRule="exact"/>
              <w:ind w:right="84"/>
              <w:rPr>
                <w:rFonts w:ascii="Calibri"/>
                <w:sz w:val="12"/>
              </w:rPr>
            </w:pPr>
            <w:r>
              <w:rPr>
                <w:rFonts w:ascii="Calibri"/>
                <w:w w:val="115"/>
                <w:sz w:val="12"/>
              </w:rPr>
              <w:t>0.111</w:t>
            </w:r>
          </w:p>
        </w:tc>
        <w:tc>
          <w:tcPr>
            <w:tcW w:w="846" w:type="dxa"/>
            <w:tcBorders>
              <w:left w:val="single" w:sz="3" w:space="0" w:color="000000"/>
              <w:right w:val="single" w:sz="2" w:space="0" w:color="000000"/>
            </w:tcBorders>
          </w:tcPr>
          <w:p>
            <w:pPr/>
          </w:p>
        </w:tc>
        <w:tc>
          <w:tcPr>
            <w:tcW w:w="725" w:type="dxa"/>
            <w:tcBorders>
              <w:left w:val="single" w:sz="2" w:space="0" w:color="000000"/>
              <w:right w:val="single" w:sz="2" w:space="0" w:color="000000"/>
            </w:tcBorders>
          </w:tcPr>
          <w:p>
            <w:pPr/>
          </w:p>
        </w:tc>
        <w:tc>
          <w:tcPr>
            <w:tcW w:w="850" w:type="dxa"/>
            <w:tcBorders>
              <w:left w:val="single" w:sz="2" w:space="0" w:color="000000"/>
              <w:right w:val="single" w:sz="3" w:space="0" w:color="000000"/>
            </w:tcBorders>
          </w:tcPr>
          <w:p>
            <w:pPr>
              <w:pStyle w:val="TableParagraph"/>
              <w:spacing w:line="144" w:lineRule="exact"/>
              <w:ind w:right="86"/>
              <w:rPr>
                <w:rFonts w:ascii="Calibri"/>
                <w:sz w:val="12"/>
              </w:rPr>
            </w:pPr>
            <w:r>
              <w:rPr>
                <w:rFonts w:ascii="Calibri"/>
                <w:w w:val="115"/>
                <w:sz w:val="12"/>
              </w:rPr>
              <w:t>0.129</w:t>
            </w:r>
          </w:p>
        </w:tc>
        <w:tc>
          <w:tcPr>
            <w:tcW w:w="844" w:type="dxa"/>
            <w:tcBorders>
              <w:left w:val="single" w:sz="3" w:space="0" w:color="000000"/>
              <w:right w:val="single" w:sz="2" w:space="0" w:color="000000"/>
            </w:tcBorders>
          </w:tcPr>
          <w:p>
            <w:pPr/>
          </w:p>
        </w:tc>
        <w:tc>
          <w:tcPr>
            <w:tcW w:w="725" w:type="dxa"/>
            <w:tcBorders>
              <w:left w:val="single" w:sz="2" w:space="0" w:color="000000"/>
              <w:right w:val="single" w:sz="2" w:space="0" w:color="000000"/>
            </w:tcBorders>
          </w:tcPr>
          <w:p>
            <w:pPr/>
          </w:p>
        </w:tc>
        <w:tc>
          <w:tcPr>
            <w:tcW w:w="850" w:type="dxa"/>
            <w:tcBorders>
              <w:left w:val="single" w:sz="2" w:space="0" w:color="000000"/>
              <w:right w:val="single" w:sz="3" w:space="0" w:color="000000"/>
            </w:tcBorders>
          </w:tcPr>
          <w:p>
            <w:pPr>
              <w:pStyle w:val="TableParagraph"/>
              <w:spacing w:line="144" w:lineRule="exact"/>
              <w:ind w:right="86"/>
              <w:rPr>
                <w:rFonts w:ascii="Calibri"/>
                <w:sz w:val="12"/>
              </w:rPr>
            </w:pPr>
            <w:r>
              <w:rPr>
                <w:rFonts w:ascii="Calibri"/>
                <w:w w:val="115"/>
                <w:sz w:val="12"/>
              </w:rPr>
              <w:t>0.049</w:t>
            </w:r>
          </w:p>
        </w:tc>
        <w:tc>
          <w:tcPr>
            <w:tcW w:w="725" w:type="dxa"/>
            <w:tcBorders>
              <w:left w:val="single" w:sz="3" w:space="0" w:color="000000"/>
              <w:right w:val="single" w:sz="3" w:space="0" w:color="000000"/>
            </w:tcBorders>
          </w:tcPr>
          <w:p>
            <w:pPr/>
          </w:p>
        </w:tc>
      </w:tr>
      <w:tr>
        <w:trPr>
          <w:trHeight w:val="153" w:hRule="exact"/>
        </w:trPr>
        <w:tc>
          <w:tcPr>
            <w:tcW w:w="938" w:type="dxa"/>
            <w:tcBorders>
              <w:left w:val="single" w:sz="3" w:space="0" w:color="000000"/>
              <w:right w:val="single" w:sz="2" w:space="0" w:color="000000"/>
            </w:tcBorders>
          </w:tcPr>
          <w:p>
            <w:pPr>
              <w:pStyle w:val="TableParagraph"/>
              <w:spacing w:line="146" w:lineRule="exact"/>
              <w:jc w:val="center"/>
              <w:rPr>
                <w:rFonts w:ascii="Calibri"/>
                <w:b/>
                <w:sz w:val="12"/>
              </w:rPr>
            </w:pPr>
            <w:r>
              <w:rPr>
                <w:rFonts w:ascii="Calibri"/>
                <w:b/>
                <w:w w:val="114"/>
                <w:sz w:val="12"/>
              </w:rPr>
              <w:t>F</w:t>
            </w:r>
          </w:p>
        </w:tc>
        <w:tc>
          <w:tcPr>
            <w:tcW w:w="725" w:type="dxa"/>
            <w:tcBorders>
              <w:left w:val="single" w:sz="2" w:space="0" w:color="000000"/>
              <w:right w:val="nil"/>
            </w:tcBorders>
          </w:tcPr>
          <w:p>
            <w:pPr/>
          </w:p>
        </w:tc>
        <w:tc>
          <w:tcPr>
            <w:tcW w:w="848" w:type="dxa"/>
            <w:tcBorders>
              <w:left w:val="nil"/>
              <w:right w:val="single" w:sz="3" w:space="0" w:color="000000"/>
            </w:tcBorders>
          </w:tcPr>
          <w:p>
            <w:pPr/>
          </w:p>
        </w:tc>
        <w:tc>
          <w:tcPr>
            <w:tcW w:w="846" w:type="dxa"/>
            <w:tcBorders>
              <w:left w:val="single" w:sz="3" w:space="0" w:color="000000"/>
              <w:right w:val="single" w:sz="2" w:space="0" w:color="000000"/>
            </w:tcBorders>
          </w:tcPr>
          <w:p>
            <w:pPr>
              <w:pStyle w:val="TableParagraph"/>
              <w:spacing w:line="146" w:lineRule="exact"/>
              <w:ind w:right="84"/>
              <w:rPr>
                <w:rFonts w:ascii="Calibri"/>
                <w:sz w:val="12"/>
              </w:rPr>
            </w:pPr>
            <w:r>
              <w:rPr>
                <w:rFonts w:ascii="Calibri"/>
                <w:w w:val="110"/>
                <w:sz w:val="12"/>
              </w:rPr>
              <w:t>0.990</w:t>
            </w:r>
          </w:p>
        </w:tc>
        <w:tc>
          <w:tcPr>
            <w:tcW w:w="725" w:type="dxa"/>
            <w:tcBorders>
              <w:left w:val="single" w:sz="2" w:space="0" w:color="000000"/>
              <w:right w:val="nil"/>
            </w:tcBorders>
          </w:tcPr>
          <w:p>
            <w:pPr/>
          </w:p>
        </w:tc>
        <w:tc>
          <w:tcPr>
            <w:tcW w:w="850" w:type="dxa"/>
            <w:tcBorders>
              <w:left w:val="nil"/>
              <w:right w:val="single" w:sz="3" w:space="0" w:color="000000"/>
            </w:tcBorders>
          </w:tcPr>
          <w:p>
            <w:pPr/>
          </w:p>
        </w:tc>
        <w:tc>
          <w:tcPr>
            <w:tcW w:w="844" w:type="dxa"/>
            <w:tcBorders>
              <w:left w:val="single" w:sz="3" w:space="0" w:color="000000"/>
              <w:right w:val="single" w:sz="2" w:space="0" w:color="000000"/>
            </w:tcBorders>
          </w:tcPr>
          <w:p>
            <w:pPr>
              <w:pStyle w:val="TableParagraph"/>
              <w:spacing w:line="146" w:lineRule="exact"/>
              <w:ind w:right="84"/>
              <w:rPr>
                <w:rFonts w:ascii="Calibri"/>
                <w:sz w:val="12"/>
              </w:rPr>
            </w:pPr>
            <w:r>
              <w:rPr>
                <w:rFonts w:ascii="Calibri"/>
                <w:w w:val="110"/>
                <w:sz w:val="12"/>
              </w:rPr>
              <w:t>0.949</w:t>
            </w:r>
          </w:p>
        </w:tc>
        <w:tc>
          <w:tcPr>
            <w:tcW w:w="725" w:type="dxa"/>
            <w:tcBorders>
              <w:left w:val="single" w:sz="2" w:space="0" w:color="000000"/>
              <w:right w:val="nil"/>
            </w:tcBorders>
          </w:tcPr>
          <w:p>
            <w:pPr/>
          </w:p>
        </w:tc>
        <w:tc>
          <w:tcPr>
            <w:tcW w:w="850" w:type="dxa"/>
            <w:tcBorders>
              <w:left w:val="nil"/>
              <w:right w:val="single" w:sz="3" w:space="0" w:color="000000"/>
            </w:tcBorders>
          </w:tcPr>
          <w:p>
            <w:pPr/>
          </w:p>
        </w:tc>
        <w:tc>
          <w:tcPr>
            <w:tcW w:w="725" w:type="dxa"/>
            <w:tcBorders>
              <w:left w:val="single" w:sz="3" w:space="0" w:color="000000"/>
              <w:right w:val="single" w:sz="3" w:space="0" w:color="000000"/>
            </w:tcBorders>
          </w:tcPr>
          <w:p>
            <w:pPr>
              <w:pStyle w:val="TableParagraph"/>
              <w:spacing w:line="146" w:lineRule="exact"/>
              <w:ind w:right="84"/>
              <w:rPr>
                <w:rFonts w:ascii="Calibri"/>
                <w:sz w:val="12"/>
              </w:rPr>
            </w:pPr>
            <w:r>
              <w:rPr>
                <w:rFonts w:ascii="Calibri"/>
                <w:w w:val="110"/>
                <w:sz w:val="12"/>
              </w:rPr>
              <w:t>0.989</w:t>
            </w:r>
          </w:p>
        </w:tc>
      </w:tr>
    </w:tbl>
    <w:p>
      <w:pPr>
        <w:spacing w:after="0" w:line="146" w:lineRule="exact"/>
        <w:rPr>
          <w:rFonts w:ascii="Calibri"/>
          <w:sz w:val="12"/>
        </w:rPr>
        <w:sectPr>
          <w:pgSz w:w="12240" w:h="15840"/>
          <w:pgMar w:header="0" w:footer="1003" w:top="1360" w:bottom="1200" w:left="1600" w:right="1580"/>
        </w:sectPr>
      </w:pPr>
    </w:p>
    <w:p>
      <w:pPr>
        <w:spacing w:before="36"/>
        <w:ind w:left="785" w:right="188" w:firstLine="0"/>
        <w:jc w:val="left"/>
        <w:rPr>
          <w:rFonts w:ascii="Calibri"/>
          <w:b/>
          <w:sz w:val="17"/>
        </w:rPr>
      </w:pPr>
      <w:r>
        <w:rPr>
          <w:rFonts w:ascii="Calibri"/>
          <w:b/>
          <w:w w:val="110"/>
          <w:sz w:val="17"/>
        </w:rPr>
        <w:t>Modelo 3</w:t>
      </w:r>
    </w:p>
    <w:p>
      <w:pPr>
        <w:pStyle w:val="BodyText"/>
        <w:spacing w:before="5"/>
        <w:rPr>
          <w:rFonts w:ascii="Calibri"/>
          <w:b/>
          <w:sz w:val="15"/>
        </w:rPr>
      </w:pPr>
    </w:p>
    <w:p>
      <w:pPr>
        <w:spacing w:before="0"/>
        <w:ind w:left="785" w:right="188" w:firstLine="0"/>
        <w:jc w:val="left"/>
        <w:rPr>
          <w:rFonts w:ascii="Arial" w:hAnsi="Arial"/>
          <w:sz w:val="12"/>
        </w:rPr>
      </w:pPr>
      <w:r>
        <w:rPr>
          <w:rFonts w:ascii="Arial" w:hAnsi="Arial"/>
          <w:w w:val="115"/>
          <w:sz w:val="18"/>
        </w:rPr>
        <w:t>ẏ = α</w:t>
      </w:r>
      <w:r>
        <w:rPr>
          <w:rFonts w:ascii="Arial" w:hAnsi="Arial"/>
          <w:w w:val="115"/>
          <w:position w:val="-1"/>
          <w:sz w:val="12"/>
        </w:rPr>
        <w:t>i  </w:t>
      </w:r>
      <w:r>
        <w:rPr>
          <w:rFonts w:ascii="Arial" w:hAnsi="Arial"/>
          <w:w w:val="115"/>
          <w:sz w:val="18"/>
        </w:rPr>
        <w:t>+ α</w:t>
      </w:r>
      <w:r>
        <w:rPr>
          <w:rFonts w:ascii="Arial" w:hAnsi="Arial"/>
          <w:w w:val="115"/>
          <w:position w:val="-1"/>
          <w:sz w:val="12"/>
        </w:rPr>
        <w:t>1 </w:t>
      </w:r>
      <w:r>
        <w:rPr>
          <w:rFonts w:ascii="Arial" w:hAnsi="Arial"/>
          <w:w w:val="115"/>
          <w:sz w:val="18"/>
        </w:rPr>
        <w:t>ẏ</w:t>
      </w:r>
      <w:r>
        <w:rPr>
          <w:rFonts w:ascii="Arial" w:hAnsi="Arial"/>
          <w:w w:val="115"/>
          <w:position w:val="-1"/>
          <w:sz w:val="12"/>
        </w:rPr>
        <w:t>38 </w:t>
      </w:r>
      <w:r>
        <w:rPr>
          <w:rFonts w:ascii="Arial" w:hAnsi="Arial"/>
          <w:w w:val="115"/>
          <w:sz w:val="18"/>
        </w:rPr>
        <w:t>+ </w:t>
      </w:r>
      <w:r>
        <w:rPr>
          <w:rFonts w:ascii="Arial" w:hAnsi="Arial"/>
          <w:i/>
          <w:w w:val="115"/>
          <w:sz w:val="18"/>
        </w:rPr>
        <w:t>v</w:t>
      </w:r>
      <w:r>
        <w:rPr>
          <w:rFonts w:ascii="Arial" w:hAnsi="Arial"/>
          <w:w w:val="115"/>
          <w:position w:val="-1"/>
          <w:sz w:val="12"/>
        </w:rPr>
        <w:t>it</w:t>
      </w:r>
    </w:p>
    <w:p>
      <w:pPr>
        <w:pStyle w:val="BodyText"/>
        <w:rPr>
          <w:rFonts w:ascii="Arial"/>
          <w:sz w:val="17"/>
        </w:rPr>
      </w:pPr>
    </w:p>
    <w:tbl>
      <w:tblPr>
        <w:tblW w:w="0" w:type="auto"/>
        <w:jc w:val="left"/>
        <w:tblInd w:w="69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34"/>
        <w:gridCol w:w="720"/>
        <w:gridCol w:w="840"/>
        <w:gridCol w:w="842"/>
        <w:gridCol w:w="720"/>
        <w:gridCol w:w="842"/>
        <w:gridCol w:w="840"/>
        <w:gridCol w:w="720"/>
        <w:gridCol w:w="842"/>
        <w:gridCol w:w="720"/>
      </w:tblGrid>
      <w:tr>
        <w:trPr>
          <w:trHeight w:val="435" w:hRule="exact"/>
        </w:trPr>
        <w:tc>
          <w:tcPr>
            <w:tcW w:w="934" w:type="dxa"/>
            <w:tcBorders>
              <w:left w:val="single" w:sz="3" w:space="0" w:color="000000"/>
              <w:right w:val="single" w:sz="3" w:space="0" w:color="000000"/>
            </w:tcBorders>
          </w:tcPr>
          <w:p>
            <w:pPr/>
          </w:p>
        </w:tc>
        <w:tc>
          <w:tcPr>
            <w:tcW w:w="2403" w:type="dxa"/>
            <w:gridSpan w:val="3"/>
            <w:tcBorders>
              <w:left w:val="single" w:sz="3" w:space="0" w:color="000000"/>
              <w:right w:val="single" w:sz="3" w:space="0" w:color="000000"/>
            </w:tcBorders>
          </w:tcPr>
          <w:p>
            <w:pPr>
              <w:pStyle w:val="TableParagraph"/>
              <w:spacing w:before="3"/>
              <w:jc w:val="left"/>
              <w:rPr>
                <w:sz w:val="12"/>
              </w:rPr>
            </w:pPr>
          </w:p>
          <w:p>
            <w:pPr>
              <w:pStyle w:val="TableParagraph"/>
              <w:ind w:left="362"/>
              <w:jc w:val="left"/>
              <w:rPr>
                <w:b/>
                <w:sz w:val="12"/>
              </w:rPr>
            </w:pPr>
            <w:r>
              <w:rPr>
                <w:b/>
                <w:w w:val="110"/>
                <w:sz w:val="12"/>
              </w:rPr>
              <w:t>REGIÓN  TOLUCA-LERMA</w:t>
            </w:r>
          </w:p>
        </w:tc>
        <w:tc>
          <w:tcPr>
            <w:tcW w:w="2403" w:type="dxa"/>
            <w:gridSpan w:val="3"/>
            <w:tcBorders>
              <w:left w:val="single" w:sz="3" w:space="0" w:color="000000"/>
              <w:right w:val="single" w:sz="3" w:space="0" w:color="000000"/>
            </w:tcBorders>
          </w:tcPr>
          <w:p>
            <w:pPr>
              <w:pStyle w:val="TableParagraph"/>
              <w:spacing w:before="3"/>
              <w:jc w:val="left"/>
              <w:rPr>
                <w:sz w:val="12"/>
              </w:rPr>
            </w:pPr>
          </w:p>
          <w:p>
            <w:pPr>
              <w:pStyle w:val="TableParagraph"/>
              <w:ind w:left="288"/>
              <w:jc w:val="left"/>
              <w:rPr>
                <w:b/>
                <w:sz w:val="12"/>
              </w:rPr>
            </w:pPr>
            <w:r>
              <w:rPr>
                <w:b/>
                <w:w w:val="115"/>
                <w:sz w:val="12"/>
              </w:rPr>
              <w:t>REGIÓN VALLE DE MÉXICO</w:t>
            </w:r>
          </w:p>
        </w:tc>
        <w:tc>
          <w:tcPr>
            <w:tcW w:w="2282" w:type="dxa"/>
            <w:gridSpan w:val="3"/>
            <w:tcBorders>
              <w:left w:val="single" w:sz="3" w:space="0" w:color="000000"/>
              <w:right w:val="single" w:sz="3" w:space="0" w:color="000000"/>
            </w:tcBorders>
          </w:tcPr>
          <w:p>
            <w:pPr>
              <w:pStyle w:val="TableParagraph"/>
              <w:spacing w:before="3"/>
              <w:jc w:val="left"/>
              <w:rPr>
                <w:sz w:val="12"/>
              </w:rPr>
            </w:pPr>
          </w:p>
          <w:p>
            <w:pPr>
              <w:pStyle w:val="TableParagraph"/>
              <w:ind w:left="510"/>
              <w:jc w:val="left"/>
              <w:rPr>
                <w:b/>
                <w:sz w:val="12"/>
              </w:rPr>
            </w:pPr>
            <w:r>
              <w:rPr>
                <w:b/>
                <w:w w:val="115"/>
                <w:sz w:val="12"/>
              </w:rPr>
              <w:t>AMBAS REGIONES</w:t>
            </w:r>
          </w:p>
        </w:tc>
      </w:tr>
      <w:tr>
        <w:trPr>
          <w:trHeight w:val="408" w:hRule="exact"/>
        </w:trPr>
        <w:tc>
          <w:tcPr>
            <w:tcW w:w="934" w:type="dxa"/>
            <w:tcBorders>
              <w:left w:val="single" w:sz="3" w:space="0" w:color="000000"/>
              <w:right w:val="single" w:sz="3" w:space="0" w:color="000000"/>
            </w:tcBorders>
          </w:tcPr>
          <w:p>
            <w:pPr>
              <w:pStyle w:val="TableParagraph"/>
              <w:spacing w:before="2"/>
              <w:ind w:right="1"/>
              <w:jc w:val="center"/>
              <w:rPr>
                <w:b/>
                <w:sz w:val="18"/>
              </w:rPr>
            </w:pPr>
            <w:r>
              <w:rPr>
                <w:b/>
                <w:w w:val="112"/>
                <w:sz w:val="18"/>
              </w:rPr>
              <w:t>ẏ</w:t>
            </w:r>
          </w:p>
        </w:tc>
        <w:tc>
          <w:tcPr>
            <w:tcW w:w="720" w:type="dxa"/>
            <w:tcBorders>
              <w:left w:val="single" w:sz="3" w:space="0" w:color="000000"/>
              <w:right w:val="single" w:sz="3" w:space="0" w:color="000000"/>
            </w:tcBorders>
          </w:tcPr>
          <w:p>
            <w:pPr>
              <w:pStyle w:val="TableParagraph"/>
              <w:jc w:val="left"/>
              <w:rPr>
                <w:sz w:val="8"/>
              </w:rPr>
            </w:pPr>
          </w:p>
          <w:p>
            <w:pPr>
              <w:pStyle w:val="TableParagraph"/>
              <w:spacing w:before="55"/>
              <w:ind w:left="138"/>
              <w:jc w:val="left"/>
              <w:rPr>
                <w:b/>
                <w:sz w:val="9"/>
              </w:rPr>
            </w:pPr>
            <w:r>
              <w:rPr>
                <w:b/>
                <w:w w:val="115"/>
                <w:sz w:val="9"/>
              </w:rPr>
              <w:t>POOLED</w:t>
            </w:r>
          </w:p>
        </w:tc>
        <w:tc>
          <w:tcPr>
            <w:tcW w:w="840" w:type="dxa"/>
            <w:tcBorders>
              <w:left w:val="single" w:sz="3" w:space="0" w:color="000000"/>
              <w:right w:val="single" w:sz="3" w:space="0" w:color="000000"/>
            </w:tcBorders>
          </w:tcPr>
          <w:p>
            <w:pPr>
              <w:pStyle w:val="TableParagraph"/>
              <w:spacing w:before="1"/>
              <w:jc w:val="left"/>
              <w:rPr>
                <w:sz w:val="8"/>
              </w:rPr>
            </w:pPr>
          </w:p>
          <w:p>
            <w:pPr>
              <w:pStyle w:val="TableParagraph"/>
              <w:spacing w:line="244" w:lineRule="auto"/>
              <w:ind w:left="182" w:right="179" w:firstLine="4"/>
              <w:jc w:val="left"/>
              <w:rPr>
                <w:b/>
                <w:sz w:val="9"/>
              </w:rPr>
            </w:pPr>
            <w:r>
              <w:rPr>
                <w:b/>
                <w:w w:val="110"/>
                <w:sz w:val="9"/>
              </w:rPr>
              <w:t>RANDOM EFFECTS</w:t>
            </w:r>
          </w:p>
        </w:tc>
        <w:tc>
          <w:tcPr>
            <w:tcW w:w="842" w:type="dxa"/>
            <w:tcBorders>
              <w:left w:val="single" w:sz="3" w:space="0" w:color="000000"/>
              <w:right w:val="single" w:sz="3" w:space="0" w:color="000000"/>
            </w:tcBorders>
          </w:tcPr>
          <w:p>
            <w:pPr>
              <w:pStyle w:val="TableParagraph"/>
              <w:spacing w:before="1"/>
              <w:jc w:val="left"/>
              <w:rPr>
                <w:sz w:val="8"/>
              </w:rPr>
            </w:pPr>
          </w:p>
          <w:p>
            <w:pPr>
              <w:pStyle w:val="TableParagraph"/>
              <w:spacing w:line="244" w:lineRule="auto"/>
              <w:ind w:left="185" w:right="178" w:firstLine="83"/>
              <w:jc w:val="left"/>
              <w:rPr>
                <w:b/>
                <w:sz w:val="9"/>
              </w:rPr>
            </w:pPr>
            <w:r>
              <w:rPr>
                <w:b/>
                <w:w w:val="115"/>
                <w:sz w:val="9"/>
              </w:rPr>
              <w:t>FIXED </w:t>
            </w:r>
            <w:r>
              <w:rPr>
                <w:b/>
                <w:w w:val="110"/>
                <w:sz w:val="9"/>
              </w:rPr>
              <w:t>EFFECTS</w:t>
            </w:r>
          </w:p>
        </w:tc>
        <w:tc>
          <w:tcPr>
            <w:tcW w:w="720" w:type="dxa"/>
            <w:tcBorders>
              <w:left w:val="single" w:sz="3" w:space="0" w:color="000000"/>
              <w:right w:val="single" w:sz="3" w:space="0" w:color="000000"/>
            </w:tcBorders>
          </w:tcPr>
          <w:p>
            <w:pPr>
              <w:pStyle w:val="TableParagraph"/>
              <w:jc w:val="left"/>
              <w:rPr>
                <w:sz w:val="8"/>
              </w:rPr>
            </w:pPr>
          </w:p>
          <w:p>
            <w:pPr>
              <w:pStyle w:val="TableParagraph"/>
              <w:spacing w:before="55"/>
              <w:ind w:right="140"/>
              <w:rPr>
                <w:b/>
                <w:sz w:val="9"/>
              </w:rPr>
            </w:pPr>
            <w:r>
              <w:rPr>
                <w:b/>
                <w:w w:val="110"/>
                <w:sz w:val="9"/>
              </w:rPr>
              <w:t>POOLED</w:t>
            </w:r>
          </w:p>
        </w:tc>
        <w:tc>
          <w:tcPr>
            <w:tcW w:w="842" w:type="dxa"/>
            <w:tcBorders>
              <w:left w:val="single" w:sz="3" w:space="0" w:color="000000"/>
              <w:right w:val="single" w:sz="3" w:space="0" w:color="000000"/>
            </w:tcBorders>
          </w:tcPr>
          <w:p>
            <w:pPr>
              <w:pStyle w:val="TableParagraph"/>
              <w:spacing w:before="1"/>
              <w:jc w:val="left"/>
              <w:rPr>
                <w:sz w:val="8"/>
              </w:rPr>
            </w:pPr>
          </w:p>
          <w:p>
            <w:pPr>
              <w:pStyle w:val="TableParagraph"/>
              <w:spacing w:line="244" w:lineRule="auto"/>
              <w:ind w:left="183" w:right="180" w:firstLine="4"/>
              <w:jc w:val="left"/>
              <w:rPr>
                <w:b/>
                <w:sz w:val="9"/>
              </w:rPr>
            </w:pPr>
            <w:r>
              <w:rPr>
                <w:b/>
                <w:w w:val="110"/>
                <w:sz w:val="9"/>
              </w:rPr>
              <w:t>RANDOM EFFECTS</w:t>
            </w:r>
          </w:p>
        </w:tc>
        <w:tc>
          <w:tcPr>
            <w:tcW w:w="840" w:type="dxa"/>
            <w:tcBorders>
              <w:left w:val="single" w:sz="3" w:space="0" w:color="000000"/>
              <w:right w:val="single" w:sz="3" w:space="0" w:color="000000"/>
            </w:tcBorders>
          </w:tcPr>
          <w:p>
            <w:pPr>
              <w:pStyle w:val="TableParagraph"/>
              <w:spacing w:before="1"/>
              <w:jc w:val="left"/>
              <w:rPr>
                <w:sz w:val="8"/>
              </w:rPr>
            </w:pPr>
          </w:p>
          <w:p>
            <w:pPr>
              <w:pStyle w:val="TableParagraph"/>
              <w:spacing w:line="244" w:lineRule="auto"/>
              <w:ind w:left="183" w:right="177" w:firstLine="83"/>
              <w:jc w:val="left"/>
              <w:rPr>
                <w:b/>
                <w:sz w:val="9"/>
              </w:rPr>
            </w:pPr>
            <w:r>
              <w:rPr>
                <w:b/>
                <w:w w:val="115"/>
                <w:sz w:val="9"/>
              </w:rPr>
              <w:t>FIXED </w:t>
            </w:r>
            <w:r>
              <w:rPr>
                <w:b/>
                <w:w w:val="110"/>
                <w:sz w:val="9"/>
              </w:rPr>
              <w:t>EFFECTS</w:t>
            </w:r>
          </w:p>
        </w:tc>
        <w:tc>
          <w:tcPr>
            <w:tcW w:w="720" w:type="dxa"/>
            <w:tcBorders>
              <w:left w:val="single" w:sz="3" w:space="0" w:color="000000"/>
              <w:right w:val="single" w:sz="3" w:space="0" w:color="000000"/>
            </w:tcBorders>
          </w:tcPr>
          <w:p>
            <w:pPr>
              <w:pStyle w:val="TableParagraph"/>
              <w:jc w:val="left"/>
              <w:rPr>
                <w:sz w:val="8"/>
              </w:rPr>
            </w:pPr>
          </w:p>
          <w:p>
            <w:pPr>
              <w:pStyle w:val="TableParagraph"/>
              <w:spacing w:before="55"/>
              <w:ind w:right="140"/>
              <w:rPr>
                <w:b/>
                <w:sz w:val="9"/>
              </w:rPr>
            </w:pPr>
            <w:r>
              <w:rPr>
                <w:b/>
                <w:w w:val="110"/>
                <w:sz w:val="9"/>
              </w:rPr>
              <w:t>POOLED</w:t>
            </w:r>
          </w:p>
        </w:tc>
        <w:tc>
          <w:tcPr>
            <w:tcW w:w="842" w:type="dxa"/>
            <w:tcBorders>
              <w:left w:val="single" w:sz="3" w:space="0" w:color="000000"/>
              <w:right w:val="single" w:sz="3" w:space="0" w:color="000000"/>
            </w:tcBorders>
          </w:tcPr>
          <w:p>
            <w:pPr>
              <w:pStyle w:val="TableParagraph"/>
              <w:spacing w:before="1"/>
              <w:jc w:val="left"/>
              <w:rPr>
                <w:sz w:val="8"/>
              </w:rPr>
            </w:pPr>
          </w:p>
          <w:p>
            <w:pPr>
              <w:pStyle w:val="TableParagraph"/>
              <w:spacing w:line="244" w:lineRule="auto"/>
              <w:ind w:left="183" w:right="180" w:firstLine="4"/>
              <w:jc w:val="left"/>
              <w:rPr>
                <w:b/>
                <w:sz w:val="9"/>
              </w:rPr>
            </w:pPr>
            <w:r>
              <w:rPr>
                <w:b/>
                <w:w w:val="110"/>
                <w:sz w:val="9"/>
              </w:rPr>
              <w:t>RANDOM EFFECTS</w:t>
            </w:r>
          </w:p>
        </w:tc>
        <w:tc>
          <w:tcPr>
            <w:tcW w:w="720" w:type="dxa"/>
            <w:tcBorders>
              <w:left w:val="single" w:sz="3" w:space="0" w:color="000000"/>
              <w:right w:val="single" w:sz="3" w:space="0" w:color="000000"/>
            </w:tcBorders>
          </w:tcPr>
          <w:p>
            <w:pPr>
              <w:pStyle w:val="TableParagraph"/>
              <w:spacing w:before="1"/>
              <w:jc w:val="left"/>
              <w:rPr>
                <w:sz w:val="8"/>
              </w:rPr>
            </w:pPr>
          </w:p>
          <w:p>
            <w:pPr>
              <w:pStyle w:val="TableParagraph"/>
              <w:spacing w:line="244" w:lineRule="auto"/>
              <w:ind w:left="122" w:right="118" w:firstLine="83"/>
              <w:jc w:val="left"/>
              <w:rPr>
                <w:b/>
                <w:sz w:val="9"/>
              </w:rPr>
            </w:pPr>
            <w:r>
              <w:rPr>
                <w:b/>
                <w:w w:val="115"/>
                <w:sz w:val="9"/>
              </w:rPr>
              <w:t>FIXED </w:t>
            </w:r>
            <w:r>
              <w:rPr>
                <w:b/>
                <w:w w:val="110"/>
                <w:sz w:val="9"/>
              </w:rPr>
              <w:t>EFFECTS</w:t>
            </w:r>
          </w:p>
        </w:tc>
      </w:tr>
      <w:tr>
        <w:trPr>
          <w:trHeight w:val="160" w:hRule="exact"/>
        </w:trPr>
        <w:tc>
          <w:tcPr>
            <w:tcW w:w="934" w:type="dxa"/>
            <w:vMerge w:val="restart"/>
            <w:tcBorders>
              <w:left w:val="single" w:sz="3" w:space="0" w:color="000000"/>
              <w:right w:val="single" w:sz="3" w:space="0" w:color="000000"/>
            </w:tcBorders>
          </w:tcPr>
          <w:p>
            <w:pPr>
              <w:pStyle w:val="TableParagraph"/>
              <w:spacing w:before="1"/>
              <w:jc w:val="left"/>
              <w:rPr>
                <w:sz w:val="19"/>
              </w:rPr>
            </w:pPr>
          </w:p>
          <w:p>
            <w:pPr>
              <w:pStyle w:val="TableParagraph"/>
              <w:ind w:left="308" w:right="308"/>
              <w:jc w:val="center"/>
              <w:rPr>
                <w:b/>
                <w:sz w:val="12"/>
              </w:rPr>
            </w:pPr>
            <w:r>
              <w:rPr>
                <w:b/>
                <w:w w:val="115"/>
                <w:position w:val="2"/>
                <w:sz w:val="18"/>
              </w:rPr>
              <w:t>ẏ</w:t>
            </w:r>
            <w:r>
              <w:rPr>
                <w:b/>
                <w:w w:val="115"/>
                <w:sz w:val="12"/>
              </w:rPr>
              <w:t>38</w:t>
            </w:r>
          </w:p>
        </w:tc>
        <w:tc>
          <w:tcPr>
            <w:tcW w:w="720"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0.149</w:t>
            </w:r>
          </w:p>
        </w:tc>
        <w:tc>
          <w:tcPr>
            <w:tcW w:w="84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0.149</w:t>
            </w:r>
          </w:p>
        </w:tc>
        <w:tc>
          <w:tcPr>
            <w:tcW w:w="842"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0.145</w:t>
            </w:r>
          </w:p>
        </w:tc>
        <w:tc>
          <w:tcPr>
            <w:tcW w:w="72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0.330</w:t>
            </w:r>
          </w:p>
        </w:tc>
        <w:tc>
          <w:tcPr>
            <w:tcW w:w="842"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0.330</w:t>
            </w:r>
          </w:p>
        </w:tc>
        <w:tc>
          <w:tcPr>
            <w:tcW w:w="84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0.017</w:t>
            </w:r>
          </w:p>
        </w:tc>
        <w:tc>
          <w:tcPr>
            <w:tcW w:w="72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0.118</w:t>
            </w:r>
          </w:p>
        </w:tc>
        <w:tc>
          <w:tcPr>
            <w:tcW w:w="842" w:type="dxa"/>
            <w:tcBorders>
              <w:left w:val="single" w:sz="3" w:space="0" w:color="000000"/>
              <w:right w:val="single" w:sz="3" w:space="0" w:color="000000"/>
            </w:tcBorders>
          </w:tcPr>
          <w:p>
            <w:pPr>
              <w:pStyle w:val="TableParagraph"/>
              <w:spacing w:before="2"/>
              <w:ind w:right="86"/>
              <w:rPr>
                <w:rFonts w:ascii="Calibri"/>
                <w:sz w:val="12"/>
              </w:rPr>
            </w:pPr>
            <w:r>
              <w:rPr>
                <w:rFonts w:ascii="Calibri"/>
                <w:w w:val="110"/>
                <w:sz w:val="12"/>
              </w:rPr>
              <w:t>0.118</w:t>
            </w:r>
          </w:p>
        </w:tc>
        <w:tc>
          <w:tcPr>
            <w:tcW w:w="72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0.105</w:t>
            </w:r>
          </w:p>
        </w:tc>
      </w:tr>
      <w:tr>
        <w:trPr>
          <w:trHeight w:val="158" w:hRule="exact"/>
        </w:trPr>
        <w:tc>
          <w:tcPr>
            <w:tcW w:w="934" w:type="dxa"/>
            <w:vMerge/>
            <w:tcBorders>
              <w:left w:val="single" w:sz="3" w:space="0" w:color="000000"/>
              <w:right w:val="single" w:sz="3" w:space="0" w:color="000000"/>
            </w:tcBorders>
          </w:tcPr>
          <w:p>
            <w:pPr/>
          </w:p>
        </w:tc>
        <w:tc>
          <w:tcPr>
            <w:tcW w:w="720" w:type="dxa"/>
            <w:tcBorders>
              <w:left w:val="single" w:sz="3" w:space="0" w:color="000000"/>
              <w:right w:val="single" w:sz="3" w:space="0" w:color="000000"/>
            </w:tcBorders>
          </w:tcPr>
          <w:p>
            <w:pPr>
              <w:pStyle w:val="TableParagraph"/>
              <w:spacing w:before="3"/>
              <w:ind w:right="84"/>
              <w:rPr>
                <w:rFonts w:ascii="Calibri"/>
                <w:sz w:val="12"/>
              </w:rPr>
            </w:pPr>
            <w:r>
              <w:rPr>
                <w:rFonts w:ascii="Calibri"/>
                <w:w w:val="115"/>
                <w:sz w:val="12"/>
              </w:rPr>
              <w:t>(0.027)</w:t>
            </w:r>
          </w:p>
        </w:tc>
        <w:tc>
          <w:tcPr>
            <w:tcW w:w="840" w:type="dxa"/>
            <w:tcBorders>
              <w:left w:val="single" w:sz="3" w:space="0" w:color="000000"/>
              <w:right w:val="single" w:sz="3" w:space="0" w:color="000000"/>
            </w:tcBorders>
          </w:tcPr>
          <w:p>
            <w:pPr>
              <w:pStyle w:val="TableParagraph"/>
              <w:spacing w:before="3"/>
              <w:ind w:right="82"/>
              <w:rPr>
                <w:rFonts w:ascii="Calibri"/>
                <w:sz w:val="12"/>
              </w:rPr>
            </w:pPr>
            <w:r>
              <w:rPr>
                <w:rFonts w:ascii="Calibri"/>
                <w:w w:val="115"/>
                <w:sz w:val="12"/>
              </w:rPr>
              <w:t>(0.027)</w:t>
            </w:r>
          </w:p>
        </w:tc>
        <w:tc>
          <w:tcPr>
            <w:tcW w:w="842" w:type="dxa"/>
            <w:tcBorders>
              <w:left w:val="single" w:sz="3" w:space="0" w:color="000000"/>
              <w:right w:val="single" w:sz="3" w:space="0" w:color="000000"/>
            </w:tcBorders>
          </w:tcPr>
          <w:p>
            <w:pPr>
              <w:pStyle w:val="TableParagraph"/>
              <w:spacing w:before="3"/>
              <w:ind w:right="83"/>
              <w:rPr>
                <w:rFonts w:ascii="Calibri"/>
                <w:sz w:val="12"/>
              </w:rPr>
            </w:pPr>
            <w:r>
              <w:rPr>
                <w:rFonts w:ascii="Calibri"/>
                <w:w w:val="115"/>
                <w:sz w:val="12"/>
              </w:rPr>
              <w:t>(0.029)</w:t>
            </w:r>
          </w:p>
        </w:tc>
        <w:tc>
          <w:tcPr>
            <w:tcW w:w="720" w:type="dxa"/>
            <w:tcBorders>
              <w:left w:val="single" w:sz="3" w:space="0" w:color="000000"/>
              <w:right w:val="single" w:sz="3" w:space="0" w:color="000000"/>
            </w:tcBorders>
          </w:tcPr>
          <w:p>
            <w:pPr>
              <w:pStyle w:val="TableParagraph"/>
              <w:spacing w:before="3"/>
              <w:ind w:right="82"/>
              <w:rPr>
                <w:rFonts w:ascii="Calibri"/>
                <w:sz w:val="12"/>
              </w:rPr>
            </w:pPr>
            <w:r>
              <w:rPr>
                <w:rFonts w:ascii="Calibri"/>
                <w:w w:val="115"/>
                <w:sz w:val="12"/>
              </w:rPr>
              <w:t>(0.036)</w:t>
            </w:r>
          </w:p>
        </w:tc>
        <w:tc>
          <w:tcPr>
            <w:tcW w:w="842" w:type="dxa"/>
            <w:tcBorders>
              <w:left w:val="single" w:sz="3" w:space="0" w:color="000000"/>
              <w:right w:val="single" w:sz="3" w:space="0" w:color="000000"/>
            </w:tcBorders>
          </w:tcPr>
          <w:p>
            <w:pPr>
              <w:pStyle w:val="TableParagraph"/>
              <w:spacing w:before="3"/>
              <w:ind w:right="85"/>
              <w:rPr>
                <w:rFonts w:ascii="Calibri"/>
                <w:sz w:val="12"/>
              </w:rPr>
            </w:pPr>
            <w:r>
              <w:rPr>
                <w:rFonts w:ascii="Calibri"/>
                <w:w w:val="115"/>
                <w:sz w:val="12"/>
              </w:rPr>
              <w:t>(0.036)</w:t>
            </w:r>
          </w:p>
        </w:tc>
        <w:tc>
          <w:tcPr>
            <w:tcW w:w="840" w:type="dxa"/>
            <w:tcBorders>
              <w:left w:val="single" w:sz="3" w:space="0" w:color="000000"/>
              <w:right w:val="single" w:sz="3" w:space="0" w:color="000000"/>
            </w:tcBorders>
          </w:tcPr>
          <w:p>
            <w:pPr>
              <w:pStyle w:val="TableParagraph"/>
              <w:spacing w:before="3"/>
              <w:ind w:right="82"/>
              <w:rPr>
                <w:rFonts w:ascii="Calibri"/>
                <w:sz w:val="12"/>
              </w:rPr>
            </w:pPr>
            <w:r>
              <w:rPr>
                <w:rFonts w:ascii="Calibri"/>
                <w:w w:val="115"/>
                <w:sz w:val="12"/>
              </w:rPr>
              <w:t>(0.039)</w:t>
            </w:r>
          </w:p>
        </w:tc>
        <w:tc>
          <w:tcPr>
            <w:tcW w:w="720" w:type="dxa"/>
            <w:tcBorders>
              <w:left w:val="single" w:sz="3" w:space="0" w:color="000000"/>
              <w:right w:val="single" w:sz="3" w:space="0" w:color="000000"/>
            </w:tcBorders>
          </w:tcPr>
          <w:p>
            <w:pPr>
              <w:pStyle w:val="TableParagraph"/>
              <w:spacing w:before="3"/>
              <w:ind w:right="82"/>
              <w:rPr>
                <w:rFonts w:ascii="Calibri"/>
                <w:sz w:val="12"/>
              </w:rPr>
            </w:pPr>
            <w:r>
              <w:rPr>
                <w:rFonts w:ascii="Calibri"/>
                <w:w w:val="115"/>
                <w:sz w:val="12"/>
              </w:rPr>
              <w:t>(0.021)</w:t>
            </w:r>
          </w:p>
        </w:tc>
        <w:tc>
          <w:tcPr>
            <w:tcW w:w="842" w:type="dxa"/>
            <w:tcBorders>
              <w:left w:val="single" w:sz="3" w:space="0" w:color="000000"/>
              <w:right w:val="single" w:sz="3" w:space="0" w:color="000000"/>
            </w:tcBorders>
          </w:tcPr>
          <w:p>
            <w:pPr>
              <w:pStyle w:val="TableParagraph"/>
              <w:spacing w:before="3"/>
              <w:ind w:right="84"/>
              <w:rPr>
                <w:rFonts w:ascii="Calibri"/>
                <w:sz w:val="12"/>
              </w:rPr>
            </w:pPr>
            <w:r>
              <w:rPr>
                <w:rFonts w:ascii="Calibri"/>
                <w:w w:val="115"/>
                <w:sz w:val="12"/>
              </w:rPr>
              <w:t>(0.021)</w:t>
            </w:r>
          </w:p>
        </w:tc>
        <w:tc>
          <w:tcPr>
            <w:tcW w:w="720" w:type="dxa"/>
            <w:tcBorders>
              <w:left w:val="single" w:sz="3" w:space="0" w:color="000000"/>
              <w:right w:val="single" w:sz="3" w:space="0" w:color="000000"/>
            </w:tcBorders>
          </w:tcPr>
          <w:p>
            <w:pPr>
              <w:pStyle w:val="TableParagraph"/>
              <w:spacing w:before="3"/>
              <w:ind w:right="82"/>
              <w:rPr>
                <w:rFonts w:ascii="Calibri"/>
                <w:sz w:val="12"/>
              </w:rPr>
            </w:pPr>
            <w:r>
              <w:rPr>
                <w:rFonts w:ascii="Calibri"/>
                <w:w w:val="115"/>
                <w:sz w:val="12"/>
              </w:rPr>
              <w:t>(0.023)</w:t>
            </w:r>
          </w:p>
        </w:tc>
      </w:tr>
      <w:tr>
        <w:trPr>
          <w:trHeight w:val="160" w:hRule="exact"/>
        </w:trPr>
        <w:tc>
          <w:tcPr>
            <w:tcW w:w="934" w:type="dxa"/>
            <w:vMerge/>
            <w:tcBorders>
              <w:left w:val="single" w:sz="3" w:space="0" w:color="000000"/>
              <w:right w:val="single" w:sz="3" w:space="0" w:color="000000"/>
            </w:tcBorders>
          </w:tcPr>
          <w:p>
            <w:pPr/>
          </w:p>
        </w:tc>
        <w:tc>
          <w:tcPr>
            <w:tcW w:w="720" w:type="dxa"/>
            <w:tcBorders>
              <w:left w:val="single" w:sz="3" w:space="0" w:color="000000"/>
              <w:right w:val="single" w:sz="3" w:space="0" w:color="000000"/>
            </w:tcBorders>
          </w:tcPr>
          <w:p>
            <w:pPr>
              <w:pStyle w:val="TableParagraph"/>
              <w:spacing w:before="4"/>
              <w:ind w:right="87"/>
              <w:rPr>
                <w:rFonts w:ascii="Calibri"/>
                <w:sz w:val="12"/>
              </w:rPr>
            </w:pPr>
            <w:r>
              <w:rPr>
                <w:rFonts w:ascii="Calibri"/>
                <w:w w:val="115"/>
                <w:sz w:val="12"/>
              </w:rPr>
              <w:t>t= 5.53</w:t>
            </w:r>
          </w:p>
        </w:tc>
        <w:tc>
          <w:tcPr>
            <w:tcW w:w="840" w:type="dxa"/>
            <w:tcBorders>
              <w:left w:val="single" w:sz="3" w:space="0" w:color="000000"/>
              <w:right w:val="single" w:sz="3" w:space="0" w:color="000000"/>
            </w:tcBorders>
          </w:tcPr>
          <w:p>
            <w:pPr>
              <w:pStyle w:val="TableParagraph"/>
              <w:spacing w:before="4"/>
              <w:ind w:right="85"/>
              <w:rPr>
                <w:rFonts w:ascii="Calibri"/>
                <w:sz w:val="12"/>
              </w:rPr>
            </w:pPr>
            <w:r>
              <w:rPr>
                <w:rFonts w:ascii="Calibri"/>
                <w:w w:val="110"/>
                <w:sz w:val="12"/>
              </w:rPr>
              <w:t>z=5.53</w:t>
            </w:r>
          </w:p>
        </w:tc>
        <w:tc>
          <w:tcPr>
            <w:tcW w:w="842" w:type="dxa"/>
            <w:tcBorders>
              <w:left w:val="single" w:sz="3" w:space="0" w:color="000000"/>
              <w:right w:val="single" w:sz="3" w:space="0" w:color="000000"/>
            </w:tcBorders>
          </w:tcPr>
          <w:p>
            <w:pPr>
              <w:pStyle w:val="TableParagraph"/>
              <w:spacing w:before="4"/>
              <w:ind w:right="86"/>
              <w:rPr>
                <w:rFonts w:ascii="Calibri"/>
                <w:sz w:val="12"/>
              </w:rPr>
            </w:pPr>
            <w:r>
              <w:rPr>
                <w:rFonts w:ascii="Calibri"/>
                <w:w w:val="110"/>
                <w:sz w:val="12"/>
              </w:rPr>
              <w:t>t=4.85</w:t>
            </w:r>
          </w:p>
        </w:tc>
        <w:tc>
          <w:tcPr>
            <w:tcW w:w="720" w:type="dxa"/>
            <w:tcBorders>
              <w:left w:val="single" w:sz="3" w:space="0" w:color="000000"/>
              <w:right w:val="single" w:sz="3" w:space="0" w:color="000000"/>
            </w:tcBorders>
          </w:tcPr>
          <w:p>
            <w:pPr>
              <w:pStyle w:val="TableParagraph"/>
              <w:spacing w:before="4"/>
              <w:ind w:right="85"/>
              <w:rPr>
                <w:rFonts w:ascii="Calibri"/>
                <w:sz w:val="12"/>
              </w:rPr>
            </w:pPr>
            <w:r>
              <w:rPr>
                <w:rFonts w:ascii="Calibri"/>
                <w:w w:val="110"/>
                <w:sz w:val="12"/>
              </w:rPr>
              <w:t>t=0.90</w:t>
            </w:r>
          </w:p>
        </w:tc>
        <w:tc>
          <w:tcPr>
            <w:tcW w:w="842" w:type="dxa"/>
            <w:tcBorders>
              <w:left w:val="single" w:sz="3" w:space="0" w:color="000000"/>
              <w:right w:val="single" w:sz="3" w:space="0" w:color="000000"/>
            </w:tcBorders>
          </w:tcPr>
          <w:p>
            <w:pPr>
              <w:pStyle w:val="TableParagraph"/>
              <w:spacing w:before="4"/>
              <w:ind w:right="88"/>
              <w:rPr>
                <w:rFonts w:ascii="Calibri"/>
                <w:sz w:val="12"/>
              </w:rPr>
            </w:pPr>
            <w:r>
              <w:rPr>
                <w:rFonts w:ascii="Calibri"/>
                <w:w w:val="110"/>
                <w:sz w:val="12"/>
              </w:rPr>
              <w:t>z=0.90</w:t>
            </w:r>
          </w:p>
        </w:tc>
        <w:tc>
          <w:tcPr>
            <w:tcW w:w="840" w:type="dxa"/>
            <w:tcBorders>
              <w:left w:val="single" w:sz="3" w:space="0" w:color="000000"/>
              <w:right w:val="single" w:sz="3" w:space="0" w:color="000000"/>
            </w:tcBorders>
          </w:tcPr>
          <w:p>
            <w:pPr>
              <w:pStyle w:val="TableParagraph"/>
              <w:spacing w:before="4"/>
              <w:ind w:right="85"/>
              <w:rPr>
                <w:rFonts w:ascii="Calibri"/>
                <w:sz w:val="12"/>
              </w:rPr>
            </w:pPr>
            <w:r>
              <w:rPr>
                <w:rFonts w:ascii="Calibri"/>
                <w:w w:val="110"/>
                <w:sz w:val="12"/>
              </w:rPr>
              <w:t>t=0.44</w:t>
            </w:r>
          </w:p>
        </w:tc>
        <w:tc>
          <w:tcPr>
            <w:tcW w:w="720" w:type="dxa"/>
            <w:tcBorders>
              <w:left w:val="single" w:sz="3" w:space="0" w:color="000000"/>
              <w:right w:val="single" w:sz="3" w:space="0" w:color="000000"/>
            </w:tcBorders>
          </w:tcPr>
          <w:p>
            <w:pPr>
              <w:pStyle w:val="TableParagraph"/>
              <w:spacing w:before="4"/>
              <w:ind w:right="85"/>
              <w:rPr>
                <w:rFonts w:ascii="Calibri"/>
                <w:sz w:val="12"/>
              </w:rPr>
            </w:pPr>
            <w:r>
              <w:rPr>
                <w:rFonts w:ascii="Calibri"/>
                <w:w w:val="110"/>
                <w:sz w:val="12"/>
              </w:rPr>
              <w:t>t=5.47</w:t>
            </w:r>
          </w:p>
        </w:tc>
        <w:tc>
          <w:tcPr>
            <w:tcW w:w="842" w:type="dxa"/>
            <w:tcBorders>
              <w:left w:val="single" w:sz="3" w:space="0" w:color="000000"/>
              <w:right w:val="single" w:sz="3" w:space="0" w:color="000000"/>
            </w:tcBorders>
          </w:tcPr>
          <w:p>
            <w:pPr>
              <w:pStyle w:val="TableParagraph"/>
              <w:spacing w:before="4"/>
              <w:ind w:right="88"/>
              <w:rPr>
                <w:rFonts w:ascii="Calibri"/>
                <w:sz w:val="12"/>
              </w:rPr>
            </w:pPr>
            <w:r>
              <w:rPr>
                <w:rFonts w:ascii="Calibri"/>
                <w:w w:val="110"/>
                <w:sz w:val="12"/>
              </w:rPr>
              <w:t>z=5.47</w:t>
            </w:r>
          </w:p>
        </w:tc>
        <w:tc>
          <w:tcPr>
            <w:tcW w:w="720" w:type="dxa"/>
            <w:tcBorders>
              <w:left w:val="single" w:sz="3" w:space="0" w:color="000000"/>
              <w:right w:val="single" w:sz="3" w:space="0" w:color="000000"/>
            </w:tcBorders>
          </w:tcPr>
          <w:p>
            <w:pPr>
              <w:pStyle w:val="TableParagraph"/>
              <w:spacing w:before="4"/>
              <w:ind w:right="85"/>
              <w:rPr>
                <w:rFonts w:ascii="Calibri"/>
                <w:sz w:val="12"/>
              </w:rPr>
            </w:pPr>
            <w:r>
              <w:rPr>
                <w:rFonts w:ascii="Calibri"/>
                <w:w w:val="110"/>
                <w:sz w:val="12"/>
              </w:rPr>
              <w:t>t=4.44</w:t>
            </w:r>
          </w:p>
        </w:tc>
      </w:tr>
      <w:tr>
        <w:trPr>
          <w:trHeight w:val="160" w:hRule="exact"/>
        </w:trPr>
        <w:tc>
          <w:tcPr>
            <w:tcW w:w="934" w:type="dxa"/>
            <w:vMerge/>
            <w:tcBorders>
              <w:left w:val="single" w:sz="3" w:space="0" w:color="000000"/>
              <w:right w:val="single" w:sz="3" w:space="0" w:color="000000"/>
            </w:tcBorders>
          </w:tcPr>
          <w:p>
            <w:pPr/>
          </w:p>
        </w:tc>
        <w:tc>
          <w:tcPr>
            <w:tcW w:w="720" w:type="dxa"/>
            <w:tcBorders>
              <w:left w:val="single" w:sz="3" w:space="0" w:color="000000"/>
              <w:right w:val="single" w:sz="3" w:space="0" w:color="000000"/>
            </w:tcBorders>
          </w:tcPr>
          <w:p>
            <w:pPr>
              <w:pStyle w:val="TableParagraph"/>
              <w:spacing w:before="2"/>
              <w:ind w:right="85"/>
              <w:rPr>
                <w:rFonts w:ascii="Calibri"/>
                <w:sz w:val="12"/>
              </w:rPr>
            </w:pPr>
            <w:r>
              <w:rPr>
                <w:rFonts w:ascii="Calibri"/>
                <w:w w:val="115"/>
                <w:sz w:val="12"/>
              </w:rPr>
              <w:t>p= 0.000</w:t>
            </w:r>
          </w:p>
        </w:tc>
        <w:tc>
          <w:tcPr>
            <w:tcW w:w="84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p=0.000</w:t>
            </w:r>
          </w:p>
        </w:tc>
        <w:tc>
          <w:tcPr>
            <w:tcW w:w="842"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p=0.000</w:t>
            </w:r>
          </w:p>
        </w:tc>
        <w:tc>
          <w:tcPr>
            <w:tcW w:w="72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p=0.372</w:t>
            </w:r>
          </w:p>
        </w:tc>
        <w:tc>
          <w:tcPr>
            <w:tcW w:w="842" w:type="dxa"/>
            <w:tcBorders>
              <w:left w:val="single" w:sz="3" w:space="0" w:color="000000"/>
              <w:right w:val="single" w:sz="3" w:space="0" w:color="000000"/>
            </w:tcBorders>
          </w:tcPr>
          <w:p>
            <w:pPr>
              <w:pStyle w:val="TableParagraph"/>
              <w:spacing w:before="2"/>
              <w:ind w:right="86"/>
              <w:rPr>
                <w:rFonts w:ascii="Calibri"/>
                <w:sz w:val="12"/>
              </w:rPr>
            </w:pPr>
            <w:r>
              <w:rPr>
                <w:rFonts w:ascii="Calibri"/>
                <w:w w:val="110"/>
                <w:sz w:val="12"/>
              </w:rPr>
              <w:t>p=0.035</w:t>
            </w:r>
          </w:p>
        </w:tc>
        <w:tc>
          <w:tcPr>
            <w:tcW w:w="84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p=0.662</w:t>
            </w:r>
          </w:p>
        </w:tc>
        <w:tc>
          <w:tcPr>
            <w:tcW w:w="72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p=0.000</w:t>
            </w:r>
          </w:p>
        </w:tc>
        <w:tc>
          <w:tcPr>
            <w:tcW w:w="842" w:type="dxa"/>
            <w:tcBorders>
              <w:left w:val="single" w:sz="3" w:space="0" w:color="000000"/>
              <w:right w:val="single" w:sz="3" w:space="0" w:color="000000"/>
            </w:tcBorders>
          </w:tcPr>
          <w:p>
            <w:pPr>
              <w:pStyle w:val="TableParagraph"/>
              <w:spacing w:before="2"/>
              <w:ind w:right="86"/>
              <w:rPr>
                <w:rFonts w:ascii="Calibri"/>
                <w:sz w:val="12"/>
              </w:rPr>
            </w:pPr>
            <w:r>
              <w:rPr>
                <w:rFonts w:ascii="Calibri"/>
                <w:w w:val="110"/>
                <w:sz w:val="12"/>
              </w:rPr>
              <w:t>p=0.000</w:t>
            </w:r>
          </w:p>
        </w:tc>
        <w:tc>
          <w:tcPr>
            <w:tcW w:w="72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p=0.000</w:t>
            </w:r>
          </w:p>
        </w:tc>
      </w:tr>
      <w:tr>
        <w:trPr>
          <w:trHeight w:val="158" w:hRule="exact"/>
        </w:trPr>
        <w:tc>
          <w:tcPr>
            <w:tcW w:w="934" w:type="dxa"/>
            <w:vMerge w:val="restart"/>
            <w:tcBorders>
              <w:left w:val="single" w:sz="3" w:space="0" w:color="000000"/>
              <w:right w:val="single" w:sz="3" w:space="0" w:color="000000"/>
            </w:tcBorders>
          </w:tcPr>
          <w:p>
            <w:pPr>
              <w:pStyle w:val="TableParagraph"/>
              <w:spacing w:line="137" w:lineRule="exact"/>
              <w:ind w:left="130"/>
              <w:jc w:val="left"/>
              <w:rPr>
                <w:b/>
                <w:sz w:val="12"/>
              </w:rPr>
            </w:pPr>
            <w:r>
              <w:rPr>
                <w:b/>
                <w:w w:val="115"/>
                <w:sz w:val="12"/>
              </w:rPr>
              <w:t>Constante</w:t>
            </w:r>
          </w:p>
        </w:tc>
        <w:tc>
          <w:tcPr>
            <w:tcW w:w="720"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5.829</w:t>
            </w:r>
          </w:p>
        </w:tc>
        <w:tc>
          <w:tcPr>
            <w:tcW w:w="84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5.829</w:t>
            </w:r>
          </w:p>
        </w:tc>
        <w:tc>
          <w:tcPr>
            <w:tcW w:w="842"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5.931</w:t>
            </w:r>
          </w:p>
        </w:tc>
        <w:tc>
          <w:tcPr>
            <w:tcW w:w="72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3.215</w:t>
            </w:r>
          </w:p>
        </w:tc>
        <w:tc>
          <w:tcPr>
            <w:tcW w:w="842"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3.215</w:t>
            </w:r>
          </w:p>
        </w:tc>
        <w:tc>
          <w:tcPr>
            <w:tcW w:w="84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3.300</w:t>
            </w:r>
          </w:p>
        </w:tc>
        <w:tc>
          <w:tcPr>
            <w:tcW w:w="72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4.043</w:t>
            </w:r>
          </w:p>
        </w:tc>
        <w:tc>
          <w:tcPr>
            <w:tcW w:w="842" w:type="dxa"/>
            <w:tcBorders>
              <w:left w:val="single" w:sz="3" w:space="0" w:color="000000"/>
              <w:right w:val="single" w:sz="3" w:space="0" w:color="000000"/>
            </w:tcBorders>
          </w:tcPr>
          <w:p>
            <w:pPr>
              <w:pStyle w:val="TableParagraph"/>
              <w:spacing w:before="2"/>
              <w:ind w:right="86"/>
              <w:rPr>
                <w:rFonts w:ascii="Calibri"/>
                <w:sz w:val="12"/>
              </w:rPr>
            </w:pPr>
            <w:r>
              <w:rPr>
                <w:rFonts w:ascii="Calibri"/>
                <w:w w:val="110"/>
                <w:sz w:val="12"/>
              </w:rPr>
              <w:t>4.043</w:t>
            </w:r>
          </w:p>
        </w:tc>
        <w:tc>
          <w:tcPr>
            <w:tcW w:w="72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4.195</w:t>
            </w:r>
          </w:p>
        </w:tc>
      </w:tr>
      <w:tr>
        <w:trPr>
          <w:trHeight w:val="160" w:hRule="exact"/>
        </w:trPr>
        <w:tc>
          <w:tcPr>
            <w:tcW w:w="934" w:type="dxa"/>
            <w:vMerge/>
            <w:tcBorders>
              <w:left w:val="single" w:sz="3" w:space="0" w:color="000000"/>
              <w:right w:val="single" w:sz="3" w:space="0" w:color="000000"/>
            </w:tcBorders>
          </w:tcPr>
          <w:p>
            <w:pPr/>
          </w:p>
        </w:tc>
        <w:tc>
          <w:tcPr>
            <w:tcW w:w="720" w:type="dxa"/>
            <w:tcBorders>
              <w:left w:val="single" w:sz="3" w:space="0" w:color="000000"/>
              <w:right w:val="single" w:sz="3" w:space="0" w:color="000000"/>
            </w:tcBorders>
          </w:tcPr>
          <w:p>
            <w:pPr>
              <w:pStyle w:val="TableParagraph"/>
              <w:spacing w:before="3"/>
              <w:ind w:right="84"/>
              <w:rPr>
                <w:rFonts w:ascii="Calibri"/>
                <w:sz w:val="12"/>
              </w:rPr>
            </w:pPr>
            <w:r>
              <w:rPr>
                <w:rFonts w:ascii="Calibri"/>
                <w:w w:val="115"/>
                <w:sz w:val="12"/>
              </w:rPr>
              <w:t>(2.444)</w:t>
            </w:r>
          </w:p>
        </w:tc>
        <w:tc>
          <w:tcPr>
            <w:tcW w:w="840" w:type="dxa"/>
            <w:tcBorders>
              <w:left w:val="single" w:sz="3" w:space="0" w:color="000000"/>
              <w:right w:val="single" w:sz="3" w:space="0" w:color="000000"/>
            </w:tcBorders>
          </w:tcPr>
          <w:p>
            <w:pPr>
              <w:pStyle w:val="TableParagraph"/>
              <w:spacing w:before="3"/>
              <w:ind w:right="82"/>
              <w:rPr>
                <w:rFonts w:ascii="Calibri"/>
                <w:sz w:val="12"/>
              </w:rPr>
            </w:pPr>
            <w:r>
              <w:rPr>
                <w:rFonts w:ascii="Calibri"/>
                <w:w w:val="115"/>
                <w:sz w:val="12"/>
              </w:rPr>
              <w:t>(2.444)</w:t>
            </w:r>
          </w:p>
        </w:tc>
        <w:tc>
          <w:tcPr>
            <w:tcW w:w="842" w:type="dxa"/>
            <w:tcBorders>
              <w:left w:val="single" w:sz="3" w:space="0" w:color="000000"/>
              <w:right w:val="single" w:sz="3" w:space="0" w:color="000000"/>
            </w:tcBorders>
          </w:tcPr>
          <w:p>
            <w:pPr>
              <w:pStyle w:val="TableParagraph"/>
              <w:spacing w:before="3"/>
              <w:ind w:right="83"/>
              <w:rPr>
                <w:rFonts w:ascii="Calibri"/>
                <w:sz w:val="12"/>
              </w:rPr>
            </w:pPr>
            <w:r>
              <w:rPr>
                <w:rFonts w:ascii="Calibri"/>
                <w:w w:val="115"/>
                <w:sz w:val="12"/>
              </w:rPr>
              <w:t>(2.601)</w:t>
            </w:r>
          </w:p>
        </w:tc>
        <w:tc>
          <w:tcPr>
            <w:tcW w:w="720" w:type="dxa"/>
            <w:tcBorders>
              <w:left w:val="single" w:sz="3" w:space="0" w:color="000000"/>
              <w:right w:val="single" w:sz="3" w:space="0" w:color="000000"/>
            </w:tcBorders>
          </w:tcPr>
          <w:p>
            <w:pPr>
              <w:pStyle w:val="TableParagraph"/>
              <w:spacing w:before="3"/>
              <w:ind w:right="82"/>
              <w:rPr>
                <w:rFonts w:ascii="Calibri"/>
                <w:sz w:val="12"/>
              </w:rPr>
            </w:pPr>
            <w:r>
              <w:rPr>
                <w:rFonts w:ascii="Calibri"/>
                <w:w w:val="115"/>
                <w:sz w:val="12"/>
              </w:rPr>
              <w:t>(1.528)</w:t>
            </w:r>
          </w:p>
        </w:tc>
        <w:tc>
          <w:tcPr>
            <w:tcW w:w="842" w:type="dxa"/>
            <w:tcBorders>
              <w:left w:val="single" w:sz="3" w:space="0" w:color="000000"/>
              <w:right w:val="single" w:sz="3" w:space="0" w:color="000000"/>
            </w:tcBorders>
          </w:tcPr>
          <w:p>
            <w:pPr>
              <w:pStyle w:val="TableParagraph"/>
              <w:spacing w:before="3"/>
              <w:ind w:right="85"/>
              <w:rPr>
                <w:rFonts w:ascii="Calibri"/>
                <w:sz w:val="12"/>
              </w:rPr>
            </w:pPr>
            <w:r>
              <w:rPr>
                <w:rFonts w:ascii="Calibri"/>
                <w:w w:val="115"/>
                <w:sz w:val="12"/>
              </w:rPr>
              <w:t>(1.528)</w:t>
            </w:r>
          </w:p>
        </w:tc>
        <w:tc>
          <w:tcPr>
            <w:tcW w:w="840" w:type="dxa"/>
            <w:tcBorders>
              <w:left w:val="single" w:sz="3" w:space="0" w:color="000000"/>
              <w:right w:val="single" w:sz="3" w:space="0" w:color="000000"/>
            </w:tcBorders>
          </w:tcPr>
          <w:p>
            <w:pPr>
              <w:pStyle w:val="TableParagraph"/>
              <w:spacing w:before="3"/>
              <w:ind w:right="82"/>
              <w:rPr>
                <w:rFonts w:ascii="Calibri"/>
                <w:sz w:val="12"/>
              </w:rPr>
            </w:pPr>
            <w:r>
              <w:rPr>
                <w:rFonts w:ascii="Calibri"/>
                <w:w w:val="115"/>
                <w:sz w:val="12"/>
              </w:rPr>
              <w:t>(1.574)</w:t>
            </w:r>
          </w:p>
        </w:tc>
        <w:tc>
          <w:tcPr>
            <w:tcW w:w="720" w:type="dxa"/>
            <w:tcBorders>
              <w:left w:val="single" w:sz="3" w:space="0" w:color="000000"/>
              <w:right w:val="single" w:sz="3" w:space="0" w:color="000000"/>
            </w:tcBorders>
          </w:tcPr>
          <w:p>
            <w:pPr>
              <w:pStyle w:val="TableParagraph"/>
              <w:spacing w:before="3"/>
              <w:ind w:right="82"/>
              <w:rPr>
                <w:rFonts w:ascii="Calibri"/>
                <w:sz w:val="12"/>
              </w:rPr>
            </w:pPr>
            <w:r>
              <w:rPr>
                <w:rFonts w:ascii="Calibri"/>
                <w:w w:val="115"/>
                <w:sz w:val="12"/>
              </w:rPr>
              <w:t>(1.342)</w:t>
            </w:r>
          </w:p>
        </w:tc>
        <w:tc>
          <w:tcPr>
            <w:tcW w:w="842" w:type="dxa"/>
            <w:tcBorders>
              <w:left w:val="single" w:sz="3" w:space="0" w:color="000000"/>
              <w:right w:val="single" w:sz="3" w:space="0" w:color="000000"/>
            </w:tcBorders>
          </w:tcPr>
          <w:p>
            <w:pPr>
              <w:pStyle w:val="TableParagraph"/>
              <w:spacing w:before="3"/>
              <w:ind w:right="84"/>
              <w:rPr>
                <w:rFonts w:ascii="Calibri"/>
                <w:sz w:val="12"/>
              </w:rPr>
            </w:pPr>
            <w:r>
              <w:rPr>
                <w:rFonts w:ascii="Calibri"/>
                <w:w w:val="115"/>
                <w:sz w:val="12"/>
              </w:rPr>
              <w:t>(1.342)</w:t>
            </w:r>
          </w:p>
        </w:tc>
        <w:tc>
          <w:tcPr>
            <w:tcW w:w="720" w:type="dxa"/>
            <w:tcBorders>
              <w:left w:val="single" w:sz="3" w:space="0" w:color="000000"/>
              <w:right w:val="single" w:sz="3" w:space="0" w:color="000000"/>
            </w:tcBorders>
          </w:tcPr>
          <w:p>
            <w:pPr>
              <w:pStyle w:val="TableParagraph"/>
              <w:spacing w:before="3"/>
              <w:ind w:right="82"/>
              <w:rPr>
                <w:rFonts w:ascii="Calibri"/>
                <w:sz w:val="12"/>
              </w:rPr>
            </w:pPr>
            <w:r>
              <w:rPr>
                <w:rFonts w:ascii="Calibri"/>
                <w:w w:val="115"/>
                <w:sz w:val="12"/>
              </w:rPr>
              <w:t>(1.401)</w:t>
            </w:r>
          </w:p>
        </w:tc>
      </w:tr>
      <w:tr>
        <w:trPr>
          <w:trHeight w:val="158" w:hRule="exact"/>
        </w:trPr>
        <w:tc>
          <w:tcPr>
            <w:tcW w:w="934" w:type="dxa"/>
            <w:vMerge/>
            <w:tcBorders>
              <w:left w:val="single" w:sz="3" w:space="0" w:color="000000"/>
              <w:right w:val="single" w:sz="3" w:space="0" w:color="000000"/>
            </w:tcBorders>
          </w:tcPr>
          <w:p>
            <w:pPr/>
          </w:p>
        </w:tc>
        <w:tc>
          <w:tcPr>
            <w:tcW w:w="720" w:type="dxa"/>
            <w:tcBorders>
              <w:left w:val="single" w:sz="3" w:space="0" w:color="000000"/>
              <w:right w:val="single" w:sz="3" w:space="0" w:color="000000"/>
            </w:tcBorders>
          </w:tcPr>
          <w:p>
            <w:pPr>
              <w:pStyle w:val="TableParagraph"/>
              <w:spacing w:before="2"/>
              <w:ind w:right="87"/>
              <w:rPr>
                <w:rFonts w:ascii="Calibri"/>
                <w:sz w:val="12"/>
              </w:rPr>
            </w:pPr>
            <w:r>
              <w:rPr>
                <w:rFonts w:ascii="Calibri"/>
                <w:w w:val="115"/>
                <w:sz w:val="12"/>
              </w:rPr>
              <w:t>t= 2.39</w:t>
            </w:r>
          </w:p>
        </w:tc>
        <w:tc>
          <w:tcPr>
            <w:tcW w:w="840"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z=2.39</w:t>
            </w:r>
          </w:p>
        </w:tc>
        <w:tc>
          <w:tcPr>
            <w:tcW w:w="842" w:type="dxa"/>
            <w:tcBorders>
              <w:left w:val="single" w:sz="3" w:space="0" w:color="000000"/>
              <w:right w:val="single" w:sz="3" w:space="0" w:color="000000"/>
            </w:tcBorders>
          </w:tcPr>
          <w:p>
            <w:pPr>
              <w:pStyle w:val="TableParagraph"/>
              <w:spacing w:before="2"/>
              <w:ind w:right="86"/>
              <w:rPr>
                <w:rFonts w:ascii="Calibri"/>
                <w:sz w:val="12"/>
              </w:rPr>
            </w:pPr>
            <w:r>
              <w:rPr>
                <w:rFonts w:ascii="Calibri"/>
                <w:w w:val="110"/>
                <w:sz w:val="12"/>
              </w:rPr>
              <w:t>t=2.28</w:t>
            </w:r>
          </w:p>
        </w:tc>
        <w:tc>
          <w:tcPr>
            <w:tcW w:w="720"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t=2.10</w:t>
            </w:r>
          </w:p>
        </w:tc>
        <w:tc>
          <w:tcPr>
            <w:tcW w:w="842" w:type="dxa"/>
            <w:tcBorders>
              <w:left w:val="single" w:sz="3" w:space="0" w:color="000000"/>
              <w:right w:val="single" w:sz="3" w:space="0" w:color="000000"/>
            </w:tcBorders>
          </w:tcPr>
          <w:p>
            <w:pPr>
              <w:pStyle w:val="TableParagraph"/>
              <w:spacing w:before="2"/>
              <w:ind w:right="88"/>
              <w:rPr>
                <w:rFonts w:ascii="Calibri"/>
                <w:sz w:val="12"/>
              </w:rPr>
            </w:pPr>
            <w:r>
              <w:rPr>
                <w:rFonts w:ascii="Calibri"/>
                <w:w w:val="110"/>
                <w:sz w:val="12"/>
              </w:rPr>
              <w:t>z=2.10</w:t>
            </w:r>
          </w:p>
        </w:tc>
        <w:tc>
          <w:tcPr>
            <w:tcW w:w="840"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t=2.10</w:t>
            </w:r>
          </w:p>
        </w:tc>
        <w:tc>
          <w:tcPr>
            <w:tcW w:w="720"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t=3.01</w:t>
            </w:r>
          </w:p>
        </w:tc>
        <w:tc>
          <w:tcPr>
            <w:tcW w:w="842" w:type="dxa"/>
            <w:tcBorders>
              <w:left w:val="single" w:sz="3" w:space="0" w:color="000000"/>
              <w:right w:val="single" w:sz="3" w:space="0" w:color="000000"/>
            </w:tcBorders>
          </w:tcPr>
          <w:p>
            <w:pPr>
              <w:pStyle w:val="TableParagraph"/>
              <w:spacing w:before="2"/>
              <w:ind w:right="88"/>
              <w:rPr>
                <w:rFonts w:ascii="Calibri"/>
                <w:sz w:val="12"/>
              </w:rPr>
            </w:pPr>
            <w:r>
              <w:rPr>
                <w:rFonts w:ascii="Calibri"/>
                <w:w w:val="110"/>
                <w:sz w:val="12"/>
              </w:rPr>
              <w:t>z=3.01</w:t>
            </w:r>
          </w:p>
        </w:tc>
        <w:tc>
          <w:tcPr>
            <w:tcW w:w="720"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t=2.99</w:t>
            </w:r>
          </w:p>
        </w:tc>
      </w:tr>
      <w:tr>
        <w:trPr>
          <w:trHeight w:val="160" w:hRule="exact"/>
        </w:trPr>
        <w:tc>
          <w:tcPr>
            <w:tcW w:w="934" w:type="dxa"/>
            <w:vMerge/>
            <w:tcBorders>
              <w:left w:val="single" w:sz="3" w:space="0" w:color="000000"/>
              <w:right w:val="single" w:sz="3" w:space="0" w:color="000000"/>
            </w:tcBorders>
          </w:tcPr>
          <w:p>
            <w:pPr/>
          </w:p>
        </w:tc>
        <w:tc>
          <w:tcPr>
            <w:tcW w:w="720"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p=0.023</w:t>
            </w:r>
          </w:p>
        </w:tc>
        <w:tc>
          <w:tcPr>
            <w:tcW w:w="84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p=0.017</w:t>
            </w:r>
          </w:p>
        </w:tc>
        <w:tc>
          <w:tcPr>
            <w:tcW w:w="842"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p=0.030</w:t>
            </w:r>
          </w:p>
        </w:tc>
        <w:tc>
          <w:tcPr>
            <w:tcW w:w="72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p=0.039</w:t>
            </w:r>
          </w:p>
        </w:tc>
        <w:tc>
          <w:tcPr>
            <w:tcW w:w="842" w:type="dxa"/>
            <w:tcBorders>
              <w:left w:val="single" w:sz="3" w:space="0" w:color="000000"/>
              <w:right w:val="single" w:sz="3" w:space="0" w:color="000000"/>
            </w:tcBorders>
          </w:tcPr>
          <w:p>
            <w:pPr>
              <w:pStyle w:val="TableParagraph"/>
              <w:spacing w:before="2"/>
              <w:ind w:right="86"/>
              <w:rPr>
                <w:rFonts w:ascii="Calibri"/>
                <w:sz w:val="12"/>
              </w:rPr>
            </w:pPr>
            <w:r>
              <w:rPr>
                <w:rFonts w:ascii="Calibri"/>
                <w:w w:val="110"/>
                <w:sz w:val="12"/>
              </w:rPr>
              <w:t>p=0.035</w:t>
            </w:r>
          </w:p>
        </w:tc>
        <w:tc>
          <w:tcPr>
            <w:tcW w:w="84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p=0.040</w:t>
            </w:r>
          </w:p>
        </w:tc>
        <w:tc>
          <w:tcPr>
            <w:tcW w:w="72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p=0.003</w:t>
            </w:r>
          </w:p>
        </w:tc>
        <w:tc>
          <w:tcPr>
            <w:tcW w:w="842" w:type="dxa"/>
            <w:tcBorders>
              <w:left w:val="single" w:sz="3" w:space="0" w:color="000000"/>
              <w:right w:val="single" w:sz="3" w:space="0" w:color="000000"/>
            </w:tcBorders>
          </w:tcPr>
          <w:p>
            <w:pPr>
              <w:pStyle w:val="TableParagraph"/>
              <w:spacing w:before="2"/>
              <w:ind w:right="86"/>
              <w:rPr>
                <w:rFonts w:ascii="Calibri"/>
                <w:sz w:val="12"/>
              </w:rPr>
            </w:pPr>
            <w:r>
              <w:rPr>
                <w:rFonts w:ascii="Calibri"/>
                <w:w w:val="110"/>
                <w:sz w:val="12"/>
              </w:rPr>
              <w:t>p=0.003</w:t>
            </w:r>
          </w:p>
        </w:tc>
        <w:tc>
          <w:tcPr>
            <w:tcW w:w="72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p=0.004</w:t>
            </w:r>
          </w:p>
        </w:tc>
      </w:tr>
      <w:tr>
        <w:trPr>
          <w:trHeight w:val="158" w:hRule="exact"/>
        </w:trPr>
        <w:tc>
          <w:tcPr>
            <w:tcW w:w="934" w:type="dxa"/>
            <w:tcBorders>
              <w:left w:val="single" w:sz="3" w:space="0" w:color="000000"/>
              <w:right w:val="single" w:sz="3" w:space="0" w:color="000000"/>
            </w:tcBorders>
          </w:tcPr>
          <w:p>
            <w:pPr>
              <w:pStyle w:val="TableParagraph"/>
              <w:spacing w:line="148" w:lineRule="exact"/>
              <w:ind w:left="308" w:right="308"/>
              <w:jc w:val="center"/>
              <w:rPr>
                <w:rFonts w:ascii="Calibri"/>
                <w:b/>
                <w:sz w:val="7"/>
              </w:rPr>
            </w:pPr>
            <w:r>
              <w:rPr>
                <w:rFonts w:ascii="Calibri"/>
                <w:b/>
                <w:w w:val="120"/>
                <w:position w:val="-5"/>
                <w:sz w:val="12"/>
              </w:rPr>
              <w:t>R</w:t>
            </w:r>
            <w:r>
              <w:rPr>
                <w:rFonts w:ascii="Calibri"/>
                <w:b/>
                <w:w w:val="120"/>
                <w:sz w:val="7"/>
              </w:rPr>
              <w:t>2</w:t>
            </w:r>
          </w:p>
        </w:tc>
        <w:tc>
          <w:tcPr>
            <w:tcW w:w="720"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0.481</w:t>
            </w:r>
          </w:p>
        </w:tc>
        <w:tc>
          <w:tcPr>
            <w:tcW w:w="84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0.448</w:t>
            </w:r>
          </w:p>
        </w:tc>
        <w:tc>
          <w:tcPr>
            <w:tcW w:w="842"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0.448</w:t>
            </w:r>
          </w:p>
        </w:tc>
        <w:tc>
          <w:tcPr>
            <w:tcW w:w="72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0.011</w:t>
            </w:r>
          </w:p>
        </w:tc>
        <w:tc>
          <w:tcPr>
            <w:tcW w:w="842"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.0033</w:t>
            </w:r>
          </w:p>
        </w:tc>
        <w:tc>
          <w:tcPr>
            <w:tcW w:w="840" w:type="dxa"/>
            <w:tcBorders>
              <w:left w:val="single" w:sz="3" w:space="0" w:color="000000"/>
              <w:right w:val="single" w:sz="3" w:space="0" w:color="000000"/>
            </w:tcBorders>
          </w:tcPr>
          <w:p>
            <w:pPr>
              <w:pStyle w:val="TableParagraph"/>
              <w:spacing w:before="2"/>
              <w:ind w:left="260" w:right="177"/>
              <w:jc w:val="left"/>
              <w:rPr>
                <w:rFonts w:ascii="Calibri"/>
                <w:sz w:val="12"/>
              </w:rPr>
            </w:pPr>
            <w:r>
              <w:rPr>
                <w:rFonts w:ascii="Calibri"/>
                <w:w w:val="115"/>
                <w:sz w:val="12"/>
              </w:rPr>
              <w:t>0.003</w:t>
            </w:r>
          </w:p>
        </w:tc>
        <w:tc>
          <w:tcPr>
            <w:tcW w:w="72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0.224</w:t>
            </w:r>
          </w:p>
        </w:tc>
        <w:tc>
          <w:tcPr>
            <w:tcW w:w="842" w:type="dxa"/>
            <w:tcBorders>
              <w:left w:val="single" w:sz="3" w:space="0" w:color="000000"/>
              <w:right w:val="single" w:sz="3" w:space="0" w:color="000000"/>
            </w:tcBorders>
          </w:tcPr>
          <w:p>
            <w:pPr>
              <w:pStyle w:val="TableParagraph"/>
              <w:spacing w:before="2"/>
              <w:ind w:right="86"/>
              <w:rPr>
                <w:rFonts w:ascii="Calibri"/>
                <w:sz w:val="12"/>
              </w:rPr>
            </w:pPr>
            <w:r>
              <w:rPr>
                <w:rFonts w:ascii="Calibri"/>
                <w:w w:val="110"/>
                <w:sz w:val="12"/>
              </w:rPr>
              <w:t>0.181</w:t>
            </w:r>
          </w:p>
        </w:tc>
        <w:tc>
          <w:tcPr>
            <w:tcW w:w="72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0.181</w:t>
            </w:r>
          </w:p>
        </w:tc>
      </w:tr>
      <w:tr>
        <w:trPr>
          <w:trHeight w:val="160" w:hRule="exact"/>
        </w:trPr>
        <w:tc>
          <w:tcPr>
            <w:tcW w:w="934" w:type="dxa"/>
            <w:tcBorders>
              <w:left w:val="single" w:sz="3" w:space="0" w:color="000000"/>
              <w:right w:val="single" w:sz="3" w:space="0" w:color="000000"/>
            </w:tcBorders>
          </w:tcPr>
          <w:p>
            <w:pPr>
              <w:pStyle w:val="TableParagraph"/>
              <w:spacing w:line="149" w:lineRule="exact"/>
              <w:ind w:left="307" w:right="308"/>
              <w:jc w:val="center"/>
              <w:rPr>
                <w:rFonts w:ascii="Calibri"/>
                <w:b/>
                <w:sz w:val="7"/>
              </w:rPr>
            </w:pPr>
            <w:r>
              <w:rPr>
                <w:rFonts w:ascii="Calibri"/>
                <w:b/>
                <w:w w:val="115"/>
                <w:sz w:val="12"/>
              </w:rPr>
              <w:t>Chi</w:t>
            </w:r>
            <w:r>
              <w:rPr>
                <w:rFonts w:ascii="Calibri"/>
                <w:b/>
                <w:w w:val="115"/>
                <w:position w:val="6"/>
                <w:sz w:val="7"/>
              </w:rPr>
              <w:t>2</w:t>
            </w:r>
          </w:p>
        </w:tc>
        <w:tc>
          <w:tcPr>
            <w:tcW w:w="720" w:type="dxa"/>
            <w:tcBorders>
              <w:left w:val="single" w:sz="3" w:space="0" w:color="000000"/>
              <w:right w:val="single" w:sz="3" w:space="0" w:color="000000"/>
            </w:tcBorders>
          </w:tcPr>
          <w:p>
            <w:pPr/>
          </w:p>
        </w:tc>
        <w:tc>
          <w:tcPr>
            <w:tcW w:w="840" w:type="dxa"/>
            <w:tcBorders>
              <w:left w:val="single" w:sz="3" w:space="0" w:color="000000"/>
              <w:right w:val="single" w:sz="3" w:space="0" w:color="000000"/>
            </w:tcBorders>
          </w:tcPr>
          <w:p>
            <w:pPr>
              <w:pStyle w:val="TableParagraph"/>
              <w:spacing w:before="2"/>
              <w:ind w:right="83"/>
              <w:rPr>
                <w:rFonts w:ascii="Calibri"/>
                <w:sz w:val="12"/>
              </w:rPr>
            </w:pPr>
            <w:r>
              <w:rPr>
                <w:rFonts w:ascii="Calibri"/>
                <w:w w:val="110"/>
                <w:sz w:val="12"/>
              </w:rPr>
              <w:t>0.111</w:t>
            </w:r>
          </w:p>
        </w:tc>
        <w:tc>
          <w:tcPr>
            <w:tcW w:w="842" w:type="dxa"/>
            <w:tcBorders>
              <w:left w:val="single" w:sz="3" w:space="0" w:color="000000"/>
              <w:right w:val="single" w:sz="3" w:space="0" w:color="000000"/>
            </w:tcBorders>
          </w:tcPr>
          <w:p>
            <w:pPr/>
          </w:p>
        </w:tc>
        <w:tc>
          <w:tcPr>
            <w:tcW w:w="720" w:type="dxa"/>
            <w:tcBorders>
              <w:left w:val="single" w:sz="3" w:space="0" w:color="000000"/>
              <w:right w:val="single" w:sz="3" w:space="0" w:color="000000"/>
            </w:tcBorders>
          </w:tcPr>
          <w:p>
            <w:pPr/>
          </w:p>
        </w:tc>
        <w:tc>
          <w:tcPr>
            <w:tcW w:w="842" w:type="dxa"/>
            <w:tcBorders>
              <w:left w:val="single" w:sz="3" w:space="0" w:color="000000"/>
              <w:right w:val="single" w:sz="3" w:space="0" w:color="000000"/>
            </w:tcBorders>
          </w:tcPr>
          <w:p>
            <w:pPr>
              <w:pStyle w:val="TableParagraph"/>
              <w:spacing w:before="2"/>
              <w:ind w:right="85"/>
              <w:rPr>
                <w:rFonts w:ascii="Calibri"/>
                <w:sz w:val="12"/>
              </w:rPr>
            </w:pPr>
            <w:r>
              <w:rPr>
                <w:rFonts w:ascii="Calibri"/>
                <w:w w:val="110"/>
                <w:sz w:val="12"/>
              </w:rPr>
              <w:t>0.276</w:t>
            </w:r>
          </w:p>
        </w:tc>
        <w:tc>
          <w:tcPr>
            <w:tcW w:w="840" w:type="dxa"/>
            <w:tcBorders>
              <w:left w:val="single" w:sz="3" w:space="0" w:color="000000"/>
              <w:right w:val="single" w:sz="3" w:space="0" w:color="000000"/>
            </w:tcBorders>
          </w:tcPr>
          <w:p>
            <w:pPr/>
          </w:p>
        </w:tc>
        <w:tc>
          <w:tcPr>
            <w:tcW w:w="720" w:type="dxa"/>
            <w:tcBorders>
              <w:left w:val="single" w:sz="3" w:space="0" w:color="000000"/>
              <w:right w:val="single" w:sz="3" w:space="0" w:color="000000"/>
            </w:tcBorders>
          </w:tcPr>
          <w:p>
            <w:pPr/>
          </w:p>
        </w:tc>
        <w:tc>
          <w:tcPr>
            <w:tcW w:w="842" w:type="dxa"/>
            <w:tcBorders>
              <w:left w:val="single" w:sz="3" w:space="0" w:color="000000"/>
              <w:right w:val="single" w:sz="3" w:space="0" w:color="000000"/>
            </w:tcBorders>
          </w:tcPr>
          <w:p>
            <w:pPr>
              <w:pStyle w:val="TableParagraph"/>
              <w:spacing w:before="2"/>
              <w:ind w:right="86"/>
              <w:rPr>
                <w:rFonts w:ascii="Calibri"/>
                <w:sz w:val="12"/>
              </w:rPr>
            </w:pPr>
            <w:r>
              <w:rPr>
                <w:rFonts w:ascii="Calibri"/>
                <w:w w:val="110"/>
                <w:sz w:val="12"/>
              </w:rPr>
              <w:t>0.080</w:t>
            </w:r>
          </w:p>
        </w:tc>
        <w:tc>
          <w:tcPr>
            <w:tcW w:w="720" w:type="dxa"/>
            <w:tcBorders>
              <w:left w:val="single" w:sz="3" w:space="0" w:color="000000"/>
              <w:right w:val="single" w:sz="3" w:space="0" w:color="000000"/>
            </w:tcBorders>
          </w:tcPr>
          <w:p>
            <w:pPr/>
          </w:p>
        </w:tc>
      </w:tr>
      <w:tr>
        <w:trPr>
          <w:trHeight w:val="158" w:hRule="exact"/>
        </w:trPr>
        <w:tc>
          <w:tcPr>
            <w:tcW w:w="934" w:type="dxa"/>
            <w:tcBorders>
              <w:left w:val="single" w:sz="3" w:space="0" w:color="000000"/>
              <w:right w:val="single" w:sz="3" w:space="0" w:color="000000"/>
            </w:tcBorders>
          </w:tcPr>
          <w:p>
            <w:pPr>
              <w:pStyle w:val="TableParagraph"/>
              <w:spacing w:before="3"/>
              <w:jc w:val="center"/>
              <w:rPr>
                <w:rFonts w:ascii="Calibri"/>
                <w:b/>
                <w:sz w:val="12"/>
              </w:rPr>
            </w:pPr>
            <w:r>
              <w:rPr>
                <w:rFonts w:ascii="Calibri"/>
                <w:b/>
                <w:w w:val="113"/>
                <w:sz w:val="12"/>
              </w:rPr>
              <w:t>F</w:t>
            </w:r>
          </w:p>
        </w:tc>
        <w:tc>
          <w:tcPr>
            <w:tcW w:w="1560" w:type="dxa"/>
            <w:gridSpan w:val="2"/>
            <w:tcBorders>
              <w:left w:val="single" w:sz="3" w:space="0" w:color="000000"/>
              <w:right w:val="single" w:sz="3" w:space="0" w:color="000000"/>
            </w:tcBorders>
          </w:tcPr>
          <w:p>
            <w:pPr/>
          </w:p>
        </w:tc>
        <w:tc>
          <w:tcPr>
            <w:tcW w:w="842" w:type="dxa"/>
            <w:tcBorders>
              <w:left w:val="single" w:sz="3" w:space="0" w:color="000000"/>
              <w:right w:val="single" w:sz="3" w:space="0" w:color="000000"/>
            </w:tcBorders>
          </w:tcPr>
          <w:p>
            <w:pPr>
              <w:pStyle w:val="TableParagraph"/>
              <w:spacing w:before="3"/>
              <w:ind w:right="85"/>
              <w:rPr>
                <w:rFonts w:ascii="Calibri"/>
                <w:sz w:val="12"/>
              </w:rPr>
            </w:pPr>
            <w:r>
              <w:rPr>
                <w:rFonts w:ascii="Calibri"/>
                <w:w w:val="110"/>
                <w:sz w:val="12"/>
              </w:rPr>
              <w:t>0.988</w:t>
            </w:r>
          </w:p>
        </w:tc>
        <w:tc>
          <w:tcPr>
            <w:tcW w:w="720" w:type="dxa"/>
            <w:tcBorders>
              <w:left w:val="single" w:sz="3" w:space="0" w:color="000000"/>
              <w:right w:val="single" w:sz="3" w:space="0" w:color="000000"/>
            </w:tcBorders>
          </w:tcPr>
          <w:p>
            <w:pPr/>
          </w:p>
        </w:tc>
        <w:tc>
          <w:tcPr>
            <w:tcW w:w="842" w:type="dxa"/>
            <w:tcBorders>
              <w:left w:val="single" w:sz="3" w:space="0" w:color="000000"/>
              <w:right w:val="single" w:sz="3" w:space="0" w:color="000000"/>
            </w:tcBorders>
          </w:tcPr>
          <w:p>
            <w:pPr/>
          </w:p>
        </w:tc>
        <w:tc>
          <w:tcPr>
            <w:tcW w:w="840" w:type="dxa"/>
            <w:tcBorders>
              <w:left w:val="single" w:sz="3" w:space="0" w:color="000000"/>
              <w:right w:val="single" w:sz="3" w:space="0" w:color="000000"/>
            </w:tcBorders>
          </w:tcPr>
          <w:p>
            <w:pPr>
              <w:pStyle w:val="TableParagraph"/>
              <w:spacing w:before="3"/>
              <w:ind w:right="83"/>
              <w:rPr>
                <w:rFonts w:ascii="Calibri"/>
                <w:sz w:val="12"/>
              </w:rPr>
            </w:pPr>
            <w:r>
              <w:rPr>
                <w:rFonts w:ascii="Calibri"/>
                <w:w w:val="110"/>
                <w:sz w:val="12"/>
              </w:rPr>
              <w:t>0.809</w:t>
            </w:r>
          </w:p>
        </w:tc>
        <w:tc>
          <w:tcPr>
            <w:tcW w:w="1562" w:type="dxa"/>
            <w:gridSpan w:val="2"/>
            <w:tcBorders>
              <w:left w:val="single" w:sz="3" w:space="0" w:color="000000"/>
              <w:right w:val="single" w:sz="3" w:space="0" w:color="000000"/>
            </w:tcBorders>
          </w:tcPr>
          <w:p>
            <w:pPr/>
          </w:p>
        </w:tc>
        <w:tc>
          <w:tcPr>
            <w:tcW w:w="720" w:type="dxa"/>
            <w:tcBorders>
              <w:left w:val="single" w:sz="3" w:space="0" w:color="000000"/>
              <w:right w:val="single" w:sz="3" w:space="0" w:color="000000"/>
            </w:tcBorders>
          </w:tcPr>
          <w:p>
            <w:pPr>
              <w:pStyle w:val="TableParagraph"/>
              <w:spacing w:before="3"/>
              <w:ind w:right="83"/>
              <w:rPr>
                <w:rFonts w:ascii="Calibri"/>
                <w:sz w:val="12"/>
              </w:rPr>
            </w:pPr>
            <w:r>
              <w:rPr>
                <w:rFonts w:ascii="Calibri"/>
                <w:w w:val="110"/>
                <w:sz w:val="12"/>
              </w:rPr>
              <w:t>0.965</w:t>
            </w:r>
          </w:p>
        </w:tc>
      </w:tr>
    </w:tbl>
    <w:p>
      <w:pPr>
        <w:pStyle w:val="BodyText"/>
        <w:rPr>
          <w:rFonts w:ascii="Arial"/>
          <w:sz w:val="20"/>
        </w:rPr>
      </w:pPr>
    </w:p>
    <w:p>
      <w:pPr>
        <w:pStyle w:val="BodyText"/>
        <w:spacing w:before="3"/>
        <w:rPr>
          <w:rFonts w:ascii="Arial"/>
          <w:sz w:val="21"/>
        </w:rPr>
      </w:pPr>
    </w:p>
    <w:p>
      <w:pPr>
        <w:spacing w:before="65"/>
        <w:ind w:left="786" w:right="188" w:firstLine="0"/>
        <w:jc w:val="left"/>
        <w:rPr>
          <w:rFonts w:ascii="Calibri"/>
          <w:b/>
          <w:sz w:val="19"/>
        </w:rPr>
      </w:pPr>
      <w:r>
        <w:rPr>
          <w:rFonts w:ascii="Calibri"/>
          <w:b/>
          <w:sz w:val="19"/>
        </w:rPr>
        <w:t>Modelo 4</w:t>
      </w:r>
    </w:p>
    <w:p>
      <w:pPr>
        <w:pStyle w:val="BodyText"/>
        <w:spacing w:before="7"/>
        <w:rPr>
          <w:rFonts w:ascii="Calibri"/>
          <w:b/>
          <w:sz w:val="17"/>
        </w:rPr>
      </w:pPr>
    </w:p>
    <w:p>
      <w:pPr>
        <w:spacing w:before="0"/>
        <w:ind w:left="786" w:right="188" w:firstLine="0"/>
        <w:jc w:val="left"/>
        <w:rPr>
          <w:rFonts w:ascii="Arial" w:hAnsi="Arial"/>
          <w:sz w:val="14"/>
        </w:rPr>
      </w:pPr>
      <w:r>
        <w:rPr>
          <w:rFonts w:ascii="Cambria Math" w:hAnsi="Cambria Math"/>
          <w:sz w:val="21"/>
        </w:rPr>
        <w:t>Ṗ </w:t>
      </w:r>
      <w:r>
        <w:rPr>
          <w:rFonts w:ascii="Arial" w:hAnsi="Arial"/>
          <w:sz w:val="21"/>
        </w:rPr>
        <w:t>= α</w:t>
      </w:r>
      <w:r>
        <w:rPr>
          <w:rFonts w:ascii="Arial" w:hAnsi="Arial"/>
          <w:position w:val="-2"/>
          <w:sz w:val="14"/>
        </w:rPr>
        <w:t>i  </w:t>
      </w:r>
      <w:r>
        <w:rPr>
          <w:rFonts w:ascii="Arial" w:hAnsi="Arial"/>
          <w:sz w:val="21"/>
        </w:rPr>
        <w:t>+ α</w:t>
      </w:r>
      <w:r>
        <w:rPr>
          <w:rFonts w:ascii="Arial" w:hAnsi="Arial"/>
          <w:position w:val="-2"/>
          <w:sz w:val="14"/>
        </w:rPr>
        <w:t>1 </w:t>
      </w:r>
      <w:r>
        <w:rPr>
          <w:rFonts w:ascii="Arial" w:hAnsi="Arial"/>
          <w:sz w:val="21"/>
        </w:rPr>
        <w:t>ẏ+ </w:t>
      </w:r>
      <w:r>
        <w:rPr>
          <w:rFonts w:ascii="Arial" w:hAnsi="Arial"/>
          <w:i/>
          <w:sz w:val="21"/>
        </w:rPr>
        <w:t>v</w:t>
      </w:r>
      <w:r>
        <w:rPr>
          <w:rFonts w:ascii="Arial" w:hAnsi="Arial"/>
          <w:position w:val="-2"/>
          <w:sz w:val="14"/>
        </w:rPr>
        <w:t>it</w:t>
      </w:r>
    </w:p>
    <w:p>
      <w:pPr>
        <w:pStyle w:val="BodyText"/>
        <w:rPr>
          <w:rFonts w:ascii="Arial"/>
          <w:sz w:val="19"/>
        </w:rPr>
      </w:pPr>
    </w:p>
    <w:tbl>
      <w:tblPr>
        <w:tblW w:w="0" w:type="auto"/>
        <w:jc w:val="left"/>
        <w:tblInd w:w="69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42"/>
        <w:gridCol w:w="726"/>
        <w:gridCol w:w="848"/>
        <w:gridCol w:w="850"/>
        <w:gridCol w:w="726"/>
        <w:gridCol w:w="850"/>
        <w:gridCol w:w="847"/>
        <w:gridCol w:w="726"/>
        <w:gridCol w:w="850"/>
        <w:gridCol w:w="726"/>
      </w:tblGrid>
      <w:tr>
        <w:trPr>
          <w:trHeight w:val="494" w:hRule="exact"/>
        </w:trPr>
        <w:tc>
          <w:tcPr>
            <w:tcW w:w="942" w:type="dxa"/>
            <w:tcBorders>
              <w:left w:val="single" w:sz="3" w:space="0" w:color="000000"/>
              <w:right w:val="single" w:sz="3" w:space="0" w:color="000000"/>
            </w:tcBorders>
          </w:tcPr>
          <w:p>
            <w:pPr/>
          </w:p>
        </w:tc>
        <w:tc>
          <w:tcPr>
            <w:tcW w:w="2423" w:type="dxa"/>
            <w:gridSpan w:val="3"/>
            <w:tcBorders>
              <w:left w:val="single" w:sz="3" w:space="0" w:color="000000"/>
              <w:right w:val="single" w:sz="3" w:space="0" w:color="000000"/>
            </w:tcBorders>
          </w:tcPr>
          <w:p>
            <w:pPr>
              <w:pStyle w:val="TableParagraph"/>
              <w:spacing w:before="7"/>
              <w:jc w:val="left"/>
              <w:rPr>
                <w:sz w:val="13"/>
              </w:rPr>
            </w:pPr>
          </w:p>
          <w:p>
            <w:pPr>
              <w:pStyle w:val="TableParagraph"/>
              <w:spacing w:before="1"/>
              <w:ind w:left="365"/>
              <w:jc w:val="left"/>
              <w:rPr>
                <w:b/>
                <w:sz w:val="14"/>
              </w:rPr>
            </w:pPr>
            <w:r>
              <w:rPr>
                <w:b/>
                <w:w w:val="95"/>
                <w:sz w:val="14"/>
              </w:rPr>
              <w:t>REGIÓN  TOLUCA-LERMA</w:t>
            </w:r>
          </w:p>
        </w:tc>
        <w:tc>
          <w:tcPr>
            <w:tcW w:w="2423" w:type="dxa"/>
            <w:gridSpan w:val="3"/>
            <w:tcBorders>
              <w:left w:val="single" w:sz="3" w:space="0" w:color="000000"/>
            </w:tcBorders>
          </w:tcPr>
          <w:p>
            <w:pPr>
              <w:pStyle w:val="TableParagraph"/>
              <w:spacing w:before="7"/>
              <w:jc w:val="left"/>
              <w:rPr>
                <w:sz w:val="13"/>
              </w:rPr>
            </w:pPr>
          </w:p>
          <w:p>
            <w:pPr>
              <w:pStyle w:val="TableParagraph"/>
              <w:spacing w:before="1"/>
              <w:ind w:left="291"/>
              <w:jc w:val="left"/>
              <w:rPr>
                <w:b/>
                <w:sz w:val="14"/>
              </w:rPr>
            </w:pPr>
            <w:r>
              <w:rPr>
                <w:b/>
                <w:sz w:val="14"/>
              </w:rPr>
              <w:t>REGIÓN VALLE DE MÉXICO</w:t>
            </w:r>
          </w:p>
        </w:tc>
        <w:tc>
          <w:tcPr>
            <w:tcW w:w="2302" w:type="dxa"/>
            <w:gridSpan w:val="3"/>
            <w:tcBorders>
              <w:right w:val="single" w:sz="3" w:space="0" w:color="000000"/>
            </w:tcBorders>
          </w:tcPr>
          <w:p>
            <w:pPr>
              <w:pStyle w:val="TableParagraph"/>
              <w:spacing w:before="7"/>
              <w:jc w:val="left"/>
              <w:rPr>
                <w:sz w:val="13"/>
              </w:rPr>
            </w:pPr>
          </w:p>
          <w:p>
            <w:pPr>
              <w:pStyle w:val="TableParagraph"/>
              <w:spacing w:before="1"/>
              <w:ind w:left="514"/>
              <w:jc w:val="left"/>
              <w:rPr>
                <w:b/>
                <w:sz w:val="14"/>
              </w:rPr>
            </w:pPr>
            <w:r>
              <w:rPr>
                <w:b/>
                <w:w w:val="95"/>
                <w:sz w:val="14"/>
              </w:rPr>
              <w:t>AMBAS REGIONES</w:t>
            </w:r>
          </w:p>
        </w:tc>
      </w:tr>
      <w:tr>
        <w:trPr>
          <w:trHeight w:val="464" w:hRule="exact"/>
        </w:trPr>
        <w:tc>
          <w:tcPr>
            <w:tcW w:w="942" w:type="dxa"/>
            <w:tcBorders>
              <w:left w:val="single" w:sz="3" w:space="0" w:color="000000"/>
              <w:right w:val="single" w:sz="3" w:space="0" w:color="000000"/>
            </w:tcBorders>
          </w:tcPr>
          <w:p>
            <w:pPr>
              <w:pStyle w:val="TableParagraph"/>
              <w:spacing w:before="5"/>
              <w:jc w:val="center"/>
              <w:rPr>
                <w:rFonts w:ascii="Cambria Math" w:hAnsi="Cambria Math"/>
                <w:sz w:val="21"/>
              </w:rPr>
            </w:pPr>
            <w:r>
              <w:rPr>
                <w:rFonts w:ascii="Cambria Math" w:hAnsi="Cambria Math"/>
                <w:w w:val="97"/>
                <w:sz w:val="21"/>
              </w:rPr>
              <w:t>Ṗ</w:t>
            </w:r>
          </w:p>
        </w:tc>
        <w:tc>
          <w:tcPr>
            <w:tcW w:w="726" w:type="dxa"/>
            <w:tcBorders>
              <w:left w:val="single" w:sz="3" w:space="0" w:color="000000"/>
              <w:right w:val="single" w:sz="3" w:space="0" w:color="000000"/>
            </w:tcBorders>
          </w:tcPr>
          <w:p>
            <w:pPr>
              <w:pStyle w:val="TableParagraph"/>
              <w:spacing w:before="8"/>
              <w:jc w:val="left"/>
              <w:rPr>
                <w:sz w:val="14"/>
              </w:rPr>
            </w:pPr>
          </w:p>
          <w:p>
            <w:pPr>
              <w:pStyle w:val="TableParagraph"/>
              <w:ind w:right="143"/>
              <w:rPr>
                <w:b/>
                <w:sz w:val="10"/>
              </w:rPr>
            </w:pPr>
            <w:r>
              <w:rPr>
                <w:b/>
                <w:sz w:val="10"/>
              </w:rPr>
              <w:t>POOLED</w:t>
            </w:r>
          </w:p>
        </w:tc>
        <w:tc>
          <w:tcPr>
            <w:tcW w:w="848" w:type="dxa"/>
            <w:tcBorders>
              <w:left w:val="single" w:sz="3" w:space="0" w:color="000000"/>
              <w:right w:val="single" w:sz="3" w:space="0" w:color="000000"/>
            </w:tcBorders>
          </w:tcPr>
          <w:p>
            <w:pPr>
              <w:pStyle w:val="TableParagraph"/>
              <w:spacing w:before="5"/>
              <w:jc w:val="left"/>
              <w:rPr>
                <w:sz w:val="9"/>
              </w:rPr>
            </w:pPr>
          </w:p>
          <w:p>
            <w:pPr>
              <w:pStyle w:val="TableParagraph"/>
              <w:spacing w:line="249" w:lineRule="auto"/>
              <w:ind w:left="184" w:right="179" w:firstLine="4"/>
              <w:jc w:val="left"/>
              <w:rPr>
                <w:b/>
                <w:sz w:val="10"/>
              </w:rPr>
            </w:pPr>
            <w:r>
              <w:rPr>
                <w:b/>
                <w:sz w:val="10"/>
              </w:rPr>
              <w:t>RANDOM EFFECTS</w:t>
            </w:r>
          </w:p>
        </w:tc>
        <w:tc>
          <w:tcPr>
            <w:tcW w:w="850" w:type="dxa"/>
            <w:tcBorders>
              <w:left w:val="single" w:sz="3" w:space="0" w:color="000000"/>
              <w:right w:val="single" w:sz="3" w:space="0" w:color="000000"/>
            </w:tcBorders>
          </w:tcPr>
          <w:p>
            <w:pPr>
              <w:pStyle w:val="TableParagraph"/>
              <w:spacing w:before="5"/>
              <w:jc w:val="left"/>
              <w:rPr>
                <w:sz w:val="9"/>
              </w:rPr>
            </w:pPr>
          </w:p>
          <w:p>
            <w:pPr>
              <w:pStyle w:val="TableParagraph"/>
              <w:spacing w:line="249" w:lineRule="auto"/>
              <w:ind w:left="186" w:right="179" w:firstLine="84"/>
              <w:jc w:val="left"/>
              <w:rPr>
                <w:b/>
                <w:sz w:val="10"/>
              </w:rPr>
            </w:pPr>
            <w:r>
              <w:rPr>
                <w:b/>
                <w:w w:val="105"/>
                <w:sz w:val="10"/>
              </w:rPr>
              <w:t>FIXED </w:t>
            </w:r>
            <w:r>
              <w:rPr>
                <w:b/>
                <w:sz w:val="10"/>
              </w:rPr>
              <w:t>EFFECTS</w:t>
            </w:r>
          </w:p>
        </w:tc>
        <w:tc>
          <w:tcPr>
            <w:tcW w:w="726" w:type="dxa"/>
            <w:tcBorders>
              <w:left w:val="single" w:sz="3" w:space="0" w:color="000000"/>
              <w:right w:val="single" w:sz="3" w:space="0" w:color="000000"/>
            </w:tcBorders>
          </w:tcPr>
          <w:p>
            <w:pPr>
              <w:pStyle w:val="TableParagraph"/>
              <w:spacing w:before="8"/>
              <w:jc w:val="left"/>
              <w:rPr>
                <w:sz w:val="14"/>
              </w:rPr>
            </w:pPr>
          </w:p>
          <w:p>
            <w:pPr>
              <w:pStyle w:val="TableParagraph"/>
              <w:ind w:left="141"/>
              <w:jc w:val="left"/>
              <w:rPr>
                <w:b/>
                <w:sz w:val="10"/>
              </w:rPr>
            </w:pPr>
            <w:r>
              <w:rPr>
                <w:b/>
                <w:w w:val="105"/>
                <w:sz w:val="10"/>
              </w:rPr>
              <w:t>POOLED</w:t>
            </w:r>
          </w:p>
        </w:tc>
        <w:tc>
          <w:tcPr>
            <w:tcW w:w="850" w:type="dxa"/>
            <w:tcBorders>
              <w:left w:val="single" w:sz="3" w:space="0" w:color="000000"/>
              <w:right w:val="single" w:sz="3" w:space="0" w:color="000000"/>
            </w:tcBorders>
          </w:tcPr>
          <w:p>
            <w:pPr>
              <w:pStyle w:val="TableParagraph"/>
              <w:spacing w:before="5"/>
              <w:jc w:val="left"/>
              <w:rPr>
                <w:sz w:val="9"/>
              </w:rPr>
            </w:pPr>
          </w:p>
          <w:p>
            <w:pPr>
              <w:pStyle w:val="TableParagraph"/>
              <w:spacing w:line="249" w:lineRule="auto"/>
              <w:ind w:left="184" w:right="181" w:firstLine="4"/>
              <w:jc w:val="left"/>
              <w:rPr>
                <w:b/>
                <w:sz w:val="10"/>
              </w:rPr>
            </w:pPr>
            <w:r>
              <w:rPr>
                <w:b/>
                <w:sz w:val="10"/>
              </w:rPr>
              <w:t>RANDOM EFFECTS</w:t>
            </w:r>
          </w:p>
        </w:tc>
        <w:tc>
          <w:tcPr>
            <w:tcW w:w="847" w:type="dxa"/>
            <w:tcBorders>
              <w:left w:val="single" w:sz="3" w:space="0" w:color="000000"/>
            </w:tcBorders>
          </w:tcPr>
          <w:p>
            <w:pPr>
              <w:pStyle w:val="TableParagraph"/>
              <w:spacing w:before="5"/>
              <w:jc w:val="left"/>
              <w:rPr>
                <w:sz w:val="9"/>
              </w:rPr>
            </w:pPr>
          </w:p>
          <w:p>
            <w:pPr>
              <w:pStyle w:val="TableParagraph"/>
              <w:spacing w:line="249" w:lineRule="auto"/>
              <w:ind w:left="184" w:right="179" w:firstLine="84"/>
              <w:jc w:val="left"/>
              <w:rPr>
                <w:b/>
                <w:sz w:val="10"/>
              </w:rPr>
            </w:pPr>
            <w:r>
              <w:rPr>
                <w:b/>
                <w:w w:val="105"/>
                <w:sz w:val="10"/>
              </w:rPr>
              <w:t>FIXED </w:t>
            </w:r>
            <w:r>
              <w:rPr>
                <w:b/>
                <w:sz w:val="10"/>
              </w:rPr>
              <w:t>EFFECTS</w:t>
            </w:r>
          </w:p>
        </w:tc>
        <w:tc>
          <w:tcPr>
            <w:tcW w:w="726" w:type="dxa"/>
            <w:tcBorders>
              <w:right w:val="single" w:sz="3" w:space="0" w:color="000000"/>
            </w:tcBorders>
          </w:tcPr>
          <w:p>
            <w:pPr>
              <w:pStyle w:val="TableParagraph"/>
              <w:spacing w:before="8"/>
              <w:jc w:val="left"/>
              <w:rPr>
                <w:sz w:val="14"/>
              </w:rPr>
            </w:pPr>
          </w:p>
          <w:p>
            <w:pPr>
              <w:pStyle w:val="TableParagraph"/>
              <w:ind w:right="141"/>
              <w:rPr>
                <w:b/>
                <w:sz w:val="10"/>
              </w:rPr>
            </w:pPr>
            <w:r>
              <w:rPr>
                <w:b/>
                <w:sz w:val="10"/>
              </w:rPr>
              <w:t>POOLED</w:t>
            </w:r>
          </w:p>
        </w:tc>
        <w:tc>
          <w:tcPr>
            <w:tcW w:w="850" w:type="dxa"/>
            <w:tcBorders>
              <w:left w:val="single" w:sz="3" w:space="0" w:color="000000"/>
              <w:right w:val="single" w:sz="3" w:space="0" w:color="000000"/>
            </w:tcBorders>
          </w:tcPr>
          <w:p>
            <w:pPr>
              <w:pStyle w:val="TableParagraph"/>
              <w:spacing w:before="5"/>
              <w:jc w:val="left"/>
              <w:rPr>
                <w:sz w:val="9"/>
              </w:rPr>
            </w:pPr>
          </w:p>
          <w:p>
            <w:pPr>
              <w:pStyle w:val="TableParagraph"/>
              <w:spacing w:line="249" w:lineRule="auto"/>
              <w:ind w:left="184" w:right="181" w:firstLine="4"/>
              <w:jc w:val="left"/>
              <w:rPr>
                <w:b/>
                <w:sz w:val="10"/>
              </w:rPr>
            </w:pPr>
            <w:r>
              <w:rPr>
                <w:b/>
                <w:sz w:val="10"/>
              </w:rPr>
              <w:t>RANDOM EFFECTS</w:t>
            </w:r>
          </w:p>
        </w:tc>
        <w:tc>
          <w:tcPr>
            <w:tcW w:w="726" w:type="dxa"/>
            <w:tcBorders>
              <w:left w:val="single" w:sz="3" w:space="0" w:color="000000"/>
              <w:right w:val="single" w:sz="3" w:space="0" w:color="000000"/>
            </w:tcBorders>
          </w:tcPr>
          <w:p>
            <w:pPr>
              <w:pStyle w:val="TableParagraph"/>
              <w:spacing w:before="5"/>
              <w:jc w:val="left"/>
              <w:rPr>
                <w:sz w:val="9"/>
              </w:rPr>
            </w:pPr>
          </w:p>
          <w:p>
            <w:pPr>
              <w:pStyle w:val="TableParagraph"/>
              <w:spacing w:line="249" w:lineRule="auto"/>
              <w:ind w:left="123" w:right="119" w:firstLine="84"/>
              <w:jc w:val="left"/>
              <w:rPr>
                <w:b/>
                <w:sz w:val="10"/>
              </w:rPr>
            </w:pPr>
            <w:r>
              <w:rPr>
                <w:b/>
                <w:w w:val="105"/>
                <w:sz w:val="10"/>
              </w:rPr>
              <w:t>FIXED </w:t>
            </w:r>
            <w:r>
              <w:rPr>
                <w:b/>
                <w:sz w:val="10"/>
              </w:rPr>
              <w:t>EFFECTS</w:t>
            </w:r>
          </w:p>
        </w:tc>
      </w:tr>
      <w:tr>
        <w:trPr>
          <w:trHeight w:val="181" w:hRule="exact"/>
        </w:trPr>
        <w:tc>
          <w:tcPr>
            <w:tcW w:w="942" w:type="dxa"/>
            <w:vMerge w:val="restart"/>
            <w:tcBorders>
              <w:left w:val="single" w:sz="3" w:space="0" w:color="000000"/>
              <w:right w:val="single" w:sz="3" w:space="0" w:color="000000"/>
            </w:tcBorders>
          </w:tcPr>
          <w:p>
            <w:pPr>
              <w:pStyle w:val="TableParagraph"/>
              <w:spacing w:before="9"/>
              <w:jc w:val="left"/>
              <w:rPr>
                <w:sz w:val="20"/>
              </w:rPr>
            </w:pPr>
          </w:p>
          <w:p>
            <w:pPr>
              <w:pStyle w:val="TableParagraph"/>
              <w:ind w:right="1"/>
              <w:jc w:val="center"/>
              <w:rPr>
                <w:b/>
                <w:sz w:val="21"/>
              </w:rPr>
            </w:pPr>
            <w:r>
              <w:rPr>
                <w:b/>
                <w:w w:val="97"/>
                <w:sz w:val="21"/>
              </w:rPr>
              <w:t>ẏ</w:t>
            </w:r>
          </w:p>
        </w:tc>
        <w:tc>
          <w:tcPr>
            <w:tcW w:w="726"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0.355</w:t>
            </w:r>
          </w:p>
        </w:tc>
        <w:tc>
          <w:tcPr>
            <w:tcW w:w="848"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0.355</w:t>
            </w:r>
          </w:p>
        </w:tc>
        <w:tc>
          <w:tcPr>
            <w:tcW w:w="850"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0.373</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0.764</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0.764</w:t>
            </w:r>
          </w:p>
        </w:tc>
        <w:tc>
          <w:tcPr>
            <w:tcW w:w="847" w:type="dxa"/>
            <w:tcBorders>
              <w:left w:val="single" w:sz="3" w:space="0" w:color="000000"/>
            </w:tcBorders>
          </w:tcPr>
          <w:p>
            <w:pPr>
              <w:pStyle w:val="TableParagraph"/>
              <w:spacing w:line="170" w:lineRule="exact"/>
              <w:ind w:right="84"/>
              <w:rPr>
                <w:rFonts w:ascii="Calibri"/>
                <w:sz w:val="14"/>
              </w:rPr>
            </w:pPr>
            <w:r>
              <w:rPr>
                <w:rFonts w:ascii="Calibri"/>
                <w:w w:val="95"/>
                <w:sz w:val="14"/>
              </w:rPr>
              <w:t>0.798</w:t>
            </w:r>
          </w:p>
        </w:tc>
        <w:tc>
          <w:tcPr>
            <w:tcW w:w="726" w:type="dxa"/>
            <w:tcBorders>
              <w:right w:val="single" w:sz="3" w:space="0" w:color="000000"/>
            </w:tcBorders>
          </w:tcPr>
          <w:p>
            <w:pPr>
              <w:pStyle w:val="TableParagraph"/>
              <w:spacing w:line="170" w:lineRule="exact"/>
              <w:ind w:right="84"/>
              <w:rPr>
                <w:rFonts w:ascii="Calibri"/>
                <w:sz w:val="14"/>
              </w:rPr>
            </w:pPr>
            <w:r>
              <w:rPr>
                <w:rFonts w:ascii="Calibri"/>
                <w:w w:val="95"/>
                <w:sz w:val="14"/>
              </w:rPr>
              <w:t>0.539</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0.539</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0.522</w:t>
            </w:r>
          </w:p>
        </w:tc>
      </w:tr>
      <w:tr>
        <w:trPr>
          <w:trHeight w:val="179" w:hRule="exact"/>
        </w:trPr>
        <w:tc>
          <w:tcPr>
            <w:tcW w:w="942" w:type="dxa"/>
            <w:vMerge/>
            <w:tcBorders>
              <w:left w:val="single" w:sz="3" w:space="0" w:color="000000"/>
              <w:right w:val="single" w:sz="3" w:space="0" w:color="000000"/>
            </w:tcBorders>
          </w:tcPr>
          <w:p>
            <w:pPr/>
          </w:p>
        </w:tc>
        <w:tc>
          <w:tcPr>
            <w:tcW w:w="726" w:type="dxa"/>
            <w:tcBorders>
              <w:left w:val="single" w:sz="3" w:space="0" w:color="000000"/>
              <w:right w:val="single" w:sz="3" w:space="0" w:color="000000"/>
            </w:tcBorders>
          </w:tcPr>
          <w:p>
            <w:pPr>
              <w:pStyle w:val="TableParagraph"/>
              <w:spacing w:line="170" w:lineRule="exact"/>
              <w:ind w:right="85"/>
              <w:rPr>
                <w:rFonts w:ascii="Calibri"/>
                <w:sz w:val="14"/>
              </w:rPr>
            </w:pPr>
            <w:r>
              <w:rPr>
                <w:rFonts w:ascii="Calibri"/>
                <w:w w:val="95"/>
                <w:sz w:val="14"/>
              </w:rPr>
              <w:t>(0.138)</w:t>
            </w:r>
          </w:p>
        </w:tc>
        <w:tc>
          <w:tcPr>
            <w:tcW w:w="848" w:type="dxa"/>
            <w:tcBorders>
              <w:left w:val="single" w:sz="3" w:space="0" w:color="000000"/>
              <w:right w:val="single" w:sz="3" w:space="0" w:color="000000"/>
            </w:tcBorders>
          </w:tcPr>
          <w:p>
            <w:pPr>
              <w:pStyle w:val="TableParagraph"/>
              <w:spacing w:line="170" w:lineRule="exact"/>
              <w:ind w:right="83"/>
              <w:rPr>
                <w:rFonts w:ascii="Calibri"/>
                <w:sz w:val="14"/>
              </w:rPr>
            </w:pPr>
            <w:r>
              <w:rPr>
                <w:rFonts w:ascii="Calibri"/>
                <w:w w:val="95"/>
                <w:sz w:val="14"/>
              </w:rPr>
              <w:t>(0.138)</w:t>
            </w:r>
          </w:p>
        </w:tc>
        <w:tc>
          <w:tcPr>
            <w:tcW w:w="850" w:type="dxa"/>
            <w:tcBorders>
              <w:left w:val="single" w:sz="3" w:space="0" w:color="000000"/>
              <w:right w:val="single" w:sz="3" w:space="0" w:color="000000"/>
            </w:tcBorders>
          </w:tcPr>
          <w:p>
            <w:pPr>
              <w:pStyle w:val="TableParagraph"/>
              <w:spacing w:line="170" w:lineRule="exact"/>
              <w:ind w:right="83"/>
              <w:rPr>
                <w:rFonts w:ascii="Calibri"/>
                <w:sz w:val="14"/>
              </w:rPr>
            </w:pPr>
            <w:r>
              <w:rPr>
                <w:rFonts w:ascii="Calibri"/>
                <w:w w:val="95"/>
                <w:sz w:val="14"/>
              </w:rPr>
              <w:t>(0.152)</w:t>
            </w:r>
          </w:p>
        </w:tc>
        <w:tc>
          <w:tcPr>
            <w:tcW w:w="726" w:type="dxa"/>
            <w:tcBorders>
              <w:left w:val="single" w:sz="3" w:space="0" w:color="000000"/>
              <w:right w:val="single" w:sz="3" w:space="0" w:color="000000"/>
            </w:tcBorders>
          </w:tcPr>
          <w:p>
            <w:pPr>
              <w:pStyle w:val="TableParagraph"/>
              <w:spacing w:line="170" w:lineRule="exact"/>
              <w:ind w:right="83"/>
              <w:rPr>
                <w:rFonts w:ascii="Calibri"/>
                <w:sz w:val="14"/>
              </w:rPr>
            </w:pPr>
            <w:r>
              <w:rPr>
                <w:rFonts w:ascii="Calibri"/>
                <w:w w:val="95"/>
                <w:sz w:val="14"/>
              </w:rPr>
              <w:t>(0.064)</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(0.064)</w:t>
            </w:r>
          </w:p>
        </w:tc>
        <w:tc>
          <w:tcPr>
            <w:tcW w:w="847" w:type="dxa"/>
            <w:tcBorders>
              <w:left w:val="single" w:sz="3" w:space="0" w:color="000000"/>
            </w:tcBorders>
          </w:tcPr>
          <w:p>
            <w:pPr>
              <w:pStyle w:val="TableParagraph"/>
              <w:spacing w:line="170" w:lineRule="exact"/>
              <w:ind w:right="83"/>
              <w:rPr>
                <w:rFonts w:ascii="Calibri"/>
                <w:sz w:val="14"/>
              </w:rPr>
            </w:pPr>
            <w:r>
              <w:rPr>
                <w:rFonts w:ascii="Calibri"/>
                <w:w w:val="95"/>
                <w:sz w:val="14"/>
              </w:rPr>
              <w:t>(0.068)</w:t>
            </w:r>
          </w:p>
        </w:tc>
        <w:tc>
          <w:tcPr>
            <w:tcW w:w="726" w:type="dxa"/>
            <w:tcBorders>
              <w:right w:val="single" w:sz="3" w:space="0" w:color="000000"/>
            </w:tcBorders>
          </w:tcPr>
          <w:p>
            <w:pPr>
              <w:pStyle w:val="TableParagraph"/>
              <w:spacing w:line="170" w:lineRule="exact"/>
              <w:ind w:right="83"/>
              <w:rPr>
                <w:rFonts w:ascii="Calibri"/>
                <w:sz w:val="14"/>
              </w:rPr>
            </w:pPr>
            <w:r>
              <w:rPr>
                <w:rFonts w:ascii="Calibri"/>
                <w:w w:val="95"/>
                <w:sz w:val="14"/>
              </w:rPr>
              <w:t>(0.069)</w:t>
            </w:r>
          </w:p>
        </w:tc>
        <w:tc>
          <w:tcPr>
            <w:tcW w:w="850" w:type="dxa"/>
            <w:tcBorders>
              <w:left w:val="single" w:sz="3" w:space="0" w:color="000000"/>
              <w:right w:val="single" w:sz="3" w:space="0" w:color="000000"/>
            </w:tcBorders>
          </w:tcPr>
          <w:p>
            <w:pPr>
              <w:pStyle w:val="TableParagraph"/>
              <w:spacing w:line="170" w:lineRule="exact"/>
              <w:ind w:right="85"/>
              <w:rPr>
                <w:rFonts w:ascii="Calibri"/>
                <w:sz w:val="14"/>
              </w:rPr>
            </w:pPr>
            <w:r>
              <w:rPr>
                <w:rFonts w:ascii="Calibri"/>
                <w:w w:val="95"/>
                <w:sz w:val="14"/>
              </w:rPr>
              <w:t>(0.069)</w:t>
            </w:r>
          </w:p>
        </w:tc>
        <w:tc>
          <w:tcPr>
            <w:tcW w:w="726" w:type="dxa"/>
            <w:tcBorders>
              <w:left w:val="single" w:sz="3" w:space="0" w:color="000000"/>
              <w:right w:val="single" w:sz="3" w:space="0" w:color="000000"/>
            </w:tcBorders>
          </w:tcPr>
          <w:p>
            <w:pPr>
              <w:pStyle w:val="TableParagraph"/>
              <w:spacing w:line="170" w:lineRule="exact"/>
              <w:ind w:right="83"/>
              <w:rPr>
                <w:rFonts w:ascii="Calibri"/>
                <w:sz w:val="14"/>
              </w:rPr>
            </w:pPr>
            <w:r>
              <w:rPr>
                <w:rFonts w:ascii="Calibri"/>
                <w:w w:val="95"/>
                <w:sz w:val="14"/>
              </w:rPr>
              <w:t>(0.077)</w:t>
            </w:r>
          </w:p>
        </w:tc>
      </w:tr>
      <w:tr>
        <w:trPr>
          <w:trHeight w:val="181" w:hRule="exact"/>
        </w:trPr>
        <w:tc>
          <w:tcPr>
            <w:tcW w:w="942" w:type="dxa"/>
            <w:vMerge/>
            <w:tcBorders>
              <w:left w:val="single" w:sz="3" w:space="0" w:color="000000"/>
              <w:right w:val="single" w:sz="3" w:space="0" w:color="000000"/>
            </w:tcBorders>
          </w:tcPr>
          <w:p>
            <w:pPr/>
          </w:p>
        </w:tc>
        <w:tc>
          <w:tcPr>
            <w:tcW w:w="726" w:type="dxa"/>
            <w:tcBorders>
              <w:left w:val="single" w:sz="3" w:space="0" w:color="000000"/>
              <w:right w:val="single" w:sz="3" w:space="0" w:color="000000"/>
            </w:tcBorders>
          </w:tcPr>
          <w:p>
            <w:pPr>
              <w:pStyle w:val="TableParagraph"/>
              <w:spacing w:before="1"/>
              <w:ind w:right="88"/>
              <w:rPr>
                <w:rFonts w:ascii="Calibri"/>
                <w:sz w:val="14"/>
              </w:rPr>
            </w:pPr>
            <w:r>
              <w:rPr>
                <w:rFonts w:ascii="Calibri"/>
                <w:w w:val="95"/>
                <w:sz w:val="14"/>
              </w:rPr>
              <w:t>t=2.56</w:t>
            </w:r>
          </w:p>
        </w:tc>
        <w:tc>
          <w:tcPr>
            <w:tcW w:w="848" w:type="dxa"/>
            <w:tcBorders>
              <w:left w:val="single" w:sz="3" w:space="0" w:color="000000"/>
              <w:right w:val="single" w:sz="3" w:space="0" w:color="000000"/>
            </w:tcBorders>
          </w:tcPr>
          <w:p>
            <w:pPr>
              <w:pStyle w:val="TableParagraph"/>
              <w:spacing w:before="1"/>
              <w:ind w:right="86"/>
              <w:rPr>
                <w:rFonts w:ascii="Calibri"/>
                <w:sz w:val="14"/>
              </w:rPr>
            </w:pPr>
            <w:r>
              <w:rPr>
                <w:rFonts w:ascii="Calibri"/>
                <w:w w:val="95"/>
                <w:sz w:val="14"/>
              </w:rPr>
              <w:t>z=2.56</w:t>
            </w:r>
          </w:p>
        </w:tc>
        <w:tc>
          <w:tcPr>
            <w:tcW w:w="850" w:type="dxa"/>
            <w:tcBorders>
              <w:left w:val="single" w:sz="3" w:space="0" w:color="000000"/>
              <w:right w:val="single" w:sz="3" w:space="0" w:color="000000"/>
            </w:tcBorders>
          </w:tcPr>
          <w:p>
            <w:pPr>
              <w:pStyle w:val="TableParagraph"/>
              <w:spacing w:before="1"/>
              <w:ind w:right="86"/>
              <w:rPr>
                <w:rFonts w:ascii="Calibri"/>
                <w:sz w:val="14"/>
              </w:rPr>
            </w:pPr>
            <w:r>
              <w:rPr>
                <w:rFonts w:ascii="Calibri"/>
                <w:w w:val="95"/>
                <w:sz w:val="14"/>
              </w:rPr>
              <w:t>t=2.45</w:t>
            </w:r>
          </w:p>
        </w:tc>
        <w:tc>
          <w:tcPr>
            <w:tcW w:w="726" w:type="dxa"/>
            <w:tcBorders>
              <w:left w:val="single" w:sz="3" w:space="0" w:color="000000"/>
              <w:right w:val="single" w:sz="3" w:space="0" w:color="000000"/>
            </w:tcBorders>
          </w:tcPr>
          <w:p>
            <w:pPr>
              <w:pStyle w:val="TableParagraph"/>
              <w:spacing w:before="1"/>
              <w:ind w:right="86"/>
              <w:rPr>
                <w:rFonts w:ascii="Calibri"/>
                <w:sz w:val="14"/>
              </w:rPr>
            </w:pPr>
            <w:r>
              <w:rPr>
                <w:rFonts w:ascii="Calibri"/>
                <w:w w:val="95"/>
                <w:sz w:val="14"/>
              </w:rPr>
              <w:t>t=11.77</w:t>
            </w:r>
          </w:p>
        </w:tc>
        <w:tc>
          <w:tcPr>
            <w:tcW w:w="850" w:type="dxa"/>
            <w:tcBorders>
              <w:left w:val="single" w:sz="3" w:space="0" w:color="000000"/>
              <w:right w:val="single" w:sz="3" w:space="0" w:color="000000"/>
            </w:tcBorders>
          </w:tcPr>
          <w:p>
            <w:pPr>
              <w:pStyle w:val="TableParagraph"/>
              <w:spacing w:before="1"/>
              <w:ind w:right="88"/>
              <w:rPr>
                <w:rFonts w:ascii="Calibri"/>
                <w:sz w:val="14"/>
              </w:rPr>
            </w:pPr>
            <w:r>
              <w:rPr>
                <w:rFonts w:ascii="Calibri"/>
                <w:w w:val="95"/>
                <w:sz w:val="14"/>
              </w:rPr>
              <w:t>z=11.77</w:t>
            </w:r>
          </w:p>
        </w:tc>
        <w:tc>
          <w:tcPr>
            <w:tcW w:w="847" w:type="dxa"/>
            <w:tcBorders>
              <w:left w:val="single" w:sz="3" w:space="0" w:color="000000"/>
            </w:tcBorders>
          </w:tcPr>
          <w:p>
            <w:pPr>
              <w:pStyle w:val="TableParagraph"/>
              <w:spacing w:before="1"/>
              <w:ind w:right="86"/>
              <w:rPr>
                <w:rFonts w:ascii="Calibri"/>
                <w:sz w:val="14"/>
              </w:rPr>
            </w:pPr>
            <w:r>
              <w:rPr>
                <w:rFonts w:ascii="Calibri"/>
                <w:w w:val="95"/>
                <w:sz w:val="14"/>
              </w:rPr>
              <w:t>t=11.74</w:t>
            </w:r>
          </w:p>
        </w:tc>
        <w:tc>
          <w:tcPr>
            <w:tcW w:w="726" w:type="dxa"/>
            <w:tcBorders>
              <w:right w:val="single" w:sz="3" w:space="0" w:color="000000"/>
            </w:tcBorders>
          </w:tcPr>
          <w:p>
            <w:pPr>
              <w:pStyle w:val="TableParagraph"/>
              <w:spacing w:before="1"/>
              <w:ind w:right="86"/>
              <w:rPr>
                <w:rFonts w:ascii="Calibri"/>
                <w:sz w:val="14"/>
              </w:rPr>
            </w:pPr>
            <w:r>
              <w:rPr>
                <w:rFonts w:ascii="Calibri"/>
                <w:w w:val="95"/>
                <w:sz w:val="14"/>
              </w:rPr>
              <w:t>t=7.77</w:t>
            </w:r>
          </w:p>
        </w:tc>
        <w:tc>
          <w:tcPr>
            <w:tcW w:w="850" w:type="dxa"/>
            <w:tcBorders>
              <w:left w:val="single" w:sz="3" w:space="0" w:color="000000"/>
              <w:right w:val="single" w:sz="3" w:space="0" w:color="000000"/>
            </w:tcBorders>
          </w:tcPr>
          <w:p>
            <w:pPr>
              <w:pStyle w:val="TableParagraph"/>
              <w:spacing w:before="1"/>
              <w:ind w:right="88"/>
              <w:rPr>
                <w:rFonts w:ascii="Calibri"/>
                <w:sz w:val="14"/>
              </w:rPr>
            </w:pPr>
            <w:r>
              <w:rPr>
                <w:rFonts w:ascii="Calibri"/>
                <w:w w:val="95"/>
                <w:sz w:val="14"/>
              </w:rPr>
              <w:t>z=7.77</w:t>
            </w:r>
          </w:p>
        </w:tc>
        <w:tc>
          <w:tcPr>
            <w:tcW w:w="726" w:type="dxa"/>
            <w:tcBorders>
              <w:left w:val="single" w:sz="3" w:space="0" w:color="000000"/>
              <w:right w:val="single" w:sz="3" w:space="0" w:color="000000"/>
            </w:tcBorders>
          </w:tcPr>
          <w:p>
            <w:pPr>
              <w:pStyle w:val="TableParagraph"/>
              <w:spacing w:before="1"/>
              <w:ind w:right="86"/>
              <w:rPr>
                <w:rFonts w:ascii="Calibri"/>
                <w:sz w:val="14"/>
              </w:rPr>
            </w:pPr>
            <w:r>
              <w:rPr>
                <w:rFonts w:ascii="Calibri"/>
                <w:w w:val="95"/>
                <w:sz w:val="14"/>
              </w:rPr>
              <w:t>t=7.40</w:t>
            </w:r>
          </w:p>
        </w:tc>
      </w:tr>
      <w:tr>
        <w:trPr>
          <w:trHeight w:val="179" w:hRule="exact"/>
        </w:trPr>
        <w:tc>
          <w:tcPr>
            <w:tcW w:w="942" w:type="dxa"/>
            <w:vMerge/>
            <w:tcBorders>
              <w:left w:val="single" w:sz="3" w:space="0" w:color="000000"/>
              <w:right w:val="single" w:sz="3" w:space="0" w:color="000000"/>
            </w:tcBorders>
          </w:tcPr>
          <w:p>
            <w:pPr/>
          </w:p>
        </w:tc>
        <w:tc>
          <w:tcPr>
            <w:tcW w:w="726"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p=0.015</w:t>
            </w:r>
          </w:p>
        </w:tc>
        <w:tc>
          <w:tcPr>
            <w:tcW w:w="848"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p=0.010</w:t>
            </w:r>
          </w:p>
        </w:tc>
        <w:tc>
          <w:tcPr>
            <w:tcW w:w="850"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p=0.021</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p=0.000</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p=0.000</w:t>
            </w:r>
          </w:p>
        </w:tc>
        <w:tc>
          <w:tcPr>
            <w:tcW w:w="847" w:type="dxa"/>
            <w:tcBorders>
              <w:left w:val="single" w:sz="3" w:space="0" w:color="000000"/>
            </w:tcBorders>
          </w:tcPr>
          <w:p>
            <w:pPr>
              <w:pStyle w:val="TableParagraph"/>
              <w:spacing w:line="170" w:lineRule="exact"/>
              <w:ind w:right="84"/>
              <w:rPr>
                <w:rFonts w:ascii="Calibri"/>
                <w:sz w:val="14"/>
              </w:rPr>
            </w:pPr>
            <w:r>
              <w:rPr>
                <w:rFonts w:ascii="Calibri"/>
                <w:w w:val="95"/>
                <w:sz w:val="14"/>
              </w:rPr>
              <w:t>p=0.000</w:t>
            </w:r>
          </w:p>
        </w:tc>
        <w:tc>
          <w:tcPr>
            <w:tcW w:w="726" w:type="dxa"/>
            <w:tcBorders>
              <w:right w:val="single" w:sz="3" w:space="0" w:color="000000"/>
            </w:tcBorders>
          </w:tcPr>
          <w:p>
            <w:pPr>
              <w:pStyle w:val="TableParagraph"/>
              <w:spacing w:line="170" w:lineRule="exact"/>
              <w:ind w:right="84"/>
              <w:rPr>
                <w:rFonts w:ascii="Calibri"/>
                <w:sz w:val="14"/>
              </w:rPr>
            </w:pPr>
            <w:r>
              <w:rPr>
                <w:rFonts w:ascii="Calibri"/>
                <w:sz w:val="14"/>
              </w:rPr>
              <w:t>p=0 .000</w:t>
            </w:r>
          </w:p>
        </w:tc>
        <w:tc>
          <w:tcPr>
            <w:tcW w:w="850" w:type="dxa"/>
            <w:tcBorders>
              <w:left w:val="single" w:sz="3" w:space="0" w:color="000000"/>
              <w:right w:val="single" w:sz="3" w:space="0" w:color="000000"/>
            </w:tcBorders>
          </w:tcPr>
          <w:p>
            <w:pPr>
              <w:pStyle w:val="TableParagraph"/>
              <w:spacing w:line="170" w:lineRule="exact"/>
              <w:ind w:right="88"/>
              <w:rPr>
                <w:rFonts w:ascii="Calibri"/>
                <w:sz w:val="14"/>
              </w:rPr>
            </w:pPr>
            <w:r>
              <w:rPr>
                <w:rFonts w:ascii="Calibri"/>
                <w:sz w:val="14"/>
              </w:rPr>
              <w:t>p=0 .000</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p=0.000</w:t>
            </w:r>
          </w:p>
        </w:tc>
      </w:tr>
      <w:tr>
        <w:trPr>
          <w:trHeight w:val="181" w:hRule="exact"/>
        </w:trPr>
        <w:tc>
          <w:tcPr>
            <w:tcW w:w="942" w:type="dxa"/>
            <w:vMerge w:val="restart"/>
            <w:tcBorders>
              <w:left w:val="single" w:sz="3" w:space="0" w:color="000000"/>
              <w:right w:val="single" w:sz="3" w:space="0" w:color="000000"/>
            </w:tcBorders>
          </w:tcPr>
          <w:p>
            <w:pPr>
              <w:pStyle w:val="TableParagraph"/>
              <w:spacing w:line="158" w:lineRule="exact"/>
              <w:ind w:left="131"/>
              <w:jc w:val="left"/>
              <w:rPr>
                <w:b/>
                <w:sz w:val="14"/>
              </w:rPr>
            </w:pPr>
            <w:r>
              <w:rPr>
                <w:b/>
                <w:sz w:val="14"/>
              </w:rPr>
              <w:t>Constante</w:t>
            </w:r>
          </w:p>
        </w:tc>
        <w:tc>
          <w:tcPr>
            <w:tcW w:w="726" w:type="dxa"/>
            <w:tcBorders>
              <w:left w:val="single" w:sz="3" w:space="0" w:color="000000"/>
              <w:right w:val="single" w:sz="3" w:space="0" w:color="000000"/>
            </w:tcBorders>
          </w:tcPr>
          <w:p>
            <w:pPr>
              <w:pStyle w:val="TableParagraph"/>
              <w:spacing w:before="1"/>
              <w:ind w:right="86"/>
              <w:rPr>
                <w:rFonts w:ascii="Calibri"/>
                <w:sz w:val="14"/>
              </w:rPr>
            </w:pPr>
            <w:r>
              <w:rPr>
                <w:rFonts w:ascii="Calibri"/>
                <w:w w:val="95"/>
                <w:sz w:val="14"/>
              </w:rPr>
              <w:t>-0.956</w:t>
            </w:r>
          </w:p>
        </w:tc>
        <w:tc>
          <w:tcPr>
            <w:tcW w:w="848" w:type="dxa"/>
            <w:tcBorders>
              <w:left w:val="single" w:sz="3" w:space="0" w:color="000000"/>
              <w:right w:val="single" w:sz="3" w:space="0" w:color="000000"/>
            </w:tcBorders>
          </w:tcPr>
          <w:p>
            <w:pPr>
              <w:pStyle w:val="TableParagraph"/>
              <w:spacing w:before="1"/>
              <w:ind w:right="84"/>
              <w:rPr>
                <w:rFonts w:ascii="Calibri"/>
                <w:sz w:val="14"/>
              </w:rPr>
            </w:pPr>
            <w:r>
              <w:rPr>
                <w:rFonts w:ascii="Calibri"/>
                <w:w w:val="95"/>
                <w:sz w:val="14"/>
              </w:rPr>
              <w:t>-0.956</w:t>
            </w:r>
          </w:p>
        </w:tc>
        <w:tc>
          <w:tcPr>
            <w:tcW w:w="850" w:type="dxa"/>
            <w:tcBorders>
              <w:left w:val="single" w:sz="3" w:space="0" w:color="000000"/>
              <w:right w:val="single" w:sz="3" w:space="0" w:color="000000"/>
            </w:tcBorders>
          </w:tcPr>
          <w:p>
            <w:pPr>
              <w:pStyle w:val="TableParagraph"/>
              <w:spacing w:before="1"/>
              <w:ind w:right="84"/>
              <w:rPr>
                <w:rFonts w:ascii="Calibri"/>
                <w:sz w:val="14"/>
              </w:rPr>
            </w:pPr>
            <w:r>
              <w:rPr>
                <w:rFonts w:ascii="Calibri"/>
                <w:w w:val="95"/>
                <w:sz w:val="14"/>
              </w:rPr>
              <w:t>-1.132</w:t>
            </w:r>
          </w:p>
        </w:tc>
        <w:tc>
          <w:tcPr>
            <w:tcW w:w="726" w:type="dxa"/>
            <w:tcBorders>
              <w:left w:val="single" w:sz="3" w:space="0" w:color="000000"/>
              <w:right w:val="single" w:sz="3" w:space="0" w:color="000000"/>
            </w:tcBorders>
          </w:tcPr>
          <w:p>
            <w:pPr>
              <w:pStyle w:val="TableParagraph"/>
              <w:spacing w:before="1"/>
              <w:ind w:right="84"/>
              <w:rPr>
                <w:rFonts w:ascii="Calibri"/>
                <w:sz w:val="14"/>
              </w:rPr>
            </w:pPr>
            <w:r>
              <w:rPr>
                <w:rFonts w:ascii="Calibri"/>
                <w:w w:val="95"/>
                <w:sz w:val="14"/>
              </w:rPr>
              <w:t>-1.963</w:t>
            </w:r>
          </w:p>
        </w:tc>
        <w:tc>
          <w:tcPr>
            <w:tcW w:w="850" w:type="dxa"/>
            <w:tcBorders>
              <w:left w:val="single" w:sz="3" w:space="0" w:color="000000"/>
              <w:right w:val="single" w:sz="3" w:space="0" w:color="000000"/>
            </w:tcBorders>
          </w:tcPr>
          <w:p>
            <w:pPr>
              <w:pStyle w:val="TableParagraph"/>
              <w:spacing w:before="1"/>
              <w:ind w:right="86"/>
              <w:rPr>
                <w:rFonts w:ascii="Calibri"/>
                <w:sz w:val="14"/>
              </w:rPr>
            </w:pPr>
            <w:r>
              <w:rPr>
                <w:rFonts w:ascii="Calibri"/>
                <w:w w:val="95"/>
                <w:sz w:val="14"/>
              </w:rPr>
              <w:t>-1.963</w:t>
            </w:r>
          </w:p>
        </w:tc>
        <w:tc>
          <w:tcPr>
            <w:tcW w:w="847" w:type="dxa"/>
            <w:tcBorders>
              <w:left w:val="single" w:sz="3" w:space="0" w:color="000000"/>
            </w:tcBorders>
          </w:tcPr>
          <w:p>
            <w:pPr>
              <w:pStyle w:val="TableParagraph"/>
              <w:spacing w:before="1"/>
              <w:ind w:right="84"/>
              <w:rPr>
                <w:rFonts w:ascii="Calibri"/>
                <w:sz w:val="14"/>
              </w:rPr>
            </w:pPr>
            <w:r>
              <w:rPr>
                <w:rFonts w:ascii="Calibri"/>
                <w:w w:val="95"/>
                <w:sz w:val="14"/>
              </w:rPr>
              <w:t>-2.081</w:t>
            </w:r>
          </w:p>
        </w:tc>
        <w:tc>
          <w:tcPr>
            <w:tcW w:w="726" w:type="dxa"/>
            <w:tcBorders>
              <w:right w:val="single" w:sz="3" w:space="0" w:color="000000"/>
            </w:tcBorders>
          </w:tcPr>
          <w:p>
            <w:pPr>
              <w:pStyle w:val="TableParagraph"/>
              <w:spacing w:before="1"/>
              <w:ind w:right="84"/>
              <w:rPr>
                <w:rFonts w:ascii="Calibri"/>
                <w:sz w:val="14"/>
              </w:rPr>
            </w:pPr>
            <w:r>
              <w:rPr>
                <w:rFonts w:ascii="Calibri"/>
                <w:w w:val="95"/>
                <w:sz w:val="14"/>
              </w:rPr>
              <w:t>-1.702</w:t>
            </w:r>
          </w:p>
        </w:tc>
        <w:tc>
          <w:tcPr>
            <w:tcW w:w="850" w:type="dxa"/>
            <w:tcBorders>
              <w:left w:val="single" w:sz="3" w:space="0" w:color="000000"/>
              <w:right w:val="single" w:sz="3" w:space="0" w:color="000000"/>
            </w:tcBorders>
          </w:tcPr>
          <w:p>
            <w:pPr>
              <w:pStyle w:val="TableParagraph"/>
              <w:spacing w:before="1"/>
              <w:ind w:right="86"/>
              <w:rPr>
                <w:rFonts w:ascii="Calibri"/>
                <w:sz w:val="14"/>
              </w:rPr>
            </w:pPr>
            <w:r>
              <w:rPr>
                <w:rFonts w:ascii="Calibri"/>
                <w:w w:val="95"/>
                <w:sz w:val="14"/>
              </w:rPr>
              <w:t>-1.702</w:t>
            </w:r>
          </w:p>
        </w:tc>
        <w:tc>
          <w:tcPr>
            <w:tcW w:w="726" w:type="dxa"/>
            <w:tcBorders>
              <w:left w:val="single" w:sz="3" w:space="0" w:color="000000"/>
              <w:right w:val="single" w:sz="3" w:space="0" w:color="000000"/>
            </w:tcBorders>
          </w:tcPr>
          <w:p>
            <w:pPr>
              <w:pStyle w:val="TableParagraph"/>
              <w:spacing w:before="1"/>
              <w:ind w:right="84"/>
              <w:rPr>
                <w:rFonts w:ascii="Calibri"/>
                <w:sz w:val="14"/>
              </w:rPr>
            </w:pPr>
            <w:r>
              <w:rPr>
                <w:rFonts w:ascii="Calibri"/>
                <w:w w:val="95"/>
                <w:sz w:val="14"/>
              </w:rPr>
              <w:t>-1.881</w:t>
            </w:r>
          </w:p>
        </w:tc>
      </w:tr>
      <w:tr>
        <w:trPr>
          <w:trHeight w:val="181" w:hRule="exact"/>
        </w:trPr>
        <w:tc>
          <w:tcPr>
            <w:tcW w:w="942" w:type="dxa"/>
            <w:vMerge/>
            <w:tcBorders>
              <w:left w:val="single" w:sz="3" w:space="0" w:color="000000"/>
              <w:right w:val="single" w:sz="3" w:space="0" w:color="000000"/>
            </w:tcBorders>
          </w:tcPr>
          <w:p>
            <w:pPr/>
          </w:p>
        </w:tc>
        <w:tc>
          <w:tcPr>
            <w:tcW w:w="726" w:type="dxa"/>
            <w:tcBorders>
              <w:left w:val="single" w:sz="3" w:space="0" w:color="000000"/>
              <w:right w:val="single" w:sz="3" w:space="0" w:color="000000"/>
            </w:tcBorders>
          </w:tcPr>
          <w:p>
            <w:pPr>
              <w:pStyle w:val="TableParagraph"/>
              <w:spacing w:line="170" w:lineRule="exact"/>
              <w:ind w:right="85"/>
              <w:rPr>
                <w:rFonts w:ascii="Calibri"/>
                <w:sz w:val="14"/>
              </w:rPr>
            </w:pPr>
            <w:r>
              <w:rPr>
                <w:rFonts w:ascii="Calibri"/>
                <w:w w:val="95"/>
                <w:sz w:val="14"/>
              </w:rPr>
              <w:t>(2.919)</w:t>
            </w:r>
          </w:p>
        </w:tc>
        <w:tc>
          <w:tcPr>
            <w:tcW w:w="848" w:type="dxa"/>
            <w:tcBorders>
              <w:left w:val="single" w:sz="3" w:space="0" w:color="000000"/>
              <w:right w:val="single" w:sz="3" w:space="0" w:color="000000"/>
            </w:tcBorders>
          </w:tcPr>
          <w:p>
            <w:pPr>
              <w:pStyle w:val="TableParagraph"/>
              <w:spacing w:line="170" w:lineRule="exact"/>
              <w:ind w:right="83"/>
              <w:rPr>
                <w:rFonts w:ascii="Calibri"/>
                <w:sz w:val="14"/>
              </w:rPr>
            </w:pPr>
            <w:r>
              <w:rPr>
                <w:rFonts w:ascii="Calibri"/>
                <w:w w:val="95"/>
                <w:sz w:val="14"/>
              </w:rPr>
              <w:t>(2.919)</w:t>
            </w:r>
          </w:p>
        </w:tc>
        <w:tc>
          <w:tcPr>
            <w:tcW w:w="850" w:type="dxa"/>
            <w:tcBorders>
              <w:left w:val="single" w:sz="3" w:space="0" w:color="000000"/>
              <w:right w:val="single" w:sz="3" w:space="0" w:color="000000"/>
            </w:tcBorders>
          </w:tcPr>
          <w:p>
            <w:pPr>
              <w:pStyle w:val="TableParagraph"/>
              <w:spacing w:line="170" w:lineRule="exact"/>
              <w:ind w:right="83"/>
              <w:rPr>
                <w:rFonts w:ascii="Calibri"/>
                <w:sz w:val="14"/>
              </w:rPr>
            </w:pPr>
            <w:r>
              <w:rPr>
                <w:rFonts w:ascii="Calibri"/>
                <w:w w:val="95"/>
                <w:sz w:val="14"/>
              </w:rPr>
              <w:t>(3.122)</w:t>
            </w:r>
          </w:p>
        </w:tc>
        <w:tc>
          <w:tcPr>
            <w:tcW w:w="726" w:type="dxa"/>
            <w:tcBorders>
              <w:left w:val="single" w:sz="3" w:space="0" w:color="000000"/>
              <w:right w:val="single" w:sz="3" w:space="0" w:color="000000"/>
            </w:tcBorders>
          </w:tcPr>
          <w:p>
            <w:pPr>
              <w:pStyle w:val="TableParagraph"/>
              <w:spacing w:line="170" w:lineRule="exact"/>
              <w:ind w:right="83"/>
              <w:rPr>
                <w:rFonts w:ascii="Calibri"/>
                <w:sz w:val="14"/>
              </w:rPr>
            </w:pPr>
            <w:r>
              <w:rPr>
                <w:rFonts w:ascii="Calibri"/>
                <w:w w:val="95"/>
                <w:sz w:val="14"/>
              </w:rPr>
              <w:t>(0.845)</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(0.845)</w:t>
            </w:r>
          </w:p>
        </w:tc>
        <w:tc>
          <w:tcPr>
            <w:tcW w:w="847" w:type="dxa"/>
            <w:tcBorders>
              <w:left w:val="single" w:sz="3" w:space="0" w:color="000000"/>
            </w:tcBorders>
          </w:tcPr>
          <w:p>
            <w:pPr>
              <w:pStyle w:val="TableParagraph"/>
              <w:spacing w:line="170" w:lineRule="exact"/>
              <w:ind w:right="83"/>
              <w:rPr>
                <w:rFonts w:ascii="Calibri"/>
                <w:sz w:val="14"/>
              </w:rPr>
            </w:pPr>
            <w:r>
              <w:rPr>
                <w:rFonts w:ascii="Calibri"/>
                <w:w w:val="95"/>
                <w:sz w:val="14"/>
              </w:rPr>
              <w:t>(0.848)</w:t>
            </w:r>
          </w:p>
        </w:tc>
        <w:tc>
          <w:tcPr>
            <w:tcW w:w="726" w:type="dxa"/>
            <w:tcBorders>
              <w:right w:val="single" w:sz="3" w:space="0" w:color="000000"/>
            </w:tcBorders>
          </w:tcPr>
          <w:p>
            <w:pPr>
              <w:pStyle w:val="TableParagraph"/>
              <w:spacing w:line="170" w:lineRule="exact"/>
              <w:ind w:right="83"/>
              <w:rPr>
                <w:rFonts w:ascii="Calibri"/>
                <w:sz w:val="14"/>
              </w:rPr>
            </w:pPr>
            <w:r>
              <w:rPr>
                <w:rFonts w:ascii="Calibri"/>
                <w:w w:val="95"/>
                <w:sz w:val="14"/>
              </w:rPr>
              <w:t>(1.120)</w:t>
            </w:r>
          </w:p>
        </w:tc>
        <w:tc>
          <w:tcPr>
            <w:tcW w:w="850" w:type="dxa"/>
            <w:tcBorders>
              <w:left w:val="single" w:sz="3" w:space="0" w:color="000000"/>
              <w:right w:val="single" w:sz="3" w:space="0" w:color="000000"/>
            </w:tcBorders>
          </w:tcPr>
          <w:p>
            <w:pPr>
              <w:pStyle w:val="TableParagraph"/>
              <w:spacing w:line="170" w:lineRule="exact"/>
              <w:ind w:right="85"/>
              <w:rPr>
                <w:rFonts w:ascii="Calibri"/>
                <w:sz w:val="14"/>
              </w:rPr>
            </w:pPr>
            <w:r>
              <w:rPr>
                <w:rFonts w:ascii="Calibri"/>
                <w:w w:val="95"/>
                <w:sz w:val="14"/>
              </w:rPr>
              <w:t>(1.120)</w:t>
            </w:r>
          </w:p>
        </w:tc>
        <w:tc>
          <w:tcPr>
            <w:tcW w:w="726" w:type="dxa"/>
            <w:tcBorders>
              <w:left w:val="single" w:sz="3" w:space="0" w:color="000000"/>
              <w:right w:val="single" w:sz="3" w:space="0" w:color="000000"/>
            </w:tcBorders>
          </w:tcPr>
          <w:p>
            <w:pPr>
              <w:pStyle w:val="TableParagraph"/>
              <w:spacing w:line="170" w:lineRule="exact"/>
              <w:ind w:right="83"/>
              <w:rPr>
                <w:rFonts w:ascii="Calibri"/>
                <w:sz w:val="14"/>
              </w:rPr>
            </w:pPr>
            <w:r>
              <w:rPr>
                <w:rFonts w:ascii="Calibri"/>
                <w:w w:val="95"/>
                <w:sz w:val="14"/>
              </w:rPr>
              <w:t>(1.185)</w:t>
            </w:r>
          </w:p>
        </w:tc>
      </w:tr>
      <w:tr>
        <w:trPr>
          <w:trHeight w:val="179" w:hRule="exact"/>
        </w:trPr>
        <w:tc>
          <w:tcPr>
            <w:tcW w:w="942" w:type="dxa"/>
            <w:vMerge/>
            <w:tcBorders>
              <w:left w:val="single" w:sz="3" w:space="0" w:color="000000"/>
              <w:right w:val="single" w:sz="3" w:space="0" w:color="000000"/>
            </w:tcBorders>
          </w:tcPr>
          <w:p>
            <w:pPr/>
          </w:p>
        </w:tc>
        <w:tc>
          <w:tcPr>
            <w:tcW w:w="726"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t=-0.33</w:t>
            </w:r>
          </w:p>
        </w:tc>
        <w:tc>
          <w:tcPr>
            <w:tcW w:w="848"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z=-0.33</w:t>
            </w:r>
          </w:p>
        </w:tc>
        <w:tc>
          <w:tcPr>
            <w:tcW w:w="850"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t=-0.36</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t=-2.32</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z=-2.32</w:t>
            </w:r>
          </w:p>
        </w:tc>
        <w:tc>
          <w:tcPr>
            <w:tcW w:w="847" w:type="dxa"/>
            <w:tcBorders>
              <w:left w:val="single" w:sz="3" w:space="0" w:color="000000"/>
            </w:tcBorders>
          </w:tcPr>
          <w:p>
            <w:pPr>
              <w:pStyle w:val="TableParagraph"/>
              <w:spacing w:line="170" w:lineRule="exact"/>
              <w:ind w:right="84"/>
              <w:rPr>
                <w:rFonts w:ascii="Calibri"/>
                <w:sz w:val="14"/>
              </w:rPr>
            </w:pPr>
            <w:r>
              <w:rPr>
                <w:rFonts w:ascii="Calibri"/>
                <w:w w:val="95"/>
                <w:sz w:val="14"/>
              </w:rPr>
              <w:t>t=-2.45</w:t>
            </w:r>
          </w:p>
        </w:tc>
        <w:tc>
          <w:tcPr>
            <w:tcW w:w="726" w:type="dxa"/>
            <w:tcBorders>
              <w:right w:val="single" w:sz="3" w:space="0" w:color="000000"/>
            </w:tcBorders>
          </w:tcPr>
          <w:p>
            <w:pPr>
              <w:pStyle w:val="TableParagraph"/>
              <w:spacing w:line="170" w:lineRule="exact"/>
              <w:ind w:right="84"/>
              <w:rPr>
                <w:rFonts w:ascii="Calibri"/>
                <w:sz w:val="14"/>
              </w:rPr>
            </w:pPr>
            <w:r>
              <w:rPr>
                <w:rFonts w:ascii="Calibri"/>
                <w:w w:val="95"/>
                <w:sz w:val="14"/>
              </w:rPr>
              <w:t>t=-1.52</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z=-1.52</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t=-1.59</w:t>
            </w:r>
          </w:p>
        </w:tc>
      </w:tr>
      <w:tr>
        <w:trPr>
          <w:trHeight w:val="181" w:hRule="exact"/>
        </w:trPr>
        <w:tc>
          <w:tcPr>
            <w:tcW w:w="942" w:type="dxa"/>
            <w:vMerge/>
            <w:tcBorders>
              <w:left w:val="single" w:sz="3" w:space="0" w:color="000000"/>
              <w:right w:val="single" w:sz="3" w:space="0" w:color="000000"/>
            </w:tcBorders>
          </w:tcPr>
          <w:p>
            <w:pPr/>
          </w:p>
        </w:tc>
        <w:tc>
          <w:tcPr>
            <w:tcW w:w="726"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p=0.745</w:t>
            </w:r>
          </w:p>
        </w:tc>
        <w:tc>
          <w:tcPr>
            <w:tcW w:w="848"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p=0.743</w:t>
            </w:r>
          </w:p>
        </w:tc>
        <w:tc>
          <w:tcPr>
            <w:tcW w:w="850"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p=0.719</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p=0.023</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p=0.020</w:t>
            </w:r>
          </w:p>
        </w:tc>
        <w:tc>
          <w:tcPr>
            <w:tcW w:w="847" w:type="dxa"/>
            <w:tcBorders>
              <w:left w:val="single" w:sz="3" w:space="0" w:color="000000"/>
            </w:tcBorders>
          </w:tcPr>
          <w:p>
            <w:pPr>
              <w:pStyle w:val="TableParagraph"/>
              <w:spacing w:line="170" w:lineRule="exact"/>
              <w:ind w:right="84"/>
              <w:rPr>
                <w:rFonts w:ascii="Calibri"/>
                <w:sz w:val="14"/>
              </w:rPr>
            </w:pPr>
            <w:r>
              <w:rPr>
                <w:rFonts w:ascii="Calibri"/>
                <w:w w:val="95"/>
                <w:sz w:val="14"/>
              </w:rPr>
              <w:t>p=0.017</w:t>
            </w:r>
          </w:p>
        </w:tc>
        <w:tc>
          <w:tcPr>
            <w:tcW w:w="726" w:type="dxa"/>
            <w:tcBorders>
              <w:right w:val="single" w:sz="3" w:space="0" w:color="000000"/>
            </w:tcBorders>
          </w:tcPr>
          <w:p>
            <w:pPr>
              <w:pStyle w:val="TableParagraph"/>
              <w:spacing w:line="170" w:lineRule="exact"/>
              <w:ind w:right="84"/>
              <w:rPr>
                <w:rFonts w:ascii="Calibri"/>
                <w:sz w:val="14"/>
              </w:rPr>
            </w:pPr>
            <w:r>
              <w:rPr>
                <w:rFonts w:ascii="Calibri"/>
                <w:w w:val="95"/>
                <w:sz w:val="14"/>
              </w:rPr>
              <w:t>p=0.129</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p=0.129</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p=0.116</w:t>
            </w:r>
          </w:p>
        </w:tc>
      </w:tr>
      <w:tr>
        <w:trPr>
          <w:trHeight w:val="179" w:hRule="exact"/>
        </w:trPr>
        <w:tc>
          <w:tcPr>
            <w:tcW w:w="942" w:type="dxa"/>
            <w:tcBorders>
              <w:left w:val="single" w:sz="3" w:space="0" w:color="000000"/>
              <w:right w:val="single" w:sz="3" w:space="0" w:color="000000"/>
            </w:tcBorders>
          </w:tcPr>
          <w:p>
            <w:pPr>
              <w:pStyle w:val="TableParagraph"/>
              <w:spacing w:line="171" w:lineRule="exact"/>
              <w:ind w:left="309" w:right="309"/>
              <w:jc w:val="center"/>
              <w:rPr>
                <w:rFonts w:ascii="Calibri"/>
                <w:b/>
                <w:sz w:val="9"/>
              </w:rPr>
            </w:pPr>
            <w:r>
              <w:rPr>
                <w:rFonts w:ascii="Calibri"/>
                <w:b/>
                <w:position w:val="-6"/>
                <w:sz w:val="14"/>
              </w:rPr>
              <w:t>R</w:t>
            </w:r>
            <w:r>
              <w:rPr>
                <w:rFonts w:ascii="Calibri"/>
                <w:b/>
                <w:sz w:val="9"/>
              </w:rPr>
              <w:t>2</w:t>
            </w:r>
          </w:p>
        </w:tc>
        <w:tc>
          <w:tcPr>
            <w:tcW w:w="726"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0.165</w:t>
            </w:r>
          </w:p>
        </w:tc>
        <w:tc>
          <w:tcPr>
            <w:tcW w:w="848"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0.171</w:t>
            </w:r>
          </w:p>
        </w:tc>
        <w:tc>
          <w:tcPr>
            <w:tcW w:w="850"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0.171</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0.670</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0.700</w:t>
            </w:r>
          </w:p>
        </w:tc>
        <w:tc>
          <w:tcPr>
            <w:tcW w:w="847" w:type="dxa"/>
            <w:tcBorders>
              <w:left w:val="single" w:sz="3" w:space="0" w:color="000000"/>
            </w:tcBorders>
          </w:tcPr>
          <w:p>
            <w:pPr>
              <w:pStyle w:val="TableParagraph"/>
              <w:spacing w:line="170" w:lineRule="exact"/>
              <w:ind w:right="84"/>
              <w:rPr>
                <w:rFonts w:ascii="Calibri"/>
                <w:sz w:val="14"/>
              </w:rPr>
            </w:pPr>
            <w:r>
              <w:rPr>
                <w:rFonts w:ascii="Calibri"/>
                <w:w w:val="95"/>
                <w:sz w:val="14"/>
              </w:rPr>
              <w:t>0.700</w:t>
            </w:r>
          </w:p>
        </w:tc>
        <w:tc>
          <w:tcPr>
            <w:tcW w:w="726" w:type="dxa"/>
            <w:tcBorders>
              <w:right w:val="single" w:sz="3" w:space="0" w:color="000000"/>
            </w:tcBorders>
          </w:tcPr>
          <w:p>
            <w:pPr>
              <w:pStyle w:val="TableParagraph"/>
              <w:spacing w:line="170" w:lineRule="exact"/>
              <w:ind w:right="84"/>
              <w:rPr>
                <w:rFonts w:ascii="Calibri"/>
                <w:sz w:val="14"/>
              </w:rPr>
            </w:pPr>
            <w:r>
              <w:rPr>
                <w:rFonts w:ascii="Calibri"/>
                <w:w w:val="95"/>
                <w:sz w:val="14"/>
              </w:rPr>
              <w:t>0.381</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0.381</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0.381</w:t>
            </w:r>
          </w:p>
        </w:tc>
      </w:tr>
      <w:tr>
        <w:trPr>
          <w:trHeight w:val="181" w:hRule="exact"/>
        </w:trPr>
        <w:tc>
          <w:tcPr>
            <w:tcW w:w="942" w:type="dxa"/>
            <w:tcBorders>
              <w:left w:val="single" w:sz="3" w:space="0" w:color="000000"/>
              <w:right w:val="single" w:sz="3" w:space="0" w:color="000000"/>
            </w:tcBorders>
          </w:tcPr>
          <w:p>
            <w:pPr>
              <w:pStyle w:val="TableParagraph"/>
              <w:spacing w:line="170" w:lineRule="exact"/>
              <w:ind w:left="309" w:right="310"/>
              <w:jc w:val="center"/>
              <w:rPr>
                <w:rFonts w:ascii="Calibri"/>
                <w:b/>
                <w:sz w:val="9"/>
              </w:rPr>
            </w:pPr>
            <w:r>
              <w:rPr>
                <w:rFonts w:ascii="Calibri"/>
                <w:b/>
                <w:sz w:val="14"/>
              </w:rPr>
              <w:t>Chi</w:t>
            </w:r>
            <w:r>
              <w:rPr>
                <w:rFonts w:ascii="Calibri"/>
                <w:b/>
                <w:position w:val="7"/>
                <w:sz w:val="9"/>
              </w:rPr>
              <w:t>2</w:t>
            </w:r>
          </w:p>
        </w:tc>
        <w:tc>
          <w:tcPr>
            <w:tcW w:w="726" w:type="dxa"/>
            <w:tcBorders>
              <w:left w:val="single" w:sz="3" w:space="0" w:color="000000"/>
              <w:right w:val="single" w:sz="3" w:space="0" w:color="000000"/>
            </w:tcBorders>
          </w:tcPr>
          <w:p>
            <w:pPr/>
          </w:p>
        </w:tc>
        <w:tc>
          <w:tcPr>
            <w:tcW w:w="848" w:type="dxa"/>
            <w:tcBorders>
              <w:left w:val="single" w:sz="3" w:space="0" w:color="000000"/>
              <w:right w:val="single" w:sz="3" w:space="0" w:color="000000"/>
            </w:tcBorders>
          </w:tcPr>
          <w:p>
            <w:pPr/>
          </w:p>
        </w:tc>
        <w:tc>
          <w:tcPr>
            <w:tcW w:w="850" w:type="dxa"/>
            <w:tcBorders>
              <w:left w:val="single" w:sz="3" w:space="0" w:color="000000"/>
              <w:right w:val="single" w:sz="3" w:space="0" w:color="000000"/>
            </w:tcBorders>
          </w:tcPr>
          <w:p>
            <w:pPr/>
          </w:p>
        </w:tc>
        <w:tc>
          <w:tcPr>
            <w:tcW w:w="726" w:type="dxa"/>
            <w:tcBorders>
              <w:left w:val="single" w:sz="3" w:space="0" w:color="000000"/>
              <w:right w:val="single" w:sz="3" w:space="0" w:color="000000"/>
            </w:tcBorders>
          </w:tcPr>
          <w:p>
            <w:pP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0.794</w:t>
            </w:r>
          </w:p>
        </w:tc>
        <w:tc>
          <w:tcPr>
            <w:tcW w:w="847" w:type="dxa"/>
            <w:tcBorders>
              <w:left w:val="single" w:sz="3" w:space="0" w:color="000000"/>
            </w:tcBorders>
          </w:tcPr>
          <w:p>
            <w:pPr/>
          </w:p>
        </w:tc>
        <w:tc>
          <w:tcPr>
            <w:tcW w:w="726" w:type="dxa"/>
            <w:tcBorders>
              <w:right w:val="single" w:sz="3" w:space="0" w:color="000000"/>
            </w:tcBorders>
          </w:tcPr>
          <w:p>
            <w:pP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0.040</w:t>
            </w:r>
          </w:p>
        </w:tc>
        <w:tc>
          <w:tcPr>
            <w:tcW w:w="726" w:type="dxa"/>
            <w:tcBorders>
              <w:left w:val="single" w:sz="3" w:space="0" w:color="000000"/>
              <w:right w:val="single" w:sz="3" w:space="0" w:color="000000"/>
            </w:tcBorders>
          </w:tcPr>
          <w:p>
            <w:pPr/>
          </w:p>
        </w:tc>
      </w:tr>
      <w:tr>
        <w:trPr>
          <w:trHeight w:val="179" w:hRule="exact"/>
        </w:trPr>
        <w:tc>
          <w:tcPr>
            <w:tcW w:w="942" w:type="dxa"/>
            <w:tcBorders>
              <w:left w:val="single" w:sz="3" w:space="0" w:color="000000"/>
              <w:right w:val="single" w:sz="3" w:space="0" w:color="000000"/>
            </w:tcBorders>
          </w:tcPr>
          <w:p>
            <w:pPr>
              <w:pStyle w:val="TableParagraph"/>
              <w:jc w:val="center"/>
              <w:rPr>
                <w:rFonts w:ascii="Calibri"/>
                <w:b/>
                <w:sz w:val="14"/>
              </w:rPr>
            </w:pPr>
            <w:r>
              <w:rPr>
                <w:rFonts w:ascii="Calibri"/>
                <w:b/>
                <w:w w:val="98"/>
                <w:sz w:val="14"/>
              </w:rPr>
              <w:t>F</w:t>
            </w:r>
          </w:p>
        </w:tc>
        <w:tc>
          <w:tcPr>
            <w:tcW w:w="1574" w:type="dxa"/>
            <w:gridSpan w:val="2"/>
            <w:tcBorders>
              <w:left w:val="single" w:sz="3" w:space="0" w:color="000000"/>
              <w:right w:val="single" w:sz="3" w:space="0" w:color="000000"/>
            </w:tcBorders>
          </w:tcPr>
          <w:p>
            <w:pPr/>
          </w:p>
        </w:tc>
        <w:tc>
          <w:tcPr>
            <w:tcW w:w="850" w:type="dxa"/>
            <w:tcBorders>
              <w:left w:val="single" w:sz="3" w:space="0" w:color="000000"/>
              <w:right w:val="single" w:sz="3" w:space="0" w:color="000000"/>
            </w:tcBorders>
          </w:tcPr>
          <w:p>
            <w:pPr>
              <w:pStyle w:val="TableParagraph"/>
              <w:ind w:right="84"/>
              <w:rPr>
                <w:rFonts w:ascii="Calibri"/>
                <w:sz w:val="14"/>
              </w:rPr>
            </w:pPr>
            <w:r>
              <w:rPr>
                <w:rFonts w:ascii="Calibri"/>
                <w:w w:val="95"/>
                <w:sz w:val="14"/>
              </w:rPr>
              <w:t>0.991</w:t>
            </w:r>
          </w:p>
        </w:tc>
        <w:tc>
          <w:tcPr>
            <w:tcW w:w="1576" w:type="dxa"/>
            <w:gridSpan w:val="2"/>
            <w:tcBorders>
              <w:left w:val="single" w:sz="3" w:space="0" w:color="000000"/>
              <w:right w:val="single" w:sz="3" w:space="0" w:color="000000"/>
            </w:tcBorders>
          </w:tcPr>
          <w:p>
            <w:pPr>
              <w:pStyle w:val="TableParagraph"/>
              <w:spacing w:before="6"/>
              <w:ind w:right="86"/>
              <w:rPr>
                <w:rFonts w:ascii="Calibri"/>
                <w:sz w:val="10"/>
              </w:rPr>
            </w:pPr>
            <w:r>
              <w:rPr>
                <w:rFonts w:ascii="Calibri"/>
                <w:w w:val="102"/>
                <w:sz w:val="10"/>
              </w:rPr>
              <w:t>.</w:t>
            </w:r>
          </w:p>
        </w:tc>
        <w:tc>
          <w:tcPr>
            <w:tcW w:w="847" w:type="dxa"/>
            <w:tcBorders>
              <w:left w:val="single" w:sz="3" w:space="0" w:color="000000"/>
            </w:tcBorders>
          </w:tcPr>
          <w:p>
            <w:pPr>
              <w:pStyle w:val="TableParagraph"/>
              <w:ind w:right="84"/>
              <w:rPr>
                <w:rFonts w:ascii="Calibri"/>
                <w:sz w:val="14"/>
              </w:rPr>
            </w:pPr>
            <w:r>
              <w:rPr>
                <w:rFonts w:ascii="Calibri"/>
                <w:w w:val="95"/>
                <w:sz w:val="14"/>
              </w:rPr>
              <w:t>0.457</w:t>
            </w:r>
          </w:p>
        </w:tc>
        <w:tc>
          <w:tcPr>
            <w:tcW w:w="1576" w:type="dxa"/>
            <w:gridSpan w:val="2"/>
            <w:tcBorders>
              <w:right w:val="single" w:sz="3" w:space="0" w:color="000000"/>
            </w:tcBorders>
          </w:tcPr>
          <w:p>
            <w:pPr/>
          </w:p>
        </w:tc>
        <w:tc>
          <w:tcPr>
            <w:tcW w:w="726" w:type="dxa"/>
            <w:tcBorders>
              <w:left w:val="single" w:sz="3" w:space="0" w:color="000000"/>
              <w:right w:val="single" w:sz="3" w:space="0" w:color="000000"/>
            </w:tcBorders>
          </w:tcPr>
          <w:p>
            <w:pPr>
              <w:pStyle w:val="TableParagraph"/>
              <w:ind w:right="84"/>
              <w:rPr>
                <w:rFonts w:ascii="Calibri"/>
                <w:sz w:val="14"/>
              </w:rPr>
            </w:pPr>
            <w:r>
              <w:rPr>
                <w:rFonts w:ascii="Calibri"/>
                <w:w w:val="95"/>
                <w:sz w:val="14"/>
              </w:rPr>
              <w:t>0.992</w:t>
            </w:r>
          </w:p>
        </w:tc>
      </w:tr>
    </w:tbl>
    <w:p>
      <w:pPr>
        <w:pStyle w:val="BodyText"/>
        <w:rPr>
          <w:rFonts w:ascii="Arial"/>
          <w:sz w:val="20"/>
        </w:rPr>
      </w:pPr>
    </w:p>
    <w:p>
      <w:pPr>
        <w:pStyle w:val="BodyText"/>
        <w:rPr>
          <w:rFonts w:ascii="Arial"/>
          <w:sz w:val="21"/>
        </w:rPr>
      </w:pPr>
    </w:p>
    <w:p>
      <w:pPr>
        <w:spacing w:before="1"/>
        <w:ind w:left="786" w:right="188" w:firstLine="0"/>
        <w:jc w:val="left"/>
        <w:rPr>
          <w:rFonts w:ascii="Calibri"/>
          <w:b/>
          <w:sz w:val="19"/>
        </w:rPr>
      </w:pPr>
      <w:r>
        <w:rPr>
          <w:rFonts w:ascii="Calibri"/>
          <w:b/>
          <w:sz w:val="19"/>
        </w:rPr>
        <w:t>Modelo 5</w:t>
      </w:r>
    </w:p>
    <w:p>
      <w:pPr>
        <w:pStyle w:val="BodyText"/>
        <w:spacing w:before="7"/>
        <w:rPr>
          <w:rFonts w:ascii="Calibri"/>
          <w:b/>
          <w:sz w:val="17"/>
        </w:rPr>
      </w:pPr>
    </w:p>
    <w:p>
      <w:pPr>
        <w:spacing w:before="0"/>
        <w:ind w:left="786" w:right="188" w:firstLine="0"/>
        <w:jc w:val="left"/>
        <w:rPr>
          <w:rFonts w:ascii="Arial" w:hAnsi="Arial"/>
          <w:sz w:val="14"/>
        </w:rPr>
      </w:pPr>
      <w:r>
        <w:rPr>
          <w:rFonts w:ascii="Cambria Math" w:hAnsi="Cambria Math"/>
          <w:sz w:val="21"/>
        </w:rPr>
        <w:t>Ṗ </w:t>
      </w:r>
      <w:r>
        <w:rPr>
          <w:rFonts w:ascii="Arial" w:hAnsi="Arial"/>
          <w:sz w:val="21"/>
        </w:rPr>
        <w:t>= α</w:t>
      </w:r>
      <w:r>
        <w:rPr>
          <w:rFonts w:ascii="Arial" w:hAnsi="Arial"/>
          <w:position w:val="-2"/>
          <w:sz w:val="14"/>
        </w:rPr>
        <w:t>i  </w:t>
      </w:r>
      <w:r>
        <w:rPr>
          <w:rFonts w:ascii="Arial" w:hAnsi="Arial"/>
          <w:sz w:val="21"/>
        </w:rPr>
        <w:t>+ α</w:t>
      </w:r>
      <w:r>
        <w:rPr>
          <w:rFonts w:ascii="Arial" w:hAnsi="Arial"/>
          <w:position w:val="-2"/>
          <w:sz w:val="14"/>
        </w:rPr>
        <w:t>1 </w:t>
      </w:r>
      <w:r>
        <w:rPr>
          <w:rFonts w:ascii="Arial" w:hAnsi="Arial"/>
          <w:sz w:val="21"/>
        </w:rPr>
        <w:t>ẏ</w:t>
      </w:r>
      <w:r>
        <w:rPr>
          <w:rFonts w:ascii="Arial" w:hAnsi="Arial"/>
          <w:position w:val="-2"/>
          <w:sz w:val="14"/>
        </w:rPr>
        <w:t>35 </w:t>
      </w:r>
      <w:r>
        <w:rPr>
          <w:rFonts w:ascii="Arial" w:hAnsi="Arial"/>
          <w:sz w:val="21"/>
        </w:rPr>
        <w:t>+ </w:t>
      </w:r>
      <w:r>
        <w:rPr>
          <w:rFonts w:ascii="Arial" w:hAnsi="Arial"/>
          <w:i/>
          <w:sz w:val="21"/>
        </w:rPr>
        <w:t>v</w:t>
      </w:r>
      <w:r>
        <w:rPr>
          <w:rFonts w:ascii="Arial" w:hAnsi="Arial"/>
          <w:position w:val="-2"/>
          <w:sz w:val="14"/>
        </w:rPr>
        <w:t>it</w:t>
      </w:r>
    </w:p>
    <w:p>
      <w:pPr>
        <w:pStyle w:val="BodyText"/>
        <w:rPr>
          <w:rFonts w:ascii="Arial"/>
          <w:sz w:val="19"/>
        </w:rPr>
      </w:pPr>
    </w:p>
    <w:tbl>
      <w:tblPr>
        <w:tblW w:w="0" w:type="auto"/>
        <w:jc w:val="left"/>
        <w:tblInd w:w="69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42"/>
        <w:gridCol w:w="726"/>
        <w:gridCol w:w="848"/>
        <w:gridCol w:w="850"/>
        <w:gridCol w:w="726"/>
        <w:gridCol w:w="850"/>
        <w:gridCol w:w="847"/>
        <w:gridCol w:w="726"/>
        <w:gridCol w:w="850"/>
        <w:gridCol w:w="726"/>
      </w:tblGrid>
      <w:tr>
        <w:trPr>
          <w:trHeight w:val="495" w:hRule="exact"/>
        </w:trPr>
        <w:tc>
          <w:tcPr>
            <w:tcW w:w="942" w:type="dxa"/>
            <w:tcBorders>
              <w:left w:val="single" w:sz="3" w:space="0" w:color="000000"/>
              <w:right w:val="single" w:sz="3" w:space="0" w:color="000000"/>
            </w:tcBorders>
          </w:tcPr>
          <w:p>
            <w:pPr/>
          </w:p>
        </w:tc>
        <w:tc>
          <w:tcPr>
            <w:tcW w:w="2423" w:type="dxa"/>
            <w:gridSpan w:val="3"/>
            <w:tcBorders>
              <w:left w:val="single" w:sz="3" w:space="0" w:color="000000"/>
              <w:right w:val="single" w:sz="3" w:space="0" w:color="000000"/>
            </w:tcBorders>
          </w:tcPr>
          <w:p>
            <w:pPr>
              <w:pStyle w:val="TableParagraph"/>
              <w:spacing w:before="7"/>
              <w:jc w:val="left"/>
              <w:rPr>
                <w:sz w:val="13"/>
              </w:rPr>
            </w:pPr>
          </w:p>
          <w:p>
            <w:pPr>
              <w:pStyle w:val="TableParagraph"/>
              <w:spacing w:before="1"/>
              <w:ind w:left="365"/>
              <w:jc w:val="left"/>
              <w:rPr>
                <w:b/>
                <w:sz w:val="14"/>
              </w:rPr>
            </w:pPr>
            <w:r>
              <w:rPr>
                <w:b/>
                <w:w w:val="95"/>
                <w:sz w:val="14"/>
              </w:rPr>
              <w:t>REGIÓN  TOLUCA-LERMA</w:t>
            </w:r>
          </w:p>
        </w:tc>
        <w:tc>
          <w:tcPr>
            <w:tcW w:w="2423" w:type="dxa"/>
            <w:gridSpan w:val="3"/>
            <w:tcBorders>
              <w:left w:val="single" w:sz="3" w:space="0" w:color="000000"/>
            </w:tcBorders>
          </w:tcPr>
          <w:p>
            <w:pPr>
              <w:pStyle w:val="TableParagraph"/>
              <w:spacing w:before="7"/>
              <w:jc w:val="left"/>
              <w:rPr>
                <w:sz w:val="13"/>
              </w:rPr>
            </w:pPr>
          </w:p>
          <w:p>
            <w:pPr>
              <w:pStyle w:val="TableParagraph"/>
              <w:spacing w:before="1"/>
              <w:ind w:left="291"/>
              <w:jc w:val="left"/>
              <w:rPr>
                <w:b/>
                <w:sz w:val="14"/>
              </w:rPr>
            </w:pPr>
            <w:r>
              <w:rPr>
                <w:b/>
                <w:sz w:val="14"/>
              </w:rPr>
              <w:t>REGIÓN VALLE DE MÉXICO</w:t>
            </w:r>
          </w:p>
        </w:tc>
        <w:tc>
          <w:tcPr>
            <w:tcW w:w="2302" w:type="dxa"/>
            <w:gridSpan w:val="3"/>
            <w:tcBorders>
              <w:right w:val="single" w:sz="3" w:space="0" w:color="000000"/>
            </w:tcBorders>
          </w:tcPr>
          <w:p>
            <w:pPr>
              <w:pStyle w:val="TableParagraph"/>
              <w:spacing w:before="7"/>
              <w:jc w:val="left"/>
              <w:rPr>
                <w:sz w:val="13"/>
              </w:rPr>
            </w:pPr>
          </w:p>
          <w:p>
            <w:pPr>
              <w:pStyle w:val="TableParagraph"/>
              <w:spacing w:before="1"/>
              <w:ind w:left="514"/>
              <w:jc w:val="left"/>
              <w:rPr>
                <w:b/>
                <w:sz w:val="14"/>
              </w:rPr>
            </w:pPr>
            <w:r>
              <w:rPr>
                <w:b/>
                <w:w w:val="95"/>
                <w:sz w:val="14"/>
              </w:rPr>
              <w:t>AMBAS REGIONES</w:t>
            </w:r>
          </w:p>
        </w:tc>
      </w:tr>
      <w:tr>
        <w:trPr>
          <w:trHeight w:val="464" w:hRule="exact"/>
        </w:trPr>
        <w:tc>
          <w:tcPr>
            <w:tcW w:w="942" w:type="dxa"/>
            <w:tcBorders>
              <w:left w:val="single" w:sz="3" w:space="0" w:color="000000"/>
              <w:right w:val="single" w:sz="3" w:space="0" w:color="000000"/>
            </w:tcBorders>
          </w:tcPr>
          <w:p>
            <w:pPr>
              <w:pStyle w:val="TableParagraph"/>
              <w:spacing w:before="5"/>
              <w:jc w:val="center"/>
              <w:rPr>
                <w:rFonts w:ascii="Cambria Math" w:hAnsi="Cambria Math"/>
                <w:sz w:val="21"/>
              </w:rPr>
            </w:pPr>
            <w:r>
              <w:rPr>
                <w:rFonts w:ascii="Cambria Math" w:hAnsi="Cambria Math"/>
                <w:w w:val="97"/>
                <w:sz w:val="21"/>
              </w:rPr>
              <w:t>Ṗ</w:t>
            </w:r>
          </w:p>
        </w:tc>
        <w:tc>
          <w:tcPr>
            <w:tcW w:w="726" w:type="dxa"/>
            <w:tcBorders>
              <w:left w:val="single" w:sz="3" w:space="0" w:color="000000"/>
              <w:right w:val="single" w:sz="3" w:space="0" w:color="000000"/>
            </w:tcBorders>
          </w:tcPr>
          <w:p>
            <w:pPr>
              <w:pStyle w:val="TableParagraph"/>
              <w:spacing w:before="6"/>
              <w:jc w:val="left"/>
              <w:rPr>
                <w:sz w:val="14"/>
              </w:rPr>
            </w:pPr>
          </w:p>
          <w:p>
            <w:pPr>
              <w:pStyle w:val="TableParagraph"/>
              <w:ind w:right="143"/>
              <w:rPr>
                <w:b/>
                <w:sz w:val="10"/>
              </w:rPr>
            </w:pPr>
            <w:r>
              <w:rPr>
                <w:b/>
                <w:sz w:val="10"/>
              </w:rPr>
              <w:t>POOLED</w:t>
            </w:r>
          </w:p>
        </w:tc>
        <w:tc>
          <w:tcPr>
            <w:tcW w:w="848" w:type="dxa"/>
            <w:tcBorders>
              <w:left w:val="single" w:sz="3" w:space="0" w:color="000000"/>
              <w:right w:val="single" w:sz="3" w:space="0" w:color="000000"/>
            </w:tcBorders>
          </w:tcPr>
          <w:p>
            <w:pPr>
              <w:pStyle w:val="TableParagraph"/>
              <w:spacing w:before="2"/>
              <w:jc w:val="left"/>
              <w:rPr>
                <w:sz w:val="9"/>
              </w:rPr>
            </w:pPr>
          </w:p>
          <w:p>
            <w:pPr>
              <w:pStyle w:val="TableParagraph"/>
              <w:spacing w:line="254" w:lineRule="auto" w:before="1"/>
              <w:ind w:left="184" w:right="179" w:firstLine="4"/>
              <w:jc w:val="left"/>
              <w:rPr>
                <w:b/>
                <w:sz w:val="10"/>
              </w:rPr>
            </w:pPr>
            <w:r>
              <w:rPr>
                <w:b/>
                <w:sz w:val="10"/>
              </w:rPr>
              <w:t>RANDOM EFFECTS</w:t>
            </w:r>
          </w:p>
        </w:tc>
        <w:tc>
          <w:tcPr>
            <w:tcW w:w="850" w:type="dxa"/>
            <w:tcBorders>
              <w:left w:val="single" w:sz="3" w:space="0" w:color="000000"/>
              <w:right w:val="single" w:sz="3" w:space="0" w:color="000000"/>
            </w:tcBorders>
          </w:tcPr>
          <w:p>
            <w:pPr>
              <w:pStyle w:val="TableParagraph"/>
              <w:spacing w:before="2"/>
              <w:jc w:val="left"/>
              <w:rPr>
                <w:sz w:val="9"/>
              </w:rPr>
            </w:pPr>
          </w:p>
          <w:p>
            <w:pPr>
              <w:pStyle w:val="TableParagraph"/>
              <w:spacing w:line="254" w:lineRule="auto" w:before="1"/>
              <w:ind w:left="186" w:right="179" w:firstLine="84"/>
              <w:jc w:val="left"/>
              <w:rPr>
                <w:b/>
                <w:sz w:val="10"/>
              </w:rPr>
            </w:pPr>
            <w:r>
              <w:rPr>
                <w:b/>
                <w:w w:val="105"/>
                <w:sz w:val="10"/>
              </w:rPr>
              <w:t>FIXED </w:t>
            </w:r>
            <w:r>
              <w:rPr>
                <w:b/>
                <w:sz w:val="10"/>
              </w:rPr>
              <w:t>EFFECTS</w:t>
            </w:r>
          </w:p>
        </w:tc>
        <w:tc>
          <w:tcPr>
            <w:tcW w:w="726" w:type="dxa"/>
            <w:tcBorders>
              <w:left w:val="single" w:sz="3" w:space="0" w:color="000000"/>
              <w:right w:val="single" w:sz="3" w:space="0" w:color="000000"/>
            </w:tcBorders>
          </w:tcPr>
          <w:p>
            <w:pPr>
              <w:pStyle w:val="TableParagraph"/>
              <w:spacing w:before="6"/>
              <w:jc w:val="left"/>
              <w:rPr>
                <w:sz w:val="14"/>
              </w:rPr>
            </w:pPr>
          </w:p>
          <w:p>
            <w:pPr>
              <w:pStyle w:val="TableParagraph"/>
              <w:ind w:left="141"/>
              <w:jc w:val="left"/>
              <w:rPr>
                <w:b/>
                <w:sz w:val="10"/>
              </w:rPr>
            </w:pPr>
            <w:r>
              <w:rPr>
                <w:b/>
                <w:w w:val="105"/>
                <w:sz w:val="10"/>
              </w:rPr>
              <w:t>POOLED</w:t>
            </w:r>
          </w:p>
        </w:tc>
        <w:tc>
          <w:tcPr>
            <w:tcW w:w="850" w:type="dxa"/>
            <w:tcBorders>
              <w:left w:val="single" w:sz="3" w:space="0" w:color="000000"/>
              <w:right w:val="single" w:sz="3" w:space="0" w:color="000000"/>
            </w:tcBorders>
          </w:tcPr>
          <w:p>
            <w:pPr>
              <w:pStyle w:val="TableParagraph"/>
              <w:spacing w:before="2"/>
              <w:jc w:val="left"/>
              <w:rPr>
                <w:sz w:val="9"/>
              </w:rPr>
            </w:pPr>
          </w:p>
          <w:p>
            <w:pPr>
              <w:pStyle w:val="TableParagraph"/>
              <w:spacing w:line="254" w:lineRule="auto" w:before="1"/>
              <w:ind w:left="184" w:right="181" w:firstLine="4"/>
              <w:jc w:val="left"/>
              <w:rPr>
                <w:b/>
                <w:sz w:val="10"/>
              </w:rPr>
            </w:pPr>
            <w:r>
              <w:rPr>
                <w:b/>
                <w:sz w:val="10"/>
              </w:rPr>
              <w:t>RANDOM EFFECTS</w:t>
            </w:r>
          </w:p>
        </w:tc>
        <w:tc>
          <w:tcPr>
            <w:tcW w:w="847" w:type="dxa"/>
            <w:tcBorders>
              <w:left w:val="single" w:sz="3" w:space="0" w:color="000000"/>
            </w:tcBorders>
          </w:tcPr>
          <w:p>
            <w:pPr>
              <w:pStyle w:val="TableParagraph"/>
              <w:spacing w:before="2"/>
              <w:jc w:val="left"/>
              <w:rPr>
                <w:sz w:val="9"/>
              </w:rPr>
            </w:pPr>
          </w:p>
          <w:p>
            <w:pPr>
              <w:pStyle w:val="TableParagraph"/>
              <w:spacing w:line="254" w:lineRule="auto" w:before="1"/>
              <w:ind w:left="184" w:right="179" w:firstLine="84"/>
              <w:jc w:val="left"/>
              <w:rPr>
                <w:b/>
                <w:sz w:val="10"/>
              </w:rPr>
            </w:pPr>
            <w:r>
              <w:rPr>
                <w:b/>
                <w:w w:val="105"/>
                <w:sz w:val="10"/>
              </w:rPr>
              <w:t>FIXED </w:t>
            </w:r>
            <w:r>
              <w:rPr>
                <w:b/>
                <w:sz w:val="10"/>
              </w:rPr>
              <w:t>EFFECTS</w:t>
            </w:r>
          </w:p>
        </w:tc>
        <w:tc>
          <w:tcPr>
            <w:tcW w:w="726" w:type="dxa"/>
            <w:tcBorders>
              <w:right w:val="single" w:sz="3" w:space="0" w:color="000000"/>
            </w:tcBorders>
          </w:tcPr>
          <w:p>
            <w:pPr>
              <w:pStyle w:val="TableParagraph"/>
              <w:spacing w:before="6"/>
              <w:jc w:val="left"/>
              <w:rPr>
                <w:sz w:val="14"/>
              </w:rPr>
            </w:pPr>
          </w:p>
          <w:p>
            <w:pPr>
              <w:pStyle w:val="TableParagraph"/>
              <w:ind w:right="141"/>
              <w:rPr>
                <w:b/>
                <w:sz w:val="10"/>
              </w:rPr>
            </w:pPr>
            <w:r>
              <w:rPr>
                <w:b/>
                <w:sz w:val="10"/>
              </w:rPr>
              <w:t>POOLED</w:t>
            </w:r>
          </w:p>
        </w:tc>
        <w:tc>
          <w:tcPr>
            <w:tcW w:w="850" w:type="dxa"/>
            <w:tcBorders>
              <w:left w:val="single" w:sz="3" w:space="0" w:color="000000"/>
              <w:right w:val="single" w:sz="3" w:space="0" w:color="000000"/>
            </w:tcBorders>
          </w:tcPr>
          <w:p>
            <w:pPr>
              <w:pStyle w:val="TableParagraph"/>
              <w:spacing w:before="2"/>
              <w:jc w:val="left"/>
              <w:rPr>
                <w:sz w:val="9"/>
              </w:rPr>
            </w:pPr>
          </w:p>
          <w:p>
            <w:pPr>
              <w:pStyle w:val="TableParagraph"/>
              <w:spacing w:line="254" w:lineRule="auto" w:before="1"/>
              <w:ind w:left="184" w:right="181" w:firstLine="4"/>
              <w:jc w:val="left"/>
              <w:rPr>
                <w:b/>
                <w:sz w:val="10"/>
              </w:rPr>
            </w:pPr>
            <w:r>
              <w:rPr>
                <w:b/>
                <w:sz w:val="10"/>
              </w:rPr>
              <w:t>RANDOM EFFECTS</w:t>
            </w:r>
          </w:p>
        </w:tc>
        <w:tc>
          <w:tcPr>
            <w:tcW w:w="726" w:type="dxa"/>
            <w:tcBorders>
              <w:left w:val="single" w:sz="3" w:space="0" w:color="000000"/>
              <w:right w:val="single" w:sz="3" w:space="0" w:color="000000"/>
            </w:tcBorders>
          </w:tcPr>
          <w:p>
            <w:pPr>
              <w:pStyle w:val="TableParagraph"/>
              <w:spacing w:before="2"/>
              <w:jc w:val="left"/>
              <w:rPr>
                <w:sz w:val="9"/>
              </w:rPr>
            </w:pPr>
          </w:p>
          <w:p>
            <w:pPr>
              <w:pStyle w:val="TableParagraph"/>
              <w:spacing w:line="254" w:lineRule="auto" w:before="1"/>
              <w:ind w:left="123" w:right="119" w:firstLine="84"/>
              <w:jc w:val="left"/>
              <w:rPr>
                <w:b/>
                <w:sz w:val="10"/>
              </w:rPr>
            </w:pPr>
            <w:r>
              <w:rPr>
                <w:b/>
                <w:w w:val="105"/>
                <w:sz w:val="10"/>
              </w:rPr>
              <w:t>FIXED </w:t>
            </w:r>
            <w:r>
              <w:rPr>
                <w:b/>
                <w:sz w:val="10"/>
              </w:rPr>
              <w:t>EFFECTS</w:t>
            </w:r>
          </w:p>
        </w:tc>
      </w:tr>
      <w:tr>
        <w:trPr>
          <w:trHeight w:val="180" w:hRule="exact"/>
        </w:trPr>
        <w:tc>
          <w:tcPr>
            <w:tcW w:w="942" w:type="dxa"/>
            <w:vMerge w:val="restart"/>
            <w:tcBorders>
              <w:left w:val="single" w:sz="3" w:space="0" w:color="000000"/>
              <w:right w:val="single" w:sz="3" w:space="0" w:color="000000"/>
            </w:tcBorders>
          </w:tcPr>
          <w:p>
            <w:pPr>
              <w:pStyle w:val="TableParagraph"/>
              <w:spacing w:before="7"/>
              <w:jc w:val="left"/>
              <w:rPr>
                <w:sz w:val="20"/>
              </w:rPr>
            </w:pPr>
          </w:p>
          <w:p>
            <w:pPr>
              <w:pStyle w:val="TableParagraph"/>
              <w:ind w:left="309" w:right="312"/>
              <w:jc w:val="center"/>
              <w:rPr>
                <w:b/>
                <w:sz w:val="14"/>
              </w:rPr>
            </w:pPr>
            <w:r>
              <w:rPr>
                <w:b/>
                <w:position w:val="3"/>
                <w:sz w:val="21"/>
              </w:rPr>
              <w:t>ẏ</w:t>
            </w:r>
            <w:r>
              <w:rPr>
                <w:b/>
                <w:sz w:val="14"/>
              </w:rPr>
              <w:t>35</w:t>
            </w:r>
          </w:p>
        </w:tc>
        <w:tc>
          <w:tcPr>
            <w:tcW w:w="726" w:type="dxa"/>
            <w:tcBorders>
              <w:left w:val="single" w:sz="3" w:space="0" w:color="000000"/>
              <w:right w:val="single" w:sz="3" w:space="0" w:color="000000"/>
            </w:tcBorders>
          </w:tcPr>
          <w:p>
            <w:pPr>
              <w:pStyle w:val="TableParagraph"/>
              <w:ind w:right="86"/>
              <w:rPr>
                <w:rFonts w:ascii="Calibri"/>
                <w:sz w:val="14"/>
              </w:rPr>
            </w:pPr>
            <w:r>
              <w:rPr>
                <w:rFonts w:ascii="Calibri"/>
                <w:w w:val="95"/>
                <w:sz w:val="14"/>
              </w:rPr>
              <w:t>-0.063</w:t>
            </w:r>
          </w:p>
        </w:tc>
        <w:tc>
          <w:tcPr>
            <w:tcW w:w="848" w:type="dxa"/>
            <w:tcBorders>
              <w:left w:val="single" w:sz="3" w:space="0" w:color="000000"/>
              <w:right w:val="single" w:sz="3" w:space="0" w:color="000000"/>
            </w:tcBorders>
          </w:tcPr>
          <w:p>
            <w:pPr>
              <w:pStyle w:val="TableParagraph"/>
              <w:ind w:right="84"/>
              <w:rPr>
                <w:rFonts w:ascii="Calibri"/>
                <w:sz w:val="14"/>
              </w:rPr>
            </w:pPr>
            <w:r>
              <w:rPr>
                <w:rFonts w:ascii="Calibri"/>
                <w:w w:val="95"/>
                <w:sz w:val="14"/>
              </w:rPr>
              <w:t>-0.063</w:t>
            </w:r>
          </w:p>
        </w:tc>
        <w:tc>
          <w:tcPr>
            <w:tcW w:w="850" w:type="dxa"/>
            <w:tcBorders>
              <w:left w:val="single" w:sz="3" w:space="0" w:color="000000"/>
              <w:right w:val="single" w:sz="3" w:space="0" w:color="000000"/>
            </w:tcBorders>
          </w:tcPr>
          <w:p>
            <w:pPr>
              <w:pStyle w:val="TableParagraph"/>
              <w:ind w:right="84"/>
              <w:rPr>
                <w:rFonts w:ascii="Calibri"/>
                <w:sz w:val="14"/>
              </w:rPr>
            </w:pPr>
            <w:r>
              <w:rPr>
                <w:rFonts w:ascii="Calibri"/>
                <w:w w:val="95"/>
                <w:sz w:val="14"/>
              </w:rPr>
              <w:t>-0.599</w:t>
            </w:r>
          </w:p>
        </w:tc>
        <w:tc>
          <w:tcPr>
            <w:tcW w:w="726" w:type="dxa"/>
            <w:tcBorders>
              <w:left w:val="single" w:sz="3" w:space="0" w:color="000000"/>
              <w:right w:val="single" w:sz="3" w:space="0" w:color="000000"/>
            </w:tcBorders>
          </w:tcPr>
          <w:p>
            <w:pPr>
              <w:pStyle w:val="TableParagraph"/>
              <w:ind w:right="84"/>
              <w:rPr>
                <w:rFonts w:ascii="Calibri"/>
                <w:sz w:val="14"/>
              </w:rPr>
            </w:pPr>
            <w:r>
              <w:rPr>
                <w:rFonts w:ascii="Calibri"/>
                <w:w w:val="95"/>
                <w:sz w:val="14"/>
              </w:rPr>
              <w:t>0.132</w:t>
            </w:r>
          </w:p>
        </w:tc>
        <w:tc>
          <w:tcPr>
            <w:tcW w:w="850" w:type="dxa"/>
            <w:tcBorders>
              <w:left w:val="single" w:sz="3" w:space="0" w:color="000000"/>
              <w:right w:val="single" w:sz="3" w:space="0" w:color="000000"/>
            </w:tcBorders>
          </w:tcPr>
          <w:p>
            <w:pPr>
              <w:pStyle w:val="TableParagraph"/>
              <w:ind w:right="86"/>
              <w:rPr>
                <w:rFonts w:ascii="Calibri"/>
                <w:sz w:val="14"/>
              </w:rPr>
            </w:pPr>
            <w:r>
              <w:rPr>
                <w:rFonts w:ascii="Calibri"/>
                <w:w w:val="95"/>
                <w:sz w:val="14"/>
              </w:rPr>
              <w:t>0.132</w:t>
            </w:r>
          </w:p>
        </w:tc>
        <w:tc>
          <w:tcPr>
            <w:tcW w:w="847" w:type="dxa"/>
            <w:tcBorders>
              <w:left w:val="single" w:sz="3" w:space="0" w:color="000000"/>
            </w:tcBorders>
          </w:tcPr>
          <w:p>
            <w:pPr>
              <w:pStyle w:val="TableParagraph"/>
              <w:ind w:right="84"/>
              <w:rPr>
                <w:rFonts w:ascii="Calibri"/>
                <w:sz w:val="14"/>
              </w:rPr>
            </w:pPr>
            <w:r>
              <w:rPr>
                <w:rFonts w:ascii="Calibri"/>
                <w:w w:val="95"/>
                <w:sz w:val="14"/>
              </w:rPr>
              <w:t>0.128</w:t>
            </w:r>
          </w:p>
        </w:tc>
        <w:tc>
          <w:tcPr>
            <w:tcW w:w="726" w:type="dxa"/>
            <w:tcBorders>
              <w:right w:val="single" w:sz="3" w:space="0" w:color="000000"/>
            </w:tcBorders>
          </w:tcPr>
          <w:p>
            <w:pPr>
              <w:pStyle w:val="TableParagraph"/>
              <w:ind w:right="84"/>
              <w:rPr>
                <w:rFonts w:ascii="Calibri"/>
                <w:sz w:val="14"/>
              </w:rPr>
            </w:pPr>
            <w:r>
              <w:rPr>
                <w:rFonts w:ascii="Calibri"/>
                <w:w w:val="95"/>
                <w:sz w:val="14"/>
              </w:rPr>
              <w:t>-0.008</w:t>
            </w:r>
          </w:p>
        </w:tc>
        <w:tc>
          <w:tcPr>
            <w:tcW w:w="850" w:type="dxa"/>
            <w:tcBorders>
              <w:left w:val="single" w:sz="3" w:space="0" w:color="000000"/>
              <w:right w:val="single" w:sz="3" w:space="0" w:color="000000"/>
            </w:tcBorders>
          </w:tcPr>
          <w:p>
            <w:pPr>
              <w:pStyle w:val="TableParagraph"/>
              <w:ind w:right="86"/>
              <w:rPr>
                <w:rFonts w:ascii="Calibri"/>
                <w:sz w:val="14"/>
              </w:rPr>
            </w:pPr>
            <w:r>
              <w:rPr>
                <w:rFonts w:ascii="Calibri"/>
                <w:w w:val="95"/>
                <w:sz w:val="14"/>
              </w:rPr>
              <w:t>-0.008</w:t>
            </w:r>
          </w:p>
        </w:tc>
        <w:tc>
          <w:tcPr>
            <w:tcW w:w="726" w:type="dxa"/>
            <w:tcBorders>
              <w:left w:val="single" w:sz="3" w:space="0" w:color="000000"/>
              <w:right w:val="single" w:sz="3" w:space="0" w:color="000000"/>
            </w:tcBorders>
          </w:tcPr>
          <w:p>
            <w:pPr>
              <w:pStyle w:val="TableParagraph"/>
              <w:ind w:right="84"/>
              <w:rPr>
                <w:rFonts w:ascii="Calibri"/>
                <w:sz w:val="14"/>
              </w:rPr>
            </w:pPr>
            <w:r>
              <w:rPr>
                <w:rFonts w:ascii="Calibri"/>
                <w:w w:val="95"/>
                <w:sz w:val="14"/>
              </w:rPr>
              <w:t>-0.012</w:t>
            </w:r>
          </w:p>
        </w:tc>
      </w:tr>
      <w:tr>
        <w:trPr>
          <w:trHeight w:val="181" w:hRule="exact"/>
        </w:trPr>
        <w:tc>
          <w:tcPr>
            <w:tcW w:w="942" w:type="dxa"/>
            <w:vMerge/>
            <w:tcBorders>
              <w:left w:val="single" w:sz="3" w:space="0" w:color="000000"/>
              <w:right w:val="single" w:sz="3" w:space="0" w:color="000000"/>
            </w:tcBorders>
          </w:tcPr>
          <w:p>
            <w:pPr/>
          </w:p>
        </w:tc>
        <w:tc>
          <w:tcPr>
            <w:tcW w:w="726" w:type="dxa"/>
            <w:tcBorders>
              <w:left w:val="single" w:sz="3" w:space="0" w:color="000000"/>
              <w:right w:val="single" w:sz="3" w:space="0" w:color="000000"/>
            </w:tcBorders>
          </w:tcPr>
          <w:p>
            <w:pPr>
              <w:pStyle w:val="TableParagraph"/>
              <w:spacing w:line="170" w:lineRule="exact"/>
              <w:ind w:right="85"/>
              <w:rPr>
                <w:rFonts w:ascii="Calibri"/>
                <w:sz w:val="14"/>
              </w:rPr>
            </w:pPr>
            <w:r>
              <w:rPr>
                <w:rFonts w:ascii="Calibri"/>
                <w:w w:val="95"/>
                <w:sz w:val="14"/>
              </w:rPr>
              <w:t>(0.073)</w:t>
            </w:r>
          </w:p>
        </w:tc>
        <w:tc>
          <w:tcPr>
            <w:tcW w:w="848" w:type="dxa"/>
            <w:tcBorders>
              <w:left w:val="single" w:sz="3" w:space="0" w:color="000000"/>
              <w:right w:val="single" w:sz="3" w:space="0" w:color="000000"/>
            </w:tcBorders>
          </w:tcPr>
          <w:p>
            <w:pPr>
              <w:pStyle w:val="TableParagraph"/>
              <w:spacing w:line="170" w:lineRule="exact"/>
              <w:ind w:right="83"/>
              <w:rPr>
                <w:rFonts w:ascii="Calibri"/>
                <w:sz w:val="14"/>
              </w:rPr>
            </w:pPr>
            <w:r>
              <w:rPr>
                <w:rFonts w:ascii="Calibri"/>
                <w:w w:val="95"/>
                <w:sz w:val="14"/>
              </w:rPr>
              <w:t>(0.073)</w:t>
            </w:r>
          </w:p>
        </w:tc>
        <w:tc>
          <w:tcPr>
            <w:tcW w:w="850" w:type="dxa"/>
            <w:tcBorders>
              <w:left w:val="single" w:sz="3" w:space="0" w:color="000000"/>
              <w:right w:val="single" w:sz="3" w:space="0" w:color="000000"/>
            </w:tcBorders>
          </w:tcPr>
          <w:p>
            <w:pPr>
              <w:pStyle w:val="TableParagraph"/>
              <w:spacing w:line="170" w:lineRule="exact"/>
              <w:ind w:right="83"/>
              <w:rPr>
                <w:rFonts w:ascii="Calibri"/>
                <w:sz w:val="14"/>
              </w:rPr>
            </w:pPr>
            <w:r>
              <w:rPr>
                <w:rFonts w:ascii="Calibri"/>
                <w:w w:val="95"/>
                <w:sz w:val="14"/>
              </w:rPr>
              <w:t>(0.799)</w:t>
            </w:r>
          </w:p>
        </w:tc>
        <w:tc>
          <w:tcPr>
            <w:tcW w:w="726" w:type="dxa"/>
            <w:tcBorders>
              <w:left w:val="single" w:sz="3" w:space="0" w:color="000000"/>
              <w:right w:val="single" w:sz="3" w:space="0" w:color="000000"/>
            </w:tcBorders>
          </w:tcPr>
          <w:p>
            <w:pPr>
              <w:pStyle w:val="TableParagraph"/>
              <w:spacing w:line="170" w:lineRule="exact"/>
              <w:ind w:right="83"/>
              <w:rPr>
                <w:rFonts w:ascii="Calibri"/>
                <w:sz w:val="14"/>
              </w:rPr>
            </w:pPr>
            <w:r>
              <w:rPr>
                <w:rFonts w:ascii="Calibri"/>
                <w:w w:val="95"/>
                <w:sz w:val="14"/>
              </w:rPr>
              <w:t>(0.091)</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(0.091)</w:t>
            </w:r>
          </w:p>
        </w:tc>
        <w:tc>
          <w:tcPr>
            <w:tcW w:w="847" w:type="dxa"/>
            <w:tcBorders>
              <w:left w:val="single" w:sz="3" w:space="0" w:color="000000"/>
            </w:tcBorders>
          </w:tcPr>
          <w:p>
            <w:pPr>
              <w:pStyle w:val="TableParagraph"/>
              <w:spacing w:line="170" w:lineRule="exact"/>
              <w:ind w:right="83"/>
              <w:rPr>
                <w:rFonts w:ascii="Calibri"/>
                <w:sz w:val="14"/>
              </w:rPr>
            </w:pPr>
            <w:r>
              <w:rPr>
                <w:rFonts w:ascii="Calibri"/>
                <w:w w:val="95"/>
                <w:sz w:val="14"/>
              </w:rPr>
              <w:t>(0.098)</w:t>
            </w:r>
          </w:p>
        </w:tc>
        <w:tc>
          <w:tcPr>
            <w:tcW w:w="726" w:type="dxa"/>
            <w:tcBorders>
              <w:right w:val="single" w:sz="3" w:space="0" w:color="000000"/>
            </w:tcBorders>
          </w:tcPr>
          <w:p>
            <w:pPr>
              <w:pStyle w:val="TableParagraph"/>
              <w:spacing w:line="170" w:lineRule="exact"/>
              <w:ind w:right="83"/>
              <w:rPr>
                <w:rFonts w:ascii="Calibri"/>
                <w:sz w:val="14"/>
              </w:rPr>
            </w:pPr>
            <w:r>
              <w:rPr>
                <w:rFonts w:ascii="Calibri"/>
                <w:w w:val="95"/>
                <w:sz w:val="14"/>
              </w:rPr>
              <w:t>(0.052)</w:t>
            </w:r>
          </w:p>
        </w:tc>
        <w:tc>
          <w:tcPr>
            <w:tcW w:w="850" w:type="dxa"/>
            <w:tcBorders>
              <w:left w:val="single" w:sz="3" w:space="0" w:color="000000"/>
              <w:right w:val="single" w:sz="3" w:space="0" w:color="000000"/>
            </w:tcBorders>
          </w:tcPr>
          <w:p>
            <w:pPr>
              <w:pStyle w:val="TableParagraph"/>
              <w:spacing w:line="170" w:lineRule="exact"/>
              <w:ind w:right="85"/>
              <w:rPr>
                <w:rFonts w:ascii="Calibri"/>
                <w:sz w:val="14"/>
              </w:rPr>
            </w:pPr>
            <w:r>
              <w:rPr>
                <w:rFonts w:ascii="Calibri"/>
                <w:w w:val="95"/>
                <w:sz w:val="14"/>
              </w:rPr>
              <w:t>(0.052)</w:t>
            </w:r>
          </w:p>
        </w:tc>
        <w:tc>
          <w:tcPr>
            <w:tcW w:w="726" w:type="dxa"/>
            <w:tcBorders>
              <w:left w:val="single" w:sz="3" w:space="0" w:color="000000"/>
              <w:right w:val="single" w:sz="3" w:space="0" w:color="000000"/>
            </w:tcBorders>
          </w:tcPr>
          <w:p>
            <w:pPr>
              <w:pStyle w:val="TableParagraph"/>
              <w:spacing w:line="170" w:lineRule="exact"/>
              <w:ind w:right="83"/>
              <w:rPr>
                <w:rFonts w:ascii="Calibri"/>
                <w:sz w:val="14"/>
              </w:rPr>
            </w:pPr>
            <w:r>
              <w:rPr>
                <w:rFonts w:ascii="Calibri"/>
                <w:w w:val="95"/>
                <w:sz w:val="14"/>
              </w:rPr>
              <w:t>(0.057)</w:t>
            </w:r>
          </w:p>
        </w:tc>
      </w:tr>
      <w:tr>
        <w:trPr>
          <w:trHeight w:val="179" w:hRule="exact"/>
        </w:trPr>
        <w:tc>
          <w:tcPr>
            <w:tcW w:w="942" w:type="dxa"/>
            <w:vMerge/>
            <w:tcBorders>
              <w:left w:val="single" w:sz="3" w:space="0" w:color="000000"/>
              <w:right w:val="single" w:sz="3" w:space="0" w:color="000000"/>
            </w:tcBorders>
          </w:tcPr>
          <w:p>
            <w:pPr/>
          </w:p>
        </w:tc>
        <w:tc>
          <w:tcPr>
            <w:tcW w:w="726"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t=-0.86</w:t>
            </w:r>
          </w:p>
        </w:tc>
        <w:tc>
          <w:tcPr>
            <w:tcW w:w="848"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z=-0.86</w:t>
            </w:r>
          </w:p>
        </w:tc>
        <w:tc>
          <w:tcPr>
            <w:tcW w:w="850"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t=-0.75</w:t>
            </w:r>
          </w:p>
        </w:tc>
        <w:tc>
          <w:tcPr>
            <w:tcW w:w="726"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t=1.45</w:t>
            </w:r>
          </w:p>
        </w:tc>
        <w:tc>
          <w:tcPr>
            <w:tcW w:w="850" w:type="dxa"/>
            <w:tcBorders>
              <w:left w:val="single" w:sz="3" w:space="0" w:color="000000"/>
              <w:right w:val="single" w:sz="3" w:space="0" w:color="000000"/>
            </w:tcBorders>
          </w:tcPr>
          <w:p>
            <w:pPr>
              <w:pStyle w:val="TableParagraph"/>
              <w:spacing w:line="170" w:lineRule="exact"/>
              <w:ind w:right="89"/>
              <w:rPr>
                <w:rFonts w:ascii="Calibri"/>
                <w:sz w:val="14"/>
              </w:rPr>
            </w:pPr>
            <w:r>
              <w:rPr>
                <w:rFonts w:ascii="Calibri"/>
                <w:w w:val="95"/>
                <w:sz w:val="14"/>
              </w:rPr>
              <w:t>z=1.45</w:t>
            </w:r>
          </w:p>
        </w:tc>
        <w:tc>
          <w:tcPr>
            <w:tcW w:w="847" w:type="dxa"/>
            <w:tcBorders>
              <w:left w:val="single" w:sz="3" w:space="0" w:color="000000"/>
            </w:tcBorders>
          </w:tcPr>
          <w:p>
            <w:pPr>
              <w:pStyle w:val="TableParagraph"/>
              <w:spacing w:line="170" w:lineRule="exact"/>
              <w:ind w:right="86"/>
              <w:rPr>
                <w:rFonts w:ascii="Calibri"/>
                <w:sz w:val="14"/>
              </w:rPr>
            </w:pPr>
            <w:r>
              <w:rPr>
                <w:rFonts w:ascii="Calibri"/>
                <w:w w:val="95"/>
                <w:sz w:val="14"/>
              </w:rPr>
              <w:t>t=1.30</w:t>
            </w:r>
          </w:p>
        </w:tc>
        <w:tc>
          <w:tcPr>
            <w:tcW w:w="726" w:type="dxa"/>
            <w:tcBorders>
              <w:right w:val="single" w:sz="3" w:space="0" w:color="000000"/>
            </w:tcBorders>
          </w:tcPr>
          <w:p>
            <w:pPr>
              <w:pStyle w:val="TableParagraph"/>
              <w:spacing w:line="170" w:lineRule="exact"/>
              <w:ind w:right="84"/>
              <w:rPr>
                <w:rFonts w:ascii="Calibri"/>
                <w:sz w:val="14"/>
              </w:rPr>
            </w:pPr>
            <w:r>
              <w:rPr>
                <w:rFonts w:ascii="Calibri"/>
                <w:w w:val="95"/>
                <w:sz w:val="14"/>
              </w:rPr>
              <w:t>t=-0.17</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z=-0.17</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t=-0.22</w:t>
            </w:r>
          </w:p>
        </w:tc>
      </w:tr>
      <w:tr>
        <w:trPr>
          <w:trHeight w:val="249" w:hRule="exact"/>
        </w:trPr>
        <w:tc>
          <w:tcPr>
            <w:tcW w:w="942" w:type="dxa"/>
            <w:vMerge/>
            <w:tcBorders>
              <w:left w:val="single" w:sz="3" w:space="0" w:color="000000"/>
              <w:right w:val="single" w:sz="3" w:space="0" w:color="000000"/>
            </w:tcBorders>
          </w:tcPr>
          <w:p>
            <w:pPr/>
          </w:p>
        </w:tc>
        <w:tc>
          <w:tcPr>
            <w:tcW w:w="726"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p=0.394</w:t>
            </w:r>
          </w:p>
        </w:tc>
        <w:tc>
          <w:tcPr>
            <w:tcW w:w="848"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p=0.388</w:t>
            </w:r>
          </w:p>
        </w:tc>
        <w:tc>
          <w:tcPr>
            <w:tcW w:w="850"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p=0.460</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p=0.152</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p=0.152</w:t>
            </w:r>
          </w:p>
        </w:tc>
        <w:tc>
          <w:tcPr>
            <w:tcW w:w="847" w:type="dxa"/>
            <w:tcBorders>
              <w:left w:val="single" w:sz="3" w:space="0" w:color="000000"/>
            </w:tcBorders>
          </w:tcPr>
          <w:p>
            <w:pPr>
              <w:pStyle w:val="TableParagraph"/>
              <w:spacing w:line="170" w:lineRule="exact"/>
              <w:ind w:right="84"/>
              <w:rPr>
                <w:rFonts w:ascii="Calibri"/>
                <w:sz w:val="14"/>
              </w:rPr>
            </w:pPr>
            <w:r>
              <w:rPr>
                <w:rFonts w:ascii="Calibri"/>
                <w:w w:val="95"/>
                <w:sz w:val="14"/>
              </w:rPr>
              <w:t>p=0.200</w:t>
            </w:r>
          </w:p>
        </w:tc>
        <w:tc>
          <w:tcPr>
            <w:tcW w:w="726" w:type="dxa"/>
            <w:tcBorders>
              <w:right w:val="single" w:sz="3" w:space="0" w:color="000000"/>
            </w:tcBorders>
          </w:tcPr>
          <w:p>
            <w:pPr>
              <w:pStyle w:val="TableParagraph"/>
              <w:spacing w:line="170" w:lineRule="exact"/>
              <w:ind w:right="84"/>
              <w:rPr>
                <w:rFonts w:ascii="Calibri"/>
                <w:sz w:val="14"/>
              </w:rPr>
            </w:pPr>
            <w:r>
              <w:rPr>
                <w:rFonts w:ascii="Calibri"/>
                <w:w w:val="95"/>
                <w:sz w:val="14"/>
              </w:rPr>
              <w:t>p=0.869</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p=0.869</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p=0.829</w:t>
            </w:r>
          </w:p>
        </w:tc>
      </w:tr>
      <w:tr>
        <w:trPr>
          <w:trHeight w:val="179" w:hRule="exact"/>
        </w:trPr>
        <w:tc>
          <w:tcPr>
            <w:tcW w:w="942" w:type="dxa"/>
            <w:vMerge w:val="restart"/>
            <w:tcBorders>
              <w:left w:val="single" w:sz="3" w:space="0" w:color="000000"/>
              <w:right w:val="single" w:sz="3" w:space="0" w:color="000000"/>
            </w:tcBorders>
          </w:tcPr>
          <w:p>
            <w:pPr>
              <w:pStyle w:val="TableParagraph"/>
              <w:spacing w:line="156" w:lineRule="exact"/>
              <w:ind w:left="131"/>
              <w:jc w:val="left"/>
              <w:rPr>
                <w:b/>
                <w:sz w:val="14"/>
              </w:rPr>
            </w:pPr>
            <w:r>
              <w:rPr>
                <w:b/>
                <w:sz w:val="14"/>
              </w:rPr>
              <w:t>Constante</w:t>
            </w:r>
          </w:p>
        </w:tc>
        <w:tc>
          <w:tcPr>
            <w:tcW w:w="726"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4.050</w:t>
            </w:r>
          </w:p>
        </w:tc>
        <w:tc>
          <w:tcPr>
            <w:tcW w:w="848"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4.050</w:t>
            </w:r>
          </w:p>
        </w:tc>
        <w:tc>
          <w:tcPr>
            <w:tcW w:w="850"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4.017</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0.262</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0.262</w:t>
            </w:r>
          </w:p>
        </w:tc>
        <w:tc>
          <w:tcPr>
            <w:tcW w:w="847" w:type="dxa"/>
            <w:tcBorders>
              <w:left w:val="single" w:sz="3" w:space="0" w:color="000000"/>
            </w:tcBorders>
          </w:tcPr>
          <w:p>
            <w:pPr>
              <w:pStyle w:val="TableParagraph"/>
              <w:spacing w:line="170" w:lineRule="exact"/>
              <w:ind w:right="84"/>
              <w:rPr>
                <w:rFonts w:ascii="Calibri"/>
                <w:sz w:val="14"/>
              </w:rPr>
            </w:pPr>
            <w:r>
              <w:rPr>
                <w:rFonts w:ascii="Calibri"/>
                <w:w w:val="95"/>
                <w:sz w:val="14"/>
              </w:rPr>
              <w:t>0.276</w:t>
            </w:r>
          </w:p>
        </w:tc>
        <w:tc>
          <w:tcPr>
            <w:tcW w:w="726" w:type="dxa"/>
            <w:tcBorders>
              <w:right w:val="single" w:sz="3" w:space="0" w:color="000000"/>
            </w:tcBorders>
          </w:tcPr>
          <w:p>
            <w:pPr>
              <w:pStyle w:val="TableParagraph"/>
              <w:spacing w:line="170" w:lineRule="exact"/>
              <w:ind w:right="84"/>
              <w:rPr>
                <w:rFonts w:ascii="Calibri"/>
                <w:sz w:val="14"/>
              </w:rPr>
            </w:pPr>
            <w:r>
              <w:rPr>
                <w:rFonts w:ascii="Calibri"/>
                <w:w w:val="95"/>
                <w:sz w:val="14"/>
              </w:rPr>
              <w:t>1.669</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1.669</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1.690</w:t>
            </w:r>
          </w:p>
        </w:tc>
      </w:tr>
      <w:tr>
        <w:trPr>
          <w:trHeight w:val="181" w:hRule="exact"/>
        </w:trPr>
        <w:tc>
          <w:tcPr>
            <w:tcW w:w="942" w:type="dxa"/>
            <w:vMerge/>
            <w:tcBorders>
              <w:left w:val="single" w:sz="3" w:space="0" w:color="000000"/>
              <w:right w:val="single" w:sz="3" w:space="0" w:color="000000"/>
            </w:tcBorders>
          </w:tcPr>
          <w:p>
            <w:pPr/>
          </w:p>
        </w:tc>
        <w:tc>
          <w:tcPr>
            <w:tcW w:w="726" w:type="dxa"/>
            <w:tcBorders>
              <w:left w:val="single" w:sz="3" w:space="0" w:color="000000"/>
              <w:right w:val="single" w:sz="3" w:space="0" w:color="000000"/>
            </w:tcBorders>
          </w:tcPr>
          <w:p>
            <w:pPr>
              <w:pStyle w:val="TableParagraph"/>
              <w:spacing w:line="170" w:lineRule="exact"/>
              <w:ind w:right="85"/>
              <w:rPr>
                <w:rFonts w:ascii="Calibri"/>
                <w:sz w:val="14"/>
              </w:rPr>
            </w:pPr>
            <w:r>
              <w:rPr>
                <w:rFonts w:ascii="Calibri"/>
                <w:w w:val="95"/>
                <w:sz w:val="14"/>
              </w:rPr>
              <w:t>(2.958)</w:t>
            </w:r>
          </w:p>
        </w:tc>
        <w:tc>
          <w:tcPr>
            <w:tcW w:w="848" w:type="dxa"/>
            <w:tcBorders>
              <w:left w:val="single" w:sz="3" w:space="0" w:color="000000"/>
              <w:right w:val="single" w:sz="3" w:space="0" w:color="000000"/>
            </w:tcBorders>
          </w:tcPr>
          <w:p>
            <w:pPr>
              <w:pStyle w:val="TableParagraph"/>
              <w:spacing w:line="170" w:lineRule="exact"/>
              <w:ind w:right="83"/>
              <w:rPr>
                <w:rFonts w:ascii="Calibri"/>
                <w:sz w:val="14"/>
              </w:rPr>
            </w:pPr>
            <w:r>
              <w:rPr>
                <w:rFonts w:ascii="Calibri"/>
                <w:w w:val="95"/>
                <w:sz w:val="14"/>
              </w:rPr>
              <w:t>(2.958)</w:t>
            </w:r>
          </w:p>
        </w:tc>
        <w:tc>
          <w:tcPr>
            <w:tcW w:w="850" w:type="dxa"/>
            <w:tcBorders>
              <w:left w:val="single" w:sz="3" w:space="0" w:color="000000"/>
              <w:right w:val="single" w:sz="3" w:space="0" w:color="000000"/>
            </w:tcBorders>
          </w:tcPr>
          <w:p>
            <w:pPr>
              <w:pStyle w:val="TableParagraph"/>
              <w:spacing w:line="170" w:lineRule="exact"/>
              <w:ind w:right="83"/>
              <w:rPr>
                <w:rFonts w:ascii="Calibri"/>
                <w:sz w:val="14"/>
              </w:rPr>
            </w:pPr>
            <w:r>
              <w:rPr>
                <w:rFonts w:ascii="Calibri"/>
                <w:w w:val="95"/>
                <w:sz w:val="14"/>
              </w:rPr>
              <w:t>(3.128)</w:t>
            </w:r>
          </w:p>
        </w:tc>
        <w:tc>
          <w:tcPr>
            <w:tcW w:w="726" w:type="dxa"/>
            <w:tcBorders>
              <w:left w:val="single" w:sz="3" w:space="0" w:color="000000"/>
              <w:right w:val="single" w:sz="3" w:space="0" w:color="000000"/>
            </w:tcBorders>
          </w:tcPr>
          <w:p>
            <w:pPr>
              <w:pStyle w:val="TableParagraph"/>
              <w:spacing w:line="170" w:lineRule="exact"/>
              <w:ind w:right="83"/>
              <w:rPr>
                <w:rFonts w:ascii="Calibri"/>
                <w:sz w:val="14"/>
              </w:rPr>
            </w:pPr>
            <w:r>
              <w:rPr>
                <w:rFonts w:ascii="Calibri"/>
                <w:w w:val="95"/>
                <w:sz w:val="14"/>
              </w:rPr>
              <w:t>(1.494)</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(1.494)</w:t>
            </w:r>
          </w:p>
        </w:tc>
        <w:tc>
          <w:tcPr>
            <w:tcW w:w="847" w:type="dxa"/>
            <w:tcBorders>
              <w:left w:val="single" w:sz="3" w:space="0" w:color="000000"/>
            </w:tcBorders>
          </w:tcPr>
          <w:p>
            <w:pPr>
              <w:pStyle w:val="TableParagraph"/>
              <w:spacing w:line="170" w:lineRule="exact"/>
              <w:ind w:right="83"/>
              <w:rPr>
                <w:rFonts w:ascii="Calibri"/>
                <w:sz w:val="14"/>
              </w:rPr>
            </w:pPr>
            <w:r>
              <w:rPr>
                <w:rFonts w:ascii="Calibri"/>
                <w:w w:val="95"/>
                <w:sz w:val="14"/>
              </w:rPr>
              <w:t>(1.575)</w:t>
            </w:r>
          </w:p>
        </w:tc>
        <w:tc>
          <w:tcPr>
            <w:tcW w:w="726" w:type="dxa"/>
            <w:tcBorders>
              <w:right w:val="single" w:sz="3" w:space="0" w:color="000000"/>
            </w:tcBorders>
          </w:tcPr>
          <w:p>
            <w:pPr>
              <w:pStyle w:val="TableParagraph"/>
              <w:spacing w:line="170" w:lineRule="exact"/>
              <w:ind w:right="83"/>
              <w:rPr>
                <w:rFonts w:ascii="Calibri"/>
                <w:sz w:val="14"/>
              </w:rPr>
            </w:pPr>
            <w:r>
              <w:rPr>
                <w:rFonts w:ascii="Calibri"/>
                <w:w w:val="95"/>
                <w:sz w:val="14"/>
              </w:rPr>
              <w:t>(1.403)</w:t>
            </w:r>
          </w:p>
        </w:tc>
        <w:tc>
          <w:tcPr>
            <w:tcW w:w="850" w:type="dxa"/>
            <w:tcBorders>
              <w:left w:val="single" w:sz="3" w:space="0" w:color="000000"/>
              <w:right w:val="single" w:sz="3" w:space="0" w:color="000000"/>
            </w:tcBorders>
          </w:tcPr>
          <w:p>
            <w:pPr>
              <w:pStyle w:val="TableParagraph"/>
              <w:spacing w:line="170" w:lineRule="exact"/>
              <w:ind w:right="85"/>
              <w:rPr>
                <w:rFonts w:ascii="Calibri"/>
                <w:sz w:val="14"/>
              </w:rPr>
            </w:pPr>
            <w:r>
              <w:rPr>
                <w:rFonts w:ascii="Calibri"/>
                <w:w w:val="95"/>
                <w:sz w:val="14"/>
              </w:rPr>
              <w:t>(1.403)</w:t>
            </w:r>
          </w:p>
        </w:tc>
        <w:tc>
          <w:tcPr>
            <w:tcW w:w="726" w:type="dxa"/>
            <w:tcBorders>
              <w:left w:val="single" w:sz="3" w:space="0" w:color="000000"/>
              <w:right w:val="single" w:sz="3" w:space="0" w:color="000000"/>
            </w:tcBorders>
          </w:tcPr>
          <w:p>
            <w:pPr>
              <w:pStyle w:val="TableParagraph"/>
              <w:spacing w:line="170" w:lineRule="exact"/>
              <w:ind w:right="83"/>
              <w:rPr>
                <w:rFonts w:ascii="Calibri"/>
                <w:sz w:val="14"/>
              </w:rPr>
            </w:pPr>
            <w:r>
              <w:rPr>
                <w:rFonts w:ascii="Calibri"/>
                <w:w w:val="95"/>
                <w:sz w:val="14"/>
              </w:rPr>
              <w:t>(1.481)</w:t>
            </w:r>
          </w:p>
        </w:tc>
      </w:tr>
      <w:tr>
        <w:trPr>
          <w:trHeight w:val="179" w:hRule="exact"/>
        </w:trPr>
        <w:tc>
          <w:tcPr>
            <w:tcW w:w="942" w:type="dxa"/>
            <w:vMerge/>
            <w:tcBorders>
              <w:left w:val="single" w:sz="3" w:space="0" w:color="000000"/>
              <w:right w:val="single" w:sz="3" w:space="0" w:color="000000"/>
            </w:tcBorders>
          </w:tcPr>
          <w:p>
            <w:pPr/>
          </w:p>
        </w:tc>
        <w:tc>
          <w:tcPr>
            <w:tcW w:w="726" w:type="dxa"/>
            <w:tcBorders>
              <w:left w:val="single" w:sz="3" w:space="0" w:color="000000"/>
              <w:right w:val="single" w:sz="3" w:space="0" w:color="000000"/>
            </w:tcBorders>
          </w:tcPr>
          <w:p>
            <w:pPr>
              <w:pStyle w:val="TableParagraph"/>
              <w:spacing w:line="170" w:lineRule="exact"/>
              <w:ind w:right="88"/>
              <w:rPr>
                <w:rFonts w:ascii="Calibri"/>
                <w:sz w:val="14"/>
              </w:rPr>
            </w:pPr>
            <w:r>
              <w:rPr>
                <w:rFonts w:ascii="Calibri"/>
                <w:w w:val="95"/>
                <w:sz w:val="14"/>
              </w:rPr>
              <w:t>t=1.37</w:t>
            </w:r>
          </w:p>
        </w:tc>
        <w:tc>
          <w:tcPr>
            <w:tcW w:w="848"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z=1.37</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t=1.28</w:t>
            </w:r>
          </w:p>
        </w:tc>
        <w:tc>
          <w:tcPr>
            <w:tcW w:w="726"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t=0.18</w:t>
            </w:r>
          </w:p>
        </w:tc>
        <w:tc>
          <w:tcPr>
            <w:tcW w:w="850" w:type="dxa"/>
            <w:tcBorders>
              <w:left w:val="single" w:sz="3" w:space="0" w:color="000000"/>
              <w:right w:val="single" w:sz="3" w:space="0" w:color="000000"/>
            </w:tcBorders>
          </w:tcPr>
          <w:p>
            <w:pPr>
              <w:pStyle w:val="TableParagraph"/>
              <w:spacing w:line="170" w:lineRule="exact"/>
              <w:ind w:right="89"/>
              <w:rPr>
                <w:rFonts w:ascii="Calibri"/>
                <w:sz w:val="14"/>
              </w:rPr>
            </w:pPr>
            <w:r>
              <w:rPr>
                <w:rFonts w:ascii="Calibri"/>
                <w:w w:val="95"/>
                <w:sz w:val="14"/>
              </w:rPr>
              <w:t>z=0.18</w:t>
            </w:r>
          </w:p>
        </w:tc>
        <w:tc>
          <w:tcPr>
            <w:tcW w:w="847" w:type="dxa"/>
            <w:tcBorders>
              <w:left w:val="single" w:sz="3" w:space="0" w:color="000000"/>
            </w:tcBorders>
          </w:tcPr>
          <w:p>
            <w:pPr>
              <w:pStyle w:val="TableParagraph"/>
              <w:spacing w:line="170" w:lineRule="exact"/>
              <w:ind w:right="86"/>
              <w:rPr>
                <w:rFonts w:ascii="Calibri"/>
                <w:sz w:val="14"/>
              </w:rPr>
            </w:pPr>
            <w:r>
              <w:rPr>
                <w:rFonts w:ascii="Calibri"/>
                <w:w w:val="95"/>
                <w:sz w:val="14"/>
              </w:rPr>
              <w:t>t=0.18</w:t>
            </w:r>
          </w:p>
        </w:tc>
        <w:tc>
          <w:tcPr>
            <w:tcW w:w="726" w:type="dxa"/>
            <w:tcBorders>
              <w:right w:val="single" w:sz="3" w:space="0" w:color="000000"/>
            </w:tcBorders>
          </w:tcPr>
          <w:p>
            <w:pPr>
              <w:pStyle w:val="TableParagraph"/>
              <w:spacing w:line="170" w:lineRule="exact"/>
              <w:ind w:right="86"/>
              <w:rPr>
                <w:rFonts w:ascii="Calibri"/>
                <w:sz w:val="14"/>
              </w:rPr>
            </w:pPr>
            <w:r>
              <w:rPr>
                <w:rFonts w:ascii="Calibri"/>
                <w:w w:val="95"/>
                <w:sz w:val="14"/>
              </w:rPr>
              <w:t>t=1.19</w:t>
            </w:r>
          </w:p>
        </w:tc>
        <w:tc>
          <w:tcPr>
            <w:tcW w:w="850" w:type="dxa"/>
            <w:tcBorders>
              <w:left w:val="single" w:sz="3" w:space="0" w:color="000000"/>
              <w:right w:val="single" w:sz="3" w:space="0" w:color="000000"/>
            </w:tcBorders>
          </w:tcPr>
          <w:p>
            <w:pPr>
              <w:pStyle w:val="TableParagraph"/>
              <w:spacing w:line="170" w:lineRule="exact"/>
              <w:ind w:right="88"/>
              <w:rPr>
                <w:rFonts w:ascii="Calibri"/>
                <w:sz w:val="14"/>
              </w:rPr>
            </w:pPr>
            <w:r>
              <w:rPr>
                <w:rFonts w:ascii="Calibri"/>
                <w:w w:val="95"/>
                <w:sz w:val="14"/>
              </w:rPr>
              <w:t>z=1.19</w:t>
            </w:r>
          </w:p>
        </w:tc>
        <w:tc>
          <w:tcPr>
            <w:tcW w:w="726"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t=1.14</w:t>
            </w:r>
          </w:p>
        </w:tc>
      </w:tr>
      <w:tr>
        <w:trPr>
          <w:trHeight w:val="181" w:hRule="exact"/>
        </w:trPr>
        <w:tc>
          <w:tcPr>
            <w:tcW w:w="942" w:type="dxa"/>
            <w:vMerge/>
            <w:tcBorders>
              <w:left w:val="single" w:sz="3" w:space="0" w:color="000000"/>
              <w:right w:val="single" w:sz="3" w:space="0" w:color="000000"/>
            </w:tcBorders>
          </w:tcPr>
          <w:p>
            <w:pPr/>
          </w:p>
        </w:tc>
        <w:tc>
          <w:tcPr>
            <w:tcW w:w="726"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p=0.181</w:t>
            </w:r>
          </w:p>
        </w:tc>
        <w:tc>
          <w:tcPr>
            <w:tcW w:w="848"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p=0.171</w:t>
            </w:r>
          </w:p>
        </w:tc>
        <w:tc>
          <w:tcPr>
            <w:tcW w:w="850"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p=0.210</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p=0.861</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p=0.861</w:t>
            </w:r>
          </w:p>
        </w:tc>
        <w:tc>
          <w:tcPr>
            <w:tcW w:w="847" w:type="dxa"/>
            <w:tcBorders>
              <w:left w:val="single" w:sz="3" w:space="0" w:color="000000"/>
            </w:tcBorders>
          </w:tcPr>
          <w:p>
            <w:pPr>
              <w:pStyle w:val="TableParagraph"/>
              <w:spacing w:line="170" w:lineRule="exact"/>
              <w:ind w:right="84"/>
              <w:rPr>
                <w:rFonts w:ascii="Calibri"/>
                <w:sz w:val="14"/>
              </w:rPr>
            </w:pPr>
            <w:r>
              <w:rPr>
                <w:rFonts w:ascii="Calibri"/>
                <w:w w:val="95"/>
                <w:sz w:val="14"/>
              </w:rPr>
              <w:t>p=0.861</w:t>
            </w:r>
          </w:p>
        </w:tc>
        <w:tc>
          <w:tcPr>
            <w:tcW w:w="726" w:type="dxa"/>
            <w:tcBorders>
              <w:right w:val="single" w:sz="3" w:space="0" w:color="000000"/>
            </w:tcBorders>
          </w:tcPr>
          <w:p>
            <w:pPr>
              <w:pStyle w:val="TableParagraph"/>
              <w:spacing w:line="170" w:lineRule="exact"/>
              <w:ind w:right="84"/>
              <w:rPr>
                <w:rFonts w:ascii="Calibri"/>
                <w:sz w:val="14"/>
              </w:rPr>
            </w:pPr>
            <w:r>
              <w:rPr>
                <w:rFonts w:ascii="Calibri"/>
                <w:w w:val="95"/>
                <w:sz w:val="14"/>
              </w:rPr>
              <w:t>p=0.237</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p=0.237</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p=0.257</w:t>
            </w:r>
          </w:p>
        </w:tc>
      </w:tr>
      <w:tr>
        <w:trPr>
          <w:trHeight w:val="179" w:hRule="exact"/>
        </w:trPr>
        <w:tc>
          <w:tcPr>
            <w:tcW w:w="942" w:type="dxa"/>
            <w:tcBorders>
              <w:left w:val="single" w:sz="3" w:space="0" w:color="000000"/>
              <w:right w:val="single" w:sz="3" w:space="0" w:color="000000"/>
            </w:tcBorders>
          </w:tcPr>
          <w:p>
            <w:pPr>
              <w:pStyle w:val="TableParagraph"/>
              <w:spacing w:line="171" w:lineRule="exact"/>
              <w:ind w:left="309" w:right="309"/>
              <w:jc w:val="center"/>
              <w:rPr>
                <w:rFonts w:ascii="Calibri"/>
                <w:b/>
                <w:sz w:val="9"/>
              </w:rPr>
            </w:pPr>
            <w:r>
              <w:rPr>
                <w:rFonts w:ascii="Calibri"/>
                <w:b/>
                <w:position w:val="-6"/>
                <w:sz w:val="14"/>
              </w:rPr>
              <w:t>R</w:t>
            </w:r>
            <w:r>
              <w:rPr>
                <w:rFonts w:ascii="Calibri"/>
                <w:b/>
                <w:sz w:val="9"/>
              </w:rPr>
              <w:t>2</w:t>
            </w:r>
          </w:p>
        </w:tc>
        <w:tc>
          <w:tcPr>
            <w:tcW w:w="726"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0.023</w:t>
            </w:r>
          </w:p>
        </w:tc>
        <w:tc>
          <w:tcPr>
            <w:tcW w:w="848"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0.020</w:t>
            </w:r>
          </w:p>
        </w:tc>
        <w:tc>
          <w:tcPr>
            <w:tcW w:w="850"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0.020</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0.318</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0.029</w:t>
            </w:r>
          </w:p>
        </w:tc>
        <w:tc>
          <w:tcPr>
            <w:tcW w:w="847" w:type="dxa"/>
            <w:tcBorders>
              <w:left w:val="single" w:sz="3" w:space="0" w:color="000000"/>
            </w:tcBorders>
          </w:tcPr>
          <w:p>
            <w:pPr>
              <w:pStyle w:val="TableParagraph"/>
              <w:spacing w:line="170" w:lineRule="exact"/>
              <w:ind w:right="84"/>
              <w:rPr>
                <w:rFonts w:ascii="Calibri"/>
                <w:sz w:val="14"/>
              </w:rPr>
            </w:pPr>
            <w:r>
              <w:rPr>
                <w:rFonts w:ascii="Calibri"/>
                <w:w w:val="95"/>
                <w:sz w:val="14"/>
              </w:rPr>
              <w:t>0.029</w:t>
            </w:r>
          </w:p>
        </w:tc>
        <w:tc>
          <w:tcPr>
            <w:tcW w:w="726" w:type="dxa"/>
            <w:tcBorders>
              <w:right w:val="single" w:sz="3" w:space="0" w:color="000000"/>
            </w:tcBorders>
          </w:tcPr>
          <w:p>
            <w:pPr>
              <w:pStyle w:val="TableParagraph"/>
              <w:spacing w:line="170" w:lineRule="exact"/>
              <w:ind w:right="84"/>
              <w:rPr>
                <w:rFonts w:ascii="Calibri"/>
                <w:sz w:val="14"/>
              </w:rPr>
            </w:pPr>
            <w:r>
              <w:rPr>
                <w:rFonts w:ascii="Calibri"/>
                <w:w w:val="95"/>
                <w:sz w:val="14"/>
              </w:rPr>
              <w:t>0.000</w:t>
            </w:r>
          </w:p>
        </w:tc>
        <w:tc>
          <w:tcPr>
            <w:tcW w:w="850" w:type="dxa"/>
            <w:tcBorders>
              <w:left w:val="single" w:sz="3" w:space="0" w:color="000000"/>
              <w:right w:val="single" w:sz="3" w:space="0" w:color="000000"/>
            </w:tcBorders>
          </w:tcPr>
          <w:p>
            <w:pPr>
              <w:pStyle w:val="TableParagraph"/>
              <w:spacing w:line="170" w:lineRule="exact"/>
              <w:ind w:right="86"/>
              <w:rPr>
                <w:rFonts w:ascii="Calibri"/>
                <w:sz w:val="14"/>
              </w:rPr>
            </w:pPr>
            <w:r>
              <w:rPr>
                <w:rFonts w:ascii="Calibri"/>
                <w:w w:val="95"/>
                <w:sz w:val="14"/>
              </w:rPr>
              <w:t>0.000</w:t>
            </w:r>
          </w:p>
        </w:tc>
        <w:tc>
          <w:tcPr>
            <w:tcW w:w="726"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0.000</w:t>
            </w:r>
          </w:p>
        </w:tc>
      </w:tr>
      <w:tr>
        <w:trPr>
          <w:trHeight w:val="181" w:hRule="exact"/>
        </w:trPr>
        <w:tc>
          <w:tcPr>
            <w:tcW w:w="942" w:type="dxa"/>
            <w:tcBorders>
              <w:left w:val="single" w:sz="3" w:space="0" w:color="000000"/>
              <w:right w:val="single" w:sz="3" w:space="0" w:color="000000"/>
            </w:tcBorders>
          </w:tcPr>
          <w:p>
            <w:pPr>
              <w:pStyle w:val="TableParagraph"/>
              <w:spacing w:line="172" w:lineRule="exact"/>
              <w:ind w:left="309" w:right="310"/>
              <w:jc w:val="center"/>
              <w:rPr>
                <w:rFonts w:ascii="Calibri"/>
                <w:b/>
                <w:sz w:val="9"/>
              </w:rPr>
            </w:pPr>
            <w:r>
              <w:rPr>
                <w:rFonts w:ascii="Calibri"/>
                <w:b/>
                <w:sz w:val="14"/>
              </w:rPr>
              <w:t>Chi</w:t>
            </w:r>
            <w:r>
              <w:rPr>
                <w:rFonts w:ascii="Calibri"/>
                <w:b/>
                <w:position w:val="7"/>
                <w:sz w:val="9"/>
              </w:rPr>
              <w:t>2</w:t>
            </w:r>
          </w:p>
        </w:tc>
        <w:tc>
          <w:tcPr>
            <w:tcW w:w="726" w:type="dxa"/>
            <w:tcBorders>
              <w:left w:val="single" w:sz="3" w:space="0" w:color="000000"/>
              <w:right w:val="single" w:sz="3" w:space="0" w:color="000000"/>
            </w:tcBorders>
          </w:tcPr>
          <w:p>
            <w:pPr/>
          </w:p>
        </w:tc>
        <w:tc>
          <w:tcPr>
            <w:tcW w:w="848" w:type="dxa"/>
            <w:tcBorders>
              <w:left w:val="single" w:sz="3" w:space="0" w:color="000000"/>
              <w:right w:val="single" w:sz="3" w:space="0" w:color="000000"/>
            </w:tcBorders>
          </w:tcPr>
          <w:p>
            <w:pPr>
              <w:pStyle w:val="TableParagraph"/>
              <w:spacing w:before="1"/>
              <w:ind w:right="84"/>
              <w:rPr>
                <w:rFonts w:ascii="Calibri"/>
                <w:sz w:val="14"/>
              </w:rPr>
            </w:pPr>
            <w:r>
              <w:rPr>
                <w:rFonts w:ascii="Calibri"/>
                <w:w w:val="95"/>
                <w:sz w:val="14"/>
              </w:rPr>
              <w:t>0.156</w:t>
            </w:r>
          </w:p>
        </w:tc>
        <w:tc>
          <w:tcPr>
            <w:tcW w:w="850" w:type="dxa"/>
            <w:tcBorders>
              <w:left w:val="single" w:sz="3" w:space="0" w:color="000000"/>
              <w:right w:val="single" w:sz="3" w:space="0" w:color="000000"/>
            </w:tcBorders>
          </w:tcPr>
          <w:p>
            <w:pPr/>
          </w:p>
        </w:tc>
        <w:tc>
          <w:tcPr>
            <w:tcW w:w="726" w:type="dxa"/>
            <w:tcBorders>
              <w:left w:val="single" w:sz="3" w:space="0" w:color="000000"/>
              <w:right w:val="single" w:sz="3" w:space="0" w:color="000000"/>
            </w:tcBorders>
          </w:tcPr>
          <w:p>
            <w:pPr/>
          </w:p>
        </w:tc>
        <w:tc>
          <w:tcPr>
            <w:tcW w:w="850" w:type="dxa"/>
            <w:tcBorders>
              <w:left w:val="single" w:sz="3" w:space="0" w:color="000000"/>
              <w:right w:val="single" w:sz="3" w:space="0" w:color="000000"/>
            </w:tcBorders>
          </w:tcPr>
          <w:p>
            <w:pPr>
              <w:pStyle w:val="TableParagraph"/>
              <w:spacing w:before="1"/>
              <w:ind w:right="86"/>
              <w:rPr>
                <w:rFonts w:ascii="Calibri"/>
                <w:sz w:val="14"/>
              </w:rPr>
            </w:pPr>
            <w:r>
              <w:rPr>
                <w:rFonts w:ascii="Calibri"/>
                <w:w w:val="95"/>
                <w:sz w:val="14"/>
              </w:rPr>
              <w:t>0.104</w:t>
            </w:r>
          </w:p>
        </w:tc>
        <w:tc>
          <w:tcPr>
            <w:tcW w:w="847" w:type="dxa"/>
            <w:tcBorders>
              <w:left w:val="single" w:sz="3" w:space="0" w:color="000000"/>
            </w:tcBorders>
          </w:tcPr>
          <w:p>
            <w:pPr/>
          </w:p>
        </w:tc>
        <w:tc>
          <w:tcPr>
            <w:tcW w:w="726" w:type="dxa"/>
            <w:tcBorders>
              <w:right w:val="single" w:sz="3" w:space="0" w:color="000000"/>
            </w:tcBorders>
          </w:tcPr>
          <w:p>
            <w:pPr/>
          </w:p>
        </w:tc>
        <w:tc>
          <w:tcPr>
            <w:tcW w:w="850" w:type="dxa"/>
            <w:tcBorders>
              <w:left w:val="single" w:sz="3" w:space="0" w:color="000000"/>
              <w:right w:val="single" w:sz="3" w:space="0" w:color="000000"/>
            </w:tcBorders>
          </w:tcPr>
          <w:p>
            <w:pPr>
              <w:pStyle w:val="TableParagraph"/>
              <w:spacing w:before="1"/>
              <w:ind w:right="86"/>
              <w:rPr>
                <w:rFonts w:ascii="Calibri"/>
                <w:sz w:val="14"/>
              </w:rPr>
            </w:pPr>
            <w:r>
              <w:rPr>
                <w:rFonts w:ascii="Calibri"/>
                <w:w w:val="95"/>
                <w:sz w:val="14"/>
              </w:rPr>
              <w:t>0.042</w:t>
            </w:r>
          </w:p>
        </w:tc>
        <w:tc>
          <w:tcPr>
            <w:tcW w:w="726" w:type="dxa"/>
            <w:tcBorders>
              <w:left w:val="single" w:sz="3" w:space="0" w:color="000000"/>
              <w:right w:val="single" w:sz="3" w:space="0" w:color="000000"/>
            </w:tcBorders>
          </w:tcPr>
          <w:p>
            <w:pPr/>
          </w:p>
        </w:tc>
      </w:tr>
      <w:tr>
        <w:trPr>
          <w:trHeight w:val="181" w:hRule="exact"/>
        </w:trPr>
        <w:tc>
          <w:tcPr>
            <w:tcW w:w="942" w:type="dxa"/>
            <w:tcBorders>
              <w:left w:val="single" w:sz="3" w:space="0" w:color="000000"/>
              <w:right w:val="single" w:sz="3" w:space="0" w:color="000000"/>
            </w:tcBorders>
          </w:tcPr>
          <w:p>
            <w:pPr>
              <w:pStyle w:val="TableParagraph"/>
              <w:spacing w:line="170" w:lineRule="exact"/>
              <w:jc w:val="center"/>
              <w:rPr>
                <w:rFonts w:ascii="Calibri"/>
                <w:b/>
                <w:sz w:val="14"/>
              </w:rPr>
            </w:pPr>
            <w:r>
              <w:rPr>
                <w:rFonts w:ascii="Calibri"/>
                <w:b/>
                <w:w w:val="98"/>
                <w:sz w:val="14"/>
              </w:rPr>
              <w:t>F</w:t>
            </w:r>
          </w:p>
        </w:tc>
        <w:tc>
          <w:tcPr>
            <w:tcW w:w="1574" w:type="dxa"/>
            <w:gridSpan w:val="2"/>
            <w:tcBorders>
              <w:left w:val="single" w:sz="3" w:space="0" w:color="000000"/>
              <w:right w:val="single" w:sz="3" w:space="0" w:color="000000"/>
            </w:tcBorders>
          </w:tcPr>
          <w:p>
            <w:pPr/>
          </w:p>
        </w:tc>
        <w:tc>
          <w:tcPr>
            <w:tcW w:w="850" w:type="dxa"/>
            <w:tcBorders>
              <w:left w:val="single" w:sz="3" w:space="0" w:color="000000"/>
              <w:right w:val="single" w:sz="3" w:space="0" w:color="000000"/>
            </w:tcBorders>
          </w:tcPr>
          <w:p>
            <w:pPr>
              <w:pStyle w:val="TableParagraph"/>
              <w:spacing w:line="170" w:lineRule="exact"/>
              <w:ind w:right="84"/>
              <w:rPr>
                <w:rFonts w:ascii="Calibri"/>
                <w:sz w:val="14"/>
              </w:rPr>
            </w:pPr>
            <w:r>
              <w:rPr>
                <w:rFonts w:ascii="Calibri"/>
                <w:w w:val="95"/>
                <w:sz w:val="14"/>
              </w:rPr>
              <w:t>0.931</w:t>
            </w:r>
          </w:p>
        </w:tc>
        <w:tc>
          <w:tcPr>
            <w:tcW w:w="1576" w:type="dxa"/>
            <w:gridSpan w:val="2"/>
            <w:tcBorders>
              <w:left w:val="single" w:sz="3" w:space="0" w:color="000000"/>
              <w:right w:val="single" w:sz="3" w:space="0" w:color="000000"/>
            </w:tcBorders>
          </w:tcPr>
          <w:p>
            <w:pPr/>
          </w:p>
        </w:tc>
        <w:tc>
          <w:tcPr>
            <w:tcW w:w="847" w:type="dxa"/>
            <w:tcBorders>
              <w:left w:val="single" w:sz="3" w:space="0" w:color="000000"/>
            </w:tcBorders>
          </w:tcPr>
          <w:p>
            <w:pPr>
              <w:pStyle w:val="TableParagraph"/>
              <w:spacing w:line="170" w:lineRule="exact"/>
              <w:ind w:right="84"/>
              <w:rPr>
                <w:rFonts w:ascii="Calibri"/>
                <w:sz w:val="14"/>
              </w:rPr>
            </w:pPr>
            <w:r>
              <w:rPr>
                <w:rFonts w:ascii="Calibri"/>
                <w:w w:val="95"/>
                <w:sz w:val="14"/>
              </w:rPr>
              <w:t>0.972</w:t>
            </w:r>
          </w:p>
        </w:tc>
        <w:tc>
          <w:tcPr>
            <w:tcW w:w="1576" w:type="dxa"/>
            <w:gridSpan w:val="2"/>
            <w:tcBorders>
              <w:right w:val="single" w:sz="3" w:space="0" w:color="000000"/>
            </w:tcBorders>
          </w:tcPr>
          <w:p>
            <w:pPr/>
          </w:p>
        </w:tc>
        <w:tc>
          <w:tcPr>
            <w:tcW w:w="726" w:type="dxa"/>
            <w:tcBorders>
              <w:left w:val="single" w:sz="3" w:space="0" w:color="000000"/>
              <w:right w:val="single" w:sz="3" w:space="0" w:color="000000"/>
            </w:tcBorders>
          </w:tcPr>
          <w:p>
            <w:pPr>
              <w:pStyle w:val="TableParagraph"/>
              <w:spacing w:line="170" w:lineRule="exact"/>
              <w:ind w:left="86"/>
              <w:jc w:val="left"/>
              <w:rPr>
                <w:rFonts w:ascii="Calibri"/>
                <w:sz w:val="14"/>
              </w:rPr>
            </w:pPr>
            <w:r>
              <w:rPr>
                <w:rFonts w:ascii="Calibri"/>
                <w:sz w:val="14"/>
              </w:rPr>
              <w:t>0.991</w:t>
            </w:r>
          </w:p>
        </w:tc>
      </w:tr>
    </w:tbl>
    <w:p>
      <w:pPr>
        <w:spacing w:after="0" w:line="170" w:lineRule="exact"/>
        <w:jc w:val="left"/>
        <w:rPr>
          <w:rFonts w:ascii="Calibri"/>
          <w:sz w:val="14"/>
        </w:rPr>
        <w:sectPr>
          <w:footerReference w:type="default" r:id="rId53"/>
          <w:pgSz w:w="12240" w:h="15840"/>
          <w:pgMar w:footer="1003" w:header="0" w:top="1380" w:bottom="1200" w:left="1720" w:right="1580"/>
          <w:pgNumType w:start="140"/>
        </w:sectPr>
      </w:pPr>
    </w:p>
    <w:p>
      <w:pPr>
        <w:spacing w:before="36"/>
        <w:ind w:left="907" w:right="5235" w:firstLine="0"/>
        <w:jc w:val="left"/>
        <w:rPr>
          <w:rFonts w:ascii="Calibri"/>
          <w:b/>
          <w:sz w:val="18"/>
        </w:rPr>
      </w:pPr>
      <w:r>
        <w:rPr>
          <w:rFonts w:ascii="Calibri"/>
          <w:b/>
          <w:w w:val="105"/>
          <w:sz w:val="18"/>
        </w:rPr>
        <w:t>Modelo 6</w:t>
      </w:r>
    </w:p>
    <w:p>
      <w:pPr>
        <w:pStyle w:val="BodyText"/>
        <w:spacing w:before="9"/>
        <w:rPr>
          <w:rFonts w:ascii="Calibri"/>
          <w:b/>
          <w:sz w:val="16"/>
        </w:rPr>
      </w:pPr>
    </w:p>
    <w:p>
      <w:pPr>
        <w:spacing w:before="1"/>
        <w:ind w:left="907" w:right="5235" w:firstLine="0"/>
        <w:jc w:val="left"/>
        <w:rPr>
          <w:rFonts w:ascii="Arial" w:hAnsi="Arial"/>
          <w:sz w:val="13"/>
        </w:rPr>
      </w:pPr>
      <w:r>
        <w:rPr>
          <w:rFonts w:ascii="Cambria Math" w:hAnsi="Cambria Math"/>
          <w:w w:val="110"/>
          <w:sz w:val="19"/>
        </w:rPr>
        <w:t>Ṗ </w:t>
      </w:r>
      <w:r>
        <w:rPr>
          <w:rFonts w:ascii="Arial" w:hAnsi="Arial"/>
          <w:w w:val="110"/>
          <w:sz w:val="19"/>
        </w:rPr>
        <w:t>= α</w:t>
      </w:r>
      <w:r>
        <w:rPr>
          <w:rFonts w:ascii="Arial" w:hAnsi="Arial"/>
          <w:w w:val="110"/>
          <w:position w:val="-2"/>
          <w:sz w:val="13"/>
        </w:rPr>
        <w:t>i  </w:t>
      </w:r>
      <w:r>
        <w:rPr>
          <w:rFonts w:ascii="Arial" w:hAnsi="Arial"/>
          <w:w w:val="110"/>
          <w:sz w:val="19"/>
        </w:rPr>
        <w:t>+ α</w:t>
      </w:r>
      <w:r>
        <w:rPr>
          <w:rFonts w:ascii="Arial" w:hAnsi="Arial"/>
          <w:w w:val="110"/>
          <w:position w:val="-2"/>
          <w:sz w:val="13"/>
        </w:rPr>
        <w:t>1 </w:t>
      </w:r>
      <w:r>
        <w:rPr>
          <w:rFonts w:ascii="Arial" w:hAnsi="Arial"/>
          <w:w w:val="110"/>
          <w:sz w:val="19"/>
        </w:rPr>
        <w:t>ẏ</w:t>
      </w:r>
      <w:r>
        <w:rPr>
          <w:rFonts w:ascii="Arial" w:hAnsi="Arial"/>
          <w:w w:val="110"/>
          <w:position w:val="-2"/>
          <w:sz w:val="13"/>
        </w:rPr>
        <w:t>38 </w:t>
      </w:r>
      <w:r>
        <w:rPr>
          <w:rFonts w:ascii="Arial" w:hAnsi="Arial"/>
          <w:w w:val="110"/>
          <w:sz w:val="19"/>
        </w:rPr>
        <w:t>+ </w:t>
      </w:r>
      <w:r>
        <w:rPr>
          <w:rFonts w:ascii="Arial" w:hAnsi="Arial"/>
          <w:i/>
          <w:w w:val="110"/>
          <w:sz w:val="19"/>
        </w:rPr>
        <w:t>v</w:t>
      </w:r>
      <w:r>
        <w:rPr>
          <w:rFonts w:ascii="Arial" w:hAnsi="Arial"/>
          <w:w w:val="110"/>
          <w:position w:val="-2"/>
          <w:sz w:val="13"/>
        </w:rPr>
        <w:t>it</w:t>
      </w:r>
    </w:p>
    <w:p>
      <w:pPr>
        <w:pStyle w:val="BodyText"/>
        <w:spacing w:before="6"/>
        <w:rPr>
          <w:rFonts w:ascii="Arial"/>
          <w:sz w:val="17"/>
        </w:rPr>
      </w:pPr>
    </w:p>
    <w:tbl>
      <w:tblPr>
        <w:tblW w:w="0" w:type="auto"/>
        <w:jc w:val="left"/>
        <w:tblInd w:w="81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51"/>
        <w:gridCol w:w="733"/>
        <w:gridCol w:w="856"/>
        <w:gridCol w:w="858"/>
        <w:gridCol w:w="733"/>
        <w:gridCol w:w="858"/>
        <w:gridCol w:w="856"/>
        <w:gridCol w:w="734"/>
        <w:gridCol w:w="858"/>
        <w:gridCol w:w="733"/>
      </w:tblGrid>
      <w:tr>
        <w:trPr>
          <w:trHeight w:val="460" w:hRule="exact"/>
        </w:trPr>
        <w:tc>
          <w:tcPr>
            <w:tcW w:w="951" w:type="dxa"/>
            <w:tcBorders>
              <w:left w:val="single" w:sz="3" w:space="0" w:color="000000"/>
              <w:right w:val="single" w:sz="3" w:space="0" w:color="000000"/>
            </w:tcBorders>
          </w:tcPr>
          <w:p>
            <w:pPr/>
          </w:p>
        </w:tc>
        <w:tc>
          <w:tcPr>
            <w:tcW w:w="2448" w:type="dxa"/>
            <w:gridSpan w:val="3"/>
            <w:tcBorders>
              <w:left w:val="single" w:sz="3" w:space="0" w:color="000000"/>
              <w:right w:val="single" w:sz="3" w:space="0" w:color="000000"/>
            </w:tcBorders>
          </w:tcPr>
          <w:p>
            <w:pPr>
              <w:pStyle w:val="TableParagraph"/>
              <w:spacing w:before="9"/>
              <w:jc w:val="left"/>
              <w:rPr>
                <w:sz w:val="12"/>
              </w:rPr>
            </w:pPr>
          </w:p>
          <w:p>
            <w:pPr>
              <w:pStyle w:val="TableParagraph"/>
              <w:ind w:left="368"/>
              <w:jc w:val="left"/>
              <w:rPr>
                <w:b/>
                <w:sz w:val="13"/>
              </w:rPr>
            </w:pPr>
            <w:r>
              <w:rPr>
                <w:b/>
                <w:w w:val="105"/>
                <w:sz w:val="13"/>
              </w:rPr>
              <w:t>REGIÓN TOLUCA-LERMA</w:t>
            </w:r>
          </w:p>
        </w:tc>
        <w:tc>
          <w:tcPr>
            <w:tcW w:w="2448" w:type="dxa"/>
            <w:gridSpan w:val="3"/>
            <w:tcBorders>
              <w:left w:val="single" w:sz="3" w:space="0" w:color="000000"/>
              <w:right w:val="single" w:sz="3" w:space="0" w:color="000000"/>
            </w:tcBorders>
          </w:tcPr>
          <w:p>
            <w:pPr>
              <w:pStyle w:val="TableParagraph"/>
              <w:spacing w:before="9"/>
              <w:jc w:val="left"/>
              <w:rPr>
                <w:sz w:val="12"/>
              </w:rPr>
            </w:pPr>
          </w:p>
          <w:p>
            <w:pPr>
              <w:pStyle w:val="TableParagraph"/>
              <w:ind w:left="294"/>
              <w:jc w:val="left"/>
              <w:rPr>
                <w:b/>
                <w:sz w:val="13"/>
              </w:rPr>
            </w:pPr>
            <w:r>
              <w:rPr>
                <w:b/>
                <w:w w:val="105"/>
                <w:sz w:val="13"/>
              </w:rPr>
              <w:t>REGIÓN VALLE DE MÉXICO</w:t>
            </w:r>
          </w:p>
        </w:tc>
        <w:tc>
          <w:tcPr>
            <w:tcW w:w="2325" w:type="dxa"/>
            <w:gridSpan w:val="3"/>
            <w:tcBorders>
              <w:left w:val="single" w:sz="3" w:space="0" w:color="000000"/>
              <w:right w:val="single" w:sz="3" w:space="0" w:color="000000"/>
            </w:tcBorders>
          </w:tcPr>
          <w:p>
            <w:pPr>
              <w:pStyle w:val="TableParagraph"/>
              <w:spacing w:before="9"/>
              <w:jc w:val="left"/>
              <w:rPr>
                <w:sz w:val="12"/>
              </w:rPr>
            </w:pPr>
          </w:p>
          <w:p>
            <w:pPr>
              <w:pStyle w:val="TableParagraph"/>
              <w:ind w:left="520"/>
              <w:jc w:val="left"/>
              <w:rPr>
                <w:b/>
                <w:sz w:val="13"/>
              </w:rPr>
            </w:pPr>
            <w:r>
              <w:rPr>
                <w:b/>
                <w:w w:val="105"/>
                <w:sz w:val="13"/>
              </w:rPr>
              <w:t>AMBAS REGIONES</w:t>
            </w:r>
          </w:p>
        </w:tc>
      </w:tr>
      <w:tr>
        <w:trPr>
          <w:trHeight w:val="432" w:hRule="exact"/>
        </w:trPr>
        <w:tc>
          <w:tcPr>
            <w:tcW w:w="951" w:type="dxa"/>
            <w:tcBorders>
              <w:left w:val="single" w:sz="3" w:space="0" w:color="000000"/>
              <w:right w:val="single" w:sz="3" w:space="0" w:color="000000"/>
            </w:tcBorders>
          </w:tcPr>
          <w:p>
            <w:pPr>
              <w:pStyle w:val="TableParagraph"/>
              <w:spacing w:before="10"/>
              <w:ind w:left="412"/>
              <w:jc w:val="left"/>
              <w:rPr>
                <w:rFonts w:ascii="Cambria Math" w:hAnsi="Cambria Math"/>
                <w:sz w:val="19"/>
              </w:rPr>
            </w:pPr>
            <w:r>
              <w:rPr>
                <w:rFonts w:ascii="Cambria Math" w:hAnsi="Cambria Math"/>
                <w:w w:val="109"/>
                <w:sz w:val="19"/>
              </w:rPr>
              <w:t>Ṗ</w:t>
            </w:r>
          </w:p>
        </w:tc>
        <w:tc>
          <w:tcPr>
            <w:tcW w:w="733" w:type="dxa"/>
            <w:tcBorders>
              <w:left w:val="single" w:sz="3" w:space="0" w:color="000000"/>
              <w:right w:val="single" w:sz="3" w:space="0" w:color="000000"/>
            </w:tcBorders>
          </w:tcPr>
          <w:p>
            <w:pPr>
              <w:pStyle w:val="TableParagraph"/>
              <w:spacing w:before="2"/>
              <w:jc w:val="left"/>
              <w:rPr>
                <w:sz w:val="13"/>
              </w:rPr>
            </w:pPr>
          </w:p>
          <w:p>
            <w:pPr>
              <w:pStyle w:val="TableParagraph"/>
              <w:ind w:left="140"/>
              <w:jc w:val="left"/>
              <w:rPr>
                <w:b/>
                <w:sz w:val="10"/>
              </w:rPr>
            </w:pPr>
            <w:r>
              <w:rPr>
                <w:b/>
                <w:w w:val="105"/>
                <w:sz w:val="10"/>
              </w:rPr>
              <w:t>POOLED</w:t>
            </w:r>
          </w:p>
        </w:tc>
        <w:tc>
          <w:tcPr>
            <w:tcW w:w="856" w:type="dxa"/>
            <w:tcBorders>
              <w:left w:val="single" w:sz="3" w:space="0" w:color="000000"/>
              <w:right w:val="single" w:sz="3" w:space="0" w:color="000000"/>
            </w:tcBorders>
          </w:tcPr>
          <w:p>
            <w:pPr>
              <w:pStyle w:val="TableParagraph"/>
              <w:spacing w:before="6"/>
              <w:jc w:val="left"/>
              <w:rPr>
                <w:sz w:val="8"/>
              </w:rPr>
            </w:pPr>
          </w:p>
          <w:p>
            <w:pPr>
              <w:pStyle w:val="TableParagraph"/>
              <w:spacing w:line="112" w:lineRule="exact" w:before="1"/>
              <w:ind w:left="186" w:firstLine="4"/>
              <w:jc w:val="left"/>
              <w:rPr>
                <w:b/>
                <w:sz w:val="10"/>
              </w:rPr>
            </w:pPr>
            <w:r>
              <w:rPr>
                <w:b/>
                <w:sz w:val="10"/>
              </w:rPr>
              <w:t>RANDOM EFFECTS</w:t>
            </w:r>
          </w:p>
        </w:tc>
        <w:tc>
          <w:tcPr>
            <w:tcW w:w="858" w:type="dxa"/>
            <w:tcBorders>
              <w:left w:val="single" w:sz="3" w:space="0" w:color="000000"/>
              <w:right w:val="single" w:sz="3" w:space="0" w:color="000000"/>
            </w:tcBorders>
          </w:tcPr>
          <w:p>
            <w:pPr>
              <w:pStyle w:val="TableParagraph"/>
              <w:spacing w:before="6"/>
              <w:jc w:val="left"/>
              <w:rPr>
                <w:sz w:val="8"/>
              </w:rPr>
            </w:pPr>
          </w:p>
          <w:p>
            <w:pPr>
              <w:pStyle w:val="TableParagraph"/>
              <w:spacing w:line="112" w:lineRule="exact" w:before="1"/>
              <w:ind w:left="188" w:firstLine="84"/>
              <w:jc w:val="left"/>
              <w:rPr>
                <w:b/>
                <w:sz w:val="10"/>
              </w:rPr>
            </w:pPr>
            <w:r>
              <w:rPr>
                <w:b/>
                <w:w w:val="105"/>
                <w:sz w:val="10"/>
              </w:rPr>
              <w:t>FIXED </w:t>
            </w:r>
            <w:r>
              <w:rPr>
                <w:b/>
                <w:sz w:val="10"/>
              </w:rPr>
              <w:t>EFFECTS</w:t>
            </w:r>
          </w:p>
        </w:tc>
        <w:tc>
          <w:tcPr>
            <w:tcW w:w="733" w:type="dxa"/>
            <w:tcBorders>
              <w:left w:val="single" w:sz="3" w:space="0" w:color="000000"/>
              <w:right w:val="single" w:sz="3" w:space="0" w:color="000000"/>
            </w:tcBorders>
          </w:tcPr>
          <w:p>
            <w:pPr>
              <w:pStyle w:val="TableParagraph"/>
              <w:spacing w:before="2"/>
              <w:jc w:val="left"/>
              <w:rPr>
                <w:sz w:val="13"/>
              </w:rPr>
            </w:pPr>
          </w:p>
          <w:p>
            <w:pPr>
              <w:pStyle w:val="TableParagraph"/>
              <w:ind w:left="142"/>
              <w:jc w:val="left"/>
              <w:rPr>
                <w:b/>
                <w:sz w:val="10"/>
              </w:rPr>
            </w:pPr>
            <w:r>
              <w:rPr>
                <w:b/>
                <w:w w:val="105"/>
                <w:sz w:val="10"/>
              </w:rPr>
              <w:t>POOLED</w:t>
            </w:r>
          </w:p>
        </w:tc>
        <w:tc>
          <w:tcPr>
            <w:tcW w:w="858" w:type="dxa"/>
            <w:tcBorders>
              <w:left w:val="single" w:sz="3" w:space="0" w:color="000000"/>
              <w:right w:val="single" w:sz="3" w:space="0" w:color="000000"/>
            </w:tcBorders>
          </w:tcPr>
          <w:p>
            <w:pPr>
              <w:pStyle w:val="TableParagraph"/>
              <w:spacing w:before="6"/>
              <w:jc w:val="left"/>
              <w:rPr>
                <w:sz w:val="8"/>
              </w:rPr>
            </w:pPr>
          </w:p>
          <w:p>
            <w:pPr>
              <w:pStyle w:val="TableParagraph"/>
              <w:spacing w:line="112" w:lineRule="exact" w:before="1"/>
              <w:ind w:left="186" w:firstLine="4"/>
              <w:jc w:val="left"/>
              <w:rPr>
                <w:b/>
                <w:sz w:val="10"/>
              </w:rPr>
            </w:pPr>
            <w:r>
              <w:rPr>
                <w:b/>
                <w:sz w:val="10"/>
              </w:rPr>
              <w:t>RANDOM EFFECTS</w:t>
            </w:r>
          </w:p>
        </w:tc>
        <w:tc>
          <w:tcPr>
            <w:tcW w:w="856" w:type="dxa"/>
            <w:tcBorders>
              <w:left w:val="single" w:sz="3" w:space="0" w:color="000000"/>
              <w:right w:val="single" w:sz="3" w:space="0" w:color="000000"/>
            </w:tcBorders>
          </w:tcPr>
          <w:p>
            <w:pPr>
              <w:pStyle w:val="TableParagraph"/>
              <w:spacing w:before="6"/>
              <w:jc w:val="left"/>
              <w:rPr>
                <w:sz w:val="8"/>
              </w:rPr>
            </w:pPr>
          </w:p>
          <w:p>
            <w:pPr>
              <w:pStyle w:val="TableParagraph"/>
              <w:spacing w:line="112" w:lineRule="exact" w:before="1"/>
              <w:ind w:left="186" w:right="185" w:firstLine="84"/>
              <w:jc w:val="left"/>
              <w:rPr>
                <w:b/>
                <w:sz w:val="10"/>
              </w:rPr>
            </w:pPr>
            <w:r>
              <w:rPr>
                <w:b/>
                <w:w w:val="105"/>
                <w:sz w:val="10"/>
              </w:rPr>
              <w:t>FIXED </w:t>
            </w:r>
            <w:r>
              <w:rPr>
                <w:b/>
                <w:sz w:val="10"/>
              </w:rPr>
              <w:t>EFFECTS</w:t>
            </w:r>
          </w:p>
        </w:tc>
        <w:tc>
          <w:tcPr>
            <w:tcW w:w="734" w:type="dxa"/>
            <w:tcBorders>
              <w:left w:val="single" w:sz="3" w:space="0" w:color="000000"/>
              <w:right w:val="single" w:sz="3" w:space="0" w:color="000000"/>
            </w:tcBorders>
          </w:tcPr>
          <w:p>
            <w:pPr>
              <w:pStyle w:val="TableParagraph"/>
              <w:spacing w:before="2"/>
              <w:jc w:val="left"/>
              <w:rPr>
                <w:sz w:val="13"/>
              </w:rPr>
            </w:pPr>
          </w:p>
          <w:p>
            <w:pPr>
              <w:pStyle w:val="TableParagraph"/>
              <w:ind w:right="143"/>
              <w:rPr>
                <w:b/>
                <w:sz w:val="10"/>
              </w:rPr>
            </w:pPr>
            <w:r>
              <w:rPr>
                <w:b/>
                <w:sz w:val="10"/>
              </w:rPr>
              <w:t>POOLED</w:t>
            </w:r>
          </w:p>
        </w:tc>
        <w:tc>
          <w:tcPr>
            <w:tcW w:w="858" w:type="dxa"/>
            <w:tcBorders>
              <w:left w:val="single" w:sz="3" w:space="0" w:color="000000"/>
              <w:right w:val="single" w:sz="3" w:space="0" w:color="000000"/>
            </w:tcBorders>
          </w:tcPr>
          <w:p>
            <w:pPr>
              <w:pStyle w:val="TableParagraph"/>
              <w:spacing w:before="6"/>
              <w:jc w:val="left"/>
              <w:rPr>
                <w:sz w:val="8"/>
              </w:rPr>
            </w:pPr>
          </w:p>
          <w:p>
            <w:pPr>
              <w:pStyle w:val="TableParagraph"/>
              <w:spacing w:line="112" w:lineRule="exact" w:before="1"/>
              <w:ind w:left="186" w:firstLine="4"/>
              <w:jc w:val="left"/>
              <w:rPr>
                <w:b/>
                <w:sz w:val="10"/>
              </w:rPr>
            </w:pPr>
            <w:r>
              <w:rPr>
                <w:b/>
                <w:sz w:val="10"/>
              </w:rPr>
              <w:t>RANDOM EFFECTS</w:t>
            </w:r>
          </w:p>
        </w:tc>
        <w:tc>
          <w:tcPr>
            <w:tcW w:w="733" w:type="dxa"/>
            <w:tcBorders>
              <w:left w:val="single" w:sz="3" w:space="0" w:color="000000"/>
              <w:right w:val="single" w:sz="3" w:space="0" w:color="000000"/>
            </w:tcBorders>
          </w:tcPr>
          <w:p>
            <w:pPr>
              <w:pStyle w:val="TableParagraph"/>
              <w:spacing w:before="6"/>
              <w:jc w:val="left"/>
              <w:rPr>
                <w:sz w:val="8"/>
              </w:rPr>
            </w:pPr>
          </w:p>
          <w:p>
            <w:pPr>
              <w:pStyle w:val="TableParagraph"/>
              <w:spacing w:line="112" w:lineRule="exact" w:before="1"/>
              <w:ind w:left="124" w:right="125" w:firstLine="84"/>
              <w:jc w:val="left"/>
              <w:rPr>
                <w:b/>
                <w:sz w:val="10"/>
              </w:rPr>
            </w:pPr>
            <w:r>
              <w:rPr>
                <w:b/>
                <w:w w:val="105"/>
                <w:sz w:val="10"/>
              </w:rPr>
              <w:t>FIXED </w:t>
            </w:r>
            <w:r>
              <w:rPr>
                <w:b/>
                <w:sz w:val="10"/>
              </w:rPr>
              <w:t>EFFECTS</w:t>
            </w:r>
          </w:p>
        </w:tc>
      </w:tr>
      <w:tr>
        <w:trPr>
          <w:trHeight w:val="169" w:hRule="exact"/>
        </w:trPr>
        <w:tc>
          <w:tcPr>
            <w:tcW w:w="951" w:type="dxa"/>
            <w:vMerge w:val="restart"/>
            <w:tcBorders>
              <w:left w:val="single" w:sz="3" w:space="0" w:color="000000"/>
              <w:right w:val="single" w:sz="3" w:space="0" w:color="000000"/>
            </w:tcBorders>
          </w:tcPr>
          <w:p>
            <w:pPr>
              <w:pStyle w:val="TableParagraph"/>
              <w:spacing w:before="5"/>
              <w:jc w:val="left"/>
              <w:rPr>
                <w:sz w:val="19"/>
              </w:rPr>
            </w:pPr>
          </w:p>
          <w:p>
            <w:pPr>
              <w:pStyle w:val="TableParagraph"/>
              <w:ind w:left="312" w:right="312"/>
              <w:jc w:val="center"/>
              <w:rPr>
                <w:b/>
                <w:sz w:val="13"/>
              </w:rPr>
            </w:pPr>
            <w:r>
              <w:rPr>
                <w:b/>
                <w:w w:val="110"/>
                <w:position w:val="3"/>
                <w:sz w:val="19"/>
              </w:rPr>
              <w:t>ẏ</w:t>
            </w:r>
            <w:r>
              <w:rPr>
                <w:b/>
                <w:w w:val="110"/>
                <w:sz w:val="13"/>
              </w:rPr>
              <w:t>38</w:t>
            </w:r>
          </w:p>
        </w:tc>
        <w:tc>
          <w:tcPr>
            <w:tcW w:w="733"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-.036</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-.036</w:t>
            </w:r>
          </w:p>
        </w:tc>
        <w:tc>
          <w:tcPr>
            <w:tcW w:w="858" w:type="dxa"/>
            <w:tcBorders>
              <w:left w:val="single" w:sz="3" w:space="0" w:color="000000"/>
              <w:right w:val="single" w:sz="3" w:space="0" w:color="000000"/>
            </w:tcBorders>
          </w:tcPr>
          <w:p>
            <w:pPr>
              <w:pStyle w:val="TableParagraph"/>
              <w:ind w:right="86"/>
              <w:rPr>
                <w:rFonts w:ascii="Calibri"/>
                <w:sz w:val="13"/>
              </w:rPr>
            </w:pPr>
            <w:r>
              <w:rPr>
                <w:rFonts w:ascii="Calibri"/>
                <w:w w:val="105"/>
                <w:sz w:val="13"/>
              </w:rPr>
              <w:t>-.041</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-0.059</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-0.059</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-0.073</w:t>
            </w:r>
          </w:p>
        </w:tc>
        <w:tc>
          <w:tcPr>
            <w:tcW w:w="734"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-0.040</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-0.040</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-0.051</w:t>
            </w:r>
          </w:p>
        </w:tc>
      </w:tr>
      <w:tr>
        <w:trPr>
          <w:trHeight w:val="167" w:hRule="exact"/>
        </w:trPr>
        <w:tc>
          <w:tcPr>
            <w:tcW w:w="951" w:type="dxa"/>
            <w:vMerge/>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ind w:right="86"/>
              <w:rPr>
                <w:rFonts w:ascii="Calibri"/>
                <w:sz w:val="13"/>
              </w:rPr>
            </w:pPr>
            <w:r>
              <w:rPr>
                <w:rFonts w:ascii="Calibri"/>
                <w:w w:val="105"/>
                <w:sz w:val="13"/>
              </w:rPr>
              <w:t>(0.032)</w:t>
            </w:r>
          </w:p>
        </w:tc>
        <w:tc>
          <w:tcPr>
            <w:tcW w:w="856"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(0.032)</w:t>
            </w:r>
          </w:p>
        </w:tc>
        <w:tc>
          <w:tcPr>
            <w:tcW w:w="858"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(0.035)</w:t>
            </w:r>
          </w:p>
        </w:tc>
        <w:tc>
          <w:tcPr>
            <w:tcW w:w="733"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(0.033)</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(0.033)</w:t>
            </w:r>
          </w:p>
        </w:tc>
        <w:tc>
          <w:tcPr>
            <w:tcW w:w="856"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(0.036)</w:t>
            </w:r>
          </w:p>
        </w:tc>
        <w:tc>
          <w:tcPr>
            <w:tcW w:w="734"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(0.021)</w:t>
            </w:r>
          </w:p>
        </w:tc>
        <w:tc>
          <w:tcPr>
            <w:tcW w:w="858" w:type="dxa"/>
            <w:tcBorders>
              <w:left w:val="single" w:sz="3" w:space="0" w:color="000000"/>
              <w:right w:val="single" w:sz="3" w:space="0" w:color="000000"/>
            </w:tcBorders>
          </w:tcPr>
          <w:p>
            <w:pPr>
              <w:pStyle w:val="TableParagraph"/>
              <w:ind w:right="86"/>
              <w:rPr>
                <w:rFonts w:ascii="Calibri"/>
                <w:sz w:val="13"/>
              </w:rPr>
            </w:pPr>
            <w:r>
              <w:rPr>
                <w:rFonts w:ascii="Calibri"/>
                <w:w w:val="105"/>
                <w:sz w:val="13"/>
              </w:rPr>
              <w:t>(0.021)</w:t>
            </w:r>
          </w:p>
        </w:tc>
        <w:tc>
          <w:tcPr>
            <w:tcW w:w="733"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(0.023)</w:t>
            </w:r>
          </w:p>
        </w:tc>
      </w:tr>
      <w:tr>
        <w:trPr>
          <w:trHeight w:val="169" w:hRule="exact"/>
        </w:trPr>
        <w:tc>
          <w:tcPr>
            <w:tcW w:w="951" w:type="dxa"/>
            <w:vMerge/>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spacing w:before="2"/>
              <w:ind w:right="87"/>
              <w:rPr>
                <w:rFonts w:ascii="Calibri"/>
                <w:sz w:val="13"/>
              </w:rPr>
            </w:pPr>
            <w:r>
              <w:rPr>
                <w:rFonts w:ascii="Calibri"/>
                <w:w w:val="105"/>
                <w:sz w:val="13"/>
              </w:rPr>
              <w:t>t=-1.13</w:t>
            </w:r>
          </w:p>
        </w:tc>
        <w:tc>
          <w:tcPr>
            <w:tcW w:w="856"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z=-1.13</w:t>
            </w:r>
          </w:p>
        </w:tc>
        <w:tc>
          <w:tcPr>
            <w:tcW w:w="858"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t=-1.16</w:t>
            </w:r>
          </w:p>
        </w:tc>
        <w:tc>
          <w:tcPr>
            <w:tcW w:w="733"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t=-1.76</w:t>
            </w:r>
          </w:p>
        </w:tc>
        <w:tc>
          <w:tcPr>
            <w:tcW w:w="858" w:type="dxa"/>
            <w:tcBorders>
              <w:left w:val="single" w:sz="3" w:space="0" w:color="000000"/>
              <w:right w:val="single" w:sz="3" w:space="0" w:color="000000"/>
            </w:tcBorders>
          </w:tcPr>
          <w:p>
            <w:pPr>
              <w:pStyle w:val="TableParagraph"/>
              <w:spacing w:before="2"/>
              <w:ind w:right="87"/>
              <w:rPr>
                <w:rFonts w:ascii="Calibri"/>
                <w:sz w:val="13"/>
              </w:rPr>
            </w:pPr>
            <w:r>
              <w:rPr>
                <w:rFonts w:ascii="Calibri"/>
                <w:w w:val="105"/>
                <w:sz w:val="13"/>
              </w:rPr>
              <w:t>z=-1.76</w:t>
            </w:r>
          </w:p>
        </w:tc>
        <w:tc>
          <w:tcPr>
            <w:tcW w:w="856"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t=-2.04</w:t>
            </w:r>
          </w:p>
        </w:tc>
        <w:tc>
          <w:tcPr>
            <w:tcW w:w="734"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t=-1.90</w:t>
            </w:r>
          </w:p>
        </w:tc>
        <w:tc>
          <w:tcPr>
            <w:tcW w:w="858" w:type="dxa"/>
            <w:tcBorders>
              <w:left w:val="single" w:sz="3" w:space="0" w:color="000000"/>
              <w:right w:val="single" w:sz="3" w:space="0" w:color="000000"/>
            </w:tcBorders>
          </w:tcPr>
          <w:p>
            <w:pPr>
              <w:pStyle w:val="TableParagraph"/>
              <w:spacing w:before="2"/>
              <w:ind w:right="87"/>
              <w:rPr>
                <w:rFonts w:ascii="Calibri"/>
                <w:sz w:val="13"/>
              </w:rPr>
            </w:pPr>
            <w:r>
              <w:rPr>
                <w:rFonts w:ascii="Calibri"/>
                <w:w w:val="105"/>
                <w:sz w:val="13"/>
              </w:rPr>
              <w:t>z=-1.90</w:t>
            </w:r>
          </w:p>
        </w:tc>
        <w:tc>
          <w:tcPr>
            <w:tcW w:w="733"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t=-2.18</w:t>
            </w:r>
          </w:p>
        </w:tc>
      </w:tr>
      <w:tr>
        <w:trPr>
          <w:trHeight w:val="167" w:hRule="exact"/>
        </w:trPr>
        <w:tc>
          <w:tcPr>
            <w:tcW w:w="951" w:type="dxa"/>
            <w:vMerge/>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p=0.265</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p=0.257</w:t>
            </w:r>
          </w:p>
        </w:tc>
        <w:tc>
          <w:tcPr>
            <w:tcW w:w="858"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p=0.256</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p=0.083</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p=0.079</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p=0.046</w:t>
            </w:r>
          </w:p>
        </w:tc>
        <w:tc>
          <w:tcPr>
            <w:tcW w:w="734"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p=0.060</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p=0.057</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p=0.032</w:t>
            </w:r>
          </w:p>
        </w:tc>
      </w:tr>
      <w:tr>
        <w:trPr>
          <w:trHeight w:val="169" w:hRule="exact"/>
        </w:trPr>
        <w:tc>
          <w:tcPr>
            <w:tcW w:w="951" w:type="dxa"/>
            <w:vMerge w:val="restart"/>
            <w:tcBorders>
              <w:left w:val="single" w:sz="3" w:space="0" w:color="000000"/>
              <w:right w:val="single" w:sz="3" w:space="0" w:color="000000"/>
            </w:tcBorders>
          </w:tcPr>
          <w:p>
            <w:pPr>
              <w:pStyle w:val="TableParagraph"/>
              <w:spacing w:line="147" w:lineRule="exact"/>
              <w:ind w:left="132"/>
              <w:jc w:val="left"/>
              <w:rPr>
                <w:b/>
                <w:sz w:val="13"/>
              </w:rPr>
            </w:pPr>
            <w:r>
              <w:rPr>
                <w:b/>
                <w:w w:val="105"/>
                <w:sz w:val="13"/>
              </w:rPr>
              <w:t>Constante</w:t>
            </w:r>
          </w:p>
        </w:tc>
        <w:tc>
          <w:tcPr>
            <w:tcW w:w="733" w:type="dxa"/>
            <w:tcBorders>
              <w:left w:val="single" w:sz="3" w:space="0" w:color="000000"/>
              <w:right w:val="single" w:sz="3" w:space="0" w:color="000000"/>
            </w:tcBorders>
          </w:tcPr>
          <w:p>
            <w:pPr>
              <w:pStyle w:val="TableParagraph"/>
              <w:spacing w:before="2"/>
              <w:ind w:right="87"/>
              <w:rPr>
                <w:rFonts w:ascii="Calibri"/>
                <w:sz w:val="13"/>
              </w:rPr>
            </w:pPr>
            <w:r>
              <w:rPr>
                <w:rFonts w:ascii="Calibri"/>
                <w:w w:val="105"/>
                <w:sz w:val="13"/>
              </w:rPr>
              <w:t>3.299</w:t>
            </w:r>
          </w:p>
        </w:tc>
        <w:tc>
          <w:tcPr>
            <w:tcW w:w="856"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3.299</w:t>
            </w:r>
          </w:p>
        </w:tc>
        <w:tc>
          <w:tcPr>
            <w:tcW w:w="858"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3.418</w:t>
            </w:r>
          </w:p>
        </w:tc>
        <w:tc>
          <w:tcPr>
            <w:tcW w:w="733"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0.944</w:t>
            </w:r>
          </w:p>
        </w:tc>
        <w:tc>
          <w:tcPr>
            <w:tcW w:w="858" w:type="dxa"/>
            <w:tcBorders>
              <w:left w:val="single" w:sz="3" w:space="0" w:color="000000"/>
              <w:right w:val="single" w:sz="3" w:space="0" w:color="000000"/>
            </w:tcBorders>
          </w:tcPr>
          <w:p>
            <w:pPr>
              <w:pStyle w:val="TableParagraph"/>
              <w:spacing w:before="2"/>
              <w:ind w:right="87"/>
              <w:rPr>
                <w:rFonts w:ascii="Calibri"/>
                <w:sz w:val="13"/>
              </w:rPr>
            </w:pPr>
            <w:r>
              <w:rPr>
                <w:rFonts w:ascii="Calibri"/>
                <w:w w:val="105"/>
                <w:sz w:val="13"/>
              </w:rPr>
              <w:t>0.944</w:t>
            </w:r>
          </w:p>
        </w:tc>
        <w:tc>
          <w:tcPr>
            <w:tcW w:w="856"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1.019</w:t>
            </w:r>
          </w:p>
        </w:tc>
        <w:tc>
          <w:tcPr>
            <w:tcW w:w="734"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1.696</w:t>
            </w:r>
          </w:p>
        </w:tc>
        <w:tc>
          <w:tcPr>
            <w:tcW w:w="858" w:type="dxa"/>
            <w:tcBorders>
              <w:left w:val="single" w:sz="3" w:space="0" w:color="000000"/>
              <w:right w:val="single" w:sz="3" w:space="0" w:color="000000"/>
            </w:tcBorders>
          </w:tcPr>
          <w:p>
            <w:pPr>
              <w:pStyle w:val="TableParagraph"/>
              <w:spacing w:before="2"/>
              <w:ind w:right="87"/>
              <w:rPr>
                <w:rFonts w:ascii="Calibri"/>
                <w:sz w:val="13"/>
              </w:rPr>
            </w:pPr>
            <w:r>
              <w:rPr>
                <w:rFonts w:ascii="Calibri"/>
                <w:w w:val="105"/>
                <w:sz w:val="13"/>
              </w:rPr>
              <w:t>1.696</w:t>
            </w:r>
          </w:p>
        </w:tc>
        <w:tc>
          <w:tcPr>
            <w:tcW w:w="733"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1.823</w:t>
            </w:r>
          </w:p>
        </w:tc>
      </w:tr>
      <w:tr>
        <w:trPr>
          <w:trHeight w:val="169" w:hRule="exact"/>
        </w:trPr>
        <w:tc>
          <w:tcPr>
            <w:tcW w:w="951" w:type="dxa"/>
            <w:vMerge/>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ind w:right="86"/>
              <w:rPr>
                <w:rFonts w:ascii="Calibri"/>
                <w:sz w:val="13"/>
              </w:rPr>
            </w:pPr>
            <w:r>
              <w:rPr>
                <w:rFonts w:ascii="Calibri"/>
                <w:w w:val="105"/>
                <w:sz w:val="13"/>
              </w:rPr>
              <w:t>(2.906)</w:t>
            </w:r>
          </w:p>
        </w:tc>
        <w:tc>
          <w:tcPr>
            <w:tcW w:w="856"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(2.906)</w:t>
            </w:r>
          </w:p>
        </w:tc>
        <w:tc>
          <w:tcPr>
            <w:tcW w:w="858"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(3.095)</w:t>
            </w:r>
          </w:p>
        </w:tc>
        <w:tc>
          <w:tcPr>
            <w:tcW w:w="733"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(1.403)</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(1.403)</w:t>
            </w:r>
          </w:p>
        </w:tc>
        <w:tc>
          <w:tcPr>
            <w:tcW w:w="856"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(1.454)</w:t>
            </w:r>
          </w:p>
        </w:tc>
        <w:tc>
          <w:tcPr>
            <w:tcW w:w="734"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(1.330)</w:t>
            </w:r>
          </w:p>
        </w:tc>
        <w:tc>
          <w:tcPr>
            <w:tcW w:w="858" w:type="dxa"/>
            <w:tcBorders>
              <w:left w:val="single" w:sz="3" w:space="0" w:color="000000"/>
              <w:right w:val="single" w:sz="3" w:space="0" w:color="000000"/>
            </w:tcBorders>
          </w:tcPr>
          <w:p>
            <w:pPr>
              <w:pStyle w:val="TableParagraph"/>
              <w:ind w:right="86"/>
              <w:rPr>
                <w:rFonts w:ascii="Calibri"/>
                <w:sz w:val="13"/>
              </w:rPr>
            </w:pPr>
            <w:r>
              <w:rPr>
                <w:rFonts w:ascii="Calibri"/>
                <w:w w:val="105"/>
                <w:sz w:val="13"/>
              </w:rPr>
              <w:t>(1.330)</w:t>
            </w:r>
          </w:p>
        </w:tc>
        <w:tc>
          <w:tcPr>
            <w:tcW w:w="733"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(1.400)</w:t>
            </w:r>
          </w:p>
        </w:tc>
      </w:tr>
      <w:tr>
        <w:trPr>
          <w:trHeight w:val="167" w:hRule="exact"/>
        </w:trPr>
        <w:tc>
          <w:tcPr>
            <w:tcW w:w="951" w:type="dxa"/>
            <w:vMerge/>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ind w:right="89"/>
              <w:rPr>
                <w:rFonts w:ascii="Calibri"/>
                <w:sz w:val="13"/>
              </w:rPr>
            </w:pPr>
            <w:r>
              <w:rPr>
                <w:rFonts w:ascii="Calibri"/>
                <w:w w:val="105"/>
                <w:sz w:val="13"/>
              </w:rPr>
              <w:t>t=1.14</w:t>
            </w:r>
          </w:p>
        </w:tc>
        <w:tc>
          <w:tcPr>
            <w:tcW w:w="856"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z=1.14</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t=1.10</w:t>
            </w:r>
          </w:p>
        </w:tc>
        <w:tc>
          <w:tcPr>
            <w:tcW w:w="733"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t=0.67</w:t>
            </w:r>
          </w:p>
        </w:tc>
        <w:tc>
          <w:tcPr>
            <w:tcW w:w="858" w:type="dxa"/>
            <w:tcBorders>
              <w:left w:val="single" w:sz="3" w:space="0" w:color="000000"/>
              <w:right w:val="single" w:sz="3" w:space="0" w:color="000000"/>
            </w:tcBorders>
          </w:tcPr>
          <w:p>
            <w:pPr>
              <w:pStyle w:val="TableParagraph"/>
              <w:ind w:right="89"/>
              <w:rPr>
                <w:rFonts w:ascii="Calibri"/>
                <w:sz w:val="13"/>
              </w:rPr>
            </w:pPr>
            <w:r>
              <w:rPr>
                <w:rFonts w:ascii="Calibri"/>
                <w:w w:val="105"/>
                <w:sz w:val="13"/>
              </w:rPr>
              <w:t>z=0.67</w:t>
            </w:r>
          </w:p>
        </w:tc>
        <w:tc>
          <w:tcPr>
            <w:tcW w:w="856"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t=0.70</w:t>
            </w:r>
          </w:p>
        </w:tc>
        <w:tc>
          <w:tcPr>
            <w:tcW w:w="734"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t=1.28</w:t>
            </w:r>
          </w:p>
        </w:tc>
        <w:tc>
          <w:tcPr>
            <w:tcW w:w="858" w:type="dxa"/>
            <w:tcBorders>
              <w:left w:val="single" w:sz="3" w:space="0" w:color="000000"/>
              <w:right w:val="single" w:sz="3" w:space="0" w:color="000000"/>
            </w:tcBorders>
          </w:tcPr>
          <w:p>
            <w:pPr>
              <w:pStyle w:val="TableParagraph"/>
              <w:ind w:right="89"/>
              <w:rPr>
                <w:rFonts w:ascii="Calibri"/>
                <w:sz w:val="13"/>
              </w:rPr>
            </w:pPr>
            <w:r>
              <w:rPr>
                <w:rFonts w:ascii="Calibri"/>
                <w:w w:val="105"/>
                <w:sz w:val="13"/>
              </w:rPr>
              <w:t>z=1.28</w:t>
            </w:r>
          </w:p>
        </w:tc>
        <w:tc>
          <w:tcPr>
            <w:tcW w:w="733"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t=1.30</w:t>
            </w:r>
          </w:p>
        </w:tc>
      </w:tr>
      <w:tr>
        <w:trPr>
          <w:trHeight w:val="169" w:hRule="exact"/>
        </w:trPr>
        <w:tc>
          <w:tcPr>
            <w:tcW w:w="951" w:type="dxa"/>
            <w:vMerge/>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p=0.264</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p=0.256</w:t>
            </w:r>
          </w:p>
        </w:tc>
        <w:tc>
          <w:tcPr>
            <w:tcW w:w="858"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p=0.279</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p=0.503</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p=0.501</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p=0.486</w:t>
            </w:r>
          </w:p>
        </w:tc>
        <w:tc>
          <w:tcPr>
            <w:tcW w:w="734"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p=0.205</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p=0.202</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p=0.196</w:t>
            </w:r>
          </w:p>
        </w:tc>
      </w:tr>
      <w:tr>
        <w:trPr>
          <w:trHeight w:val="167" w:hRule="exact"/>
        </w:trPr>
        <w:tc>
          <w:tcPr>
            <w:tcW w:w="951" w:type="dxa"/>
            <w:tcBorders>
              <w:left w:val="single" w:sz="3" w:space="0" w:color="000000"/>
              <w:right w:val="single" w:sz="3" w:space="0" w:color="000000"/>
            </w:tcBorders>
          </w:tcPr>
          <w:p>
            <w:pPr>
              <w:pStyle w:val="TableParagraph"/>
              <w:spacing w:line="154" w:lineRule="exact"/>
              <w:ind w:left="410"/>
              <w:jc w:val="left"/>
              <w:rPr>
                <w:rFonts w:ascii="Calibri"/>
                <w:b/>
                <w:sz w:val="8"/>
              </w:rPr>
            </w:pPr>
            <w:r>
              <w:rPr>
                <w:rFonts w:ascii="Calibri"/>
                <w:b/>
                <w:w w:val="110"/>
                <w:position w:val="-5"/>
                <w:sz w:val="13"/>
              </w:rPr>
              <w:t>R</w:t>
            </w:r>
            <w:r>
              <w:rPr>
                <w:rFonts w:ascii="Calibri"/>
                <w:b/>
                <w:w w:val="110"/>
                <w:sz w:val="8"/>
              </w:rPr>
              <w:t>2</w:t>
            </w:r>
          </w:p>
        </w:tc>
        <w:tc>
          <w:tcPr>
            <w:tcW w:w="733"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0.037</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0.044</w:t>
            </w:r>
          </w:p>
        </w:tc>
        <w:tc>
          <w:tcPr>
            <w:tcW w:w="858"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0.044</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0.043</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0.065</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0.065</w:t>
            </w:r>
          </w:p>
        </w:tc>
        <w:tc>
          <w:tcPr>
            <w:tcW w:w="734"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0.033</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0.050</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0.050</w:t>
            </w:r>
          </w:p>
        </w:tc>
      </w:tr>
      <w:tr>
        <w:trPr>
          <w:trHeight w:val="169" w:hRule="exact"/>
        </w:trPr>
        <w:tc>
          <w:tcPr>
            <w:tcW w:w="951" w:type="dxa"/>
            <w:tcBorders>
              <w:left w:val="single" w:sz="3" w:space="0" w:color="000000"/>
              <w:right w:val="single" w:sz="3" w:space="0" w:color="000000"/>
            </w:tcBorders>
          </w:tcPr>
          <w:p>
            <w:pPr>
              <w:pStyle w:val="TableParagraph"/>
              <w:spacing w:line="159" w:lineRule="exact"/>
              <w:ind w:left="358"/>
              <w:jc w:val="left"/>
              <w:rPr>
                <w:rFonts w:ascii="Calibri"/>
                <w:b/>
                <w:sz w:val="8"/>
              </w:rPr>
            </w:pPr>
            <w:r>
              <w:rPr>
                <w:rFonts w:ascii="Calibri"/>
                <w:b/>
                <w:w w:val="105"/>
                <w:sz w:val="13"/>
              </w:rPr>
              <w:t>Chi</w:t>
            </w:r>
            <w:r>
              <w:rPr>
                <w:rFonts w:ascii="Calibri"/>
                <w:b/>
                <w:w w:val="105"/>
                <w:position w:val="6"/>
                <w:sz w:val="8"/>
              </w:rPr>
              <w:t>2</w:t>
            </w:r>
          </w:p>
        </w:tc>
        <w:tc>
          <w:tcPr>
            <w:tcW w:w="733" w:type="dxa"/>
            <w:tcBorders>
              <w:left w:val="single" w:sz="3" w:space="0" w:color="000000"/>
              <w:right w:val="single" w:sz="3" w:space="0" w:color="000000"/>
            </w:tcBorders>
          </w:tcPr>
          <w:p>
            <w:pP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0.109</w:t>
            </w:r>
          </w:p>
        </w:tc>
        <w:tc>
          <w:tcPr>
            <w:tcW w:w="858" w:type="dxa"/>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0.192</w:t>
            </w:r>
          </w:p>
        </w:tc>
        <w:tc>
          <w:tcPr>
            <w:tcW w:w="856" w:type="dxa"/>
            <w:tcBorders>
              <w:left w:val="single" w:sz="3" w:space="0" w:color="000000"/>
              <w:right w:val="single" w:sz="3" w:space="0" w:color="000000"/>
            </w:tcBorders>
          </w:tcPr>
          <w:p>
            <w:pPr/>
          </w:p>
        </w:tc>
        <w:tc>
          <w:tcPr>
            <w:tcW w:w="734" w:type="dxa"/>
            <w:tcBorders>
              <w:left w:val="single" w:sz="3" w:space="0" w:color="000000"/>
              <w:right w:val="single" w:sz="3" w:space="0" w:color="000000"/>
            </w:tcBorders>
          </w:tcPr>
          <w:p>
            <w:pP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0.038</w:t>
            </w:r>
          </w:p>
        </w:tc>
        <w:tc>
          <w:tcPr>
            <w:tcW w:w="733" w:type="dxa"/>
            <w:tcBorders>
              <w:left w:val="single" w:sz="3" w:space="0" w:color="000000"/>
              <w:right w:val="single" w:sz="3" w:space="0" w:color="000000"/>
            </w:tcBorders>
          </w:tcPr>
          <w:p>
            <w:pPr/>
          </w:p>
        </w:tc>
      </w:tr>
      <w:tr>
        <w:trPr>
          <w:trHeight w:val="193" w:hRule="exact"/>
        </w:trPr>
        <w:tc>
          <w:tcPr>
            <w:tcW w:w="951" w:type="dxa"/>
            <w:tcBorders>
              <w:left w:val="single" w:sz="3" w:space="0" w:color="000000"/>
              <w:right w:val="single" w:sz="3" w:space="0" w:color="000000"/>
            </w:tcBorders>
          </w:tcPr>
          <w:p>
            <w:pPr>
              <w:pStyle w:val="TableParagraph"/>
              <w:ind w:left="439"/>
              <w:jc w:val="left"/>
              <w:rPr>
                <w:rFonts w:ascii="Calibri"/>
                <w:b/>
                <w:sz w:val="13"/>
              </w:rPr>
            </w:pPr>
            <w:r>
              <w:rPr>
                <w:rFonts w:ascii="Calibri"/>
                <w:b/>
                <w:w w:val="106"/>
                <w:sz w:val="13"/>
              </w:rPr>
              <w:t>F</w:t>
            </w:r>
          </w:p>
        </w:tc>
        <w:tc>
          <w:tcPr>
            <w:tcW w:w="1590" w:type="dxa"/>
            <w:gridSpan w:val="2"/>
            <w:tcBorders>
              <w:left w:val="single" w:sz="3" w:space="0" w:color="000000"/>
              <w:right w:val="single" w:sz="3" w:space="0" w:color="000000"/>
            </w:tcBorders>
          </w:tcPr>
          <w:p>
            <w:pPr/>
          </w:p>
        </w:tc>
        <w:tc>
          <w:tcPr>
            <w:tcW w:w="858"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0.990</w:t>
            </w:r>
          </w:p>
        </w:tc>
        <w:tc>
          <w:tcPr>
            <w:tcW w:w="1592" w:type="dxa"/>
            <w:gridSpan w:val="2"/>
            <w:tcBorders>
              <w:left w:val="single" w:sz="3" w:space="0" w:color="000000"/>
              <w:right w:val="single" w:sz="3" w:space="0" w:color="000000"/>
            </w:tcBorders>
          </w:tcPr>
          <w:p>
            <w:pP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0.882</w:t>
            </w:r>
          </w:p>
        </w:tc>
        <w:tc>
          <w:tcPr>
            <w:tcW w:w="1592" w:type="dxa"/>
            <w:gridSpan w:val="2"/>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0.992</w:t>
            </w:r>
          </w:p>
        </w:tc>
      </w:tr>
    </w:tbl>
    <w:p>
      <w:pPr>
        <w:pStyle w:val="BodyText"/>
        <w:rPr>
          <w:rFonts w:ascii="Arial"/>
          <w:sz w:val="20"/>
        </w:rPr>
      </w:pPr>
    </w:p>
    <w:p>
      <w:pPr>
        <w:pStyle w:val="BodyText"/>
        <w:spacing w:before="1"/>
        <w:rPr>
          <w:rFonts w:ascii="Arial"/>
          <w:sz w:val="16"/>
        </w:rPr>
      </w:pPr>
    </w:p>
    <w:p>
      <w:pPr>
        <w:spacing w:before="1"/>
        <w:ind w:left="907" w:right="5235" w:firstLine="0"/>
        <w:jc w:val="left"/>
        <w:rPr>
          <w:rFonts w:ascii="Calibri"/>
          <w:b/>
          <w:sz w:val="18"/>
        </w:rPr>
      </w:pPr>
      <w:r>
        <w:rPr>
          <w:rFonts w:ascii="Calibri"/>
          <w:b/>
          <w:w w:val="105"/>
          <w:sz w:val="18"/>
        </w:rPr>
        <w:t>Modelo 7</w:t>
      </w:r>
    </w:p>
    <w:p>
      <w:pPr>
        <w:pStyle w:val="BodyText"/>
        <w:spacing w:before="10"/>
        <w:rPr>
          <w:rFonts w:ascii="Calibri"/>
          <w:b/>
          <w:sz w:val="16"/>
        </w:rPr>
      </w:pPr>
    </w:p>
    <w:p>
      <w:pPr>
        <w:spacing w:before="0"/>
        <w:ind w:left="907" w:right="5235" w:firstLine="0"/>
        <w:jc w:val="left"/>
        <w:rPr>
          <w:rFonts w:ascii="Arial" w:hAnsi="Arial"/>
          <w:sz w:val="13"/>
        </w:rPr>
      </w:pPr>
      <w:r>
        <w:rPr>
          <w:rFonts w:ascii="Cambria Math" w:hAnsi="Cambria Math"/>
          <w:w w:val="110"/>
          <w:sz w:val="19"/>
        </w:rPr>
        <w:t>Ṗ </w:t>
      </w:r>
      <w:r>
        <w:rPr>
          <w:rFonts w:ascii="Arial" w:hAnsi="Arial"/>
          <w:w w:val="110"/>
          <w:sz w:val="19"/>
        </w:rPr>
        <w:t>= α</w:t>
      </w:r>
      <w:r>
        <w:rPr>
          <w:rFonts w:ascii="Arial" w:hAnsi="Arial"/>
          <w:w w:val="110"/>
          <w:position w:val="-2"/>
          <w:sz w:val="13"/>
        </w:rPr>
        <w:t>i  </w:t>
      </w:r>
      <w:r>
        <w:rPr>
          <w:rFonts w:ascii="Arial" w:hAnsi="Arial"/>
          <w:w w:val="110"/>
          <w:sz w:val="19"/>
        </w:rPr>
        <w:t>+ α</w:t>
      </w:r>
      <w:r>
        <w:rPr>
          <w:rFonts w:ascii="Arial" w:hAnsi="Arial"/>
          <w:w w:val="110"/>
          <w:position w:val="-2"/>
          <w:sz w:val="13"/>
        </w:rPr>
        <w:t>1 </w:t>
      </w:r>
      <w:r>
        <w:rPr>
          <w:rFonts w:ascii="Arial" w:hAnsi="Arial"/>
          <w:w w:val="110"/>
          <w:sz w:val="19"/>
        </w:rPr>
        <w:t>ẏ</w:t>
      </w:r>
      <w:r>
        <w:rPr>
          <w:rFonts w:ascii="Arial" w:hAnsi="Arial"/>
          <w:w w:val="110"/>
          <w:position w:val="-2"/>
          <w:sz w:val="13"/>
        </w:rPr>
        <w:t>35 </w:t>
      </w:r>
      <w:r>
        <w:rPr>
          <w:rFonts w:ascii="Arial" w:hAnsi="Arial"/>
          <w:w w:val="110"/>
          <w:sz w:val="19"/>
        </w:rPr>
        <w:t>+ α</w:t>
      </w:r>
      <w:r>
        <w:rPr>
          <w:rFonts w:ascii="Arial" w:hAnsi="Arial"/>
          <w:w w:val="110"/>
          <w:position w:val="-2"/>
          <w:sz w:val="13"/>
        </w:rPr>
        <w:t>2 </w:t>
      </w:r>
      <w:r>
        <w:rPr>
          <w:rFonts w:ascii="Arial" w:hAnsi="Arial"/>
          <w:w w:val="110"/>
          <w:sz w:val="19"/>
        </w:rPr>
        <w:t>ẏ</w:t>
      </w:r>
      <w:r>
        <w:rPr>
          <w:rFonts w:ascii="Arial" w:hAnsi="Arial"/>
          <w:w w:val="110"/>
          <w:position w:val="-2"/>
          <w:sz w:val="13"/>
        </w:rPr>
        <w:t>38 </w:t>
      </w:r>
      <w:r>
        <w:rPr>
          <w:rFonts w:ascii="Arial" w:hAnsi="Arial"/>
          <w:w w:val="110"/>
          <w:sz w:val="19"/>
        </w:rPr>
        <w:t>+ </w:t>
      </w:r>
      <w:r>
        <w:rPr>
          <w:rFonts w:ascii="Arial" w:hAnsi="Arial"/>
          <w:i/>
          <w:w w:val="110"/>
          <w:sz w:val="19"/>
        </w:rPr>
        <w:t>v</w:t>
      </w:r>
      <w:r>
        <w:rPr>
          <w:rFonts w:ascii="Arial" w:hAnsi="Arial"/>
          <w:w w:val="110"/>
          <w:position w:val="-2"/>
          <w:sz w:val="13"/>
        </w:rPr>
        <w:t>it</w:t>
      </w:r>
    </w:p>
    <w:p>
      <w:pPr>
        <w:pStyle w:val="BodyText"/>
        <w:spacing w:before="6"/>
        <w:rPr>
          <w:rFonts w:ascii="Arial"/>
          <w:sz w:val="17"/>
        </w:rPr>
      </w:pPr>
    </w:p>
    <w:tbl>
      <w:tblPr>
        <w:tblW w:w="0" w:type="auto"/>
        <w:jc w:val="left"/>
        <w:tblInd w:w="810"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951"/>
        <w:gridCol w:w="733"/>
        <w:gridCol w:w="856"/>
        <w:gridCol w:w="858"/>
        <w:gridCol w:w="733"/>
        <w:gridCol w:w="858"/>
        <w:gridCol w:w="856"/>
        <w:gridCol w:w="734"/>
        <w:gridCol w:w="858"/>
        <w:gridCol w:w="733"/>
      </w:tblGrid>
      <w:tr>
        <w:trPr>
          <w:trHeight w:val="460" w:hRule="exact"/>
        </w:trPr>
        <w:tc>
          <w:tcPr>
            <w:tcW w:w="951" w:type="dxa"/>
            <w:tcBorders>
              <w:left w:val="single" w:sz="3" w:space="0" w:color="000000"/>
              <w:right w:val="single" w:sz="3" w:space="0" w:color="000000"/>
            </w:tcBorders>
          </w:tcPr>
          <w:p>
            <w:pPr/>
          </w:p>
        </w:tc>
        <w:tc>
          <w:tcPr>
            <w:tcW w:w="2448" w:type="dxa"/>
            <w:gridSpan w:val="3"/>
            <w:tcBorders>
              <w:left w:val="single" w:sz="3" w:space="0" w:color="000000"/>
              <w:right w:val="single" w:sz="3" w:space="0" w:color="000000"/>
            </w:tcBorders>
          </w:tcPr>
          <w:p>
            <w:pPr>
              <w:pStyle w:val="TableParagraph"/>
              <w:spacing w:before="9"/>
              <w:jc w:val="left"/>
              <w:rPr>
                <w:sz w:val="12"/>
              </w:rPr>
            </w:pPr>
          </w:p>
          <w:p>
            <w:pPr>
              <w:pStyle w:val="TableParagraph"/>
              <w:ind w:left="368"/>
              <w:jc w:val="left"/>
              <w:rPr>
                <w:b/>
                <w:sz w:val="13"/>
              </w:rPr>
            </w:pPr>
            <w:r>
              <w:rPr>
                <w:b/>
                <w:w w:val="105"/>
                <w:sz w:val="13"/>
              </w:rPr>
              <w:t>REGIÓN TOLUCA-LERMA</w:t>
            </w:r>
          </w:p>
        </w:tc>
        <w:tc>
          <w:tcPr>
            <w:tcW w:w="2448" w:type="dxa"/>
            <w:gridSpan w:val="3"/>
            <w:tcBorders>
              <w:left w:val="single" w:sz="3" w:space="0" w:color="000000"/>
              <w:right w:val="single" w:sz="3" w:space="0" w:color="000000"/>
            </w:tcBorders>
          </w:tcPr>
          <w:p>
            <w:pPr>
              <w:pStyle w:val="TableParagraph"/>
              <w:spacing w:before="9"/>
              <w:jc w:val="left"/>
              <w:rPr>
                <w:sz w:val="12"/>
              </w:rPr>
            </w:pPr>
          </w:p>
          <w:p>
            <w:pPr>
              <w:pStyle w:val="TableParagraph"/>
              <w:ind w:left="294"/>
              <w:jc w:val="left"/>
              <w:rPr>
                <w:b/>
                <w:sz w:val="13"/>
              </w:rPr>
            </w:pPr>
            <w:r>
              <w:rPr>
                <w:b/>
                <w:w w:val="105"/>
                <w:sz w:val="13"/>
              </w:rPr>
              <w:t>REGIÓN VALLE DE MÉXICO</w:t>
            </w:r>
          </w:p>
        </w:tc>
        <w:tc>
          <w:tcPr>
            <w:tcW w:w="2325" w:type="dxa"/>
            <w:gridSpan w:val="3"/>
            <w:tcBorders>
              <w:left w:val="single" w:sz="3" w:space="0" w:color="000000"/>
              <w:right w:val="single" w:sz="3" w:space="0" w:color="000000"/>
            </w:tcBorders>
          </w:tcPr>
          <w:p>
            <w:pPr>
              <w:pStyle w:val="TableParagraph"/>
              <w:spacing w:before="9"/>
              <w:jc w:val="left"/>
              <w:rPr>
                <w:sz w:val="12"/>
              </w:rPr>
            </w:pPr>
          </w:p>
          <w:p>
            <w:pPr>
              <w:pStyle w:val="TableParagraph"/>
              <w:ind w:left="520"/>
              <w:jc w:val="left"/>
              <w:rPr>
                <w:b/>
                <w:sz w:val="13"/>
              </w:rPr>
            </w:pPr>
            <w:r>
              <w:rPr>
                <w:b/>
                <w:w w:val="105"/>
                <w:sz w:val="13"/>
              </w:rPr>
              <w:t>AMBAS REGIONES</w:t>
            </w:r>
          </w:p>
        </w:tc>
      </w:tr>
      <w:tr>
        <w:trPr>
          <w:trHeight w:val="432" w:hRule="exact"/>
        </w:trPr>
        <w:tc>
          <w:tcPr>
            <w:tcW w:w="951" w:type="dxa"/>
            <w:tcBorders>
              <w:left w:val="single" w:sz="3" w:space="0" w:color="000000"/>
              <w:right w:val="single" w:sz="3" w:space="0" w:color="000000"/>
            </w:tcBorders>
          </w:tcPr>
          <w:p>
            <w:pPr>
              <w:pStyle w:val="TableParagraph"/>
              <w:spacing w:before="12"/>
              <w:ind w:left="412"/>
              <w:jc w:val="left"/>
              <w:rPr>
                <w:rFonts w:ascii="Cambria Math" w:hAnsi="Cambria Math"/>
                <w:sz w:val="19"/>
              </w:rPr>
            </w:pPr>
            <w:r>
              <w:rPr>
                <w:rFonts w:ascii="Cambria Math" w:hAnsi="Cambria Math"/>
                <w:w w:val="109"/>
                <w:sz w:val="19"/>
              </w:rPr>
              <w:t>Ṗ</w:t>
            </w:r>
          </w:p>
        </w:tc>
        <w:tc>
          <w:tcPr>
            <w:tcW w:w="733" w:type="dxa"/>
            <w:tcBorders>
              <w:left w:val="single" w:sz="3" w:space="0" w:color="000000"/>
              <w:right w:val="single" w:sz="3" w:space="0" w:color="000000"/>
            </w:tcBorders>
          </w:tcPr>
          <w:p>
            <w:pPr>
              <w:pStyle w:val="TableParagraph"/>
              <w:spacing w:before="2"/>
              <w:jc w:val="left"/>
              <w:rPr>
                <w:sz w:val="13"/>
              </w:rPr>
            </w:pPr>
          </w:p>
          <w:p>
            <w:pPr>
              <w:pStyle w:val="TableParagraph"/>
              <w:ind w:left="140"/>
              <w:jc w:val="left"/>
              <w:rPr>
                <w:b/>
                <w:sz w:val="10"/>
              </w:rPr>
            </w:pPr>
            <w:r>
              <w:rPr>
                <w:b/>
                <w:w w:val="105"/>
                <w:sz w:val="10"/>
              </w:rPr>
              <w:t>POOLED</w:t>
            </w:r>
          </w:p>
        </w:tc>
        <w:tc>
          <w:tcPr>
            <w:tcW w:w="856" w:type="dxa"/>
            <w:tcBorders>
              <w:left w:val="single" w:sz="3" w:space="0" w:color="000000"/>
              <w:right w:val="single" w:sz="3" w:space="0" w:color="000000"/>
            </w:tcBorders>
          </w:tcPr>
          <w:p>
            <w:pPr>
              <w:pStyle w:val="TableParagraph"/>
              <w:spacing w:before="2"/>
              <w:jc w:val="left"/>
              <w:rPr>
                <w:sz w:val="8"/>
              </w:rPr>
            </w:pPr>
          </w:p>
          <w:p>
            <w:pPr>
              <w:pStyle w:val="TableParagraph"/>
              <w:ind w:left="186" w:firstLine="4"/>
              <w:jc w:val="left"/>
              <w:rPr>
                <w:b/>
                <w:sz w:val="10"/>
              </w:rPr>
            </w:pPr>
            <w:r>
              <w:rPr>
                <w:b/>
                <w:sz w:val="10"/>
              </w:rPr>
              <w:t>RANDOM EFFECTS</w:t>
            </w:r>
          </w:p>
        </w:tc>
        <w:tc>
          <w:tcPr>
            <w:tcW w:w="858" w:type="dxa"/>
            <w:tcBorders>
              <w:left w:val="single" w:sz="3" w:space="0" w:color="000000"/>
              <w:right w:val="single" w:sz="3" w:space="0" w:color="000000"/>
            </w:tcBorders>
          </w:tcPr>
          <w:p>
            <w:pPr>
              <w:pStyle w:val="TableParagraph"/>
              <w:spacing w:before="2"/>
              <w:jc w:val="left"/>
              <w:rPr>
                <w:sz w:val="8"/>
              </w:rPr>
            </w:pPr>
          </w:p>
          <w:p>
            <w:pPr>
              <w:pStyle w:val="TableParagraph"/>
              <w:ind w:left="188" w:firstLine="84"/>
              <w:jc w:val="left"/>
              <w:rPr>
                <w:b/>
                <w:sz w:val="10"/>
              </w:rPr>
            </w:pPr>
            <w:r>
              <w:rPr>
                <w:b/>
                <w:w w:val="105"/>
                <w:sz w:val="10"/>
              </w:rPr>
              <w:t>FIXED </w:t>
            </w:r>
            <w:r>
              <w:rPr>
                <w:b/>
                <w:sz w:val="10"/>
              </w:rPr>
              <w:t>EFFECTS</w:t>
            </w:r>
          </w:p>
        </w:tc>
        <w:tc>
          <w:tcPr>
            <w:tcW w:w="733" w:type="dxa"/>
            <w:tcBorders>
              <w:left w:val="single" w:sz="3" w:space="0" w:color="000000"/>
              <w:right w:val="single" w:sz="3" w:space="0" w:color="000000"/>
            </w:tcBorders>
          </w:tcPr>
          <w:p>
            <w:pPr>
              <w:pStyle w:val="TableParagraph"/>
              <w:spacing w:before="2"/>
              <w:jc w:val="left"/>
              <w:rPr>
                <w:sz w:val="13"/>
              </w:rPr>
            </w:pPr>
          </w:p>
          <w:p>
            <w:pPr>
              <w:pStyle w:val="TableParagraph"/>
              <w:ind w:left="142"/>
              <w:jc w:val="left"/>
              <w:rPr>
                <w:b/>
                <w:sz w:val="10"/>
              </w:rPr>
            </w:pPr>
            <w:r>
              <w:rPr>
                <w:b/>
                <w:w w:val="105"/>
                <w:sz w:val="10"/>
              </w:rPr>
              <w:t>POOLED</w:t>
            </w:r>
          </w:p>
        </w:tc>
        <w:tc>
          <w:tcPr>
            <w:tcW w:w="858" w:type="dxa"/>
            <w:tcBorders>
              <w:left w:val="single" w:sz="3" w:space="0" w:color="000000"/>
              <w:right w:val="single" w:sz="3" w:space="0" w:color="000000"/>
            </w:tcBorders>
          </w:tcPr>
          <w:p>
            <w:pPr>
              <w:pStyle w:val="TableParagraph"/>
              <w:spacing w:before="2"/>
              <w:jc w:val="left"/>
              <w:rPr>
                <w:sz w:val="8"/>
              </w:rPr>
            </w:pPr>
          </w:p>
          <w:p>
            <w:pPr>
              <w:pStyle w:val="TableParagraph"/>
              <w:ind w:left="186" w:firstLine="4"/>
              <w:jc w:val="left"/>
              <w:rPr>
                <w:b/>
                <w:sz w:val="10"/>
              </w:rPr>
            </w:pPr>
            <w:r>
              <w:rPr>
                <w:b/>
                <w:sz w:val="10"/>
              </w:rPr>
              <w:t>RANDOM EFFECTS</w:t>
            </w:r>
          </w:p>
        </w:tc>
        <w:tc>
          <w:tcPr>
            <w:tcW w:w="856" w:type="dxa"/>
            <w:tcBorders>
              <w:left w:val="single" w:sz="3" w:space="0" w:color="000000"/>
              <w:right w:val="single" w:sz="3" w:space="0" w:color="000000"/>
            </w:tcBorders>
          </w:tcPr>
          <w:p>
            <w:pPr>
              <w:pStyle w:val="TableParagraph"/>
              <w:spacing w:before="2"/>
              <w:jc w:val="left"/>
              <w:rPr>
                <w:sz w:val="8"/>
              </w:rPr>
            </w:pPr>
          </w:p>
          <w:p>
            <w:pPr>
              <w:pStyle w:val="TableParagraph"/>
              <w:ind w:left="186" w:right="185" w:firstLine="84"/>
              <w:jc w:val="left"/>
              <w:rPr>
                <w:b/>
                <w:sz w:val="10"/>
              </w:rPr>
            </w:pPr>
            <w:r>
              <w:rPr>
                <w:b/>
                <w:w w:val="105"/>
                <w:sz w:val="10"/>
              </w:rPr>
              <w:t>FIXED </w:t>
            </w:r>
            <w:r>
              <w:rPr>
                <w:b/>
                <w:sz w:val="10"/>
              </w:rPr>
              <w:t>EFFECTS</w:t>
            </w:r>
          </w:p>
        </w:tc>
        <w:tc>
          <w:tcPr>
            <w:tcW w:w="734" w:type="dxa"/>
            <w:tcBorders>
              <w:left w:val="single" w:sz="3" w:space="0" w:color="000000"/>
              <w:right w:val="single" w:sz="3" w:space="0" w:color="000000"/>
            </w:tcBorders>
          </w:tcPr>
          <w:p>
            <w:pPr>
              <w:pStyle w:val="TableParagraph"/>
              <w:spacing w:before="2"/>
              <w:jc w:val="left"/>
              <w:rPr>
                <w:sz w:val="13"/>
              </w:rPr>
            </w:pPr>
          </w:p>
          <w:p>
            <w:pPr>
              <w:pStyle w:val="TableParagraph"/>
              <w:ind w:right="143"/>
              <w:rPr>
                <w:b/>
                <w:sz w:val="10"/>
              </w:rPr>
            </w:pPr>
            <w:r>
              <w:rPr>
                <w:b/>
                <w:sz w:val="10"/>
              </w:rPr>
              <w:t>POOLED</w:t>
            </w:r>
          </w:p>
        </w:tc>
        <w:tc>
          <w:tcPr>
            <w:tcW w:w="858" w:type="dxa"/>
            <w:tcBorders>
              <w:left w:val="single" w:sz="3" w:space="0" w:color="000000"/>
              <w:right w:val="single" w:sz="3" w:space="0" w:color="000000"/>
            </w:tcBorders>
          </w:tcPr>
          <w:p>
            <w:pPr>
              <w:pStyle w:val="TableParagraph"/>
              <w:spacing w:before="2"/>
              <w:jc w:val="left"/>
              <w:rPr>
                <w:sz w:val="8"/>
              </w:rPr>
            </w:pPr>
          </w:p>
          <w:p>
            <w:pPr>
              <w:pStyle w:val="TableParagraph"/>
              <w:ind w:left="186" w:firstLine="4"/>
              <w:jc w:val="left"/>
              <w:rPr>
                <w:b/>
                <w:sz w:val="10"/>
              </w:rPr>
            </w:pPr>
            <w:r>
              <w:rPr>
                <w:b/>
                <w:sz w:val="10"/>
              </w:rPr>
              <w:t>RANDOM EFFECTS</w:t>
            </w:r>
          </w:p>
        </w:tc>
        <w:tc>
          <w:tcPr>
            <w:tcW w:w="733" w:type="dxa"/>
            <w:tcBorders>
              <w:left w:val="single" w:sz="3" w:space="0" w:color="000000"/>
              <w:right w:val="single" w:sz="3" w:space="0" w:color="000000"/>
            </w:tcBorders>
          </w:tcPr>
          <w:p>
            <w:pPr>
              <w:pStyle w:val="TableParagraph"/>
              <w:spacing w:before="2"/>
              <w:jc w:val="left"/>
              <w:rPr>
                <w:sz w:val="8"/>
              </w:rPr>
            </w:pPr>
          </w:p>
          <w:p>
            <w:pPr>
              <w:pStyle w:val="TableParagraph"/>
              <w:ind w:left="124" w:right="125" w:firstLine="84"/>
              <w:jc w:val="left"/>
              <w:rPr>
                <w:b/>
                <w:sz w:val="10"/>
              </w:rPr>
            </w:pPr>
            <w:r>
              <w:rPr>
                <w:b/>
                <w:w w:val="105"/>
                <w:sz w:val="10"/>
              </w:rPr>
              <w:t>FIXED </w:t>
            </w:r>
            <w:r>
              <w:rPr>
                <w:b/>
                <w:sz w:val="10"/>
              </w:rPr>
              <w:t>EFFECTS</w:t>
            </w:r>
          </w:p>
        </w:tc>
      </w:tr>
      <w:tr>
        <w:trPr>
          <w:trHeight w:val="169" w:hRule="exact"/>
        </w:trPr>
        <w:tc>
          <w:tcPr>
            <w:tcW w:w="951" w:type="dxa"/>
            <w:vMerge w:val="restart"/>
            <w:tcBorders>
              <w:left w:val="single" w:sz="3" w:space="0" w:color="000000"/>
              <w:right w:val="single" w:sz="3" w:space="0" w:color="000000"/>
            </w:tcBorders>
          </w:tcPr>
          <w:p>
            <w:pPr>
              <w:pStyle w:val="TableParagraph"/>
              <w:spacing w:before="7"/>
              <w:jc w:val="left"/>
              <w:rPr>
                <w:sz w:val="19"/>
              </w:rPr>
            </w:pPr>
          </w:p>
          <w:p>
            <w:pPr>
              <w:pStyle w:val="TableParagraph"/>
              <w:ind w:left="311" w:right="313"/>
              <w:jc w:val="center"/>
              <w:rPr>
                <w:b/>
                <w:sz w:val="13"/>
              </w:rPr>
            </w:pPr>
            <w:r>
              <w:rPr>
                <w:b/>
                <w:w w:val="110"/>
                <w:position w:val="3"/>
                <w:sz w:val="19"/>
              </w:rPr>
              <w:t>ẏ</w:t>
            </w:r>
            <w:r>
              <w:rPr>
                <w:b/>
                <w:w w:val="110"/>
                <w:sz w:val="13"/>
              </w:rPr>
              <w:t>35</w:t>
            </w:r>
          </w:p>
        </w:tc>
        <w:tc>
          <w:tcPr>
            <w:tcW w:w="733" w:type="dxa"/>
            <w:tcBorders>
              <w:left w:val="single" w:sz="3" w:space="0" w:color="000000"/>
              <w:right w:val="single" w:sz="3" w:space="0" w:color="000000"/>
            </w:tcBorders>
          </w:tcPr>
          <w:p>
            <w:pPr>
              <w:pStyle w:val="TableParagraph"/>
              <w:spacing w:before="2"/>
              <w:ind w:right="87"/>
              <w:rPr>
                <w:rFonts w:ascii="Calibri"/>
                <w:sz w:val="13"/>
              </w:rPr>
            </w:pPr>
            <w:r>
              <w:rPr>
                <w:rFonts w:ascii="Calibri"/>
                <w:w w:val="105"/>
                <w:sz w:val="13"/>
              </w:rPr>
              <w:t>-0.069</w:t>
            </w:r>
          </w:p>
        </w:tc>
        <w:tc>
          <w:tcPr>
            <w:tcW w:w="856"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-0.069</w:t>
            </w:r>
          </w:p>
        </w:tc>
        <w:tc>
          <w:tcPr>
            <w:tcW w:w="858"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-0.064</w:t>
            </w:r>
          </w:p>
        </w:tc>
        <w:tc>
          <w:tcPr>
            <w:tcW w:w="733"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0.155</w:t>
            </w:r>
          </w:p>
        </w:tc>
        <w:tc>
          <w:tcPr>
            <w:tcW w:w="858" w:type="dxa"/>
            <w:tcBorders>
              <w:left w:val="single" w:sz="3" w:space="0" w:color="000000"/>
              <w:right w:val="single" w:sz="3" w:space="0" w:color="000000"/>
            </w:tcBorders>
          </w:tcPr>
          <w:p>
            <w:pPr>
              <w:pStyle w:val="TableParagraph"/>
              <w:spacing w:before="2"/>
              <w:ind w:right="87"/>
              <w:rPr>
                <w:rFonts w:ascii="Calibri"/>
                <w:sz w:val="13"/>
              </w:rPr>
            </w:pPr>
            <w:r>
              <w:rPr>
                <w:rFonts w:ascii="Calibri"/>
                <w:w w:val="105"/>
                <w:sz w:val="13"/>
              </w:rPr>
              <w:t>0.155</w:t>
            </w:r>
          </w:p>
        </w:tc>
        <w:tc>
          <w:tcPr>
            <w:tcW w:w="856"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0.150</w:t>
            </w:r>
          </w:p>
        </w:tc>
        <w:tc>
          <w:tcPr>
            <w:tcW w:w="734"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0.000</w:t>
            </w:r>
          </w:p>
        </w:tc>
        <w:tc>
          <w:tcPr>
            <w:tcW w:w="858" w:type="dxa"/>
            <w:tcBorders>
              <w:left w:val="single" w:sz="3" w:space="0" w:color="000000"/>
              <w:right w:val="single" w:sz="3" w:space="0" w:color="000000"/>
            </w:tcBorders>
          </w:tcPr>
          <w:p>
            <w:pPr>
              <w:pStyle w:val="TableParagraph"/>
              <w:spacing w:before="2"/>
              <w:ind w:right="87"/>
              <w:rPr>
                <w:rFonts w:ascii="Calibri"/>
                <w:sz w:val="13"/>
              </w:rPr>
            </w:pPr>
            <w:r>
              <w:rPr>
                <w:rFonts w:ascii="Calibri"/>
                <w:w w:val="105"/>
                <w:sz w:val="13"/>
              </w:rPr>
              <w:t>0.000</w:t>
            </w:r>
          </w:p>
        </w:tc>
        <w:tc>
          <w:tcPr>
            <w:tcW w:w="733"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-0.001</w:t>
            </w:r>
          </w:p>
        </w:tc>
      </w:tr>
      <w:tr>
        <w:trPr>
          <w:trHeight w:val="169" w:hRule="exact"/>
        </w:trPr>
        <w:tc>
          <w:tcPr>
            <w:tcW w:w="951" w:type="dxa"/>
            <w:vMerge/>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ind w:right="86"/>
              <w:rPr>
                <w:rFonts w:ascii="Calibri"/>
                <w:sz w:val="13"/>
              </w:rPr>
            </w:pPr>
            <w:r>
              <w:rPr>
                <w:rFonts w:ascii="Calibri"/>
                <w:w w:val="105"/>
                <w:sz w:val="13"/>
              </w:rPr>
              <w:t>(0.075)</w:t>
            </w:r>
          </w:p>
        </w:tc>
        <w:tc>
          <w:tcPr>
            <w:tcW w:w="856"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(0.075)</w:t>
            </w:r>
          </w:p>
        </w:tc>
        <w:tc>
          <w:tcPr>
            <w:tcW w:w="858"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(0.082)</w:t>
            </w:r>
          </w:p>
        </w:tc>
        <w:tc>
          <w:tcPr>
            <w:tcW w:w="733"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(0.088)</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(0.088)</w:t>
            </w:r>
          </w:p>
        </w:tc>
        <w:tc>
          <w:tcPr>
            <w:tcW w:w="856"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(0.094)</w:t>
            </w:r>
          </w:p>
        </w:tc>
        <w:tc>
          <w:tcPr>
            <w:tcW w:w="734"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(0.052)</w:t>
            </w:r>
          </w:p>
        </w:tc>
        <w:tc>
          <w:tcPr>
            <w:tcW w:w="858" w:type="dxa"/>
            <w:tcBorders>
              <w:left w:val="single" w:sz="3" w:space="0" w:color="000000"/>
              <w:right w:val="single" w:sz="3" w:space="0" w:color="000000"/>
            </w:tcBorders>
          </w:tcPr>
          <w:p>
            <w:pPr>
              <w:pStyle w:val="TableParagraph"/>
              <w:ind w:right="86"/>
              <w:rPr>
                <w:rFonts w:ascii="Calibri"/>
                <w:sz w:val="13"/>
              </w:rPr>
            </w:pPr>
            <w:r>
              <w:rPr>
                <w:rFonts w:ascii="Calibri"/>
                <w:w w:val="105"/>
                <w:sz w:val="13"/>
              </w:rPr>
              <w:t>(0.052)</w:t>
            </w:r>
          </w:p>
        </w:tc>
        <w:tc>
          <w:tcPr>
            <w:tcW w:w="733"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(0.057)</w:t>
            </w:r>
          </w:p>
        </w:tc>
      </w:tr>
      <w:tr>
        <w:trPr>
          <w:trHeight w:val="167" w:hRule="exact"/>
        </w:trPr>
        <w:tc>
          <w:tcPr>
            <w:tcW w:w="951" w:type="dxa"/>
            <w:vMerge/>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t=-0.91</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z=-0.91</w:t>
            </w:r>
          </w:p>
        </w:tc>
        <w:tc>
          <w:tcPr>
            <w:tcW w:w="858"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t=-0.78</w:t>
            </w:r>
          </w:p>
        </w:tc>
        <w:tc>
          <w:tcPr>
            <w:tcW w:w="733"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t=1.75</w:t>
            </w:r>
          </w:p>
        </w:tc>
        <w:tc>
          <w:tcPr>
            <w:tcW w:w="858" w:type="dxa"/>
            <w:tcBorders>
              <w:left w:val="single" w:sz="3" w:space="0" w:color="000000"/>
              <w:right w:val="single" w:sz="3" w:space="0" w:color="000000"/>
            </w:tcBorders>
          </w:tcPr>
          <w:p>
            <w:pPr>
              <w:pStyle w:val="TableParagraph"/>
              <w:ind w:right="89"/>
              <w:rPr>
                <w:rFonts w:ascii="Calibri"/>
                <w:sz w:val="13"/>
              </w:rPr>
            </w:pPr>
            <w:r>
              <w:rPr>
                <w:rFonts w:ascii="Calibri"/>
                <w:w w:val="105"/>
                <w:sz w:val="13"/>
              </w:rPr>
              <w:t>z=1.75</w:t>
            </w:r>
          </w:p>
        </w:tc>
        <w:tc>
          <w:tcPr>
            <w:tcW w:w="856"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t=1.60</w:t>
            </w:r>
          </w:p>
        </w:tc>
        <w:tc>
          <w:tcPr>
            <w:tcW w:w="734"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t=0.01</w:t>
            </w:r>
          </w:p>
        </w:tc>
        <w:tc>
          <w:tcPr>
            <w:tcW w:w="858" w:type="dxa"/>
            <w:tcBorders>
              <w:left w:val="single" w:sz="3" w:space="0" w:color="000000"/>
              <w:right w:val="single" w:sz="3" w:space="0" w:color="000000"/>
            </w:tcBorders>
          </w:tcPr>
          <w:p>
            <w:pPr>
              <w:pStyle w:val="TableParagraph"/>
              <w:ind w:right="89"/>
              <w:rPr>
                <w:rFonts w:ascii="Calibri"/>
                <w:sz w:val="13"/>
              </w:rPr>
            </w:pPr>
            <w:r>
              <w:rPr>
                <w:rFonts w:ascii="Calibri"/>
                <w:w w:val="105"/>
                <w:sz w:val="13"/>
              </w:rPr>
              <w:t>z=0.01</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t=-0.03</w:t>
            </w:r>
          </w:p>
        </w:tc>
      </w:tr>
      <w:tr>
        <w:trPr>
          <w:trHeight w:val="169" w:hRule="exact"/>
        </w:trPr>
        <w:tc>
          <w:tcPr>
            <w:tcW w:w="951" w:type="dxa"/>
            <w:vMerge/>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p= 0.370</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p=0.362</w:t>
            </w:r>
          </w:p>
        </w:tc>
        <w:tc>
          <w:tcPr>
            <w:tcW w:w="858"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p=0.442</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p=0.085</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p=0.085</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p=0.116</w:t>
            </w:r>
          </w:p>
        </w:tc>
        <w:tc>
          <w:tcPr>
            <w:tcW w:w="734"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p=0.994</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p=0.994</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p=0.976</w:t>
            </w:r>
          </w:p>
        </w:tc>
      </w:tr>
      <w:tr>
        <w:trPr>
          <w:trHeight w:val="167" w:hRule="exact"/>
        </w:trPr>
        <w:tc>
          <w:tcPr>
            <w:tcW w:w="951" w:type="dxa"/>
            <w:vMerge w:val="restart"/>
            <w:tcBorders>
              <w:left w:val="single" w:sz="3" w:space="0" w:color="000000"/>
              <w:right w:val="single" w:sz="3" w:space="0" w:color="000000"/>
            </w:tcBorders>
          </w:tcPr>
          <w:p>
            <w:pPr>
              <w:pStyle w:val="TableParagraph"/>
              <w:spacing w:before="5"/>
              <w:jc w:val="left"/>
              <w:rPr>
                <w:sz w:val="19"/>
              </w:rPr>
            </w:pPr>
          </w:p>
          <w:p>
            <w:pPr>
              <w:pStyle w:val="TableParagraph"/>
              <w:ind w:left="312" w:right="312"/>
              <w:jc w:val="center"/>
              <w:rPr>
                <w:b/>
                <w:sz w:val="13"/>
              </w:rPr>
            </w:pPr>
            <w:r>
              <w:rPr>
                <w:b/>
                <w:w w:val="110"/>
                <w:position w:val="3"/>
                <w:sz w:val="19"/>
              </w:rPr>
              <w:t>ẏ</w:t>
            </w:r>
            <w:r>
              <w:rPr>
                <w:b/>
                <w:w w:val="110"/>
                <w:sz w:val="13"/>
              </w:rPr>
              <w:t>38</w:t>
            </w:r>
          </w:p>
        </w:tc>
        <w:tc>
          <w:tcPr>
            <w:tcW w:w="733"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0.022</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0.022</w:t>
            </w:r>
          </w:p>
        </w:tc>
        <w:tc>
          <w:tcPr>
            <w:tcW w:w="858"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0.019</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-0.079</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-0.079</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-0.094</w:t>
            </w:r>
          </w:p>
        </w:tc>
        <w:tc>
          <w:tcPr>
            <w:tcW w:w="734"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-0.033</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-0.033</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-0.044</w:t>
            </w:r>
          </w:p>
        </w:tc>
      </w:tr>
      <w:tr>
        <w:trPr>
          <w:trHeight w:val="169" w:hRule="exact"/>
        </w:trPr>
        <w:tc>
          <w:tcPr>
            <w:tcW w:w="951" w:type="dxa"/>
            <w:vMerge/>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ind w:right="86"/>
              <w:rPr>
                <w:rFonts w:ascii="Calibri"/>
                <w:sz w:val="13"/>
              </w:rPr>
            </w:pPr>
            <w:r>
              <w:rPr>
                <w:rFonts w:ascii="Calibri"/>
                <w:w w:val="105"/>
                <w:sz w:val="13"/>
              </w:rPr>
              <w:t>(0.057)</w:t>
            </w:r>
          </w:p>
        </w:tc>
        <w:tc>
          <w:tcPr>
            <w:tcW w:w="856"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(0.057)</w:t>
            </w:r>
          </w:p>
        </w:tc>
        <w:tc>
          <w:tcPr>
            <w:tcW w:w="858"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(0.061)</w:t>
            </w:r>
          </w:p>
        </w:tc>
        <w:tc>
          <w:tcPr>
            <w:tcW w:w="733"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(0.034)</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(0.034)</w:t>
            </w:r>
          </w:p>
        </w:tc>
        <w:tc>
          <w:tcPr>
            <w:tcW w:w="856"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(0.036)</w:t>
            </w:r>
          </w:p>
        </w:tc>
        <w:tc>
          <w:tcPr>
            <w:tcW w:w="734"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(0.030)</w:t>
            </w:r>
          </w:p>
        </w:tc>
        <w:tc>
          <w:tcPr>
            <w:tcW w:w="858" w:type="dxa"/>
            <w:tcBorders>
              <w:left w:val="single" w:sz="3" w:space="0" w:color="000000"/>
              <w:right w:val="single" w:sz="3" w:space="0" w:color="000000"/>
            </w:tcBorders>
          </w:tcPr>
          <w:p>
            <w:pPr>
              <w:pStyle w:val="TableParagraph"/>
              <w:ind w:right="86"/>
              <w:rPr>
                <w:rFonts w:ascii="Calibri"/>
                <w:sz w:val="13"/>
              </w:rPr>
            </w:pPr>
            <w:r>
              <w:rPr>
                <w:rFonts w:ascii="Calibri"/>
                <w:w w:val="105"/>
                <w:sz w:val="13"/>
              </w:rPr>
              <w:t>(0.030)</w:t>
            </w:r>
          </w:p>
        </w:tc>
        <w:tc>
          <w:tcPr>
            <w:tcW w:w="733" w:type="dxa"/>
            <w:tcBorders>
              <w:left w:val="single" w:sz="3" w:space="0" w:color="000000"/>
              <w:right w:val="single" w:sz="3" w:space="0" w:color="000000"/>
            </w:tcBorders>
          </w:tcPr>
          <w:p>
            <w:pPr>
              <w:pStyle w:val="TableParagraph"/>
              <w:ind w:right="84"/>
              <w:rPr>
                <w:rFonts w:ascii="Calibri"/>
                <w:sz w:val="13"/>
              </w:rPr>
            </w:pPr>
            <w:r>
              <w:rPr>
                <w:rFonts w:ascii="Calibri"/>
                <w:w w:val="105"/>
                <w:sz w:val="13"/>
              </w:rPr>
              <w:t>(0.033)</w:t>
            </w:r>
          </w:p>
        </w:tc>
      </w:tr>
      <w:tr>
        <w:trPr>
          <w:trHeight w:val="167" w:hRule="exact"/>
        </w:trPr>
        <w:tc>
          <w:tcPr>
            <w:tcW w:w="951" w:type="dxa"/>
            <w:vMerge/>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ind w:right="89"/>
              <w:rPr>
                <w:rFonts w:ascii="Calibri"/>
                <w:sz w:val="13"/>
              </w:rPr>
            </w:pPr>
            <w:r>
              <w:rPr>
                <w:rFonts w:ascii="Calibri"/>
                <w:w w:val="105"/>
                <w:sz w:val="13"/>
              </w:rPr>
              <w:t>t= 0.39</w:t>
            </w:r>
          </w:p>
        </w:tc>
        <w:tc>
          <w:tcPr>
            <w:tcW w:w="856"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z=0.39</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t=0.31</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t=-2.32</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z=-2.32</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t=-2.57</w:t>
            </w:r>
          </w:p>
        </w:tc>
        <w:tc>
          <w:tcPr>
            <w:tcW w:w="734"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t=-1.09</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z=-1.09</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t=-1.34</w:t>
            </w:r>
          </w:p>
        </w:tc>
      </w:tr>
      <w:tr>
        <w:trPr>
          <w:trHeight w:val="169" w:hRule="exact"/>
        </w:trPr>
        <w:tc>
          <w:tcPr>
            <w:tcW w:w="951" w:type="dxa"/>
            <w:vMerge/>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p= 0.698</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p=0.698</w:t>
            </w:r>
          </w:p>
        </w:tc>
        <w:tc>
          <w:tcPr>
            <w:tcW w:w="858"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p=0.757</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p=0.023</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p=0.020</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p=0.013</w:t>
            </w:r>
          </w:p>
        </w:tc>
        <w:tc>
          <w:tcPr>
            <w:tcW w:w="734"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p=0.280</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p=0.277</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p=0.184</w:t>
            </w:r>
          </w:p>
        </w:tc>
      </w:tr>
      <w:tr>
        <w:trPr>
          <w:trHeight w:val="167" w:hRule="exact"/>
        </w:trPr>
        <w:tc>
          <w:tcPr>
            <w:tcW w:w="951" w:type="dxa"/>
            <w:vMerge w:val="restart"/>
            <w:tcBorders>
              <w:left w:val="single" w:sz="3" w:space="0" w:color="000000"/>
              <w:right w:val="single" w:sz="3" w:space="0" w:color="000000"/>
            </w:tcBorders>
          </w:tcPr>
          <w:p>
            <w:pPr>
              <w:pStyle w:val="TableParagraph"/>
              <w:spacing w:line="145" w:lineRule="exact"/>
              <w:ind w:left="132"/>
              <w:jc w:val="left"/>
              <w:rPr>
                <w:b/>
                <w:sz w:val="13"/>
              </w:rPr>
            </w:pPr>
            <w:r>
              <w:rPr>
                <w:b/>
                <w:w w:val="105"/>
                <w:sz w:val="13"/>
              </w:rPr>
              <w:t>Constante</w:t>
            </w:r>
          </w:p>
        </w:tc>
        <w:tc>
          <w:tcPr>
            <w:tcW w:w="733"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3.819</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3.819</w:t>
            </w:r>
          </w:p>
        </w:tc>
        <w:tc>
          <w:tcPr>
            <w:tcW w:w="858"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3.819</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0.611</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0.611</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0.706</w:t>
            </w:r>
          </w:p>
        </w:tc>
        <w:tc>
          <w:tcPr>
            <w:tcW w:w="734"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1.880</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1.880</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1.976</w:t>
            </w:r>
          </w:p>
        </w:tc>
      </w:tr>
      <w:tr>
        <w:trPr>
          <w:trHeight w:val="169" w:hRule="exact"/>
        </w:trPr>
        <w:tc>
          <w:tcPr>
            <w:tcW w:w="951" w:type="dxa"/>
            <w:vMerge/>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spacing w:before="2"/>
              <w:ind w:right="86"/>
              <w:rPr>
                <w:rFonts w:ascii="Calibri"/>
                <w:sz w:val="13"/>
              </w:rPr>
            </w:pPr>
            <w:r>
              <w:rPr>
                <w:rFonts w:ascii="Calibri"/>
                <w:w w:val="105"/>
                <w:sz w:val="13"/>
              </w:rPr>
              <w:t>(3.057)</w:t>
            </w:r>
          </w:p>
        </w:tc>
        <w:tc>
          <w:tcPr>
            <w:tcW w:w="856" w:type="dxa"/>
            <w:tcBorders>
              <w:left w:val="single" w:sz="3" w:space="0" w:color="000000"/>
              <w:right w:val="single" w:sz="3" w:space="0" w:color="000000"/>
            </w:tcBorders>
          </w:tcPr>
          <w:p>
            <w:pPr>
              <w:pStyle w:val="TableParagraph"/>
              <w:spacing w:before="2"/>
              <w:ind w:right="84"/>
              <w:rPr>
                <w:rFonts w:ascii="Calibri"/>
                <w:sz w:val="13"/>
              </w:rPr>
            </w:pPr>
            <w:r>
              <w:rPr>
                <w:rFonts w:ascii="Calibri"/>
                <w:w w:val="105"/>
                <w:sz w:val="13"/>
              </w:rPr>
              <w:t>(3.057)</w:t>
            </w:r>
          </w:p>
        </w:tc>
        <w:tc>
          <w:tcPr>
            <w:tcW w:w="858" w:type="dxa"/>
            <w:tcBorders>
              <w:left w:val="single" w:sz="3" w:space="0" w:color="000000"/>
              <w:right w:val="single" w:sz="3" w:space="0" w:color="000000"/>
            </w:tcBorders>
          </w:tcPr>
          <w:p>
            <w:pPr>
              <w:pStyle w:val="TableParagraph"/>
              <w:spacing w:before="2"/>
              <w:ind w:right="84"/>
              <w:rPr>
                <w:rFonts w:ascii="Calibri"/>
                <w:sz w:val="13"/>
              </w:rPr>
            </w:pPr>
            <w:r>
              <w:rPr>
                <w:rFonts w:ascii="Calibri"/>
                <w:w w:val="105"/>
                <w:sz w:val="13"/>
              </w:rPr>
              <w:t>(3.244)</w:t>
            </w:r>
          </w:p>
        </w:tc>
        <w:tc>
          <w:tcPr>
            <w:tcW w:w="733" w:type="dxa"/>
            <w:tcBorders>
              <w:left w:val="single" w:sz="3" w:space="0" w:color="000000"/>
              <w:right w:val="single" w:sz="3" w:space="0" w:color="000000"/>
            </w:tcBorders>
          </w:tcPr>
          <w:p>
            <w:pPr>
              <w:pStyle w:val="TableParagraph"/>
              <w:spacing w:before="2"/>
              <w:ind w:right="84"/>
              <w:rPr>
                <w:rFonts w:ascii="Calibri"/>
                <w:sz w:val="13"/>
              </w:rPr>
            </w:pPr>
            <w:r>
              <w:rPr>
                <w:rFonts w:ascii="Calibri"/>
                <w:w w:val="105"/>
                <w:sz w:val="13"/>
              </w:rPr>
              <w:t>(1.453)</w:t>
            </w:r>
          </w:p>
        </w:tc>
        <w:tc>
          <w:tcPr>
            <w:tcW w:w="858" w:type="dxa"/>
            <w:tcBorders>
              <w:left w:val="single" w:sz="3" w:space="0" w:color="000000"/>
              <w:right w:val="single" w:sz="3" w:space="0" w:color="000000"/>
            </w:tcBorders>
          </w:tcPr>
          <w:p>
            <w:pPr>
              <w:pStyle w:val="TableParagraph"/>
              <w:spacing w:before="2"/>
              <w:ind w:right="87"/>
              <w:rPr>
                <w:rFonts w:ascii="Calibri"/>
                <w:sz w:val="13"/>
              </w:rPr>
            </w:pPr>
            <w:r>
              <w:rPr>
                <w:rFonts w:ascii="Calibri"/>
                <w:w w:val="105"/>
                <w:sz w:val="13"/>
              </w:rPr>
              <w:t>(1.453)</w:t>
            </w:r>
          </w:p>
        </w:tc>
        <w:tc>
          <w:tcPr>
            <w:tcW w:w="856" w:type="dxa"/>
            <w:tcBorders>
              <w:left w:val="single" w:sz="3" w:space="0" w:color="000000"/>
              <w:right w:val="single" w:sz="3" w:space="0" w:color="000000"/>
            </w:tcBorders>
          </w:tcPr>
          <w:p>
            <w:pPr>
              <w:pStyle w:val="TableParagraph"/>
              <w:spacing w:before="2"/>
              <w:ind w:right="84"/>
              <w:rPr>
                <w:rFonts w:ascii="Calibri"/>
                <w:sz w:val="13"/>
              </w:rPr>
            </w:pPr>
            <w:r>
              <w:rPr>
                <w:rFonts w:ascii="Calibri"/>
                <w:w w:val="105"/>
                <w:sz w:val="13"/>
              </w:rPr>
              <w:t>(1.510)</w:t>
            </w:r>
          </w:p>
        </w:tc>
        <w:tc>
          <w:tcPr>
            <w:tcW w:w="734" w:type="dxa"/>
            <w:tcBorders>
              <w:left w:val="single" w:sz="3" w:space="0" w:color="000000"/>
              <w:right w:val="single" w:sz="3" w:space="0" w:color="000000"/>
            </w:tcBorders>
          </w:tcPr>
          <w:p>
            <w:pPr>
              <w:pStyle w:val="TableParagraph"/>
              <w:spacing w:before="2"/>
              <w:ind w:right="84"/>
              <w:rPr>
                <w:rFonts w:ascii="Calibri"/>
                <w:sz w:val="13"/>
              </w:rPr>
            </w:pPr>
            <w:r>
              <w:rPr>
                <w:rFonts w:ascii="Calibri"/>
                <w:w w:val="105"/>
                <w:sz w:val="13"/>
              </w:rPr>
              <w:t>(1.415)</w:t>
            </w:r>
          </w:p>
        </w:tc>
        <w:tc>
          <w:tcPr>
            <w:tcW w:w="858" w:type="dxa"/>
            <w:tcBorders>
              <w:left w:val="single" w:sz="3" w:space="0" w:color="000000"/>
              <w:right w:val="single" w:sz="3" w:space="0" w:color="000000"/>
            </w:tcBorders>
          </w:tcPr>
          <w:p>
            <w:pPr>
              <w:pStyle w:val="TableParagraph"/>
              <w:spacing w:before="2"/>
              <w:ind w:right="86"/>
              <w:rPr>
                <w:rFonts w:ascii="Calibri"/>
                <w:sz w:val="13"/>
              </w:rPr>
            </w:pPr>
            <w:r>
              <w:rPr>
                <w:rFonts w:ascii="Calibri"/>
                <w:w w:val="105"/>
                <w:sz w:val="13"/>
              </w:rPr>
              <w:t>(1.415)</w:t>
            </w:r>
          </w:p>
        </w:tc>
        <w:tc>
          <w:tcPr>
            <w:tcW w:w="733" w:type="dxa"/>
            <w:tcBorders>
              <w:left w:val="single" w:sz="3" w:space="0" w:color="000000"/>
              <w:right w:val="single" w:sz="3" w:space="0" w:color="000000"/>
            </w:tcBorders>
          </w:tcPr>
          <w:p>
            <w:pPr>
              <w:pStyle w:val="TableParagraph"/>
              <w:spacing w:before="2"/>
              <w:ind w:right="84"/>
              <w:rPr>
                <w:rFonts w:ascii="Calibri"/>
                <w:sz w:val="13"/>
              </w:rPr>
            </w:pPr>
            <w:r>
              <w:rPr>
                <w:rFonts w:ascii="Calibri"/>
                <w:w w:val="105"/>
                <w:sz w:val="13"/>
              </w:rPr>
              <w:t>(1.489)</w:t>
            </w:r>
          </w:p>
        </w:tc>
      </w:tr>
      <w:tr>
        <w:trPr>
          <w:trHeight w:val="167" w:hRule="exact"/>
        </w:trPr>
        <w:tc>
          <w:tcPr>
            <w:tcW w:w="951" w:type="dxa"/>
            <w:vMerge/>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ind w:right="89"/>
              <w:rPr>
                <w:rFonts w:ascii="Calibri"/>
                <w:sz w:val="13"/>
              </w:rPr>
            </w:pPr>
            <w:r>
              <w:rPr>
                <w:rFonts w:ascii="Calibri"/>
                <w:w w:val="105"/>
                <w:sz w:val="13"/>
              </w:rPr>
              <w:t>t= 1.25</w:t>
            </w:r>
          </w:p>
        </w:tc>
        <w:tc>
          <w:tcPr>
            <w:tcW w:w="856"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z=1.25</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t=1.18</w:t>
            </w:r>
          </w:p>
        </w:tc>
        <w:tc>
          <w:tcPr>
            <w:tcW w:w="733"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t=0.42</w:t>
            </w:r>
          </w:p>
        </w:tc>
        <w:tc>
          <w:tcPr>
            <w:tcW w:w="858" w:type="dxa"/>
            <w:tcBorders>
              <w:left w:val="single" w:sz="3" w:space="0" w:color="000000"/>
              <w:right w:val="single" w:sz="3" w:space="0" w:color="000000"/>
            </w:tcBorders>
          </w:tcPr>
          <w:p>
            <w:pPr>
              <w:pStyle w:val="TableParagraph"/>
              <w:ind w:right="89"/>
              <w:rPr>
                <w:rFonts w:ascii="Calibri"/>
                <w:sz w:val="13"/>
              </w:rPr>
            </w:pPr>
            <w:r>
              <w:rPr>
                <w:rFonts w:ascii="Calibri"/>
                <w:w w:val="105"/>
                <w:sz w:val="13"/>
              </w:rPr>
              <w:t>z=0.42</w:t>
            </w:r>
          </w:p>
        </w:tc>
        <w:tc>
          <w:tcPr>
            <w:tcW w:w="856"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t=0.47</w:t>
            </w:r>
          </w:p>
        </w:tc>
        <w:tc>
          <w:tcPr>
            <w:tcW w:w="734"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t=1.33</w:t>
            </w:r>
          </w:p>
        </w:tc>
        <w:tc>
          <w:tcPr>
            <w:tcW w:w="858" w:type="dxa"/>
            <w:tcBorders>
              <w:left w:val="single" w:sz="3" w:space="0" w:color="000000"/>
              <w:right w:val="single" w:sz="3" w:space="0" w:color="000000"/>
            </w:tcBorders>
          </w:tcPr>
          <w:p>
            <w:pPr>
              <w:pStyle w:val="TableParagraph"/>
              <w:ind w:right="89"/>
              <w:rPr>
                <w:rFonts w:ascii="Calibri"/>
                <w:sz w:val="13"/>
              </w:rPr>
            </w:pPr>
            <w:r>
              <w:rPr>
                <w:rFonts w:ascii="Calibri"/>
                <w:w w:val="105"/>
                <w:sz w:val="13"/>
              </w:rPr>
              <w:t>z=1.33</w:t>
            </w:r>
          </w:p>
        </w:tc>
        <w:tc>
          <w:tcPr>
            <w:tcW w:w="733"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t=1.33</w:t>
            </w:r>
          </w:p>
        </w:tc>
      </w:tr>
      <w:tr>
        <w:trPr>
          <w:trHeight w:val="169" w:hRule="exact"/>
        </w:trPr>
        <w:tc>
          <w:tcPr>
            <w:tcW w:w="951" w:type="dxa"/>
            <w:vMerge/>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spacing w:before="2"/>
              <w:ind w:right="87"/>
              <w:rPr>
                <w:rFonts w:ascii="Calibri"/>
                <w:sz w:val="13"/>
              </w:rPr>
            </w:pPr>
            <w:r>
              <w:rPr>
                <w:rFonts w:ascii="Calibri"/>
                <w:w w:val="105"/>
                <w:sz w:val="13"/>
              </w:rPr>
              <w:t>P= 0.221</w:t>
            </w:r>
          </w:p>
        </w:tc>
        <w:tc>
          <w:tcPr>
            <w:tcW w:w="856"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p=0.212</w:t>
            </w:r>
          </w:p>
        </w:tc>
        <w:tc>
          <w:tcPr>
            <w:tcW w:w="858"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p=0.250</w:t>
            </w:r>
          </w:p>
        </w:tc>
        <w:tc>
          <w:tcPr>
            <w:tcW w:w="733"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p=0.675</w:t>
            </w:r>
          </w:p>
        </w:tc>
        <w:tc>
          <w:tcPr>
            <w:tcW w:w="858" w:type="dxa"/>
            <w:tcBorders>
              <w:left w:val="single" w:sz="3" w:space="0" w:color="000000"/>
              <w:right w:val="single" w:sz="3" w:space="0" w:color="000000"/>
            </w:tcBorders>
          </w:tcPr>
          <w:p>
            <w:pPr>
              <w:pStyle w:val="TableParagraph"/>
              <w:spacing w:before="2"/>
              <w:ind w:right="87"/>
              <w:rPr>
                <w:rFonts w:ascii="Calibri"/>
                <w:sz w:val="13"/>
              </w:rPr>
            </w:pPr>
            <w:r>
              <w:rPr>
                <w:rFonts w:ascii="Calibri"/>
                <w:w w:val="105"/>
                <w:sz w:val="13"/>
              </w:rPr>
              <w:t>p=0.674</w:t>
            </w:r>
          </w:p>
        </w:tc>
        <w:tc>
          <w:tcPr>
            <w:tcW w:w="856"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p=0.642</w:t>
            </w:r>
          </w:p>
        </w:tc>
        <w:tc>
          <w:tcPr>
            <w:tcW w:w="734"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p=0.187</w:t>
            </w:r>
          </w:p>
        </w:tc>
        <w:tc>
          <w:tcPr>
            <w:tcW w:w="858" w:type="dxa"/>
            <w:tcBorders>
              <w:left w:val="single" w:sz="3" w:space="0" w:color="000000"/>
              <w:right w:val="single" w:sz="3" w:space="0" w:color="000000"/>
            </w:tcBorders>
          </w:tcPr>
          <w:p>
            <w:pPr>
              <w:pStyle w:val="TableParagraph"/>
              <w:spacing w:before="2"/>
              <w:ind w:right="87"/>
              <w:rPr>
                <w:rFonts w:ascii="Calibri"/>
                <w:sz w:val="13"/>
              </w:rPr>
            </w:pPr>
            <w:r>
              <w:rPr>
                <w:rFonts w:ascii="Calibri"/>
                <w:w w:val="105"/>
                <w:sz w:val="13"/>
              </w:rPr>
              <w:t>p=0.187</w:t>
            </w:r>
          </w:p>
        </w:tc>
        <w:tc>
          <w:tcPr>
            <w:tcW w:w="733" w:type="dxa"/>
            <w:tcBorders>
              <w:left w:val="single" w:sz="3" w:space="0" w:color="000000"/>
              <w:right w:val="single" w:sz="3" w:space="0" w:color="000000"/>
            </w:tcBorders>
          </w:tcPr>
          <w:p>
            <w:pPr>
              <w:pStyle w:val="TableParagraph"/>
              <w:spacing w:before="2"/>
              <w:ind w:right="85"/>
              <w:rPr>
                <w:rFonts w:ascii="Calibri"/>
                <w:sz w:val="13"/>
              </w:rPr>
            </w:pPr>
            <w:r>
              <w:rPr>
                <w:rFonts w:ascii="Calibri"/>
                <w:w w:val="105"/>
                <w:sz w:val="13"/>
              </w:rPr>
              <w:t>p=0.188</w:t>
            </w:r>
          </w:p>
        </w:tc>
      </w:tr>
      <w:tr>
        <w:trPr>
          <w:trHeight w:val="169" w:hRule="exact"/>
        </w:trPr>
        <w:tc>
          <w:tcPr>
            <w:tcW w:w="951" w:type="dxa"/>
            <w:tcBorders>
              <w:left w:val="single" w:sz="3" w:space="0" w:color="000000"/>
              <w:right w:val="single" w:sz="3" w:space="0" w:color="000000"/>
            </w:tcBorders>
          </w:tcPr>
          <w:p>
            <w:pPr>
              <w:pStyle w:val="TableParagraph"/>
              <w:spacing w:line="154" w:lineRule="exact"/>
              <w:ind w:left="410"/>
              <w:jc w:val="left"/>
              <w:rPr>
                <w:rFonts w:ascii="Calibri"/>
                <w:b/>
                <w:sz w:val="8"/>
              </w:rPr>
            </w:pPr>
            <w:r>
              <w:rPr>
                <w:rFonts w:ascii="Calibri"/>
                <w:b/>
                <w:w w:val="110"/>
                <w:position w:val="-5"/>
                <w:sz w:val="13"/>
              </w:rPr>
              <w:t>R</w:t>
            </w:r>
            <w:r>
              <w:rPr>
                <w:rFonts w:ascii="Calibri"/>
                <w:b/>
                <w:w w:val="110"/>
                <w:sz w:val="8"/>
              </w:rPr>
              <w:t>2</w:t>
            </w:r>
          </w:p>
        </w:tc>
        <w:tc>
          <w:tcPr>
            <w:tcW w:w="733"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0.028</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0.024</w:t>
            </w:r>
          </w:p>
        </w:tc>
        <w:tc>
          <w:tcPr>
            <w:tcW w:w="858"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0.024</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0.108</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0.108</w:t>
            </w: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0.135</w:t>
            </w:r>
          </w:p>
        </w:tc>
        <w:tc>
          <w:tcPr>
            <w:tcW w:w="734"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0.012</w:t>
            </w: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0.021</w:t>
            </w: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0.220</w:t>
            </w:r>
          </w:p>
        </w:tc>
      </w:tr>
      <w:tr>
        <w:trPr>
          <w:trHeight w:val="167" w:hRule="exact"/>
        </w:trPr>
        <w:tc>
          <w:tcPr>
            <w:tcW w:w="951" w:type="dxa"/>
            <w:tcBorders>
              <w:left w:val="single" w:sz="3" w:space="0" w:color="000000"/>
              <w:right w:val="single" w:sz="3" w:space="0" w:color="000000"/>
            </w:tcBorders>
          </w:tcPr>
          <w:p>
            <w:pPr>
              <w:pStyle w:val="TableParagraph"/>
              <w:spacing w:line="159" w:lineRule="exact"/>
              <w:ind w:left="358"/>
              <w:jc w:val="left"/>
              <w:rPr>
                <w:rFonts w:ascii="Calibri"/>
                <w:b/>
                <w:sz w:val="8"/>
              </w:rPr>
            </w:pPr>
            <w:r>
              <w:rPr>
                <w:rFonts w:ascii="Calibri"/>
                <w:b/>
                <w:w w:val="105"/>
                <w:sz w:val="13"/>
              </w:rPr>
              <w:t>Chi</w:t>
            </w:r>
            <w:r>
              <w:rPr>
                <w:rFonts w:ascii="Calibri"/>
                <w:b/>
                <w:w w:val="105"/>
                <w:position w:val="6"/>
                <w:sz w:val="8"/>
              </w:rPr>
              <w:t>2</w:t>
            </w:r>
          </w:p>
        </w:tc>
        <w:tc>
          <w:tcPr>
            <w:tcW w:w="733" w:type="dxa"/>
            <w:tcBorders>
              <w:left w:val="single" w:sz="3" w:space="0" w:color="000000"/>
              <w:right w:val="single" w:sz="3" w:space="0" w:color="000000"/>
            </w:tcBorders>
          </w:tcPr>
          <w:p>
            <w:pPr/>
          </w:p>
        </w:tc>
        <w:tc>
          <w:tcPr>
            <w:tcW w:w="856"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0.152</w:t>
            </w:r>
          </w:p>
        </w:tc>
        <w:tc>
          <w:tcPr>
            <w:tcW w:w="858" w:type="dxa"/>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
        </w:tc>
        <w:tc>
          <w:tcPr>
            <w:tcW w:w="858" w:type="dxa"/>
            <w:tcBorders>
              <w:left w:val="single" w:sz="3" w:space="0" w:color="000000"/>
              <w:right w:val="single" w:sz="3" w:space="0" w:color="000000"/>
            </w:tcBorders>
          </w:tcPr>
          <w:p>
            <w:pPr/>
          </w:p>
        </w:tc>
        <w:tc>
          <w:tcPr>
            <w:tcW w:w="856" w:type="dxa"/>
            <w:tcBorders>
              <w:left w:val="single" w:sz="3" w:space="0" w:color="000000"/>
              <w:right w:val="single" w:sz="3" w:space="0" w:color="000000"/>
            </w:tcBorders>
          </w:tcPr>
          <w:p>
            <w:pPr/>
          </w:p>
        </w:tc>
        <w:tc>
          <w:tcPr>
            <w:tcW w:w="734" w:type="dxa"/>
            <w:tcBorders>
              <w:left w:val="single" w:sz="3" w:space="0" w:color="000000"/>
              <w:right w:val="single" w:sz="3" w:space="0" w:color="000000"/>
            </w:tcBorders>
          </w:tcPr>
          <w:p>
            <w:pPr/>
          </w:p>
        </w:tc>
        <w:tc>
          <w:tcPr>
            <w:tcW w:w="858" w:type="dxa"/>
            <w:tcBorders>
              <w:left w:val="single" w:sz="3" w:space="0" w:color="000000"/>
              <w:right w:val="single" w:sz="3" w:space="0" w:color="000000"/>
            </w:tcBorders>
          </w:tcPr>
          <w:p>
            <w:pPr>
              <w:pStyle w:val="TableParagraph"/>
              <w:ind w:right="87"/>
              <w:rPr>
                <w:rFonts w:ascii="Calibri"/>
                <w:sz w:val="13"/>
              </w:rPr>
            </w:pPr>
            <w:r>
              <w:rPr>
                <w:rFonts w:ascii="Calibri"/>
                <w:w w:val="105"/>
                <w:sz w:val="13"/>
              </w:rPr>
              <w:t>0.059</w:t>
            </w:r>
          </w:p>
        </w:tc>
        <w:tc>
          <w:tcPr>
            <w:tcW w:w="733" w:type="dxa"/>
            <w:tcBorders>
              <w:left w:val="single" w:sz="3" w:space="0" w:color="000000"/>
              <w:right w:val="single" w:sz="3" w:space="0" w:color="000000"/>
            </w:tcBorders>
          </w:tcPr>
          <w:p>
            <w:pPr/>
          </w:p>
        </w:tc>
      </w:tr>
      <w:tr>
        <w:trPr>
          <w:trHeight w:val="169" w:hRule="exact"/>
        </w:trPr>
        <w:tc>
          <w:tcPr>
            <w:tcW w:w="951" w:type="dxa"/>
            <w:tcBorders>
              <w:left w:val="single" w:sz="3" w:space="0" w:color="000000"/>
              <w:right w:val="single" w:sz="3" w:space="0" w:color="000000"/>
            </w:tcBorders>
          </w:tcPr>
          <w:p>
            <w:pPr>
              <w:pStyle w:val="TableParagraph"/>
              <w:ind w:left="439"/>
              <w:jc w:val="left"/>
              <w:rPr>
                <w:rFonts w:ascii="Calibri"/>
                <w:b/>
                <w:sz w:val="13"/>
              </w:rPr>
            </w:pPr>
            <w:r>
              <w:rPr>
                <w:rFonts w:ascii="Calibri"/>
                <w:b/>
                <w:w w:val="106"/>
                <w:sz w:val="13"/>
              </w:rPr>
              <w:t>F</w:t>
            </w:r>
          </w:p>
        </w:tc>
        <w:tc>
          <w:tcPr>
            <w:tcW w:w="1590" w:type="dxa"/>
            <w:gridSpan w:val="2"/>
            <w:tcBorders>
              <w:left w:val="single" w:sz="3" w:space="0" w:color="000000"/>
              <w:right w:val="single" w:sz="3" w:space="0" w:color="000000"/>
            </w:tcBorders>
          </w:tcPr>
          <w:p>
            <w:pPr/>
          </w:p>
        </w:tc>
        <w:tc>
          <w:tcPr>
            <w:tcW w:w="858"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0.940</w:t>
            </w:r>
          </w:p>
        </w:tc>
        <w:tc>
          <w:tcPr>
            <w:tcW w:w="1592" w:type="dxa"/>
            <w:gridSpan w:val="2"/>
            <w:tcBorders>
              <w:left w:val="single" w:sz="3" w:space="0" w:color="000000"/>
              <w:right w:val="single" w:sz="3" w:space="0" w:color="000000"/>
            </w:tcBorders>
          </w:tcPr>
          <w:p>
            <w:pPr/>
          </w:p>
        </w:tc>
        <w:tc>
          <w:tcPr>
            <w:tcW w:w="856" w:type="dxa"/>
            <w:tcBorders>
              <w:left w:val="single" w:sz="3" w:space="0" w:color="000000"/>
              <w:right w:val="single" w:sz="3" w:space="0" w:color="000000"/>
            </w:tcBorders>
          </w:tcPr>
          <w:p>
            <w:pPr>
              <w:pStyle w:val="TableParagraph"/>
              <w:ind w:left="87" w:right="185"/>
              <w:jc w:val="left"/>
              <w:rPr>
                <w:rFonts w:ascii="Calibri"/>
                <w:sz w:val="13"/>
              </w:rPr>
            </w:pPr>
            <w:r>
              <w:rPr>
                <w:rFonts w:ascii="Calibri"/>
                <w:w w:val="105"/>
                <w:sz w:val="13"/>
              </w:rPr>
              <w:t>0.865</w:t>
            </w:r>
          </w:p>
        </w:tc>
        <w:tc>
          <w:tcPr>
            <w:tcW w:w="1592" w:type="dxa"/>
            <w:gridSpan w:val="2"/>
            <w:tcBorders>
              <w:left w:val="single" w:sz="3" w:space="0" w:color="000000"/>
              <w:right w:val="single" w:sz="3" w:space="0" w:color="000000"/>
            </w:tcBorders>
          </w:tcPr>
          <w:p>
            <w:pPr/>
          </w:p>
        </w:tc>
        <w:tc>
          <w:tcPr>
            <w:tcW w:w="733" w:type="dxa"/>
            <w:tcBorders>
              <w:left w:val="single" w:sz="3" w:space="0" w:color="000000"/>
              <w:right w:val="single" w:sz="3" w:space="0" w:color="000000"/>
            </w:tcBorders>
          </w:tcPr>
          <w:p>
            <w:pPr>
              <w:pStyle w:val="TableParagraph"/>
              <w:ind w:right="85"/>
              <w:rPr>
                <w:rFonts w:ascii="Calibri"/>
                <w:sz w:val="13"/>
              </w:rPr>
            </w:pPr>
            <w:r>
              <w:rPr>
                <w:rFonts w:ascii="Calibri"/>
                <w:w w:val="105"/>
                <w:sz w:val="13"/>
              </w:rPr>
              <w:t>0.980</w:t>
            </w:r>
          </w:p>
        </w:tc>
      </w:tr>
    </w:tbl>
    <w:p>
      <w:pPr>
        <w:pStyle w:val="BodyText"/>
        <w:spacing w:before="4"/>
        <w:rPr>
          <w:rFonts w:ascii="Arial"/>
          <w:sz w:val="29"/>
        </w:rPr>
      </w:pPr>
    </w:p>
    <w:p>
      <w:pPr>
        <w:spacing w:line="520" w:lineRule="auto" w:before="85"/>
        <w:ind w:left="907" w:right="4237" w:firstLine="0"/>
        <w:jc w:val="left"/>
        <w:rPr>
          <w:rFonts w:ascii="Arial" w:hAnsi="Arial"/>
          <w:sz w:val="13"/>
        </w:rPr>
      </w:pPr>
      <w:r>
        <w:rPr>
          <w:rFonts w:ascii="Arial" w:hAnsi="Arial"/>
          <w:w w:val="105"/>
          <w:sz w:val="13"/>
        </w:rPr>
        <w:t>Las cifras entre paréntesis son los errores estándar estimados. En el valor de Chi</w:t>
      </w:r>
      <w:r>
        <w:rPr>
          <w:rFonts w:ascii="Arial" w:hAnsi="Arial"/>
          <w:w w:val="105"/>
          <w:position w:val="6"/>
          <w:sz w:val="8"/>
        </w:rPr>
        <w:t>2 </w:t>
      </w:r>
      <w:r>
        <w:rPr>
          <w:rFonts w:ascii="Arial" w:hAnsi="Arial"/>
          <w:w w:val="105"/>
          <w:sz w:val="13"/>
        </w:rPr>
        <w:t>y F, se toma la probabilidad.</w:t>
      </w:r>
    </w:p>
    <w:p>
      <w:pPr>
        <w:pStyle w:val="BodyText"/>
        <w:spacing w:line="360" w:lineRule="auto" w:before="143"/>
        <w:ind w:left="102" w:right="158" w:firstLine="707"/>
        <w:jc w:val="both"/>
      </w:pPr>
      <w:r>
        <w:rPr/>
        <w:t>Se hace una analogía de la Primera Ley de Kaldor. Dicha ley plantea que existe una fuerte relación entre la tasa del crecimiento del producto manufacturero y la tasa del crecimiento del PIB. En la ecuación 1, 2 y 3 el crecimiento del PIB total de la economía es tomado como el producto total manufacturero, y el PIB total manufacturero es tomado como el producto de los subsectores 35 y 38, </w:t>
      </w:r>
      <w:r>
        <w:rPr>
          <w:spacing w:val="-3"/>
        </w:rPr>
        <w:t>ya </w:t>
      </w:r>
      <w:r>
        <w:rPr/>
        <w:t>que estos son los que operan con  economías de escala, dada la clasificación de Pavitt</w:t>
      </w:r>
      <w:r>
        <w:rPr>
          <w:spacing w:val="-7"/>
        </w:rPr>
        <w:t> </w:t>
      </w:r>
      <w:r>
        <w:rPr/>
        <w:t>(1984).</w:t>
      </w:r>
    </w:p>
    <w:p>
      <w:pPr>
        <w:pStyle w:val="BodyText"/>
        <w:spacing w:line="360" w:lineRule="auto" w:before="6"/>
        <w:ind w:left="102" w:right="164" w:firstLine="707"/>
        <w:jc w:val="both"/>
      </w:pPr>
      <w:r>
        <w:rPr/>
        <w:t>Los resultados empíricos de los modelos de panel para esta ley se estimaron de la ecuación 1 a la 3. En el caso del modelo 1, las dos variables de probabilidad tienen el  signo</w:t>
      </w:r>
    </w:p>
    <w:p>
      <w:pPr>
        <w:spacing w:after="0" w:line="360" w:lineRule="auto"/>
        <w:jc w:val="both"/>
        <w:sectPr>
          <w:pgSz w:w="12240" w:h="15840"/>
          <w:pgMar w:header="0" w:footer="1003" w:top="1380" w:bottom="1200" w:left="1600" w:right="1540"/>
        </w:sectPr>
      </w:pPr>
    </w:p>
    <w:p>
      <w:pPr>
        <w:pStyle w:val="BodyText"/>
        <w:spacing w:line="360" w:lineRule="auto" w:before="50"/>
        <w:ind w:left="102" w:right="118"/>
        <w:jc w:val="both"/>
      </w:pPr>
      <w:r>
        <w:rPr/>
        <w:t>esperado y son estadísticamente significativas. Se predice que una tasa de crecimiento de 1% en el producto total manufacturero del subsector 35 aumentará la tasa de crecimiento del producto manufacturero total en 11%. Y a su vez un incremento porcentual en el producto manufacturero del subsector 38 tendrá una tasa de crecimiento del producto manufacturero total de 9%. Los resultados para la región Toluca-Lerma muestran que sólo es del signo esperado y estadísticamente significativa la variable del subsector 38, al contrario de la región Valle de México donde el subsector estadísticamente significativo y de signo esperado es el</w:t>
      </w:r>
      <w:r>
        <w:rPr>
          <w:spacing w:val="-4"/>
        </w:rPr>
        <w:t> </w:t>
      </w:r>
      <w:r>
        <w:rPr/>
        <w:t>35.</w:t>
      </w:r>
    </w:p>
    <w:p>
      <w:pPr>
        <w:pStyle w:val="BodyText"/>
        <w:spacing w:line="355" w:lineRule="auto" w:before="4"/>
        <w:ind w:left="102" w:right="116" w:firstLine="707"/>
        <w:jc w:val="both"/>
      </w:pPr>
      <w:r>
        <w:rPr/>
        <w:t>En el modelo 2, la estimación que mejor explica el crecimiento de la producción manufacturera por efectos aleatorios se presenta en ambas regiones, siendo la constante (3.653) y el coeficiente de la variable explicativa (0.145) del signo esperado y estadísticamente significativas. Por su parte, sólo en la región Valle de México el coeficiente del subsector 35 es del signo esperado con un valor de 0.299 y estadísticamente significativo, con un R</w:t>
      </w:r>
      <w:r>
        <w:rPr>
          <w:position w:val="11"/>
          <w:sz w:val="16"/>
        </w:rPr>
        <w:t>2  </w:t>
      </w:r>
      <w:r>
        <w:rPr/>
        <w:t>de 6%.</w:t>
      </w:r>
    </w:p>
    <w:p>
      <w:pPr>
        <w:pStyle w:val="BodyText"/>
        <w:spacing w:line="360" w:lineRule="auto"/>
        <w:ind w:left="102" w:right="117" w:firstLine="707"/>
        <w:jc w:val="both"/>
      </w:pPr>
      <w:r>
        <w:rPr/>
        <w:t>En el modelo 3, también la estimación que mejor explica el crecimiento de la producción manufacturera es el que se hace para ambas regiones en conjunto, siendo la constante (4.043) y el coeficiente de la variable explicativa (0.118) del signo esperado y estadísticamente significativas, por su parte, ahora la relación es inversa, es decir; en la región Toluca-Lerma el coeficiente del subsector 38 tiene un valor de 0.149 y la constante de 5.82, ambas son del signo esperado y estadísticamente significativas, con una bondad de ajuste de 18%.</w:t>
      </w:r>
    </w:p>
    <w:p>
      <w:pPr>
        <w:pStyle w:val="BodyText"/>
        <w:spacing w:line="360" w:lineRule="auto" w:before="6"/>
        <w:ind w:left="102" w:right="120" w:firstLine="707"/>
        <w:jc w:val="both"/>
      </w:pPr>
      <w:r>
        <w:rPr/>
        <w:t>Por otro lado, en este estudio, se muestra una extensión de la Ley de Verdoorn, que fue desarrollada para mostrar los efectos de la producción manufacturera en  la productividad del mismo sector. La estimación econométrica para esta especificación se llevó a cabo del modelo 4 al 7.</w:t>
      </w:r>
    </w:p>
    <w:p>
      <w:pPr>
        <w:pStyle w:val="BodyText"/>
        <w:spacing w:line="360" w:lineRule="auto" w:before="7"/>
        <w:ind w:left="102" w:right="116" w:firstLine="707"/>
        <w:jc w:val="both"/>
      </w:pPr>
      <w:r>
        <w:rPr/>
        <w:t>La Segunda Ley de Kaldor, muestra la relación estadística entre la tasa de crecimiento de la productividad manufacturera y su producción; como evidencia de economías de escala sustanciales. En este trabajo se hace una especificación alternativa de la Ley de Verdoorn, donde el crecimiento de la productividad manufacturera depende de  los subsectores 35 y 38 que operan con economías de escala, dada la clasificación de Pavitt (1984).</w:t>
      </w:r>
      <w:r>
        <w:rPr>
          <w:spacing w:val="46"/>
        </w:rPr>
        <w:t> </w:t>
      </w:r>
      <w:r>
        <w:rPr/>
        <w:t>Es</w:t>
      </w:r>
      <w:r>
        <w:rPr>
          <w:spacing w:val="46"/>
        </w:rPr>
        <w:t> </w:t>
      </w:r>
      <w:r>
        <w:rPr/>
        <w:t>importante</w:t>
      </w:r>
      <w:r>
        <w:rPr>
          <w:spacing w:val="48"/>
        </w:rPr>
        <w:t> </w:t>
      </w:r>
      <w:r>
        <w:rPr/>
        <w:t>mencionar</w:t>
      </w:r>
      <w:r>
        <w:rPr>
          <w:spacing w:val="45"/>
        </w:rPr>
        <w:t> </w:t>
      </w:r>
      <w:r>
        <w:rPr/>
        <w:t>que</w:t>
      </w:r>
      <w:r>
        <w:rPr>
          <w:spacing w:val="45"/>
        </w:rPr>
        <w:t> </w:t>
      </w:r>
      <w:r>
        <w:rPr/>
        <w:t>tal</w:t>
      </w:r>
      <w:r>
        <w:rPr>
          <w:spacing w:val="49"/>
        </w:rPr>
        <w:t> </w:t>
      </w:r>
      <w:r>
        <w:rPr/>
        <w:t>como</w:t>
      </w:r>
      <w:r>
        <w:rPr>
          <w:spacing w:val="47"/>
        </w:rPr>
        <w:t> </w:t>
      </w:r>
      <w:r>
        <w:rPr/>
        <w:t>la</w:t>
      </w:r>
      <w:r>
        <w:rPr>
          <w:spacing w:val="46"/>
        </w:rPr>
        <w:t> </w:t>
      </w:r>
      <w:r>
        <w:rPr/>
        <w:t>revisión</w:t>
      </w:r>
      <w:r>
        <w:rPr>
          <w:spacing w:val="46"/>
        </w:rPr>
        <w:t> </w:t>
      </w:r>
      <w:r>
        <w:rPr/>
        <w:t>de</w:t>
      </w:r>
      <w:r>
        <w:rPr>
          <w:spacing w:val="45"/>
        </w:rPr>
        <w:t> </w:t>
      </w:r>
      <w:r>
        <w:rPr/>
        <w:t>la</w:t>
      </w:r>
      <w:r>
        <w:rPr>
          <w:spacing w:val="46"/>
        </w:rPr>
        <w:t> </w:t>
      </w:r>
      <w:r>
        <w:rPr/>
        <w:t>literatura</w:t>
      </w:r>
      <w:r>
        <w:rPr>
          <w:spacing w:val="45"/>
        </w:rPr>
        <w:t> </w:t>
      </w:r>
      <w:r>
        <w:rPr/>
        <w:t>establece,</w:t>
      </w:r>
      <w:r>
        <w:rPr>
          <w:spacing w:val="46"/>
        </w:rPr>
        <w:t> </w:t>
      </w:r>
      <w:r>
        <w:rPr/>
        <w:t>la</w:t>
      </w:r>
    </w:p>
    <w:p>
      <w:pPr>
        <w:spacing w:after="0" w:line="360" w:lineRule="auto"/>
        <w:jc w:val="both"/>
        <w:sectPr>
          <w:pgSz w:w="12240" w:h="15840"/>
          <w:pgMar w:header="0" w:footer="1003" w:top="1360" w:bottom="1200" w:left="1600" w:right="1580"/>
        </w:sectPr>
      </w:pPr>
    </w:p>
    <w:p>
      <w:pPr>
        <w:pStyle w:val="BodyText"/>
        <w:spacing w:line="360" w:lineRule="auto" w:before="50"/>
        <w:ind w:left="122" w:right="118"/>
        <w:jc w:val="both"/>
      </w:pPr>
      <w:r>
        <w:rPr/>
        <w:t>estimación de la ley original muestra la correlación espúrea entre </w:t>
      </w:r>
      <w:r>
        <w:rPr>
          <w:i/>
        </w:rPr>
        <w:t>p y q</w:t>
      </w:r>
      <w:r>
        <w:rPr/>
        <w:t>, sin embargo, en  este trabajo se lleva a cabo pero con variantes, dada la poca disponibilidad de otras variables a nivel municipal, desde 1970 a la</w:t>
      </w:r>
      <w:r>
        <w:rPr>
          <w:spacing w:val="-9"/>
        </w:rPr>
        <w:t> </w:t>
      </w:r>
      <w:r>
        <w:rPr/>
        <w:t>fecha.</w:t>
      </w:r>
    </w:p>
    <w:p>
      <w:pPr>
        <w:pStyle w:val="BodyText"/>
        <w:spacing w:line="360" w:lineRule="auto" w:before="6"/>
        <w:ind w:left="122" w:right="122" w:firstLine="707"/>
        <w:jc w:val="both"/>
      </w:pPr>
      <w:r>
        <w:rPr/>
        <w:t>Dada la evidencia empírica, el coeficiente de Verdoorn es de 0.5, Kaldor argumenta que la estimación de un medio indica que las manufacturas son sujetas a economías de escala (Bairam, 1987).</w:t>
      </w:r>
    </w:p>
    <w:p>
      <w:pPr>
        <w:pStyle w:val="BodyText"/>
        <w:spacing w:line="360" w:lineRule="auto" w:before="4"/>
        <w:ind w:left="122" w:right="117" w:firstLine="707"/>
        <w:jc w:val="both"/>
      </w:pPr>
      <w:r>
        <w:rPr/>
        <w:t>Ahora bien, la ecuación 4, es la ecuación original de la Segunda Ley de Kaldor, sin embargo, la especificación alternativa se da a través de estimar la ecuación 5, 6 y 7, donde el producto total manufacturero, se estima como un subproducto de los subsectores 35, 38 respectivamente y como  la suma de ambos.</w:t>
      </w:r>
    </w:p>
    <w:p>
      <w:pPr>
        <w:pStyle w:val="BodyText"/>
        <w:spacing w:line="350" w:lineRule="auto" w:before="4"/>
        <w:ind w:left="122" w:right="114" w:firstLine="707"/>
        <w:jc w:val="both"/>
      </w:pPr>
      <w:r>
        <w:rPr/>
        <w:t>En el modelo 4, en la región Valle de México los resultados indican que este  modelo ha sido exitosamente explicado por la variación en los datos con un </w:t>
      </w:r>
      <w:r>
        <w:rPr>
          <w:spacing w:val="3"/>
        </w:rPr>
        <w:t>R</w:t>
      </w:r>
      <w:r>
        <w:rPr>
          <w:spacing w:val="3"/>
          <w:position w:val="11"/>
          <w:sz w:val="16"/>
        </w:rPr>
        <w:t>2 </w:t>
      </w:r>
      <w:r>
        <w:rPr/>
        <w:t>= 0.70, el coeficiente de Verdoorn es de 0.764 para los efectos aleatorios y de 0.798 para los efectos fijos, implicando una positiva y significativa relación entre el crecimiento de la productividad del sector manufacturero y el crecimiento de la producción manufacturera. De acuerdo con los resultados, si aumenta el crecimiento de la producción manufacturera  en  una  unidad,  la  productividad  laboral  manufacturera  aumentará  0.798     </w:t>
      </w:r>
      <w:r>
        <w:rPr>
          <w:spacing w:val="50"/>
        </w:rPr>
        <w:t> </w:t>
      </w:r>
      <w:r>
        <w:rPr/>
        <w:t>unidades</w:t>
      </w:r>
      <w:r>
        <w:rPr>
          <w:position w:val="11"/>
          <w:sz w:val="16"/>
        </w:rPr>
        <w:t>85</w:t>
      </w:r>
      <w:r>
        <w:rPr/>
        <w:t>,</w:t>
      </w:r>
    </w:p>
    <w:p>
      <w:pPr>
        <w:pStyle w:val="BodyText"/>
        <w:spacing w:line="360" w:lineRule="auto"/>
        <w:ind w:left="122" w:right="117"/>
        <w:jc w:val="both"/>
      </w:pPr>
      <w:r>
        <w:rPr/>
        <w:t>coincidentes con los resultados de Millin y Tennassie (2005) se presentan economías de escala crecientes. En este sentido se muestra que las regiones Toluca-Lerma y Valle de México son caracterizadas por economías de escala, estas regiones crecen en una manera circular acumulativa.</w:t>
      </w:r>
    </w:p>
    <w:p>
      <w:pPr>
        <w:pStyle w:val="BodyText"/>
        <w:spacing w:line="352" w:lineRule="auto" w:before="6"/>
        <w:ind w:left="122" w:right="117" w:firstLine="707"/>
        <w:jc w:val="both"/>
      </w:pPr>
      <w:r>
        <w:rPr/>
        <w:t>En el caso de la región Toluca-Lerma, se aprecia que el coeficiente del crecimiento del producto manufacturero es del signo esperado y estadísticamente significativo al 90%, con un R</w:t>
      </w:r>
      <w:r>
        <w:rPr>
          <w:position w:val="11"/>
          <w:sz w:val="16"/>
        </w:rPr>
        <w:t>2 </w:t>
      </w:r>
      <w:r>
        <w:rPr/>
        <w:t>de aproximadamente 0.17%. El hecho de que los coeficientes sean de 0.35 para los efectos aleatorios y de 0.37 para los efectos fijos indica que en esta región se presentan economías de escala crecientes. Lo anterior valida que la productividad es muy sensible a la dinámica económica de  las regiones  y que la especialización  en  la industria    automotriz,</w:t>
      </w:r>
    </w:p>
    <w:p>
      <w:pPr>
        <w:pStyle w:val="BodyText"/>
        <w:spacing w:before="14"/>
        <w:ind w:left="122"/>
        <w:jc w:val="both"/>
      </w:pPr>
      <w:r>
        <w:rPr/>
        <w:t>contribuye más al crecimiento del PIB, dados sus rendimientos a escala crecientes.</w:t>
      </w:r>
      <w:r>
        <w:rPr>
          <w:spacing w:val="50"/>
        </w:rPr>
        <w:t> </w:t>
      </w:r>
      <w:r>
        <w:rPr/>
        <w:t>La</w:t>
      </w:r>
    </w:p>
    <w:p>
      <w:pPr>
        <w:pStyle w:val="BodyText"/>
        <w:rPr>
          <w:sz w:val="20"/>
        </w:rPr>
      </w:pPr>
    </w:p>
    <w:p>
      <w:pPr>
        <w:pStyle w:val="BodyText"/>
        <w:rPr>
          <w:sz w:val="20"/>
        </w:rPr>
      </w:pPr>
    </w:p>
    <w:p>
      <w:pPr>
        <w:pStyle w:val="BodyText"/>
        <w:rPr>
          <w:sz w:val="20"/>
        </w:rPr>
      </w:pPr>
    </w:p>
    <w:p>
      <w:pPr>
        <w:pStyle w:val="BodyText"/>
        <w:spacing w:before="9"/>
        <w:rPr>
          <w:sz w:val="21"/>
        </w:rPr>
      </w:pPr>
      <w:r>
        <w:rPr/>
        <w:pict>
          <v:line style="position:absolute;mso-position-horizontal-relative:page;mso-position-vertical-relative:paragraph;z-index:3664;mso-wrap-distance-left:0;mso-wrap-distance-right:0" from="85.103996pt,14.863213pt" to="229.123996pt,14.863213pt" stroked="true" strokeweight=".72003pt" strokecolor="#000000">
            <w10:wrap type="topAndBottom"/>
          </v:line>
        </w:pict>
      </w:r>
    </w:p>
    <w:p>
      <w:pPr>
        <w:spacing w:before="42"/>
        <w:ind w:left="122" w:right="243" w:firstLine="0"/>
        <w:jc w:val="left"/>
        <w:rPr>
          <w:sz w:val="20"/>
        </w:rPr>
      </w:pPr>
      <w:r>
        <w:rPr>
          <w:position w:val="9"/>
          <w:sz w:val="13"/>
        </w:rPr>
        <w:t>85 </w:t>
      </w:r>
      <w:r>
        <w:rPr>
          <w:sz w:val="20"/>
        </w:rPr>
        <w:t>Este valor es muy cercano a la unidad, lo que podría considerarse como tendiente a economías de escala constantes.</w:t>
      </w:r>
    </w:p>
    <w:p>
      <w:pPr>
        <w:spacing w:after="0"/>
        <w:jc w:val="left"/>
        <w:rPr>
          <w:sz w:val="20"/>
        </w:rPr>
        <w:sectPr>
          <w:pgSz w:w="12240" w:h="15840"/>
          <w:pgMar w:header="0" w:footer="1003" w:top="1360" w:bottom="1200" w:left="1580" w:right="1580"/>
        </w:sectPr>
      </w:pPr>
    </w:p>
    <w:p>
      <w:pPr>
        <w:pStyle w:val="BodyText"/>
        <w:spacing w:line="331" w:lineRule="auto" w:before="50"/>
        <w:ind w:left="122" w:right="121"/>
        <w:jc w:val="both"/>
      </w:pPr>
      <w:r>
        <w:rPr/>
        <w:t>especialización productiva de la región en bienes duraderos como vehículos, tiene efectos positivos en el crecimiento</w:t>
      </w:r>
      <w:r>
        <w:rPr>
          <w:position w:val="11"/>
          <w:sz w:val="16"/>
        </w:rPr>
        <w:t>86  </w:t>
      </w:r>
      <w:r>
        <w:rPr/>
        <w:t>debido al </w:t>
      </w:r>
      <w:r>
        <w:rPr>
          <w:i/>
        </w:rPr>
        <w:t>learning by doing, </w:t>
      </w:r>
      <w:r>
        <w:rPr/>
        <w:t>ya explicados en el capítulo 1.</w:t>
      </w:r>
    </w:p>
    <w:p>
      <w:pPr>
        <w:pStyle w:val="BodyText"/>
        <w:spacing w:line="360" w:lineRule="auto" w:before="21"/>
        <w:ind w:left="122" w:right="119" w:firstLine="707"/>
        <w:jc w:val="both"/>
      </w:pPr>
      <w:r>
        <w:rPr/>
        <w:t>Por su parte, para ambas regiones en conjunto, el valor del coeficiente del crecimiento del producto manufacturero total se sitúa muy cercano a los valores  encontrados en la literatura (alrededor de 0.5). Con ello es posible determinar la existencia  o no de procesos de causación circular acumulativa virtuosa en las regiones Toluca-Lerma  y Valle de</w:t>
      </w:r>
      <w:r>
        <w:rPr>
          <w:spacing w:val="-5"/>
        </w:rPr>
        <w:t> </w:t>
      </w:r>
      <w:r>
        <w:rPr/>
        <w:t>México.</w:t>
      </w:r>
    </w:p>
    <w:p>
      <w:pPr>
        <w:pStyle w:val="BodyText"/>
        <w:spacing w:line="360" w:lineRule="auto" w:before="6"/>
        <w:ind w:left="122" w:right="118" w:firstLine="707"/>
        <w:jc w:val="both"/>
      </w:pPr>
      <w:r>
        <w:rPr/>
        <w:t>Los resultados son consistentes con el signo esperado, se observa que la magnitud del coeficiente de Verdoorn es importante en el periodo 1970-2008, lo cual es evidencia de que existen rendimientos crecientes a escala en las regiones Toluca-Lerma y Valle de México.</w:t>
      </w:r>
    </w:p>
    <w:p>
      <w:pPr>
        <w:pStyle w:val="BodyText"/>
        <w:spacing w:line="360" w:lineRule="auto" w:before="6"/>
        <w:ind w:left="122" w:right="116" w:firstLine="707"/>
        <w:jc w:val="both"/>
      </w:pPr>
      <w:r>
        <w:rPr/>
        <w:t>A pesar de que las regiones Toluca-Lerma y Valle de México, consolidaron una especialización en los subsectores industriales 35 y 38, beneficiándose en cierta medida durante 1970 a 2008 de una causación circular acumulativa virtuosa, no presentan  resultados significativos en el modelo 5, donde se estima el crecimiento del producto manufacturero del subsector 35, como extensión de la producción total del sector manufacturero. El coeficiente no es significativo estadísticamente a niveles de significancia estándar, en el caso de ambas regiones por separado, ni en conjunto, lo más que puede decirse es que no se ha encontrado una relación entre estas dos</w:t>
      </w:r>
      <w:r>
        <w:rPr>
          <w:spacing w:val="-12"/>
        </w:rPr>
        <w:t> </w:t>
      </w:r>
      <w:r>
        <w:rPr/>
        <w:t>tasas.</w:t>
      </w:r>
    </w:p>
    <w:p>
      <w:pPr>
        <w:pStyle w:val="BodyText"/>
        <w:spacing w:line="360" w:lineRule="auto" w:before="6"/>
        <w:ind w:left="122" w:right="120" w:firstLine="707"/>
        <w:jc w:val="both"/>
      </w:pPr>
      <w:r>
        <w:rPr/>
        <w:t>En el caso del modelo 6, se hizo una extensión de la Segunda Ley de Kaldor, en lugar de la producción total se estimó el modelo con el subsector 38, sin embargo, sólo para la región Valle de México y para ambas regiones en conjunto la variable exógena es significativa al 95%, pero no son del signo esperado.</w:t>
      </w:r>
    </w:p>
    <w:p>
      <w:pPr>
        <w:pStyle w:val="BodyText"/>
        <w:spacing w:line="345" w:lineRule="auto" w:before="6"/>
        <w:ind w:left="122" w:right="116" w:firstLine="707"/>
        <w:jc w:val="both"/>
      </w:pPr>
      <w:r>
        <w:rPr/>
        <w:t>En el modelo 7 se incluyen el subsector 35 y 38 como variables explicativas, sólo con resultados significativos para la región Valle de México, con una R</w:t>
      </w:r>
      <w:r>
        <w:rPr>
          <w:position w:val="11"/>
          <w:sz w:val="16"/>
        </w:rPr>
        <w:t>2 </w:t>
      </w:r>
      <w:r>
        <w:rPr/>
        <w:t>de 0.108, y con un coeficiente de Verdoorn del signo esperado para el subsector 35 (de 0.155 para EA y de</w:t>
      </w:r>
    </w:p>
    <w:p>
      <w:pPr>
        <w:pStyle w:val="ListParagraph"/>
        <w:numPr>
          <w:ilvl w:val="1"/>
          <w:numId w:val="22"/>
        </w:numPr>
        <w:tabs>
          <w:tab w:pos="790" w:val="left" w:leader="none"/>
        </w:tabs>
        <w:spacing w:line="360" w:lineRule="auto" w:before="20" w:after="0"/>
        <w:ind w:left="122" w:right="121" w:firstLine="0"/>
        <w:jc w:val="both"/>
        <w:rPr>
          <w:sz w:val="24"/>
        </w:rPr>
      </w:pPr>
      <w:r>
        <w:rPr>
          <w:sz w:val="24"/>
        </w:rPr>
        <w:t>para EF). El coeficiente del crecimiento de la producción del subsector 38 es estadísticamente significativo, pero se ha encontrado una relación entre estas dos tasas del signo contrario (-0.079 para EA y de -0.094 para</w:t>
      </w:r>
      <w:r>
        <w:rPr>
          <w:spacing w:val="-10"/>
          <w:sz w:val="24"/>
        </w:rPr>
        <w:t> </w:t>
      </w:r>
      <w:r>
        <w:rPr>
          <w:sz w:val="24"/>
        </w:rPr>
        <w:t>EF).</w:t>
      </w:r>
    </w:p>
    <w:p>
      <w:pPr>
        <w:pStyle w:val="BodyText"/>
        <w:spacing w:before="3"/>
        <w:rPr>
          <w:sz w:val="14"/>
        </w:rPr>
      </w:pPr>
      <w:r>
        <w:rPr/>
        <w:pict>
          <v:line style="position:absolute;mso-position-horizontal-relative:page;mso-position-vertical-relative:paragraph;z-index:3688;mso-wrap-distance-left:0;mso-wrap-distance-right:0" from="85.103996pt,10.559782pt" to="229.123996pt,10.559782pt" stroked="true" strokeweight=".71997pt" strokecolor="#000000">
            <w10:wrap type="topAndBottom"/>
          </v:line>
        </w:pict>
      </w:r>
    </w:p>
    <w:p>
      <w:pPr>
        <w:spacing w:before="42"/>
        <w:ind w:left="122" w:right="128" w:firstLine="0"/>
        <w:jc w:val="both"/>
        <w:rPr>
          <w:sz w:val="20"/>
        </w:rPr>
      </w:pPr>
      <w:r>
        <w:rPr>
          <w:position w:val="9"/>
          <w:sz w:val="13"/>
        </w:rPr>
        <w:t>86 </w:t>
      </w:r>
      <w:r>
        <w:rPr>
          <w:sz w:val="20"/>
        </w:rPr>
        <w:t>Al respecto Ros (1987), encuentra que el mejor patrón de especialización depende del progreso técnico potencial y comparativo entre industrias, el tipo de rendimientos a escala, el crecimiento de la fuerza de trabajo y las elasticidades ingreso de las demandas, tanto interna, como externa.</w:t>
      </w:r>
    </w:p>
    <w:p>
      <w:pPr>
        <w:spacing w:after="0"/>
        <w:jc w:val="both"/>
        <w:rPr>
          <w:sz w:val="20"/>
        </w:rPr>
        <w:sectPr>
          <w:pgSz w:w="12240" w:h="15840"/>
          <w:pgMar w:header="0" w:footer="1003" w:top="1360" w:bottom="1200" w:left="1580" w:right="1580"/>
        </w:sectPr>
      </w:pPr>
    </w:p>
    <w:p>
      <w:pPr>
        <w:pStyle w:val="BodyText"/>
        <w:spacing w:line="350" w:lineRule="auto" w:before="50"/>
        <w:ind w:left="122" w:right="114" w:firstLine="707"/>
        <w:jc w:val="both"/>
      </w:pPr>
      <w:r>
        <w:rPr/>
        <w:t>Así, estos resultados indican que los modelos de efectos fijos y aleatorios confirman que ambas regiones trabajan con economías de escala. Debe destacarse lo robusto de las estimaciones y que de acuerdo con la prueba de Hausman</w:t>
      </w:r>
      <w:r>
        <w:rPr>
          <w:position w:val="11"/>
          <w:sz w:val="16"/>
        </w:rPr>
        <w:t>87 </w:t>
      </w:r>
      <w:r>
        <w:rPr/>
        <w:t>los efectos aleatorios no están correlacionados con la variable explicatoria, con lo que el mejor modelo es el de efectos aleatorios para todos los casos, dado el valor de la probabilidad de la prueba F</w:t>
      </w:r>
      <w:r>
        <w:rPr>
          <w:position w:val="11"/>
          <w:sz w:val="16"/>
        </w:rPr>
        <w:t>88</w:t>
      </w:r>
      <w:r>
        <w:rPr/>
        <w:t>, los valores se aprecian en el Cuadro 4.2. Además la prueba de efectos fijos no pudo rechazar la hipótesis nula de que los efectos fijos de la sección cruzada eran redundantes.</w:t>
      </w:r>
    </w:p>
    <w:p>
      <w:pPr>
        <w:pStyle w:val="BodyText"/>
        <w:spacing w:line="360" w:lineRule="auto" w:before="17"/>
        <w:ind w:left="122" w:right="117" w:firstLine="707"/>
        <w:jc w:val="both"/>
      </w:pPr>
      <w:r>
        <w:rPr/>
        <w:t>El hecho de que los coeficientes hayan sido significativos en el modelo 1 para  ambas regiones estimadas en conjunto, implica que a pesar de la apertura comercial, y la terciarización de la economía que se ha presentado en los últimos años en el estado, los sectores clave de la industria manufacturera de ambas regiones, son los subsectores 35 y 38. Ya estimadas las regiones por separado en los modelos 1, 2 y 3 se tiene que el subsector 38 es más importante para explicar el crecimiento del producto manufacturero total de la  región Toluca-Lerma, y el subsector 35, para la región Valle de México. </w:t>
      </w:r>
      <w:r>
        <w:rPr>
          <w:spacing w:val="-3"/>
        </w:rPr>
        <w:t>La </w:t>
      </w:r>
      <w:r>
        <w:rPr/>
        <w:t>primera ley modificada en este estudio se cumple en ambas regiones de</w:t>
      </w:r>
      <w:r>
        <w:rPr>
          <w:spacing w:val="-9"/>
        </w:rPr>
        <w:t> </w:t>
      </w:r>
      <w:r>
        <w:rPr/>
        <w:t>estudio.</w:t>
      </w:r>
    </w:p>
    <w:p>
      <w:pPr>
        <w:pStyle w:val="BodyText"/>
        <w:spacing w:line="352" w:lineRule="auto" w:before="6"/>
        <w:ind w:left="122" w:right="115" w:firstLine="707"/>
        <w:jc w:val="both"/>
      </w:pPr>
      <w:r>
        <w:rPr/>
        <w:t>Los resultados obtenidos en este trabajo son coincidentes con los de Kaldor (1966) quien estableció que el crecimiento fue restringido por la demanda, y que la principal dirección de causalidad es la del crecimiento del producto a la productividad.</w:t>
      </w:r>
      <w:r>
        <w:rPr>
          <w:position w:val="11"/>
          <w:sz w:val="16"/>
        </w:rPr>
        <w:t>89 </w:t>
      </w:r>
      <w:r>
        <w:rPr/>
        <w:t>Los coeficientes significativos en ambos modelos estimados, indican la presencia de rendimientos crecientes a escala en la industria manufacturera, en ambas regiones de estudio, pero en mayor medida en la región Toluca-Lerma dado que el coeficiente es menor</w:t>
      </w:r>
    </w:p>
    <w:p>
      <w:pPr>
        <w:pStyle w:val="BodyText"/>
        <w:spacing w:before="14"/>
        <w:ind w:left="122" w:right="243"/>
      </w:pPr>
      <w:r>
        <w:rPr/>
        <w:t>a uno, y menor al que se presenta en la región Valle de México.</w:t>
      </w:r>
    </w:p>
    <w:p>
      <w:pPr>
        <w:pStyle w:val="BodyText"/>
        <w:spacing w:line="360" w:lineRule="auto" w:before="137"/>
        <w:ind w:left="122" w:right="122" w:firstLine="707"/>
        <w:jc w:val="both"/>
      </w:pPr>
      <w:r>
        <w:rPr/>
        <w:t>Entonces, a partir de las estimaciones realizadas se concluye que las bajas tasas de crecimiento económico, principalmente en la región Valle de México, se encuentran correlacionadas  con  la  insuficiencia  dinámica  del  sector  manufacturero.  Dado  que    la</w:t>
      </w:r>
    </w:p>
    <w:p>
      <w:pPr>
        <w:pStyle w:val="BodyText"/>
        <w:rPr>
          <w:sz w:val="20"/>
        </w:rPr>
      </w:pPr>
    </w:p>
    <w:p>
      <w:pPr>
        <w:pStyle w:val="BodyText"/>
        <w:spacing w:before="4"/>
        <w:rPr>
          <w:sz w:val="18"/>
        </w:rPr>
      </w:pPr>
      <w:r>
        <w:rPr/>
        <w:pict>
          <v:line style="position:absolute;mso-position-horizontal-relative:page;mso-position-vertical-relative:paragraph;z-index:3712;mso-wrap-distance-left:0;mso-wrap-distance-right:0" from="85.103996pt,12.89076pt" to="229.123996pt,12.89076pt" stroked="true" strokeweight=".71997pt" strokecolor="#000000">
            <w10:wrap type="topAndBottom"/>
          </v:line>
        </w:pict>
      </w:r>
    </w:p>
    <w:p>
      <w:pPr>
        <w:spacing w:before="42"/>
        <w:ind w:left="122" w:right="122" w:firstLine="0"/>
        <w:jc w:val="both"/>
        <w:rPr>
          <w:sz w:val="20"/>
        </w:rPr>
      </w:pPr>
      <w:r>
        <w:rPr>
          <w:position w:val="9"/>
          <w:sz w:val="13"/>
        </w:rPr>
        <w:t>87 </w:t>
      </w:r>
      <w:r>
        <w:rPr>
          <w:sz w:val="20"/>
        </w:rPr>
        <w:t>Un inconveniente de los estimadores de EF es que presentan problemas de inconsistencia, si es que existe correlación entre el efecto aleatorio no observado y las variables explicativas del modelo. Lo cual se puede probar a través de la prueba de Hausman, que evalúa la exogeneidad de los regresores.</w:t>
      </w:r>
    </w:p>
    <w:p>
      <w:pPr>
        <w:spacing w:line="228" w:lineRule="exact" w:before="4"/>
        <w:ind w:left="122" w:right="120" w:firstLine="0"/>
        <w:jc w:val="both"/>
        <w:rPr>
          <w:sz w:val="20"/>
        </w:rPr>
      </w:pPr>
      <w:r>
        <w:rPr>
          <w:position w:val="9"/>
          <w:sz w:val="13"/>
        </w:rPr>
        <w:t>88 </w:t>
      </w:r>
      <w:r>
        <w:rPr>
          <w:sz w:val="20"/>
        </w:rPr>
        <w:t>El </w:t>
      </w:r>
      <w:r>
        <w:rPr>
          <w:i/>
          <w:sz w:val="20"/>
        </w:rPr>
        <w:t>p-value </w:t>
      </w:r>
      <w:r>
        <w:rPr>
          <w:sz w:val="20"/>
        </w:rPr>
        <w:t>nos indica que podemos rechazar la H</w:t>
      </w:r>
      <w:r>
        <w:rPr>
          <w:position w:val="-2"/>
          <w:sz w:val="13"/>
        </w:rPr>
        <w:t>0</w:t>
      </w:r>
      <w:r>
        <w:rPr>
          <w:sz w:val="20"/>
        </w:rPr>
        <w:t>, por lo que es preferible usar el método de efectos aleatorios  al  de  efectos  fijos.  La  prueba  H</w:t>
      </w:r>
      <w:r>
        <w:rPr>
          <w:position w:val="-2"/>
          <w:sz w:val="13"/>
        </w:rPr>
        <w:t>0   </w:t>
      </w:r>
      <w:r>
        <w:rPr>
          <w:sz w:val="20"/>
        </w:rPr>
        <w:t>es  que  los  estimadores  de  efectos  aleatorios  no     difieren</w:t>
      </w:r>
    </w:p>
    <w:p>
      <w:pPr>
        <w:spacing w:line="216" w:lineRule="exact" w:before="0"/>
        <w:ind w:left="122" w:right="0" w:firstLine="0"/>
        <w:jc w:val="both"/>
        <w:rPr>
          <w:sz w:val="20"/>
        </w:rPr>
      </w:pPr>
      <w:r>
        <w:rPr>
          <w:sz w:val="20"/>
        </w:rPr>
        <w:t>sustancialmente, es decir; no es sistémica (Aparicio y Márquez, 2005).</w:t>
      </w:r>
    </w:p>
    <w:p>
      <w:pPr>
        <w:spacing w:line="230" w:lineRule="exact" w:before="15"/>
        <w:ind w:left="122" w:right="127" w:firstLine="0"/>
        <w:jc w:val="both"/>
        <w:rPr>
          <w:sz w:val="20"/>
        </w:rPr>
      </w:pPr>
      <w:r>
        <w:rPr>
          <w:position w:val="9"/>
          <w:sz w:val="13"/>
        </w:rPr>
        <w:t>89 </w:t>
      </w:r>
      <w:r>
        <w:rPr>
          <w:sz w:val="20"/>
        </w:rPr>
        <w:t>De acuerdo con McCombie (1981), Kaldor enfatizó mucho y le dio demasiada importancia a la demanda en vez que a los factores de oferta, la cual es la más importante en la comprensión del crecimiento de largo plazo de los países avanzados.</w:t>
      </w:r>
    </w:p>
    <w:p>
      <w:pPr>
        <w:spacing w:after="0" w:line="230" w:lineRule="exact"/>
        <w:jc w:val="both"/>
        <w:rPr>
          <w:sz w:val="20"/>
        </w:rPr>
        <w:sectPr>
          <w:pgSz w:w="12240" w:h="15840"/>
          <w:pgMar w:header="0" w:footer="1003" w:top="1360" w:bottom="1200" w:left="1580" w:right="1580"/>
        </w:sectPr>
      </w:pPr>
    </w:p>
    <w:p>
      <w:pPr>
        <w:pStyle w:val="BodyText"/>
        <w:spacing w:line="362" w:lineRule="auto" w:before="50"/>
        <w:ind w:left="102" w:right="121"/>
        <w:jc w:val="both"/>
      </w:pPr>
      <w:r>
        <w:rPr/>
        <w:t>productividad es determinada por el crecimiento de la producción manufacturera, ésta se encuentra deprimida, lo que fortalece el proceso de estancamiento.</w:t>
      </w:r>
    </w:p>
    <w:p>
      <w:pPr>
        <w:pStyle w:val="BodyText"/>
        <w:spacing w:line="360" w:lineRule="auto" w:before="1"/>
        <w:ind w:left="102" w:right="117" w:firstLine="707"/>
        <w:jc w:val="both"/>
      </w:pPr>
      <w:r>
        <w:rPr/>
        <w:t>Al respecto, es importante mencionar que la reducción sustancial de la competitividad industrial regional es consecuencia de los bajos índices de inversión en tecnología y desarrollo de la planta productiva; además de la poca capacitación de mano de obra local y la baja capacidad del sector industrial para conservar y generar empleos. Aunado a que los inversionistas frenaron sus capitales en estos municipios por la crisis económica que se vive en Estados Unidos desde el año 2002, y que al ser el principal inversionista en la manufactura mexiquense, ésta se ha visto afectada.</w:t>
      </w:r>
    </w:p>
    <w:p>
      <w:pPr>
        <w:pStyle w:val="BodyText"/>
      </w:pPr>
    </w:p>
    <w:p>
      <w:pPr>
        <w:pStyle w:val="Heading2"/>
        <w:spacing w:before="148"/>
        <w:ind w:right="0"/>
        <w:jc w:val="both"/>
      </w:pPr>
      <w:r>
        <w:rPr/>
        <w:t>Puntos concluyentes</w:t>
      </w:r>
    </w:p>
    <w:p>
      <w:pPr>
        <w:pStyle w:val="BodyText"/>
        <w:spacing w:line="360" w:lineRule="auto" w:before="134"/>
        <w:ind w:left="102" w:right="122"/>
        <w:jc w:val="both"/>
      </w:pPr>
      <w:r>
        <w:rPr/>
        <w:t>El proceso de investigación parte de supuestos, leyes y reglas establecidas universalmente mediante el método científico, de tal forma que pueden probarse o validarse en cualquier contexto, país o región. Dada la importancia potencial de las leyes de Kaldor sobre el crecimiento y desarrollo económico regional sorprende que numerosos estudios las han probado, aunque no siempre con resultados coincidentes, ni con aplicación en contextos regionales.</w:t>
      </w:r>
    </w:p>
    <w:p>
      <w:pPr>
        <w:pStyle w:val="BodyText"/>
        <w:spacing w:line="360" w:lineRule="auto" w:before="6"/>
        <w:ind w:left="102" w:right="112" w:firstLine="707"/>
        <w:jc w:val="both"/>
      </w:pPr>
      <w:r>
        <w:rPr/>
        <w:t>Las regresiones para el periodo de 1975-2008 de las regiones Toluca-Lerma y Valle de México arrojan coeficientes consistentes con la hipótesis de que hay una fuerte  y positiva relación entre el crecimiento del producto manufacturero y la productividad en la industria manufacturera. En este sentido, los subsectores 35 y 38 parecen ser el motor del crecimiento económico de ambas regiones, a pesar del mayor peso relativo del sector servicios, y del lento crecimiento del sector industrial. Los resultados obtenidos son coincidentes en otras investigaciones realizadas a nivel internacional; Mora (2003); Stilianos y Tsagdis (2006); Moreno (2008); Bairam (1987); Millin y Tennassie (2005); McCombie y de Ridder (1983); Bernart (1996) y a nivel nacional los de Calderón y Martínez (2005); Ocegueda (2003) y Sánchez</w:t>
      </w:r>
      <w:r>
        <w:rPr>
          <w:spacing w:val="-6"/>
        </w:rPr>
        <w:t> </w:t>
      </w:r>
      <w:r>
        <w:rPr/>
        <w:t>(2011).</w:t>
      </w:r>
    </w:p>
    <w:p>
      <w:pPr>
        <w:pStyle w:val="BodyText"/>
        <w:spacing w:line="360" w:lineRule="auto" w:before="6"/>
        <w:ind w:left="102" w:right="120" w:firstLine="707"/>
        <w:jc w:val="both"/>
      </w:pPr>
      <w:r>
        <w:rPr/>
        <w:t>A su vez, la existencia de coeficientes significativos en ambos modelos estimados, indica la presencia de rendimientos crecientes a escala, en mayor medida en la región Toluca-Lerma, lo cual explica el comportamiento de su producto manufacturero, el cual </w:t>
      </w:r>
      <w:r>
        <w:rPr>
          <w:spacing w:val="59"/>
        </w:rPr>
        <w:t> </w:t>
      </w:r>
      <w:r>
        <w:rPr/>
        <w:t>se</w:t>
      </w:r>
    </w:p>
    <w:p>
      <w:pPr>
        <w:spacing w:after="0" w:line="360" w:lineRule="auto"/>
        <w:jc w:val="both"/>
        <w:sectPr>
          <w:pgSz w:w="12240" w:h="15840"/>
          <w:pgMar w:header="0" w:footer="1003" w:top="1360" w:bottom="1200" w:left="1600" w:right="1580"/>
        </w:sectPr>
      </w:pPr>
    </w:p>
    <w:p>
      <w:pPr>
        <w:pStyle w:val="BodyText"/>
        <w:spacing w:line="362" w:lineRule="auto" w:before="50"/>
        <w:ind w:left="102" w:right="121"/>
      </w:pPr>
      <w:r>
        <w:rPr/>
        <w:t>ha visto menos afectado por las recesiones económicas en comparación con la región Valle de México.</w:t>
      </w:r>
    </w:p>
    <w:p>
      <w:pPr>
        <w:pStyle w:val="BodyText"/>
        <w:spacing w:line="360" w:lineRule="auto" w:before="1"/>
        <w:ind w:left="102" w:right="114" w:firstLine="707"/>
        <w:jc w:val="both"/>
      </w:pPr>
      <w:r>
        <w:rPr/>
        <w:t>En las regiones de estudio, después del cambio estructural de una economía cerrada a una economía abierta con el TLCAN, la Segunda Ley de Kaldor se cumple en ambas regiones. A su vez, se fortalece la especialización en estos subsectores como resultado de la expansión de las actividades manufactureras. El resultado es el siguiente: el dinamismo económico es impulsado por actividades productivas con rendimientos crecientes. En la región Toluca-Lerma, el crecimiento económico es impulsado por el subsector 38 y en la región Valle de México por el subsector</w:t>
      </w:r>
      <w:r>
        <w:rPr>
          <w:spacing w:val="-9"/>
        </w:rPr>
        <w:t> </w:t>
      </w:r>
      <w:r>
        <w:rPr/>
        <w:t>35.</w:t>
      </w:r>
    </w:p>
    <w:p>
      <w:pPr>
        <w:pStyle w:val="BodyText"/>
        <w:spacing w:line="360" w:lineRule="auto" w:before="7"/>
        <w:ind w:left="102" w:right="118" w:firstLine="707"/>
        <w:jc w:val="both"/>
      </w:pPr>
      <w:r>
        <w:rPr/>
        <w:t>En este sentido, la actividad manufacturera en el Estado de México es caracterizada por un dualismo geográfico, y para ir en favor de la región menos avanzada se requiere de la aplicación de políticas regionales para alentar la actividad manufacturera en tales regiones. Existe la necesidad de regular los procesos de causación circular acumulativa para reducir las desigualdades regionales, y brindar algún tipo de protección efectiva a los sectores con rendimientos crecientes y evitar el descenso de la participación de las manufacturas en el PIB. Con este estudio ha sido probado con este estudio que existen rendimientos crecientes a escala en el sector manufacturero, por lo que invertir en este sector dará resultados exitosos y aumentará la productividad de la</w:t>
      </w:r>
      <w:r>
        <w:rPr>
          <w:spacing w:val="-13"/>
        </w:rPr>
        <w:t> </w:t>
      </w:r>
      <w:r>
        <w:rPr/>
        <w:t>economía.</w:t>
      </w:r>
    </w:p>
    <w:p>
      <w:pPr>
        <w:pStyle w:val="BodyText"/>
        <w:spacing w:line="360" w:lineRule="auto" w:before="4"/>
        <w:ind w:left="102" w:right="117" w:firstLine="707"/>
        <w:jc w:val="both"/>
      </w:pPr>
      <w:r>
        <w:rPr/>
        <w:t>Así, a modo de propuesta, se puede decir que es necesario retomar una política industrial que impulse y aliente principalmente a los subsectores en los que se especializa y que son el motor del crecimiento de cada región del Estado de México, ya que de éste depende el crecimiento económico de toda la economía y el bienestar de la población. Lo anterior podrá hacerse a través de una participación activa del gobierno que promueva nuevas inversiones privadas, que canalice los recursos hacia tecnología e innovaciones, así como la dotación de infraestructura. En este sentido, el papel activo del gobierno en la instrumentación de políticas públicas que motiven e incentiven a la industria manufacturera es determinante.</w:t>
      </w:r>
    </w:p>
    <w:p>
      <w:pPr>
        <w:spacing w:after="0" w:line="360" w:lineRule="auto"/>
        <w:jc w:val="both"/>
        <w:sectPr>
          <w:pgSz w:w="12240" w:h="15840"/>
          <w:pgMar w:header="0" w:footer="1003" w:top="1360" w:bottom="1200" w:left="1600" w:right="1580"/>
        </w:sectPr>
      </w:pPr>
    </w:p>
    <w:p>
      <w:pPr>
        <w:pStyle w:val="BodyText"/>
        <w:spacing w:line="360" w:lineRule="auto" w:before="50"/>
        <w:ind w:left="102" w:right="114" w:firstLine="707"/>
        <w:jc w:val="both"/>
      </w:pPr>
      <w:r>
        <w:rPr/>
        <w:t>Respecto a la influencia de la política industrial, los planteamientos del crecimiento endógeno regional identifican al capital del sector público como fuente potencial de los rendimientos a escala. En México la evidencia empírica reciente sugiere que este es un factor dominante que distingue el elevado crecimiento de algunas regiones y el bajo de otras. Es así que al realizar el análisis del periodo 1970-2008, sobre el proceso de industrialización en México y en el Estado de México se encontró que el papel de la participación del gobierno fue decisivo, pues dicho actor sirvió como promotor y regulador de la inversión hasta antes de los años ochenta, pero posteriormente dejó todo a las fuerzas del mercado, sin una política económica de desarrollo industrial definida de largo plazo,  que ha originado y perpetuado las disparidades</w:t>
      </w:r>
      <w:r>
        <w:rPr>
          <w:spacing w:val="-7"/>
        </w:rPr>
        <w:t> </w:t>
      </w:r>
      <w:r>
        <w:rPr/>
        <w:t>regional.</w:t>
      </w:r>
    </w:p>
    <w:p>
      <w:pPr>
        <w:pStyle w:val="BodyText"/>
        <w:spacing w:line="360" w:lineRule="auto" w:before="124"/>
        <w:ind w:left="102" w:right="114" w:firstLine="707"/>
        <w:jc w:val="both"/>
      </w:pPr>
      <w:r>
        <w:rPr/>
        <w:t>Al respecto Barro (1990) y Sala i Martín (1992) ilustran que a partir de las políticas de gobierno (de competencia, industrialización, protección y apertura externa), éste incide directamente en el desempeño económico de las regiones. En particular, la industria manufacturera depende de apoyos y alicientes que recibe por parte del gobierno y de las instituciones económicas formales. En este sentido, la industria está supeditada al mercado pero también al juego de incentivos producidos por las instituciones.</w:t>
      </w:r>
    </w:p>
    <w:p>
      <w:pPr>
        <w:spacing w:after="0" w:line="360" w:lineRule="auto"/>
        <w:jc w:val="both"/>
        <w:sectPr>
          <w:pgSz w:w="12240" w:h="15840"/>
          <w:pgMar w:header="0" w:footer="1003" w:top="1360" w:bottom="1200" w:left="1600" w:right="1580"/>
        </w:sectPr>
      </w:pPr>
    </w:p>
    <w:p>
      <w:pPr>
        <w:pStyle w:val="Heading2"/>
        <w:spacing w:before="55"/>
        <w:ind w:right="0"/>
        <w:jc w:val="both"/>
      </w:pPr>
      <w:r>
        <w:rPr/>
        <w:t>Conclusiones generales</w:t>
      </w:r>
    </w:p>
    <w:p>
      <w:pPr>
        <w:pStyle w:val="BodyText"/>
        <w:rPr>
          <w:b/>
        </w:rPr>
      </w:pPr>
    </w:p>
    <w:p>
      <w:pPr>
        <w:pStyle w:val="BodyText"/>
        <w:rPr>
          <w:b/>
        </w:rPr>
      </w:pPr>
    </w:p>
    <w:p>
      <w:pPr>
        <w:pStyle w:val="BodyText"/>
        <w:spacing w:before="5"/>
        <w:rPr>
          <w:b/>
          <w:sz w:val="20"/>
        </w:rPr>
      </w:pPr>
    </w:p>
    <w:p>
      <w:pPr>
        <w:pStyle w:val="BodyText"/>
        <w:spacing w:line="360" w:lineRule="auto"/>
        <w:ind w:left="102" w:right="124"/>
        <w:jc w:val="both"/>
      </w:pPr>
      <w:r>
        <w:rPr/>
        <w:t>En este trabajo hemos observado que el proceso de industrialización en el país, a partir de  la cuarta década del siglo pasado, ha presentado una serie de dificultades que repercuten de manera muy concreta y particular en las distintas entidades de México; y sus regiones hasta nuestros días, como se muestra en los casos bajo</w:t>
      </w:r>
      <w:r>
        <w:rPr>
          <w:spacing w:val="-6"/>
        </w:rPr>
        <w:t> </w:t>
      </w:r>
      <w:r>
        <w:rPr/>
        <w:t>análisis.</w:t>
      </w:r>
    </w:p>
    <w:p>
      <w:pPr>
        <w:pStyle w:val="BodyText"/>
        <w:spacing w:line="360" w:lineRule="auto" w:before="124"/>
        <w:ind w:left="102" w:right="115" w:firstLine="707"/>
        <w:jc w:val="both"/>
      </w:pPr>
      <w:r>
        <w:rPr/>
        <w:t>Si bien la política industrial proteccionista impulsada por el gobierno mexicano en una primera etapa (1939-1958) procuró forjar efectos multiplicadores en la industria y favorecer la dinámica del mercado interno mediante ventajas fiscales (exenciones, deducciones, créditos y subsidios) e inversión pública, y consiguió, en una segunda etapa (1959-1970) un crecimiento relativamente rápido, nunca logró consolidar el sector  industrial en el país. Posterior a dichos períodos, con la crisis de la deuda de 1982 era evidente que el modelo proteccionista había traído problemas de ineficiencia y pérdida de competitividad de la planta productiva, mostrando su</w:t>
      </w:r>
      <w:r>
        <w:rPr>
          <w:spacing w:val="-8"/>
        </w:rPr>
        <w:t> </w:t>
      </w:r>
      <w:r>
        <w:rPr/>
        <w:t>agotamiento.</w:t>
      </w:r>
    </w:p>
    <w:p>
      <w:pPr>
        <w:pStyle w:val="BodyText"/>
        <w:spacing w:line="360" w:lineRule="auto" w:before="124"/>
        <w:ind w:left="102" w:right="115" w:firstLine="707"/>
        <w:jc w:val="both"/>
      </w:pPr>
      <w:r>
        <w:rPr/>
        <w:t>El rezago industrial mexicano -o su falta de consolidación- fue aún más drástico a partir del mencionado año de 1982, en el que se canceló la política industrial vía incentivos, transformándola hacia un esquema basado en el libre juego de fuerzas del mercado, abierto a la competencia exterior y con menor participación del Estado. Uno de los resultados fue  la desarticulación del proceso productivo. Como una consecuencia del proteccionismo, las empresas pertenecientes a la industria manufacturera no tuvieron la capacidad –pues no habían tenido la necesidad- para reinvertir, innovar, ni para lograr su crecimiento. En suma, el Estado paternalista mexicano había dejado una industria débil y por tanto incapaz de subsistir en el nuevo contexto y de competir, como sucedió dentro del TLCAN firmado en 1994, con los sectores industriales de Estados Unidos y Canadá, sus socios comerciales, intensificándose a su vez la desarticulación de las cadenas productivas existentes. A partir de dicho tratado, una gran proporción de empresas colapsaron por no haber logrado adaptarse al ritmo y las exigencias del mercado, mucho más moderno y</w:t>
      </w:r>
      <w:r>
        <w:rPr>
          <w:spacing w:val="-13"/>
        </w:rPr>
        <w:t> </w:t>
      </w:r>
      <w:r>
        <w:rPr/>
        <w:t>competitivo.</w:t>
      </w:r>
    </w:p>
    <w:p>
      <w:pPr>
        <w:pStyle w:val="BodyText"/>
        <w:spacing w:line="360" w:lineRule="auto" w:before="126"/>
        <w:ind w:left="102" w:right="116" w:firstLine="707"/>
        <w:jc w:val="both"/>
      </w:pPr>
      <w:r>
        <w:rPr/>
        <w:t>Así, el nuevo modelo de desarrollo, de apertura comercial y la subordinación económica al capital extranjero ocasionó el desarrollo desigual de las distintas regiones y entidades  del  país.  De  esta  manera  en  el  Estado  de  México  los  distintos  subsectores</w:t>
      </w:r>
    </w:p>
    <w:p>
      <w:pPr>
        <w:spacing w:after="0" w:line="360" w:lineRule="auto"/>
        <w:jc w:val="both"/>
        <w:sectPr>
          <w:pgSz w:w="12240" w:h="15840"/>
          <w:pgMar w:header="0" w:footer="1003" w:top="1360" w:bottom="1200" w:left="1600" w:right="1580"/>
        </w:sectPr>
      </w:pPr>
    </w:p>
    <w:p>
      <w:pPr>
        <w:pStyle w:val="BodyText"/>
        <w:spacing w:line="360" w:lineRule="auto" w:before="50"/>
        <w:ind w:left="102" w:right="123"/>
        <w:jc w:val="both"/>
      </w:pPr>
      <w:r>
        <w:rPr/>
        <w:t>industriales también enfrentaron el debilitamiento del mercado interno, los elevados costos de producción, la escasez del crédito, la dependencia externa de materias primas y la caída del valor agregado de sus actividades de manera diferenciada.</w:t>
      </w:r>
    </w:p>
    <w:p>
      <w:pPr>
        <w:pStyle w:val="BodyText"/>
        <w:spacing w:line="360" w:lineRule="auto" w:before="126"/>
        <w:ind w:left="102" w:right="118" w:firstLine="707"/>
        <w:jc w:val="both"/>
      </w:pPr>
      <w:r>
        <w:rPr/>
        <w:t>En esta entidad la Ley de Protección a la Industria, que entró en vigor en 1940 tuvo como objetivo repuntar a la industria y preparar a las empresas hacia la descentralización en los municipios conurbados al Distrito Federal, desarrollando con ello la concentración industrial en: Tlalnepantla, Naucalpan, Cuautitlán Izcalli, Tultitlán, La Paz, Cuautitlán, Tepotzotlán, Nezahualcóyotl y Atizapán de Zaragoza, y por otra parte, a partir de 1960: en Toluca, Lerma y su zona cercana de Tianguistenco, Ocoyoacac y San Mateo Atenco. Así, las dos regiones que concentraron la industria fueron la del Valle de México y de Toluca- Lerma.</w:t>
      </w:r>
    </w:p>
    <w:p>
      <w:pPr>
        <w:pStyle w:val="BodyText"/>
        <w:spacing w:line="360" w:lineRule="auto" w:before="126"/>
        <w:ind w:left="102" w:right="120" w:firstLine="707"/>
        <w:jc w:val="both"/>
      </w:pPr>
      <w:r>
        <w:rPr/>
        <w:t>En esta investigación hemos observado que las industrias asentadas en ambas regiones tampoco pudieron insertarse en el mercado de manera favorable posterior a 1982, particularmente en lo referente a su capacidad de exportación. Una de las razones fue que el establecimiento de la industria en la entidad, desde 1944, no fue concebido por los gobiernos bajo un plan determinado, coherente ni ordenado. En la década de 1940 el asentamiento industrial en el Valle de México obedeció a una lógica de mercado marcada por la cercanía con el Distrito Federal mientras que, a partir de 1960, la industrialización en el Valle de Toluca se debió a un decreto presidencial que impulsaba las políticas de desconcentración industrial.</w:t>
      </w:r>
    </w:p>
    <w:p>
      <w:pPr>
        <w:pStyle w:val="BodyText"/>
        <w:spacing w:line="360" w:lineRule="auto" w:before="124"/>
        <w:ind w:left="102" w:right="114" w:firstLine="707"/>
        <w:jc w:val="both"/>
      </w:pPr>
      <w:r>
        <w:rPr/>
        <w:t>Respecto a la influencia de la política industrial, los planteamientos del crecimiento endógeno regional identifican al capital del sector público como fuente potencial de los rendimientos a escala. En México la evidencia empírica reciente sugiere que este es un factor dominante que distingue el elevado crecimiento de algunas regiones y el bajo de otras. Es así que al realizar el análisis del periodo 1970-2008, sobre el proceso de industrialización en México y en el Estado de México se encontró que el papel de la participación del gobierno fue decisivo, pues dicho actor sirvió como promotor y regulador de la inversión hasta antes de los años ochenta, pero posteriormente dejó todo a las fuerzas del  mercado, sin  una política económica de desarrollo industrial definida  de  largo   plazo,</w:t>
      </w:r>
    </w:p>
    <w:p>
      <w:pPr>
        <w:spacing w:after="0" w:line="360" w:lineRule="auto"/>
        <w:jc w:val="both"/>
        <w:sectPr>
          <w:footerReference w:type="default" r:id="rId54"/>
          <w:pgSz w:w="12240" w:h="15840"/>
          <w:pgMar w:footer="1003" w:header="0" w:top="1360" w:bottom="1200" w:left="1600" w:right="1580"/>
          <w:pgNumType w:start="150"/>
        </w:sectPr>
      </w:pPr>
    </w:p>
    <w:p>
      <w:pPr>
        <w:pStyle w:val="BodyText"/>
        <w:spacing w:line="362" w:lineRule="auto" w:before="50"/>
        <w:ind w:left="102" w:right="189"/>
      </w:pPr>
      <w:r>
        <w:rPr/>
        <w:t>que ha originado y perpetuado las disparidades regional. El Estado paso de planificador a  no</w:t>
      </w:r>
      <w:r>
        <w:rPr>
          <w:spacing w:val="-3"/>
        </w:rPr>
        <w:t> </w:t>
      </w:r>
      <w:r>
        <w:rPr/>
        <w:t>interventor.</w:t>
      </w:r>
    </w:p>
    <w:p>
      <w:pPr>
        <w:pStyle w:val="BodyText"/>
        <w:spacing w:line="360" w:lineRule="auto" w:before="121"/>
        <w:ind w:left="102" w:right="116" w:firstLine="707"/>
        <w:jc w:val="both"/>
      </w:pPr>
      <w:r>
        <w:rPr/>
        <w:t>Al respecto Barro (1990) y Sala-i-Martín (1992), con sus planteamientos de crecimiento regional endógeno, ilustran que las políticas del gobierno (de competencia, industrialización, protección y apertura externa), inciden directamente en el desempeño económico de las regiones. En particular, la industria manufacturera depende de apoyos y alicientes que recibe por parte del gobierno y de las instituciones económicas formales que promuevan la certidumbre en las inversiones por medio de las leyes y el control a la corrupción. En este sentido, la industria está supeditada al mercado pero también al juego de incentivos producidos por las instituciones como la infraestructura urbana, las comunicaciones y el transporte; factores que fueron decisivos en la industrialización del Estado de</w:t>
      </w:r>
      <w:r>
        <w:rPr>
          <w:spacing w:val="-3"/>
        </w:rPr>
        <w:t> </w:t>
      </w:r>
      <w:r>
        <w:rPr/>
        <w:t>México.</w:t>
      </w:r>
    </w:p>
    <w:p>
      <w:pPr>
        <w:pStyle w:val="BodyText"/>
        <w:spacing w:line="360" w:lineRule="auto" w:before="124"/>
        <w:ind w:left="102" w:right="113" w:firstLine="707"/>
        <w:jc w:val="both"/>
      </w:pPr>
      <w:r>
        <w:rPr/>
        <w:t>Por otro lado, desde 1970 a 2008 en ambas regiones la producción industrial se concentró en pocos subsectores: </w:t>
      </w:r>
      <w:r>
        <w:rPr>
          <w:i/>
        </w:rPr>
        <w:t>31 Alimentos, bebidas y tabaco</w:t>
      </w:r>
      <w:r>
        <w:rPr/>
        <w:t>, </w:t>
      </w:r>
      <w:r>
        <w:rPr>
          <w:i/>
        </w:rPr>
        <w:t>38 Productos metálicos, </w:t>
      </w:r>
      <w:r>
        <w:rPr>
          <w:i/>
        </w:rPr>
        <w:t>maquinaria y equipo </w:t>
      </w:r>
      <w:r>
        <w:rPr/>
        <w:t>y </w:t>
      </w:r>
      <w:r>
        <w:rPr>
          <w:i/>
        </w:rPr>
        <w:t>35 Sustancias químicas y derivados del petróleo</w:t>
      </w:r>
      <w:r>
        <w:rPr/>
        <w:t>. Entre 1970 y  1980, las dos regiones crecieron a tasas elevadas y similares, fenómeno asociado al Modelo de Sustitución de Importaciones. Pero durante el periodo de 1980 a 2008, se observó que el ritmo de crecimiento del producto manufacturero no solo fue menor al que se presentaba antes de la apertura comercial, sino que ha sido diferenciado en las dos regiones. El bajo desempeño del sector manufacturero en materia de crecimiento se debió a la poca eficiencia y a la excesiva orientación hacia el mercado interno. Esto último, paradójicamente, como resultado de su cercanía con el Distrito Federal y porque se encontraba en un contexto industrial altamente protegido por el</w:t>
      </w:r>
      <w:r>
        <w:rPr>
          <w:spacing w:val="-7"/>
        </w:rPr>
        <w:t> </w:t>
      </w:r>
      <w:r>
        <w:rPr/>
        <w:t>Estado.</w:t>
      </w:r>
    </w:p>
    <w:p>
      <w:pPr>
        <w:pStyle w:val="BodyText"/>
        <w:spacing w:line="360" w:lineRule="auto" w:before="126"/>
        <w:ind w:left="102" w:right="118" w:firstLine="707"/>
        <w:jc w:val="both"/>
      </w:pPr>
      <w:r>
        <w:rPr/>
        <w:t>Durante el periodo de estudio ambas regiones se especializaron de forma absoluta  en el subsector </w:t>
      </w:r>
      <w:r>
        <w:rPr>
          <w:i/>
        </w:rPr>
        <w:t>38 Productos metálicos, maquinaria y equipo</w:t>
      </w:r>
      <w:r>
        <w:rPr/>
        <w:t>, el cual generó más valor agregado, es dinámico y moderno, además de ofrecer mejores condiciones que los subsectores tradicionales. Sin embargo, a pesar de ello, no se logró el fortalecimiento de la industria, siendo este el subsector que más se ha visto afectado por la apertura comercial, lo que se ve reflejado en la disminución de su participación a través de los años, dentro de la producción total</w:t>
      </w:r>
      <w:r>
        <w:rPr>
          <w:spacing w:val="54"/>
        </w:rPr>
        <w:t> </w:t>
      </w:r>
      <w:r>
        <w:rPr/>
        <w:t>manufacturera.</w:t>
      </w:r>
    </w:p>
    <w:p>
      <w:pPr>
        <w:spacing w:after="0" w:line="360" w:lineRule="auto"/>
        <w:jc w:val="both"/>
        <w:sectPr>
          <w:pgSz w:w="12240" w:h="15840"/>
          <w:pgMar w:header="0" w:footer="1003" w:top="1360" w:bottom="1200" w:left="1600" w:right="1580"/>
        </w:sectPr>
      </w:pPr>
    </w:p>
    <w:p>
      <w:pPr>
        <w:pStyle w:val="BodyText"/>
        <w:spacing w:line="360" w:lineRule="auto" w:before="50"/>
        <w:ind w:left="102" w:right="116" w:firstLine="707"/>
        <w:jc w:val="both"/>
      </w:pPr>
      <w:r>
        <w:rPr/>
        <w:t>En cuanto al contraste entre ambas regiones, pudimos observar que la especialización relativa en la región Valle de México se concentró en el subsector </w:t>
      </w:r>
      <w:r>
        <w:rPr>
          <w:i/>
        </w:rPr>
        <w:t>37, </w:t>
      </w:r>
      <w:r>
        <w:rPr>
          <w:i/>
        </w:rPr>
        <w:t>Industrias metálicas básicas, 33 Productos de Madera, 34 Productos de papel y en el 39 Otras industrias manufactureras</w:t>
      </w:r>
      <w:r>
        <w:rPr/>
        <w:t>. Esto es, de acuerdo con la clasificación de Pavitt (1984), algunos subsectores fueron dominados por el proveedor, siendo industrias tradicionales y empresas pequeñas que no generan innovaciones (subsectores 33 y 34), u otros estaban conformados por industrias productoras de bienes tecnológicamente maduros con economías de escala significativas y procesos continuos pero que no se caracterizan por innovaciones radicales (subsector 37). En estos últimos se presentan mejoras en los procesos, la adopción y desarrollo de nuevos equipos, la explotación de economías de escala, que retienen principalmente ensamblaje intensivo en trabajo de menor  productividad. Su especialización en subsectores de bajo dinamismo tecnológico explica,  en parte, el comportamiento del producto decreciente de esta región, dado que la baja productividad es consecuencia de los bajos índices de inversión en tecnología y desarrollo en la planta productiva, lo cual contribuye al proceso de</w:t>
      </w:r>
      <w:r>
        <w:rPr>
          <w:spacing w:val="-11"/>
        </w:rPr>
        <w:t> </w:t>
      </w:r>
      <w:r>
        <w:rPr/>
        <w:t>estancamiento.</w:t>
      </w:r>
    </w:p>
    <w:p>
      <w:pPr>
        <w:pStyle w:val="BodyText"/>
        <w:spacing w:line="360" w:lineRule="auto" w:before="126"/>
        <w:ind w:left="102" w:right="114" w:firstLine="707"/>
        <w:jc w:val="both"/>
      </w:pPr>
      <w:r>
        <w:rPr/>
        <w:t>Por su parte, en la región Toluca-Lerma la especialización que tuvo lugar a partir de 1970 se dio en el subsector </w:t>
      </w:r>
      <w:r>
        <w:rPr>
          <w:i/>
        </w:rPr>
        <w:t>31 Productos alimenticios, bebidas y tabaco, 38 Productos </w:t>
      </w:r>
      <w:r>
        <w:rPr>
          <w:i/>
        </w:rPr>
        <w:t>metálicos, maquinaria y equipo, y 35 Sustancias químicas y productos derivados del petróleo</w:t>
      </w:r>
      <w:r>
        <w:rPr/>
        <w:t>. Dentro del subsector 38, clasificado como intensivo en escala, </w:t>
      </w:r>
      <w:r>
        <w:rPr>
          <w:spacing w:val="-3"/>
        </w:rPr>
        <w:t>ya </w:t>
      </w:r>
      <w:r>
        <w:rPr/>
        <w:t>explicado anteriormente, la especialización tiene lugar principalmente en la rama automotriz, la cual  es altamente exportadora, y que a la fecha ha sorteado con éxito todos los ciclos de la economía, razón por la cual la región Toluca-Lerma es más dinámica que la región Valle de México. El subsector 31 se caracteriza por ser de las actividades más tradicionales en el Estado de México, se clasifica dentro de las empresas dominadas por el proveedor, caracterizado por actividades con base en recursos naturales, en las que predominan tecnologías maduras y difundidas en condiciones de poco dinamismo tecnológico. Finalmente, el subsector 35 se clasifica dentro de las empresas grandes que realizan fuertes inversiones en investigación y desarrollo, es decir basados en la ciencia. Y el hecho de que esta región cuente con subsectores intensivos en escala y basados en la ciencia la hace más productiva y con más posibilidades de alcanzar mayores tasas de crecimiento de su  producto que la del Valle de</w:t>
      </w:r>
      <w:r>
        <w:rPr>
          <w:spacing w:val="-3"/>
        </w:rPr>
        <w:t> </w:t>
      </w:r>
      <w:r>
        <w:rPr/>
        <w:t>México.</w:t>
      </w:r>
    </w:p>
    <w:p>
      <w:pPr>
        <w:spacing w:after="0" w:line="360" w:lineRule="auto"/>
        <w:jc w:val="both"/>
        <w:sectPr>
          <w:pgSz w:w="12240" w:h="15840"/>
          <w:pgMar w:header="0" w:footer="1003" w:top="1360" w:bottom="1200" w:left="1600" w:right="1580"/>
        </w:sectPr>
      </w:pPr>
    </w:p>
    <w:p>
      <w:pPr>
        <w:pStyle w:val="BodyText"/>
        <w:spacing w:line="360" w:lineRule="auto" w:before="50"/>
        <w:ind w:left="102" w:right="115" w:firstLine="707"/>
        <w:jc w:val="both"/>
      </w:pPr>
      <w:r>
        <w:rPr/>
        <w:t>Según la visión de especialización ricardiana, las regiones especializadas en bienes con alto nivel tecnológico en sus procesos productivos tienen mayores posibilidades de alcanzar tasas más altas de productividad, lo cual puede reflejarse en un mayor crecimiento económico. Esto es, algunas actividades ofrecen mayores posibilidades de crecimiento que otras, lo cual explica las diferencias que hemos señalado en las regiones bajo análisis,  dentro de las que destaca el subsector 35 y</w:t>
      </w:r>
      <w:r>
        <w:rPr>
          <w:spacing w:val="-8"/>
        </w:rPr>
        <w:t> </w:t>
      </w:r>
      <w:r>
        <w:rPr/>
        <w:t>38.</w:t>
      </w:r>
    </w:p>
    <w:p>
      <w:pPr>
        <w:pStyle w:val="BodyText"/>
        <w:spacing w:line="360" w:lineRule="auto" w:before="124"/>
        <w:ind w:left="102" w:right="116" w:firstLine="707"/>
        <w:jc w:val="both"/>
      </w:pPr>
      <w:r>
        <w:rPr/>
        <w:t>Así, corroborando el análisis anterior, la técnica </w:t>
      </w:r>
      <w:r>
        <w:rPr>
          <w:i/>
        </w:rPr>
        <w:t>Shift-share </w:t>
      </w:r>
      <w:r>
        <w:rPr/>
        <w:t>mostró que la región más dinámica es la Toluca-Lerma, dado que se especializa en subsectores de crecimiento acelerado, dinámicos (subsector 35) y modernos (subsector 38). Esta región no se ha visto tan afectada por la apertura comercial, como la región Valle de México, a excepción de los años 1985 y 2003. En el primero de ellos debido a la crisis de la deuda y en el segundo por efectos en México de la recesión de Estados Unidos. Por su parte, la región más afectada por la apertura es la región Valle de México, porque se clasifica como región tipo IV caracterizada por especializarse en subsectores atrasados, deprimidos y de lento  crecimiento (</w:t>
      </w:r>
      <w:r>
        <w:rPr>
          <w:i/>
        </w:rPr>
        <w:t>33, 34 y 37</w:t>
      </w:r>
      <w:r>
        <w:rPr/>
        <w:t>). La estructura y evolución por subsectores en ambas regiones define notablemente su</w:t>
      </w:r>
      <w:r>
        <w:rPr>
          <w:spacing w:val="-2"/>
        </w:rPr>
        <w:t> </w:t>
      </w:r>
      <w:r>
        <w:rPr/>
        <w:t>dinamismo.</w:t>
      </w:r>
    </w:p>
    <w:p>
      <w:pPr>
        <w:pStyle w:val="BodyText"/>
        <w:spacing w:line="360" w:lineRule="auto" w:before="124"/>
        <w:ind w:left="102" w:right="115" w:firstLine="707"/>
        <w:jc w:val="both"/>
      </w:pPr>
      <w:r>
        <w:rPr/>
        <w:t>De igual forma, con el análisis a las industrias motrices, claves para el crecimiento económico, obtuvimos que para la región Valle de México, antes y después de la apertura comercial se mantuvieron como subsectores motrices a los subsectores 31 y 35. Es decir, que desde 1970 a 2008 los subsectores que impulsaban a la economía de esta región fueron el 31 y 35. A su vez, en la región Toluca-Lerma, durante el periodo de 1970-1985, los subsectores más dinámicos fueron el </w:t>
      </w:r>
      <w:r>
        <w:rPr>
          <w:i/>
        </w:rPr>
        <w:t>33, Industria de la madera y productos de madera y el </w:t>
      </w:r>
      <w:r>
        <w:rPr>
          <w:i/>
        </w:rPr>
        <w:t>38, Productos metálicos, maquinaria y equipo</w:t>
      </w:r>
      <w:r>
        <w:rPr/>
        <w:t>. En el periodo de apertura comercial el subsector 38 fue el que impulsó el crecimiento económico de esta región. </w:t>
      </w:r>
      <w:r>
        <w:rPr>
          <w:spacing w:val="-3"/>
        </w:rPr>
        <w:t>Lo </w:t>
      </w:r>
      <w:r>
        <w:rPr/>
        <w:t>anterior muestra que el subsector 38 es el que se ha perpetuado a través de los años fortaleciendo su estructura productiva y generando efectos multiplicadores en la región Toluca-Lerma, por  lo que se deberían promover políticas que alienten y protejan a sus ramas motrices porque estos son los que generan externalidades positivas al resto de la economía. En este sentido, según los planteamientos neoclásicos, la introducción de nuevas tecnologías e innovación es fundamental para garantizar un proceso de competencia en los mercados tanto internos como</w:t>
      </w:r>
      <w:r>
        <w:rPr>
          <w:spacing w:val="-5"/>
        </w:rPr>
        <w:t> </w:t>
      </w:r>
      <w:r>
        <w:rPr/>
        <w:t>internacionales,</w:t>
      </w:r>
    </w:p>
    <w:p>
      <w:pPr>
        <w:spacing w:after="0" w:line="360" w:lineRule="auto"/>
        <w:jc w:val="both"/>
        <w:sectPr>
          <w:pgSz w:w="12240" w:h="15840"/>
          <w:pgMar w:header="0" w:footer="1003" w:top="1360" w:bottom="1200" w:left="1600" w:right="1580"/>
        </w:sectPr>
      </w:pPr>
    </w:p>
    <w:p>
      <w:pPr>
        <w:pStyle w:val="BodyText"/>
        <w:spacing w:line="360" w:lineRule="auto" w:before="50"/>
        <w:ind w:left="102" w:right="117" w:firstLine="707"/>
        <w:jc w:val="both"/>
      </w:pPr>
      <w:r>
        <w:rPr/>
        <w:t>Como también pudimos observar, el análisis de la producción manufacturera de las regiones de estudio se probó con un ejercicio alternativo de la Primera y Segunda Ley de Kaldor, mediante un modelo econométrico con datos de panel. Los coeficientes significativos de la Primera Ley, en que el crecimiento del PIB total de la economía es tomado como el producto total manufacturero, y el PIB total manufacturero es tomado como el producto del subsector 35 y 38, indican la presencia de rendimientos crecientes a escala, en mayor medida en la región Toluca-Lerma, lo cual es explicado por el comportamiento del producto del subsector 38 (con un valor del coeficiente de 0.35) en comparación con la región Valle de México, donde el subsector que impulsa su crecimiento es el 35 (con un valor del coeficiente de</w:t>
      </w:r>
      <w:r>
        <w:rPr>
          <w:spacing w:val="-8"/>
        </w:rPr>
        <w:t> </w:t>
      </w:r>
      <w:r>
        <w:rPr/>
        <w:t>0.76).</w:t>
      </w:r>
    </w:p>
    <w:p>
      <w:pPr>
        <w:pStyle w:val="BodyText"/>
        <w:spacing w:line="360" w:lineRule="auto" w:before="124"/>
        <w:ind w:left="102" w:right="117" w:firstLine="707"/>
        <w:jc w:val="both"/>
      </w:pPr>
      <w:r>
        <w:rPr/>
        <w:t>Este análisis permitió constatar la hipótesis de que hay una fuerte y positiva relación entre el crecimiento del producto manufacturero y la tasa de crecimiento de la  productividad en la industria manufacturera para el periodo de 1975-2003. Los resultados obtenidos son coincidentes en otras investigaciones realizadas a nivel internacional (Mora, 2003; Stilianos y Tsagdis, 2006; Moreno, 2008; Bairam, 1987; Millin y Tennassie, 2005; McCombie y de Ridder, 1983; Bernart, 1996; y a nivel nacional (Calderón y Martínez, 2005; Ocegueda, 2003 y Sánchez, 2011), puesto que el coeficiente de Verdoorn es de 0.53, lo que implica la existencia de economías de escala. En efecto, una vez, que la región tiene ventajas sobre el crecimiento ésta tiende a sostener estas ventajas a través del proceso de rendimientos crecientes, que induce el crecimiento por sí mismo, lo cual contribuye a acentuar las diferencias regionales. En este sentido, estos resultados confirman que la  región Toluca-Lerma es más dinámica dadas sus economías de escala crecientes. Al respecto, la ley de Verdoorn ofrece una explicación para la persistencia de disparidades regionales, </w:t>
      </w:r>
      <w:r>
        <w:rPr>
          <w:spacing w:val="-3"/>
        </w:rPr>
        <w:t>ya </w:t>
      </w:r>
      <w:r>
        <w:rPr/>
        <w:t>que una vez que la región tiene ventajas sobre el crecimiento, está tenderá a sostener esas ventajas a través del proceso de rendimientos crecientes, que induce el crecimiento por sí</w:t>
      </w:r>
      <w:r>
        <w:rPr>
          <w:spacing w:val="-5"/>
        </w:rPr>
        <w:t> </w:t>
      </w:r>
      <w:r>
        <w:rPr/>
        <w:t>mismo.</w:t>
      </w:r>
    </w:p>
    <w:p>
      <w:pPr>
        <w:pStyle w:val="BodyText"/>
        <w:spacing w:line="360" w:lineRule="auto" w:before="124"/>
        <w:ind w:left="102" w:right="117" w:firstLine="707"/>
        <w:jc w:val="both"/>
      </w:pPr>
      <w:r>
        <w:rPr/>
        <w:t>Es así que en las regiones de estudio, después de las transformaciones estructurales de los años ochenta, el sector industrial manufacturero ha sido impulsado por los subsectores 35 y 38, siendo el motor del crecimiento económico, a pesar del mayor peso relativo del sector servicios, y del lento crecimiento del sector industrial.</w:t>
      </w:r>
    </w:p>
    <w:p>
      <w:pPr>
        <w:spacing w:after="0" w:line="360" w:lineRule="auto"/>
        <w:jc w:val="both"/>
        <w:sectPr>
          <w:pgSz w:w="12240" w:h="15840"/>
          <w:pgMar w:header="0" w:footer="1003" w:top="1360" w:bottom="1200" w:left="1600" w:right="1580"/>
        </w:sectPr>
      </w:pPr>
    </w:p>
    <w:p>
      <w:pPr>
        <w:pStyle w:val="BodyText"/>
        <w:spacing w:line="360" w:lineRule="auto" w:before="50"/>
        <w:ind w:left="102" w:right="114" w:firstLine="707"/>
        <w:jc w:val="both"/>
      </w:pPr>
      <w:r>
        <w:rPr/>
        <w:t>La productividad del sector manufacturero es la que impulsa el crecimiento de toda la economía, se vuelve entonces un factor endógeno al sistema que puede estimular las mayores exportaciones, tal como lo plantea Kaldor (1966). Derivado del análisis realizado usando la Primera y Segunda Ley de Kaldor, coincidimos en señalar que la productividad puede ser el factor común y un vínculo entre las dos corrientes teóricas del crecimiento analizadas por factores de oferta y las teorías del crecimiento explicadas por el lado de la demanda. Por el lado de la oferta con las instituciones como promotoras de la industrialización de la entidad mexiquense; las ideas, innovación y progreso tecnológico endógenos al sistema y la especialización productiva. Y por su parte, por el lado de la demanda; la causación acumulativa; la Primera y Segunda Ley de Kaldor; las economías de escala, y las industrias motrices y de exportación. Ambos enfoques sirvieron de marco para sustentar la explicación del fenómeno de estudio.</w:t>
      </w:r>
    </w:p>
    <w:p>
      <w:pPr>
        <w:pStyle w:val="BodyText"/>
        <w:spacing w:line="360" w:lineRule="auto" w:before="124"/>
        <w:ind w:left="102" w:right="115" w:firstLine="707"/>
        <w:jc w:val="both"/>
      </w:pPr>
      <w:r>
        <w:rPr/>
        <w:t>De este modo, al enlazar la teoría del crecimiento económico regional con sus técnicas de análisis y econométricas se ha podido generar una buena metodología que nos ha permitido analizar el papel de la especialización en subsectores manufactureros dinámicos en el crecimiento, durante el periodo de 1970 a 2008, y así hemos obtenido un diagnóstico del crecimiento diferenciado de las regiones de estudio. Cabe mencionar que una de las lecciones importantes que se puede extraer de esta literatura es que no hay un simple determinante del crecimiento. Sin embargo, en esta investigación, hemos observado que el factor de análisis en las teorías del crecimiento regional, tanto en el enfoque de la oferta, como en el de demanda, se vincula con la productividad, la cual propicia el crecimiento económico.</w:t>
      </w:r>
    </w:p>
    <w:p>
      <w:pPr>
        <w:pStyle w:val="BodyText"/>
        <w:spacing w:line="360" w:lineRule="auto" w:before="124"/>
        <w:ind w:left="102" w:right="113" w:firstLine="707"/>
        <w:jc w:val="both"/>
      </w:pPr>
      <w:r>
        <w:rPr/>
        <w:t>Por lo tanto, con los resultados y el marco de teorías eclécticas del crecimiento económico regional se corrobora la hipótesis inicialmente planteada. Esto es: la falta de políticas industriales activas a nivel estatal y la especialización productiva en subsectores dinámicos, explican las diferencias en el crecimiento de las regiones Toluca-Lerma y Valle de México. Así, estos subsectores con alto componente tecnológico, innovación y economías de escala, explican el comportamiento diferenciado del producto manufacturero de las regiones Toluca-Lerma y Valle de México durante el periodo de 1970 a 2008.</w:t>
      </w:r>
    </w:p>
    <w:p>
      <w:pPr>
        <w:spacing w:after="0" w:line="360" w:lineRule="auto"/>
        <w:jc w:val="both"/>
        <w:sectPr>
          <w:pgSz w:w="12240" w:h="15840"/>
          <w:pgMar w:header="0" w:footer="1003" w:top="1360" w:bottom="1200" w:left="1600" w:right="1580"/>
        </w:sectPr>
      </w:pPr>
    </w:p>
    <w:p>
      <w:pPr>
        <w:pStyle w:val="BodyText"/>
        <w:spacing w:line="360" w:lineRule="auto" w:before="50"/>
        <w:ind w:left="102" w:right="116" w:firstLine="707"/>
        <w:jc w:val="both"/>
      </w:pPr>
      <w:r>
        <w:rPr/>
        <w:t>Con la evidencia empírica encontrada en esta investigación, podemos decir que es necesario un replanteamiento de la política económica a nivel nacional y estatal que incentive la inversión, la producción y el empleo. Así, con la información obtenida, y a modo de propuesta sugerimos que las políticas públicas deberán enfocarse a apoyar, alentar e incentivar a los subsectores dinámicos, con rendimientos crecientes y líderes de cada región de estudio, identificados en ésta investigación. En lugar del paternalismo  empresarial debe instrumentarse una política de inversión, investigación, innovación y desarrollo tecnológico que fortalezca la especialización productiva. Esto debido a que, de acuerdo con la teoría del crecimiento endógeno, el ritmo de crecimiento de una economía en el largo plazo depende de la velocidad con que se invierta en los subsectores donde se encuentran las economías de escala. En este estudio ha sido probado que existen rendimientos crecientes a escala en los subsectores 35 y 38, por lo que invertir en ambos dará resultados exitosos y aumentará la productividad de toda la</w:t>
      </w:r>
      <w:r>
        <w:rPr>
          <w:spacing w:val="-10"/>
        </w:rPr>
        <w:t> </w:t>
      </w:r>
      <w:r>
        <w:rPr/>
        <w:t>economía.</w:t>
      </w:r>
    </w:p>
    <w:p>
      <w:pPr>
        <w:pStyle w:val="BodyText"/>
        <w:spacing w:line="360" w:lineRule="auto" w:before="126"/>
        <w:ind w:left="102" w:right="116" w:firstLine="707"/>
        <w:jc w:val="both"/>
      </w:pPr>
      <w:r>
        <w:rPr/>
        <w:t>Finalmente, es importante aclarar que es necesario analizar los factores macroeconómicos del crecimiento económico que expliquen el comportamiento del sector manufacturero de manera más agregada, lo que abre la posibilidad para una futura agenda de investigación. De igual forma, es importante mencionar que el estudio de las externalidades espaciales, planteadas por la Nueva Geografía Económica, podrían ayudar a explicar los procesos de acumulación de riqueza de ambas regiones, así como la utilización de modelos que analicen la interacción espacial entre las regiones de estudio, ya que las técnicas empleadas aquí dejan componentes explicativos del crecimiento atribuibles a otros múltiples factores.</w:t>
      </w:r>
    </w:p>
    <w:p>
      <w:pPr>
        <w:spacing w:after="0" w:line="360" w:lineRule="auto"/>
        <w:jc w:val="both"/>
        <w:sectPr>
          <w:pgSz w:w="12240" w:h="15840"/>
          <w:pgMar w:header="0" w:footer="1003" w:top="1360" w:bottom="1200" w:left="1600" w:right="1580"/>
        </w:sectPr>
      </w:pPr>
    </w:p>
    <w:p>
      <w:pPr>
        <w:pStyle w:val="Heading1"/>
        <w:spacing w:before="16"/>
        <w:ind w:left="122" w:right="243"/>
        <w:jc w:val="left"/>
        <w:rPr>
          <w:rFonts w:ascii="Calibri" w:hAnsi="Calibri"/>
        </w:rPr>
      </w:pPr>
      <w:r>
        <w:rPr>
          <w:rFonts w:ascii="Calibri" w:hAnsi="Calibri"/>
        </w:rPr>
        <w:t>Bibliografía</w:t>
      </w:r>
    </w:p>
    <w:p>
      <w:pPr>
        <w:pStyle w:val="BodyText"/>
        <w:rPr>
          <w:rFonts w:ascii="Calibri"/>
          <w:b/>
          <w:sz w:val="28"/>
        </w:rPr>
      </w:pPr>
    </w:p>
    <w:p>
      <w:pPr>
        <w:pStyle w:val="BodyText"/>
        <w:spacing w:before="10"/>
        <w:rPr>
          <w:rFonts w:ascii="Calibri"/>
          <w:b/>
          <w:sz w:val="20"/>
        </w:rPr>
      </w:pPr>
    </w:p>
    <w:p>
      <w:pPr>
        <w:spacing w:line="276" w:lineRule="auto" w:before="0"/>
        <w:ind w:left="830" w:right="117" w:hanging="708"/>
        <w:jc w:val="both"/>
        <w:rPr>
          <w:sz w:val="24"/>
        </w:rPr>
      </w:pPr>
      <w:r>
        <w:rPr>
          <w:sz w:val="24"/>
        </w:rPr>
        <w:t>Aguilar Barajas, Ismael (1993), </w:t>
      </w:r>
      <w:r>
        <w:rPr>
          <w:i/>
          <w:sz w:val="24"/>
        </w:rPr>
        <w:t>Descentralización industrial y desarrollo regional en </w:t>
      </w:r>
      <w:r>
        <w:rPr>
          <w:i/>
          <w:sz w:val="24"/>
        </w:rPr>
        <w:t>México</w:t>
      </w:r>
      <w:r>
        <w:rPr>
          <w:sz w:val="24"/>
        </w:rPr>
        <w:t>, El Colegio de México, México.</w:t>
      </w:r>
    </w:p>
    <w:p>
      <w:pPr>
        <w:spacing w:before="118"/>
        <w:ind w:left="830" w:right="243" w:hanging="708"/>
        <w:jc w:val="left"/>
        <w:rPr>
          <w:sz w:val="24"/>
        </w:rPr>
      </w:pPr>
      <w:hyperlink r:id="rId55">
        <w:r>
          <w:rPr>
            <w:sz w:val="24"/>
          </w:rPr>
          <w:t>Aparicio,</w:t>
        </w:r>
      </w:hyperlink>
      <w:r>
        <w:rPr>
          <w:sz w:val="24"/>
        </w:rPr>
        <w:t> Javier y Javier Márquez (2005), </w:t>
      </w:r>
      <w:r>
        <w:rPr>
          <w:i/>
          <w:sz w:val="24"/>
        </w:rPr>
        <w:t>Diagnóstico y especificación de modelos panel </w:t>
      </w:r>
      <w:r>
        <w:rPr>
          <w:i/>
          <w:sz w:val="24"/>
        </w:rPr>
        <w:t>en Stata 8.0, </w:t>
      </w:r>
      <w:r>
        <w:rPr>
          <w:sz w:val="24"/>
        </w:rPr>
        <w:t>División de Estudios Políticos, CIDE, México.</w:t>
      </w:r>
    </w:p>
    <w:p>
      <w:pPr>
        <w:spacing w:line="278" w:lineRule="auto" w:before="122"/>
        <w:ind w:left="830" w:right="118" w:hanging="708"/>
        <w:jc w:val="both"/>
        <w:rPr>
          <w:sz w:val="24"/>
        </w:rPr>
      </w:pPr>
      <w:r>
        <w:rPr>
          <w:sz w:val="24"/>
        </w:rPr>
        <w:t>Aranda Sánchez, José María (2000), </w:t>
      </w:r>
      <w:r>
        <w:rPr>
          <w:i/>
          <w:sz w:val="24"/>
        </w:rPr>
        <w:t>Conformación de la zona metropolitana en Toluca, </w:t>
      </w:r>
      <w:r>
        <w:rPr>
          <w:i/>
          <w:sz w:val="24"/>
        </w:rPr>
        <w:t>1960-1990</w:t>
      </w:r>
      <w:r>
        <w:rPr>
          <w:sz w:val="24"/>
        </w:rPr>
        <w:t>,  Universidad Autónoma del Estado de México.</w:t>
      </w:r>
    </w:p>
    <w:p>
      <w:pPr>
        <w:pStyle w:val="BodyText"/>
        <w:spacing w:line="276" w:lineRule="auto" w:before="118"/>
        <w:ind w:left="830" w:right="116" w:hanging="708"/>
        <w:jc w:val="both"/>
      </w:pPr>
      <w:r>
        <w:rPr/>
        <w:t>Arteaga, Botello Nelson (2005), “Los estudios sobre la zona metropolitana del Valle de Toluca. Aproximaciones estructurales y centradas en los actores”, </w:t>
      </w:r>
      <w:r>
        <w:rPr>
          <w:i/>
        </w:rPr>
        <w:t>Región y </w:t>
      </w:r>
      <w:r>
        <w:rPr>
          <w:i/>
        </w:rPr>
        <w:t>sociedad</w:t>
      </w:r>
      <w:r>
        <w:rPr/>
        <w:t>, vol. XVII, núm. 33, pp. 71-105.</w:t>
      </w:r>
    </w:p>
    <w:p>
      <w:pPr>
        <w:spacing w:line="276" w:lineRule="auto" w:before="123"/>
        <w:ind w:left="830" w:right="118" w:hanging="708"/>
        <w:jc w:val="both"/>
        <w:rPr>
          <w:sz w:val="24"/>
        </w:rPr>
      </w:pPr>
      <w:r>
        <w:rPr>
          <w:sz w:val="24"/>
        </w:rPr>
        <w:t>Arrow, K. (1962), “The Economic Implications of Learning by Doing”, </w:t>
      </w:r>
      <w:r>
        <w:rPr>
          <w:i/>
          <w:sz w:val="24"/>
        </w:rPr>
        <w:t>Review of </w:t>
      </w:r>
      <w:r>
        <w:rPr>
          <w:i/>
          <w:sz w:val="24"/>
        </w:rPr>
        <w:t>Economic Studies, </w:t>
      </w:r>
      <w:r>
        <w:rPr>
          <w:sz w:val="24"/>
        </w:rPr>
        <w:t>vol. 29, núm. 3, pp. 155-173.</w:t>
      </w:r>
    </w:p>
    <w:p>
      <w:pPr>
        <w:spacing w:line="276" w:lineRule="auto" w:before="121"/>
        <w:ind w:left="830" w:right="119" w:hanging="708"/>
        <w:jc w:val="both"/>
        <w:rPr>
          <w:sz w:val="24"/>
        </w:rPr>
      </w:pPr>
      <w:r>
        <w:rPr>
          <w:sz w:val="24"/>
        </w:rPr>
        <w:t>Asuad Sanén, Normand (2001), </w:t>
      </w:r>
      <w:r>
        <w:rPr>
          <w:i/>
          <w:sz w:val="24"/>
        </w:rPr>
        <w:t>Economía Regional y Urbana, Introducción a las teorías, </w:t>
      </w:r>
      <w:r>
        <w:rPr>
          <w:i/>
          <w:sz w:val="24"/>
        </w:rPr>
        <w:t>técnicas y metodologías básicas</w:t>
      </w:r>
      <w:r>
        <w:rPr>
          <w:sz w:val="24"/>
        </w:rPr>
        <w:t>, Dirección General de Fomento Editorial, Benemérita Universidad Autónoma de Puebla-FE UNAM, México.</w:t>
      </w:r>
    </w:p>
    <w:p>
      <w:pPr>
        <w:pStyle w:val="BodyText"/>
        <w:spacing w:line="276" w:lineRule="auto" w:before="123"/>
        <w:ind w:left="830" w:right="124" w:hanging="708"/>
        <w:jc w:val="both"/>
      </w:pPr>
      <w:r>
        <w:rPr/>
        <w:t>Bairam, Erkin (1987), “The Verdoorn law, returns to scale and industrial growth: a review of the literature”, </w:t>
      </w:r>
      <w:r>
        <w:rPr>
          <w:i/>
        </w:rPr>
        <w:t>Australian Economic Papers</w:t>
      </w:r>
      <w:r>
        <w:rPr/>
        <w:t>, vol. 26, núm. 48, pp. 20-42.</w:t>
      </w:r>
    </w:p>
    <w:p>
      <w:pPr>
        <w:spacing w:before="121"/>
        <w:ind w:left="122" w:right="243" w:firstLine="0"/>
        <w:jc w:val="left"/>
        <w:rPr>
          <w:sz w:val="24"/>
        </w:rPr>
      </w:pPr>
      <w:r>
        <w:rPr>
          <w:sz w:val="24"/>
        </w:rPr>
        <w:t>Banco de México (2008), </w:t>
      </w:r>
      <w:r>
        <w:rPr>
          <w:i/>
          <w:sz w:val="24"/>
        </w:rPr>
        <w:t>Informe anual</w:t>
      </w:r>
      <w:r>
        <w:rPr>
          <w:sz w:val="24"/>
        </w:rPr>
        <w:t>.</w:t>
      </w:r>
    </w:p>
    <w:p>
      <w:pPr>
        <w:pStyle w:val="BodyText"/>
        <w:spacing w:line="278" w:lineRule="auto" w:before="161"/>
        <w:ind w:left="830" w:right="115" w:hanging="708"/>
        <w:jc w:val="both"/>
      </w:pPr>
      <w:r>
        <w:rPr/>
        <w:t>Bancomext (2005), “Geografía de la exportación mexicana”, </w:t>
      </w:r>
      <w:r>
        <w:rPr>
          <w:i/>
        </w:rPr>
        <w:t>Negocios</w:t>
      </w:r>
      <w:r>
        <w:rPr/>
        <w:t>, Suplemento especial, December.</w:t>
      </w:r>
    </w:p>
    <w:p>
      <w:pPr>
        <w:pStyle w:val="BodyText"/>
        <w:spacing w:before="118"/>
        <w:ind w:left="122" w:right="243"/>
      </w:pPr>
      <w:r>
        <w:rPr/>
        <w:t>Barro, Robert (1990), “Goverment Spending in a simple model of endogenous growth”,</w:t>
      </w:r>
    </w:p>
    <w:p>
      <w:pPr>
        <w:spacing w:before="41"/>
        <w:ind w:left="830" w:right="243" w:firstLine="0"/>
        <w:jc w:val="left"/>
        <w:rPr>
          <w:sz w:val="24"/>
        </w:rPr>
      </w:pPr>
      <w:r>
        <w:rPr>
          <w:i/>
          <w:sz w:val="24"/>
        </w:rPr>
        <w:t>Journal of Political economy</w:t>
      </w:r>
      <w:r>
        <w:rPr>
          <w:sz w:val="24"/>
        </w:rPr>
        <w:t>, vol. 98, núm. 5, pp. 103-125.</w:t>
      </w:r>
    </w:p>
    <w:p>
      <w:pPr>
        <w:pStyle w:val="BodyText"/>
        <w:tabs>
          <w:tab w:pos="1377" w:val="left" w:leader="none"/>
        </w:tabs>
        <w:spacing w:line="278" w:lineRule="auto" w:before="161"/>
        <w:ind w:left="830" w:right="117" w:hanging="708"/>
        <w:jc w:val="both"/>
      </w:pPr>
      <w:r>
        <w:rPr>
          <w:u w:val="single"/>
        </w:rPr>
        <w:t> </w:t>
        <w:tab/>
        <w:tab/>
      </w:r>
      <w:r>
        <w:rPr>
          <w:spacing w:val="-1"/>
        </w:rPr>
        <w:t> </w:t>
      </w:r>
      <w:r>
        <w:rPr/>
        <w:t>y  Xavier  Sala-i-Martin  (2004),  </w:t>
      </w:r>
      <w:r>
        <w:rPr>
          <w:i/>
        </w:rPr>
        <w:t>Economic  Growth</w:t>
      </w:r>
      <w:r>
        <w:rPr/>
        <w:t>,  2a  edición,</w:t>
      </w:r>
      <w:r>
        <w:rPr>
          <w:spacing w:val="-19"/>
        </w:rPr>
        <w:t> </w:t>
      </w:r>
      <w:r>
        <w:rPr/>
        <w:t>MIT</w:t>
      </w:r>
      <w:r>
        <w:rPr>
          <w:spacing w:val="51"/>
        </w:rPr>
        <w:t> </w:t>
      </w:r>
      <w:r>
        <w:rPr/>
        <w:t>Press,</w:t>
      </w:r>
      <w:r>
        <w:rPr>
          <w:w w:val="99"/>
        </w:rPr>
        <w:t> </w:t>
      </w:r>
      <w:r>
        <w:rPr/>
        <w:t>Cambridge.</w:t>
      </w:r>
    </w:p>
    <w:p>
      <w:pPr>
        <w:pStyle w:val="BodyText"/>
        <w:tabs>
          <w:tab w:pos="1377" w:val="left" w:leader="none"/>
        </w:tabs>
        <w:spacing w:line="276" w:lineRule="auto" w:before="118"/>
        <w:ind w:left="830" w:right="119" w:hanging="708"/>
        <w:jc w:val="both"/>
      </w:pPr>
      <w:r>
        <w:rPr>
          <w:u w:val="single"/>
        </w:rPr>
        <w:t> </w:t>
        <w:tab/>
        <w:tab/>
      </w:r>
      <w:r>
        <w:rPr>
          <w:spacing w:val="14"/>
        </w:rPr>
        <w:t> </w:t>
      </w:r>
      <w:r>
        <w:rPr/>
        <w:t>(1997),  “Determinants  of  Economic  Growth:  A </w:t>
      </w:r>
      <w:r>
        <w:rPr>
          <w:spacing w:val="46"/>
        </w:rPr>
        <w:t> </w:t>
      </w:r>
      <w:r>
        <w:rPr/>
        <w:t>Cross-Country </w:t>
      </w:r>
      <w:r>
        <w:rPr>
          <w:spacing w:val="3"/>
        </w:rPr>
        <w:t> </w:t>
      </w:r>
      <w:r>
        <w:rPr/>
        <w:t>Empirical</w:t>
      </w:r>
      <w:r>
        <w:rPr>
          <w:w w:val="99"/>
        </w:rPr>
        <w:t> </w:t>
      </w:r>
      <w:r>
        <w:rPr/>
        <w:t>Study”, </w:t>
      </w:r>
      <w:r>
        <w:rPr>
          <w:i/>
        </w:rPr>
        <w:t>NBER Working Paper, </w:t>
      </w:r>
      <w:r>
        <w:rPr/>
        <w:t>núm. 5698, MIT Press,</w:t>
      </w:r>
      <w:r>
        <w:rPr>
          <w:spacing w:val="-11"/>
        </w:rPr>
        <w:t> </w:t>
      </w:r>
      <w:r>
        <w:rPr/>
        <w:t>Cambridge</w:t>
      </w:r>
    </w:p>
    <w:p>
      <w:pPr>
        <w:pStyle w:val="BodyText"/>
        <w:tabs>
          <w:tab w:pos="1377" w:val="left" w:leader="none"/>
        </w:tabs>
        <w:spacing w:line="278" w:lineRule="auto" w:before="121"/>
        <w:ind w:left="830" w:right="115" w:hanging="708"/>
        <w:jc w:val="both"/>
      </w:pPr>
      <w:r>
        <w:rPr>
          <w:u w:val="single"/>
        </w:rPr>
        <w:t> </w:t>
        <w:tab/>
        <w:tab/>
      </w:r>
      <w:r>
        <w:rPr>
          <w:spacing w:val="-25"/>
        </w:rPr>
        <w:t> </w:t>
      </w:r>
      <w:r>
        <w:rPr/>
        <w:t>y J. W. Lee, (1994), “Sources of Economic Growth”,  </w:t>
      </w:r>
      <w:r>
        <w:rPr>
          <w:i/>
        </w:rPr>
        <w:t>Public   </w:t>
      </w:r>
      <w:r>
        <w:rPr>
          <w:i/>
          <w:spacing w:val="23"/>
        </w:rPr>
        <w:t> </w:t>
      </w:r>
      <w:r>
        <w:rPr>
          <w:i/>
        </w:rPr>
        <w:t>Policy</w:t>
      </w:r>
      <w:r>
        <w:rPr/>
        <w:t>,</w:t>
      </w:r>
      <w:r>
        <w:rPr>
          <w:spacing w:val="26"/>
        </w:rPr>
        <w:t> </w:t>
      </w:r>
      <w:r>
        <w:rPr/>
        <w:t>vol.40,</w:t>
      </w:r>
      <w:r>
        <w:rPr>
          <w:w w:val="100"/>
        </w:rPr>
        <w:t> </w:t>
      </w:r>
      <w:r>
        <w:rPr/>
        <w:t>pp.1-46.</w:t>
      </w:r>
    </w:p>
    <w:p>
      <w:pPr>
        <w:pStyle w:val="BodyText"/>
        <w:spacing w:line="276" w:lineRule="auto" w:before="118"/>
        <w:ind w:left="830" w:right="243" w:firstLine="429"/>
      </w:pPr>
      <w:r>
        <w:rPr/>
        <w:pict>
          <v:line style="position:absolute;mso-position-horizontal-relative:page;mso-position-vertical-relative:paragraph;z-index:-463240" from="85.103996pt,13.15896pt" to="137.106719pt,13.15896pt" stroked="true" strokeweight=".3216pt" strokecolor="#000000">
            <w10:wrap type="none"/>
          </v:line>
        </w:pict>
      </w:r>
      <w:r>
        <w:rPr/>
        <w:t>(2002), “Cantidad y calidad del crecimiento económico”, </w:t>
      </w:r>
      <w:r>
        <w:rPr>
          <w:i/>
        </w:rPr>
        <w:t>Economía Chilena</w:t>
      </w:r>
      <w:r>
        <w:rPr/>
        <w:t>, vol. 5, núm.2, pp. 17-36.</w:t>
      </w:r>
    </w:p>
    <w:p>
      <w:pPr>
        <w:pStyle w:val="BodyText"/>
        <w:spacing w:before="118"/>
        <w:ind w:left="830" w:right="115" w:hanging="708"/>
        <w:jc w:val="both"/>
      </w:pPr>
      <w:r>
        <w:rPr/>
        <w:t>Barrera, Juan Manuel (2012), “Quieren Rehabilitar zonas de industria en Edomex”, </w:t>
      </w:r>
      <w:r>
        <w:rPr>
          <w:i/>
        </w:rPr>
        <w:t>El </w:t>
      </w:r>
      <w:r>
        <w:rPr>
          <w:i/>
        </w:rPr>
        <w:t>Universal</w:t>
      </w:r>
      <w:r>
        <w:rPr/>
        <w:t>, 22 de septiembre de 2012, disponible en línea: </w:t>
      </w:r>
      <w:hyperlink r:id="rId56">
        <w:r>
          <w:rPr/>
          <w:t>http://www.eluniversaledomex.mx/naucalpan/nota32362.html</w:t>
        </w:r>
      </w:hyperlink>
    </w:p>
    <w:p>
      <w:pPr>
        <w:spacing w:after="0"/>
        <w:jc w:val="both"/>
        <w:sectPr>
          <w:pgSz w:w="12240" w:h="15840"/>
          <w:pgMar w:header="0" w:footer="1003" w:top="1400" w:bottom="1200" w:left="1580" w:right="1580"/>
        </w:sectPr>
      </w:pPr>
    </w:p>
    <w:p>
      <w:pPr>
        <w:spacing w:line="278" w:lineRule="auto" w:before="50"/>
        <w:ind w:left="830" w:right="118" w:hanging="708"/>
        <w:jc w:val="both"/>
        <w:rPr>
          <w:sz w:val="24"/>
        </w:rPr>
      </w:pPr>
      <w:r>
        <w:rPr>
          <w:sz w:val="24"/>
        </w:rPr>
        <w:t>Bejar Navarro, Raúl y Francisco Casanova (1970), </w:t>
      </w:r>
      <w:r>
        <w:rPr>
          <w:i/>
          <w:sz w:val="24"/>
        </w:rPr>
        <w:t>Historia de la industrialización del </w:t>
      </w:r>
      <w:r>
        <w:rPr>
          <w:i/>
          <w:sz w:val="24"/>
        </w:rPr>
        <w:t>Estado de México, </w:t>
      </w:r>
      <w:r>
        <w:rPr>
          <w:sz w:val="24"/>
        </w:rPr>
        <w:t>segunda edición, México.</w:t>
      </w:r>
    </w:p>
    <w:p>
      <w:pPr>
        <w:spacing w:line="276" w:lineRule="auto" w:before="118"/>
        <w:ind w:left="830" w:right="118" w:hanging="708"/>
        <w:jc w:val="both"/>
        <w:rPr>
          <w:sz w:val="24"/>
        </w:rPr>
      </w:pPr>
      <w:r>
        <w:rPr>
          <w:sz w:val="24"/>
        </w:rPr>
        <w:t>Bernal, César Augusto (2010), </w:t>
      </w:r>
      <w:r>
        <w:rPr>
          <w:i/>
          <w:sz w:val="24"/>
        </w:rPr>
        <w:t>Metodología de la investigación</w:t>
      </w:r>
      <w:r>
        <w:rPr>
          <w:sz w:val="24"/>
        </w:rPr>
        <w:t>, tercera edición, Pearson, Colombia.</w:t>
      </w:r>
    </w:p>
    <w:p>
      <w:pPr>
        <w:pStyle w:val="BodyText"/>
        <w:spacing w:line="278" w:lineRule="auto" w:before="121"/>
        <w:ind w:left="830" w:right="121" w:hanging="708"/>
        <w:jc w:val="both"/>
      </w:pPr>
      <w:r>
        <w:rPr/>
        <w:t>Bernat, G. Andrew (1996), “Does manufacturing matter? A spatial econometric view of Kaldor Laws”, </w:t>
      </w:r>
      <w:r>
        <w:rPr>
          <w:i/>
        </w:rPr>
        <w:t>Journal of regional science</w:t>
      </w:r>
      <w:r>
        <w:rPr/>
        <w:t>, vol. 36, núm. 3, pp. 463-477.</w:t>
      </w:r>
    </w:p>
    <w:p>
      <w:pPr>
        <w:pStyle w:val="BodyText"/>
        <w:spacing w:before="118"/>
        <w:ind w:left="122" w:right="84"/>
      </w:pPr>
      <w:r>
        <w:rPr/>
        <w:t>Boisier,   Sergio   (1980),   “Técnicas   de   análisis   regional   con   información  limitada”,</w:t>
      </w:r>
    </w:p>
    <w:p>
      <w:pPr>
        <w:spacing w:before="41"/>
        <w:ind w:left="830" w:right="0" w:firstLine="0"/>
        <w:jc w:val="both"/>
        <w:rPr>
          <w:sz w:val="24"/>
        </w:rPr>
      </w:pPr>
      <w:r>
        <w:rPr>
          <w:i/>
          <w:sz w:val="24"/>
        </w:rPr>
        <w:t>Cuadernos del ILPES</w:t>
      </w:r>
      <w:r>
        <w:rPr>
          <w:sz w:val="24"/>
        </w:rPr>
        <w:t>, núm. 27, CEPAL-ILPES, Santiago de Chile.</w:t>
      </w:r>
    </w:p>
    <w:p>
      <w:pPr>
        <w:spacing w:line="278" w:lineRule="auto" w:before="161"/>
        <w:ind w:left="830" w:right="119" w:hanging="708"/>
        <w:jc w:val="both"/>
        <w:rPr>
          <w:sz w:val="24"/>
        </w:rPr>
      </w:pPr>
      <w:r>
        <w:rPr>
          <w:sz w:val="24"/>
        </w:rPr>
        <w:t>Boudeville, Jacques (1966), </w:t>
      </w:r>
      <w:r>
        <w:rPr>
          <w:i/>
          <w:sz w:val="24"/>
        </w:rPr>
        <w:t>Problems of Regional Economic Planning</w:t>
      </w:r>
      <w:r>
        <w:rPr>
          <w:sz w:val="24"/>
        </w:rPr>
        <w:t>, University Press, Edinburgh.</w:t>
      </w:r>
    </w:p>
    <w:p>
      <w:pPr>
        <w:pStyle w:val="BodyText"/>
        <w:spacing w:before="119"/>
        <w:ind w:left="122" w:right="243"/>
      </w:pPr>
      <w:r>
        <w:rPr/>
        <w:t>Bucay,  Benito  (2003),  “Apuntes  de  historia  de  la  química  industrial  en  México”,</w:t>
      </w:r>
    </w:p>
    <w:p>
      <w:pPr>
        <w:spacing w:before="41"/>
        <w:ind w:left="830" w:right="0" w:firstLine="0"/>
        <w:jc w:val="both"/>
        <w:rPr>
          <w:sz w:val="24"/>
        </w:rPr>
      </w:pPr>
      <w:r>
        <w:rPr>
          <w:i/>
          <w:sz w:val="24"/>
        </w:rPr>
        <w:t>Ingenierías</w:t>
      </w:r>
      <w:r>
        <w:rPr>
          <w:sz w:val="24"/>
        </w:rPr>
        <w:t>, vol. VI, núm. 18, pp. 26-36.</w:t>
      </w:r>
    </w:p>
    <w:p>
      <w:pPr>
        <w:pStyle w:val="BodyText"/>
        <w:spacing w:line="276" w:lineRule="auto" w:before="161"/>
        <w:ind w:left="830" w:right="117" w:hanging="708"/>
        <w:jc w:val="both"/>
      </w:pPr>
      <w:r>
        <w:rPr/>
        <w:t>Bueno Castellanos, Carmen (2008), “Las estrategias de innovación de las corporaciones automotrices en la zona metropolitana de la ciudad de Toluca”, en P. Mejía, </w:t>
      </w:r>
      <w:r>
        <w:rPr>
          <w:spacing w:val="-3"/>
        </w:rPr>
        <w:t>L. </w:t>
      </w:r>
      <w:r>
        <w:rPr/>
        <w:t>Del Moral y O. Rodríguez (</w:t>
      </w:r>
      <w:r>
        <w:rPr>
          <w:i/>
        </w:rPr>
        <w:t>coords.), Actividad Económica en  el Estado de  México</w:t>
      </w:r>
      <w:r>
        <w:rPr/>
        <w:t>,  vol. </w:t>
      </w:r>
      <w:r>
        <w:rPr>
          <w:spacing w:val="-3"/>
        </w:rPr>
        <w:t>I, </w:t>
      </w:r>
      <w:r>
        <w:rPr/>
        <w:t>Biblioteca Mexiquense del Bicentenario, Gobierno del Estado de México, Toluca pp.</w:t>
      </w:r>
      <w:r>
        <w:rPr>
          <w:spacing w:val="-4"/>
        </w:rPr>
        <w:t> </w:t>
      </w:r>
      <w:r>
        <w:rPr/>
        <w:t>177-204.</w:t>
      </w:r>
    </w:p>
    <w:p>
      <w:pPr>
        <w:pStyle w:val="BodyText"/>
        <w:spacing w:line="276" w:lineRule="auto" w:before="121"/>
        <w:ind w:left="830" w:right="118" w:hanging="708"/>
        <w:jc w:val="both"/>
      </w:pPr>
      <w:r>
        <w:rPr/>
        <w:t>Burdisso, Tamara (1997), “Estimación de una función de costos para los bancos privados argentinos utilizando datos en panel”, </w:t>
      </w:r>
      <w:r>
        <w:rPr>
          <w:i/>
        </w:rPr>
        <w:t>Documento de trabajo, </w:t>
      </w:r>
      <w:r>
        <w:rPr/>
        <w:t>núm. 3, Banco Central de la República Argentina, Buenos Aires.</w:t>
      </w:r>
    </w:p>
    <w:p>
      <w:pPr>
        <w:pStyle w:val="BodyText"/>
        <w:spacing w:line="276" w:lineRule="auto" w:before="121"/>
        <w:ind w:left="830" w:right="117" w:hanging="708"/>
        <w:jc w:val="both"/>
      </w:pPr>
      <w:r>
        <w:rPr/>
        <w:t>Calderón Villarreal, Cuauhtémoc y Gerardo Martínez Morales (2005), “La ley de Verdoorn y la industria manufacturera regional en México en la era del TLCAN”, </w:t>
      </w:r>
      <w:r>
        <w:rPr>
          <w:i/>
        </w:rPr>
        <w:t>Frontera </w:t>
      </w:r>
      <w:r>
        <w:rPr>
          <w:i/>
        </w:rPr>
        <w:t>Norte</w:t>
      </w:r>
      <w:r>
        <w:rPr/>
        <w:t>,  vol. 17, núm.34, pp. 103-137.</w:t>
      </w:r>
    </w:p>
    <w:p>
      <w:pPr>
        <w:pStyle w:val="BodyText"/>
        <w:spacing w:line="276" w:lineRule="auto" w:before="121"/>
        <w:ind w:left="830" w:right="118" w:hanging="708"/>
        <w:jc w:val="both"/>
      </w:pPr>
      <w:r>
        <w:rPr/>
        <w:t>Calderón Millán, José María; Nuria Gómez Saenz, Luis Antonio López Santiago y María Ángeles Tobarra Gómez (2009), “Patentes, proximidad, proximidad tecnológica y empleo industrial en Castilla-La Mancha”, </w:t>
      </w:r>
      <w:r>
        <w:rPr>
          <w:i/>
        </w:rPr>
        <w:t>Revista de Estudios Regionales</w:t>
      </w:r>
      <w:r>
        <w:rPr/>
        <w:t>, núm. 85, pp. 197-219.</w:t>
      </w:r>
    </w:p>
    <w:p>
      <w:pPr>
        <w:spacing w:before="121"/>
        <w:ind w:left="122" w:right="243" w:firstLine="0"/>
        <w:jc w:val="left"/>
        <w:rPr>
          <w:sz w:val="24"/>
        </w:rPr>
      </w:pPr>
      <w:r>
        <w:rPr>
          <w:sz w:val="24"/>
        </w:rPr>
        <w:t>Capello, Roberta (2007), </w:t>
      </w:r>
      <w:r>
        <w:rPr>
          <w:i/>
          <w:sz w:val="24"/>
        </w:rPr>
        <w:t>Regional Economics, </w:t>
      </w:r>
      <w:r>
        <w:rPr>
          <w:sz w:val="24"/>
        </w:rPr>
        <w:t>Routledge, London.</w:t>
      </w:r>
    </w:p>
    <w:p>
      <w:pPr>
        <w:spacing w:line="276" w:lineRule="auto" w:before="161"/>
        <w:ind w:left="830" w:right="243" w:firstLine="472"/>
        <w:jc w:val="left"/>
        <w:rPr>
          <w:i/>
          <w:sz w:val="24"/>
        </w:rPr>
      </w:pPr>
      <w:r>
        <w:rPr/>
        <w:pict>
          <v:line style="position:absolute;mso-position-horizontal-relative:page;mso-position-vertical-relative:paragraph;z-index:-463216" from="85.103996pt,15.278977pt" to="137.106719pt,15.278977pt" stroked="true" strokeweight=".3216pt" strokecolor="#000000">
            <w10:wrap type="none"/>
          </v:line>
        </w:pict>
      </w:r>
      <w:r>
        <w:rPr>
          <w:sz w:val="24"/>
        </w:rPr>
        <w:t>(2006), “La Economía Regional tras cincuenta años: Desarrollos teóricos recientes y desafíos futuros”, </w:t>
      </w:r>
      <w:r>
        <w:rPr>
          <w:i/>
          <w:sz w:val="24"/>
        </w:rPr>
        <w:t>Investigaciones Regionales, </w:t>
      </w:r>
      <w:r>
        <w:rPr>
          <w:sz w:val="24"/>
        </w:rPr>
        <w:t>núm</w:t>
      </w:r>
      <w:r>
        <w:rPr>
          <w:i/>
          <w:sz w:val="24"/>
        </w:rPr>
        <w:t>. 9, pp. 169-192.</w:t>
      </w:r>
    </w:p>
    <w:p>
      <w:pPr>
        <w:pStyle w:val="BodyText"/>
        <w:spacing w:line="276" w:lineRule="auto" w:before="123"/>
        <w:ind w:left="830" w:right="121" w:hanging="708"/>
        <w:jc w:val="both"/>
      </w:pPr>
      <w:r>
        <w:rPr/>
        <w:t>Carbajal, Yolanda; Pablo Mejía y Liliana Rendón (2008), “Especialización y perfil tecnológico de la manufactura del Estado de México”, en P. Mejía, L. Del Moral    y</w:t>
      </w:r>
    </w:p>
    <w:p>
      <w:pPr>
        <w:spacing w:line="276" w:lineRule="auto" w:before="1"/>
        <w:ind w:left="830" w:right="119" w:firstLine="0"/>
        <w:jc w:val="both"/>
        <w:rPr>
          <w:sz w:val="24"/>
        </w:rPr>
      </w:pPr>
      <w:r>
        <w:rPr>
          <w:sz w:val="24"/>
        </w:rPr>
        <w:t>O. Rodríguez (coords.), </w:t>
      </w:r>
      <w:r>
        <w:rPr>
          <w:i/>
          <w:sz w:val="24"/>
        </w:rPr>
        <w:t>Actividad Económica en el Estado de México</w:t>
      </w:r>
      <w:r>
        <w:rPr>
          <w:sz w:val="24"/>
        </w:rPr>
        <w:t>, vol. I, Biblioteca Mexiquense del Bicentenario, Gobierno del Estado de México, Toluca, pp. 69-100.</w:t>
      </w:r>
    </w:p>
    <w:p>
      <w:pPr>
        <w:spacing w:after="0" w:line="276" w:lineRule="auto"/>
        <w:jc w:val="both"/>
        <w:rPr>
          <w:sz w:val="24"/>
        </w:rPr>
        <w:sectPr>
          <w:pgSz w:w="12240" w:h="15840"/>
          <w:pgMar w:header="0" w:footer="1003" w:top="1360" w:bottom="1200" w:left="1580" w:right="1580"/>
        </w:sectPr>
      </w:pPr>
    </w:p>
    <w:p>
      <w:pPr>
        <w:spacing w:line="278" w:lineRule="auto" w:before="50"/>
        <w:ind w:left="830" w:right="118" w:hanging="708"/>
        <w:jc w:val="both"/>
        <w:rPr>
          <w:sz w:val="24"/>
        </w:rPr>
      </w:pPr>
      <w:r>
        <w:rPr>
          <w:sz w:val="24"/>
        </w:rPr>
        <w:t>Cárdenas, Enrique (1996), </w:t>
      </w:r>
      <w:r>
        <w:rPr>
          <w:i/>
          <w:sz w:val="24"/>
        </w:rPr>
        <w:t>La política económica en México, 1950-1994</w:t>
      </w:r>
      <w:r>
        <w:rPr>
          <w:sz w:val="24"/>
        </w:rPr>
        <w:t>, Fondo de Cultura Económica, México.</w:t>
      </w:r>
    </w:p>
    <w:p>
      <w:pPr>
        <w:spacing w:line="276" w:lineRule="auto" w:before="118"/>
        <w:ind w:left="830" w:right="119" w:hanging="708"/>
        <w:jc w:val="both"/>
        <w:rPr>
          <w:sz w:val="24"/>
        </w:rPr>
      </w:pPr>
      <w:r>
        <w:rPr>
          <w:sz w:val="24"/>
        </w:rPr>
        <w:t>Carpizo, Rodas (2006), </w:t>
      </w:r>
      <w:r>
        <w:rPr>
          <w:i/>
          <w:sz w:val="24"/>
        </w:rPr>
        <w:t>Estructura socioeconómica de México</w:t>
      </w:r>
      <w:r>
        <w:rPr>
          <w:sz w:val="24"/>
        </w:rPr>
        <w:t>, cuarta edición, Editorial Limusa, México.</w:t>
      </w:r>
    </w:p>
    <w:p>
      <w:pPr>
        <w:spacing w:line="278" w:lineRule="auto" w:before="121"/>
        <w:ind w:left="830" w:right="117" w:hanging="708"/>
        <w:jc w:val="both"/>
        <w:rPr>
          <w:sz w:val="24"/>
        </w:rPr>
      </w:pPr>
      <w:r>
        <w:rPr>
          <w:sz w:val="24"/>
        </w:rPr>
        <w:t>Castañares, Alberto (1999), </w:t>
      </w:r>
      <w:r>
        <w:rPr>
          <w:i/>
          <w:sz w:val="24"/>
        </w:rPr>
        <w:t>Monografía municipal de Cuautitlán Izcalli</w:t>
      </w:r>
      <w:r>
        <w:rPr>
          <w:sz w:val="24"/>
        </w:rPr>
        <w:t>, México, Gobierno del Estado de México.</w:t>
      </w:r>
    </w:p>
    <w:p>
      <w:pPr>
        <w:pStyle w:val="BodyText"/>
        <w:spacing w:line="276" w:lineRule="auto" w:before="118"/>
        <w:ind w:left="830" w:right="115" w:hanging="708"/>
        <w:jc w:val="both"/>
      </w:pPr>
      <w:r>
        <w:rPr/>
        <w:t>Celaya Tentori y Alejandro Díaz Bautista (2002), “Crecimiento, Instituciones y convergencia en México, considerando a la frontera norte”, </w:t>
      </w:r>
      <w:r>
        <w:rPr>
          <w:i/>
        </w:rPr>
        <w:t>Estudios fronterizos, </w:t>
      </w:r>
      <w:r>
        <w:rPr/>
        <w:t>núm. 3, vol. 6, pp. 33-61.</w:t>
      </w:r>
    </w:p>
    <w:p>
      <w:pPr>
        <w:spacing w:line="276" w:lineRule="auto" w:before="123"/>
        <w:ind w:left="830" w:right="117" w:hanging="708"/>
        <w:jc w:val="both"/>
        <w:rPr>
          <w:sz w:val="24"/>
        </w:rPr>
      </w:pPr>
      <w:r>
        <w:rPr>
          <w:sz w:val="24"/>
        </w:rPr>
        <w:t>CEPAL (2003), “México rasgos generales de la evolución reciente”, </w:t>
      </w:r>
      <w:r>
        <w:rPr>
          <w:i/>
          <w:sz w:val="24"/>
        </w:rPr>
        <w:t>Estudio Económico de </w:t>
      </w:r>
      <w:r>
        <w:rPr>
          <w:i/>
          <w:sz w:val="24"/>
        </w:rPr>
        <w:t>América Latina y el Caribe, 2002-2003, </w:t>
      </w:r>
      <w:r>
        <w:rPr>
          <w:sz w:val="24"/>
        </w:rPr>
        <w:t>pp. 261-268.</w:t>
      </w:r>
    </w:p>
    <w:p>
      <w:pPr>
        <w:spacing w:line="276" w:lineRule="auto" w:before="121"/>
        <w:ind w:left="830" w:right="122" w:hanging="708"/>
        <w:jc w:val="both"/>
        <w:rPr>
          <w:sz w:val="24"/>
        </w:rPr>
      </w:pPr>
      <w:r>
        <w:rPr>
          <w:sz w:val="24"/>
        </w:rPr>
        <w:t>Coriat, Benjamín (2008), </w:t>
      </w:r>
      <w:r>
        <w:rPr>
          <w:i/>
          <w:sz w:val="24"/>
        </w:rPr>
        <w:t>El taller y el cronómetro. Ensayo sobre el taylorismo, el fordismo </w:t>
      </w:r>
      <w:r>
        <w:rPr>
          <w:i/>
          <w:sz w:val="24"/>
        </w:rPr>
        <w:t>y la producción en masa</w:t>
      </w:r>
      <w:r>
        <w:rPr>
          <w:sz w:val="24"/>
        </w:rPr>
        <w:t>, primera edición, Ed. Siglo XXI, México.</w:t>
      </w:r>
    </w:p>
    <w:p>
      <w:pPr>
        <w:spacing w:line="276" w:lineRule="auto" w:before="123"/>
        <w:ind w:left="830" w:right="114" w:hanging="708"/>
        <w:jc w:val="both"/>
        <w:rPr>
          <w:sz w:val="24"/>
        </w:rPr>
      </w:pPr>
      <w:r>
        <w:rPr>
          <w:sz w:val="24"/>
        </w:rPr>
        <w:t>Clavijo, Fernando y Casar, José (1994), “Las restricciones al crecimiento de la economía mexicana y la necesidad de una política industrial para el fomento de la competitividad”, en Fernando Clavijo y José Casar (comp.), </w:t>
      </w:r>
      <w:r>
        <w:rPr>
          <w:i/>
          <w:sz w:val="24"/>
        </w:rPr>
        <w:t>La industria mexicana </w:t>
      </w:r>
      <w:r>
        <w:rPr>
          <w:i/>
          <w:sz w:val="24"/>
        </w:rPr>
        <w:t>en el mercado mundial. Elementos para una política industrial, </w:t>
      </w:r>
      <w:r>
        <w:rPr>
          <w:sz w:val="24"/>
        </w:rPr>
        <w:t>Lecturas de El Trimestre Económico, núm. 80, Fondo de Cultura Económica.</w:t>
      </w:r>
    </w:p>
    <w:p>
      <w:pPr>
        <w:spacing w:line="276" w:lineRule="auto" w:before="123"/>
        <w:ind w:left="830" w:right="117" w:firstLine="415"/>
        <w:jc w:val="both"/>
        <w:rPr>
          <w:sz w:val="24"/>
        </w:rPr>
      </w:pPr>
      <w:r>
        <w:rPr/>
        <w:pict>
          <v:line style="position:absolute;mso-position-horizontal-relative:page;mso-position-vertical-relative:paragraph;z-index:-463192" from="85.103996pt,13.408976pt" to="137.106719pt,13.408976pt" stroked="true" strokeweight=".3216pt" strokecolor="#000000">
            <w10:wrap type="none"/>
          </v:line>
        </w:pict>
      </w:r>
      <w:r>
        <w:rPr>
          <w:sz w:val="24"/>
        </w:rPr>
        <w:t>y Susana Valdivieso (1994), “La política industrial de México, 1988-1994” en Fernando Clavijo y José Casar (comp.), </w:t>
      </w:r>
      <w:r>
        <w:rPr>
          <w:i/>
          <w:sz w:val="24"/>
        </w:rPr>
        <w:t>La industria mexicana en el mercado </w:t>
      </w:r>
      <w:r>
        <w:rPr>
          <w:i/>
          <w:sz w:val="24"/>
        </w:rPr>
        <w:t>mundial. Elementos para una política industrial, </w:t>
      </w:r>
      <w:r>
        <w:rPr>
          <w:sz w:val="24"/>
        </w:rPr>
        <w:t>Lecturas de El Trimestre Económico, núm. 80,  Fondo de Cultura Económica.</w:t>
      </w:r>
    </w:p>
    <w:p>
      <w:pPr>
        <w:pStyle w:val="BodyText"/>
        <w:spacing w:line="276" w:lineRule="auto" w:before="123"/>
        <w:ind w:left="830" w:right="122" w:hanging="708"/>
        <w:jc w:val="both"/>
      </w:pPr>
      <w:r>
        <w:rPr/>
        <w:t>Czerny, Miroslava (1978), “Las políticas de desarrollo regional del Caribe: México y Venezuela”, </w:t>
      </w:r>
      <w:r>
        <w:rPr>
          <w:i/>
        </w:rPr>
        <w:t>Estudios Latinoamericanos</w:t>
      </w:r>
      <w:r>
        <w:rPr/>
        <w:t>, núm. 4, pp. 205-218.</w:t>
      </w:r>
    </w:p>
    <w:p>
      <w:pPr>
        <w:spacing w:line="276" w:lineRule="auto" w:before="121"/>
        <w:ind w:left="830" w:right="122" w:hanging="708"/>
        <w:jc w:val="both"/>
        <w:rPr>
          <w:sz w:val="24"/>
        </w:rPr>
      </w:pPr>
      <w:r>
        <w:rPr>
          <w:sz w:val="24"/>
        </w:rPr>
        <w:t>Dalum, Bent, Keld Laursen y Bart Verspagen (1999), “Does Specialization Matter for Growth?”, </w:t>
      </w:r>
      <w:r>
        <w:rPr>
          <w:i/>
          <w:sz w:val="24"/>
        </w:rPr>
        <w:t>Industrial and Corporate Change</w:t>
      </w:r>
      <w:r>
        <w:rPr>
          <w:sz w:val="24"/>
        </w:rPr>
        <w:t>, vol. 8, núm. 2, pp. 267-288.</w:t>
      </w:r>
    </w:p>
    <w:p>
      <w:pPr>
        <w:pStyle w:val="BodyText"/>
        <w:spacing w:line="276" w:lineRule="auto" w:before="123"/>
        <w:ind w:left="830" w:right="116" w:hanging="708"/>
        <w:jc w:val="both"/>
      </w:pPr>
      <w:r>
        <w:rPr/>
        <w:t>De la Rosa Mendoza, Juan Ramiro (2006), “Dos enfoques teóricos sobre el proceso de crecimiento económico con énfasis en las exportaciones manufactureras”, </w:t>
      </w:r>
      <w:r>
        <w:rPr>
          <w:i/>
        </w:rPr>
        <w:t>Análisis </w:t>
      </w:r>
      <w:r>
        <w:rPr>
          <w:i/>
        </w:rPr>
        <w:t>Económico</w:t>
      </w:r>
      <w:r>
        <w:rPr/>
        <w:t>, vol. XXI, núm. 48, pp. 93-119.</w:t>
      </w:r>
    </w:p>
    <w:p>
      <w:pPr>
        <w:spacing w:before="119"/>
        <w:ind w:left="830" w:right="122" w:hanging="708"/>
        <w:jc w:val="both"/>
        <w:rPr>
          <w:sz w:val="24"/>
        </w:rPr>
      </w:pPr>
      <w:r>
        <w:rPr>
          <w:sz w:val="24"/>
        </w:rPr>
        <w:t>De la Garza, Enrique (2001), </w:t>
      </w:r>
      <w:r>
        <w:rPr>
          <w:i/>
          <w:sz w:val="24"/>
        </w:rPr>
        <w:t>La formación Socioeconómica Neoliberal. Debates teóricos </w:t>
      </w:r>
      <w:r>
        <w:rPr>
          <w:i/>
          <w:sz w:val="24"/>
        </w:rPr>
        <w:t>acerca de la reestructuración de la producción y evidencia empírica para América Latina,  </w:t>
      </w:r>
      <w:r>
        <w:rPr>
          <w:sz w:val="24"/>
        </w:rPr>
        <w:t>Plaza y Valdés y UAM, México.</w:t>
      </w:r>
    </w:p>
    <w:p>
      <w:pPr>
        <w:spacing w:before="120"/>
        <w:ind w:left="830" w:right="121" w:firstLine="427"/>
        <w:jc w:val="both"/>
        <w:rPr>
          <w:sz w:val="24"/>
        </w:rPr>
      </w:pPr>
      <w:r>
        <w:rPr/>
        <w:pict>
          <v:line style="position:absolute;mso-position-horizontal-relative:page;mso-position-vertical-relative:paragraph;z-index:-463168" from="85.103996pt,13.258961pt" to="137.106719pt,13.258961pt" stroked="true" strokeweight=".3216pt" strokecolor="#000000">
            <w10:wrap type="none"/>
          </v:line>
        </w:pict>
      </w:r>
      <w:r>
        <w:rPr>
          <w:sz w:val="24"/>
        </w:rPr>
        <w:t>(1999) “Sindicatos, flexibilidad y productividad en México”, en Arango, Luz Gabriela y López, Carmen Marina (comps.), </w:t>
      </w:r>
      <w:r>
        <w:rPr>
          <w:i/>
          <w:sz w:val="24"/>
        </w:rPr>
        <w:t>Globalización, apertura económica y </w:t>
      </w:r>
      <w:r>
        <w:rPr>
          <w:i/>
          <w:sz w:val="24"/>
        </w:rPr>
        <w:t>relaciones industriales en América Latina, </w:t>
      </w:r>
      <w:r>
        <w:rPr>
          <w:sz w:val="24"/>
        </w:rPr>
        <w:t>Colección CES, Universidad Nacional  de Colombia,</w:t>
      </w:r>
      <w:r>
        <w:rPr>
          <w:spacing w:val="-5"/>
          <w:sz w:val="24"/>
        </w:rPr>
        <w:t> </w:t>
      </w:r>
      <w:r>
        <w:rPr>
          <w:sz w:val="24"/>
        </w:rPr>
        <w:t>Bogotá.</w:t>
      </w:r>
    </w:p>
    <w:p>
      <w:pPr>
        <w:spacing w:after="0"/>
        <w:jc w:val="both"/>
        <w:rPr>
          <w:sz w:val="24"/>
        </w:rPr>
        <w:sectPr>
          <w:pgSz w:w="12240" w:h="15840"/>
          <w:pgMar w:header="0" w:footer="1003" w:top="1360" w:bottom="1200" w:left="1580" w:right="1580"/>
        </w:sectPr>
      </w:pPr>
    </w:p>
    <w:p>
      <w:pPr>
        <w:spacing w:line="278" w:lineRule="auto" w:before="50"/>
        <w:ind w:left="830" w:right="243" w:hanging="708"/>
        <w:jc w:val="left"/>
        <w:rPr>
          <w:sz w:val="24"/>
        </w:rPr>
      </w:pPr>
      <w:r>
        <w:rPr>
          <w:sz w:val="24"/>
        </w:rPr>
        <w:t>De Benedictis, Luca (2005), “Openness, Specialization and Growth," </w:t>
      </w:r>
      <w:r>
        <w:rPr>
          <w:i/>
          <w:sz w:val="24"/>
        </w:rPr>
        <w:t>Economic Growth, </w:t>
      </w:r>
      <w:r>
        <w:rPr>
          <w:i/>
          <w:sz w:val="24"/>
        </w:rPr>
        <w:t>and International Trade</w:t>
      </w:r>
      <w:r>
        <w:rPr>
          <w:sz w:val="24"/>
        </w:rPr>
        <w:t>, pp. 1- 25.</w:t>
      </w:r>
    </w:p>
    <w:p>
      <w:pPr>
        <w:pStyle w:val="BodyText"/>
        <w:spacing w:line="276" w:lineRule="auto" w:before="118"/>
        <w:ind w:left="830" w:right="118" w:hanging="708"/>
      </w:pPr>
      <w:r>
        <w:rPr/>
        <w:t>Díaz-Bautista, Alejandro y Mauro Díaz Domínguez (2003), “Capital humano y crecimiento económico en México”, </w:t>
      </w:r>
      <w:r>
        <w:rPr>
          <w:i/>
        </w:rPr>
        <w:t>Comercio Exterior</w:t>
      </w:r>
      <w:r>
        <w:rPr/>
        <w:t>, vol. 53,  núm. 11, pp. 1012-1023.</w:t>
      </w:r>
    </w:p>
    <w:p>
      <w:pPr>
        <w:tabs>
          <w:tab w:pos="1257" w:val="left" w:leader="none"/>
        </w:tabs>
        <w:spacing w:line="278" w:lineRule="auto" w:before="121"/>
        <w:ind w:left="830" w:right="122" w:hanging="708"/>
        <w:jc w:val="left"/>
        <w:rPr>
          <w:sz w:val="24"/>
        </w:rPr>
      </w:pPr>
      <w:r>
        <w:rPr>
          <w:sz w:val="24"/>
          <w:u w:val="single"/>
        </w:rPr>
        <w:t> </w:t>
        <w:tab/>
        <w:tab/>
      </w:r>
      <w:r>
        <w:rPr>
          <w:sz w:val="24"/>
        </w:rPr>
        <w:t>(2003), </w:t>
      </w:r>
      <w:r>
        <w:rPr>
          <w:i/>
          <w:sz w:val="24"/>
        </w:rPr>
        <w:t>Los determinantes del crecimiento económico.</w:t>
      </w:r>
      <w:r>
        <w:rPr>
          <w:i/>
          <w:spacing w:val="22"/>
          <w:sz w:val="24"/>
        </w:rPr>
        <w:t> </w:t>
      </w:r>
      <w:r>
        <w:rPr>
          <w:i/>
          <w:sz w:val="24"/>
        </w:rPr>
        <w:t>Comercio</w:t>
      </w:r>
      <w:r>
        <w:rPr>
          <w:i/>
          <w:spacing w:val="4"/>
          <w:sz w:val="24"/>
        </w:rPr>
        <w:t> </w:t>
      </w:r>
      <w:r>
        <w:rPr>
          <w:i/>
          <w:sz w:val="24"/>
        </w:rPr>
        <w:t>internacional,</w:t>
      </w:r>
      <w:r>
        <w:rPr>
          <w:i/>
          <w:sz w:val="24"/>
        </w:rPr>
        <w:t> convergencia y las instituciones, </w:t>
      </w:r>
      <w:r>
        <w:rPr>
          <w:sz w:val="24"/>
        </w:rPr>
        <w:t>Plaza y Valdés Editores,</w:t>
      </w:r>
      <w:r>
        <w:rPr>
          <w:spacing w:val="-8"/>
          <w:sz w:val="24"/>
        </w:rPr>
        <w:t> </w:t>
      </w:r>
      <w:r>
        <w:rPr>
          <w:sz w:val="24"/>
        </w:rPr>
        <w:t>México.</w:t>
      </w:r>
    </w:p>
    <w:p>
      <w:pPr>
        <w:pStyle w:val="BodyText"/>
        <w:spacing w:line="276" w:lineRule="auto" w:before="118"/>
        <w:ind w:left="830" w:right="243" w:hanging="708"/>
      </w:pPr>
      <w:r>
        <w:rPr/>
        <w:t>Dixon, Robert y Anthony Thirlwall (1975), “A model of regional growth-rate differences  on Kaldorian Lines”, </w:t>
      </w:r>
      <w:r>
        <w:rPr>
          <w:i/>
        </w:rPr>
        <w:t>Oxford Economic Papers</w:t>
      </w:r>
      <w:r>
        <w:rPr/>
        <w:t>, vol. 27, núm. 2, pp.</w:t>
      </w:r>
      <w:r>
        <w:rPr>
          <w:spacing w:val="-4"/>
        </w:rPr>
        <w:t> </w:t>
      </w:r>
      <w:r>
        <w:rPr/>
        <w:t>201-214.</w:t>
      </w:r>
    </w:p>
    <w:p>
      <w:pPr>
        <w:pStyle w:val="BodyText"/>
        <w:spacing w:line="278" w:lineRule="auto" w:before="121"/>
        <w:ind w:left="830" w:right="243" w:hanging="708"/>
      </w:pPr>
      <w:r>
        <w:rPr/>
        <w:t>Dornbusch, Rudiger; Stanley Fischer y Richard Startz (2002), </w:t>
      </w:r>
      <w:r>
        <w:rPr>
          <w:i/>
        </w:rPr>
        <w:t>Macroeconomía</w:t>
      </w:r>
      <w:r>
        <w:rPr/>
        <w:t>, McGraw Hill, octava edición, España.</w:t>
      </w:r>
    </w:p>
    <w:p>
      <w:pPr>
        <w:spacing w:line="276" w:lineRule="auto" w:before="119"/>
        <w:ind w:left="830" w:right="243" w:hanging="708"/>
        <w:jc w:val="left"/>
        <w:rPr>
          <w:sz w:val="24"/>
        </w:rPr>
      </w:pPr>
      <w:r>
        <w:rPr>
          <w:sz w:val="24"/>
        </w:rPr>
        <w:t>Dunn, Edgar (1960), “A statistical and analytical technique for regional analysis”, </w:t>
      </w:r>
      <w:r>
        <w:rPr>
          <w:i/>
          <w:sz w:val="24"/>
        </w:rPr>
        <w:t>Paper </w:t>
      </w:r>
      <w:r>
        <w:rPr>
          <w:i/>
          <w:sz w:val="24"/>
        </w:rPr>
        <w:t>and Proceedings of the Regional Science Association</w:t>
      </w:r>
      <w:r>
        <w:rPr>
          <w:sz w:val="24"/>
        </w:rPr>
        <w:t>, vol. 6, núm. 1, pp. 97-109.</w:t>
      </w:r>
    </w:p>
    <w:p>
      <w:pPr>
        <w:pStyle w:val="BodyText"/>
        <w:spacing w:line="278" w:lineRule="auto" w:before="121"/>
        <w:ind w:left="830" w:right="243" w:hanging="708"/>
      </w:pPr>
      <w:r>
        <w:rPr/>
        <w:t>Egurrola, Jorge E. Issac (2003), “Desigualdades regionales en México: los efectos de la infraestructura</w:t>
      </w:r>
      <w:r>
        <w:rPr>
          <w:i/>
        </w:rPr>
        <w:t>”, Comercio  Exterior</w:t>
      </w:r>
      <w:r>
        <w:rPr/>
        <w:t>, vol. 53, núm. 11, pp. 1002-1010.</w:t>
      </w:r>
    </w:p>
    <w:p>
      <w:pPr>
        <w:spacing w:line="276" w:lineRule="auto" w:before="118"/>
        <w:ind w:left="830" w:right="118" w:firstLine="333"/>
        <w:jc w:val="both"/>
        <w:rPr>
          <w:sz w:val="24"/>
        </w:rPr>
      </w:pPr>
      <w:r>
        <w:rPr/>
        <w:pict>
          <v:line style="position:absolute;mso-position-horizontal-relative:page;mso-position-vertical-relative:paragraph;z-index:-463144" from="85.103996pt,13.158945pt" to="137.106719pt,13.158945pt" stroked="true" strokeweight=".3216pt" strokecolor="#000000">
            <w10:wrap type="none"/>
          </v:line>
        </w:pict>
      </w:r>
      <w:r>
        <w:rPr>
          <w:sz w:val="24"/>
        </w:rPr>
        <w:t>, Luis Quintana Romero y Orlando Delgado Selley (2007), </w:t>
      </w:r>
      <w:r>
        <w:rPr>
          <w:i/>
          <w:sz w:val="24"/>
        </w:rPr>
        <w:t>Siglo XXI, México </w:t>
      </w:r>
      <w:r>
        <w:rPr>
          <w:i/>
          <w:sz w:val="24"/>
        </w:rPr>
        <w:t>para armar: Cinco Dimensiones de la Economía Mexicana</w:t>
      </w:r>
      <w:r>
        <w:rPr>
          <w:sz w:val="24"/>
        </w:rPr>
        <w:t>, Plaza y Valdés,  México.</w:t>
      </w:r>
    </w:p>
    <w:p>
      <w:pPr>
        <w:pStyle w:val="BodyText"/>
        <w:spacing w:line="278" w:lineRule="auto" w:before="121"/>
        <w:ind w:left="830" w:right="243" w:hanging="708"/>
      </w:pPr>
      <w:r>
        <w:rPr/>
        <w:t>Fuentes Flores, Arón Noé (2003), “Apertura comercial y divergencia económica regional  en México”, </w:t>
      </w:r>
      <w:r>
        <w:rPr>
          <w:i/>
        </w:rPr>
        <w:t>Comercio Exterior</w:t>
      </w:r>
      <w:r>
        <w:rPr/>
        <w:t>, vol. 53, núm. 10, México, pp.</w:t>
      </w:r>
      <w:r>
        <w:rPr>
          <w:spacing w:val="-4"/>
        </w:rPr>
        <w:t> </w:t>
      </w:r>
      <w:r>
        <w:rPr/>
        <w:t>970-978.</w:t>
      </w:r>
    </w:p>
    <w:p>
      <w:pPr>
        <w:spacing w:line="276" w:lineRule="auto" w:before="118"/>
        <w:ind w:left="830" w:right="112" w:hanging="708"/>
        <w:jc w:val="left"/>
        <w:rPr>
          <w:sz w:val="24"/>
        </w:rPr>
      </w:pPr>
      <w:r>
        <w:rPr>
          <w:sz w:val="24"/>
        </w:rPr>
        <w:t>Fuentes Flores, César (2007), </w:t>
      </w:r>
      <w:r>
        <w:rPr>
          <w:i/>
          <w:sz w:val="24"/>
        </w:rPr>
        <w:t>Inversión en infraestructura pública y productividad regional </w:t>
      </w:r>
      <w:r>
        <w:rPr>
          <w:i/>
          <w:sz w:val="24"/>
        </w:rPr>
        <w:t>de la industria manufacturera en México</w:t>
      </w:r>
      <w:r>
        <w:rPr>
          <w:sz w:val="24"/>
        </w:rPr>
        <w:t>, Plaza y Valdés, México.</w:t>
      </w:r>
    </w:p>
    <w:p>
      <w:pPr>
        <w:spacing w:line="278" w:lineRule="auto" w:before="121"/>
        <w:ind w:left="830" w:right="118" w:hanging="708"/>
        <w:jc w:val="left"/>
        <w:rPr>
          <w:sz w:val="24"/>
        </w:rPr>
      </w:pPr>
      <w:r>
        <w:rPr>
          <w:sz w:val="24"/>
        </w:rPr>
        <w:t>García Luna, Margarita (1998), </w:t>
      </w:r>
      <w:r>
        <w:rPr>
          <w:i/>
          <w:sz w:val="24"/>
        </w:rPr>
        <w:t>Los orígenes de la industria en el Estado de México (1830- </w:t>
      </w:r>
      <w:r>
        <w:rPr>
          <w:i/>
          <w:sz w:val="24"/>
        </w:rPr>
        <w:t>1930</w:t>
      </w:r>
      <w:r>
        <w:rPr>
          <w:sz w:val="24"/>
        </w:rPr>
        <w:t>), Gobierno del Estado de México, Toluca.</w:t>
      </w:r>
    </w:p>
    <w:p>
      <w:pPr>
        <w:spacing w:line="276" w:lineRule="auto" w:before="118"/>
        <w:ind w:left="830" w:right="243" w:hanging="708"/>
        <w:jc w:val="left"/>
        <w:rPr>
          <w:sz w:val="24"/>
        </w:rPr>
      </w:pPr>
      <w:r>
        <w:rPr>
          <w:sz w:val="24"/>
        </w:rPr>
        <w:t>GEM (Gobierno del Estado de México) (1990), </w:t>
      </w:r>
      <w:r>
        <w:rPr>
          <w:i/>
          <w:sz w:val="24"/>
        </w:rPr>
        <w:t>Crónica del Desarrollo industrial en el </w:t>
      </w:r>
      <w:r>
        <w:rPr>
          <w:i/>
          <w:sz w:val="24"/>
        </w:rPr>
        <w:t>Estado de México</w:t>
      </w:r>
      <w:r>
        <w:rPr>
          <w:sz w:val="24"/>
        </w:rPr>
        <w:t>, Centro Cultural Mexiquense, Toluca.</w:t>
      </w:r>
    </w:p>
    <w:p>
      <w:pPr>
        <w:spacing w:line="381" w:lineRule="auto" w:before="121"/>
        <w:ind w:left="1204" w:right="243" w:firstLine="0"/>
        <w:jc w:val="left"/>
        <w:rPr>
          <w:sz w:val="24"/>
        </w:rPr>
      </w:pPr>
      <w:r>
        <w:rPr/>
        <w:pict>
          <v:line style="position:absolute;mso-position-horizontal-relative:page;mso-position-vertical-relative:paragraph;z-index:3856" from="85.103996pt,13.308976pt" to="137.106719pt,13.308976pt" stroked="true" strokeweight=".3216pt" strokecolor="#000000">
            <w10:wrap type="none"/>
          </v:line>
        </w:pict>
      </w:r>
      <w:r>
        <w:rPr/>
        <w:pict>
          <v:line style="position:absolute;mso-position-horizontal-relative:page;mso-position-vertical-relative:paragraph;z-index:3880" from="85.103996pt,35.268967pt" to="137.106719pt,35.268967pt" stroked="true" strokeweight=".3216pt" strokecolor="#000000">
            <w10:wrap type="none"/>
          </v:line>
        </w:pict>
      </w:r>
      <w:r>
        <w:rPr/>
        <w:pict>
          <v:line style="position:absolute;mso-position-horizontal-relative:page;mso-position-vertical-relative:paragraph;z-index:3904" from="85.103996pt,57.138977pt" to="137.106719pt,57.138977pt" stroked="true" strokeweight=".3216pt" strokecolor="#000000">
            <w10:wrap type="none"/>
          </v:line>
        </w:pict>
      </w:r>
      <w:r>
        <w:rPr/>
        <w:pict>
          <v:line style="position:absolute;mso-position-horizontal-relative:page;mso-position-vertical-relative:paragraph;z-index:3928" from="85.103996pt,78.978973pt" to="137.106719pt,78.978973pt" stroked="true" strokeweight=".3216pt" strokecolor="#000000">
            <w10:wrap type="none"/>
          </v:line>
        </w:pict>
      </w:r>
      <w:r>
        <w:rPr>
          <w:sz w:val="24"/>
        </w:rPr>
        <w:t>(1993), </w:t>
      </w:r>
      <w:r>
        <w:rPr>
          <w:i/>
          <w:sz w:val="24"/>
        </w:rPr>
        <w:t>Quinto informe de Gobierno</w:t>
      </w:r>
      <w:r>
        <w:rPr>
          <w:sz w:val="24"/>
        </w:rPr>
        <w:t>, Gobernador Ignacio Pichardo Pagaza. (1999), </w:t>
      </w:r>
      <w:r>
        <w:rPr>
          <w:i/>
          <w:sz w:val="24"/>
        </w:rPr>
        <w:t>Sexto informe de Gobierno</w:t>
      </w:r>
      <w:r>
        <w:rPr>
          <w:sz w:val="24"/>
        </w:rPr>
        <w:t>, Gobernador César Camacho Quiroz. (2004), </w:t>
      </w:r>
      <w:r>
        <w:rPr>
          <w:i/>
          <w:sz w:val="24"/>
        </w:rPr>
        <w:t>Quinto informe de Gobierno</w:t>
      </w:r>
      <w:r>
        <w:rPr>
          <w:sz w:val="24"/>
        </w:rPr>
        <w:t>, Gobernador Arturo Montiel Rojas. (2006), </w:t>
      </w:r>
      <w:r>
        <w:rPr>
          <w:i/>
          <w:sz w:val="24"/>
        </w:rPr>
        <w:t>Primer informe de Gobierno</w:t>
      </w:r>
      <w:r>
        <w:rPr>
          <w:sz w:val="24"/>
        </w:rPr>
        <w:t>, Gobernador Enrique Peña Nieto.</w:t>
      </w:r>
    </w:p>
    <w:p>
      <w:pPr>
        <w:spacing w:before="4"/>
        <w:ind w:left="122" w:right="118" w:firstLine="0"/>
        <w:jc w:val="left"/>
        <w:rPr>
          <w:i/>
          <w:sz w:val="24"/>
        </w:rPr>
      </w:pPr>
      <w:r>
        <w:rPr>
          <w:sz w:val="24"/>
        </w:rPr>
        <w:t>González Arévalo, Ana Luisa (2010), </w:t>
      </w:r>
      <w:r>
        <w:rPr>
          <w:i/>
          <w:sz w:val="24"/>
        </w:rPr>
        <w:t>La desindustrialización en la manufactura mexicana,</w:t>
      </w:r>
    </w:p>
    <w:p>
      <w:pPr>
        <w:pStyle w:val="BodyText"/>
        <w:spacing w:before="43"/>
        <w:ind w:left="1113" w:right="243"/>
      </w:pPr>
      <w:r>
        <w:rPr/>
        <w:t>Editorial Osmart Grupo de Impresores, México.</w:t>
      </w:r>
    </w:p>
    <w:p>
      <w:pPr>
        <w:pStyle w:val="BodyText"/>
        <w:spacing w:line="276" w:lineRule="auto" w:before="161"/>
        <w:ind w:left="1113" w:right="117" w:hanging="992"/>
        <w:jc w:val="both"/>
      </w:pPr>
      <w:r>
        <w:rPr/>
        <w:t>González López, Sergio (2005), “La reestructuración económico-territorial de la megalópolis de México ante la globalización, 2ª parte”, </w:t>
      </w:r>
      <w:r>
        <w:rPr>
          <w:i/>
        </w:rPr>
        <w:t>Urbano</w:t>
      </w:r>
      <w:r>
        <w:rPr/>
        <w:t>, vol. 8, núm. 11, pp. 59-64.</w:t>
      </w:r>
    </w:p>
    <w:p>
      <w:pPr>
        <w:spacing w:after="0" w:line="276" w:lineRule="auto"/>
        <w:jc w:val="both"/>
        <w:sectPr>
          <w:footerReference w:type="default" r:id="rId57"/>
          <w:pgSz w:w="12240" w:h="15840"/>
          <w:pgMar w:footer="1003" w:header="0" w:top="1360" w:bottom="1200" w:left="1580" w:right="1580"/>
          <w:pgNumType w:start="160"/>
        </w:sectPr>
      </w:pPr>
    </w:p>
    <w:p>
      <w:pPr>
        <w:pStyle w:val="BodyText"/>
        <w:tabs>
          <w:tab w:pos="2776" w:val="left" w:leader="none"/>
          <w:tab w:pos="3395" w:val="left" w:leader="none"/>
          <w:tab w:pos="4558" w:val="left" w:leader="none"/>
          <w:tab w:pos="5189" w:val="left" w:leader="none"/>
          <w:tab w:pos="6389" w:val="left" w:leader="none"/>
          <w:tab w:pos="7794" w:val="left" w:leader="none"/>
          <w:tab w:pos="8423" w:val="left" w:leader="none"/>
        </w:tabs>
        <w:spacing w:line="276" w:lineRule="auto" w:before="50"/>
        <w:ind w:left="1113" w:right="117" w:hanging="992"/>
      </w:pPr>
      <w:r>
        <w:rPr/>
        <w:t>González Serna, Sergio Armando (2008), </w:t>
      </w:r>
      <w:r>
        <w:rPr>
          <w:i/>
        </w:rPr>
        <w:t>Monografía política del Estado de México</w:t>
      </w:r>
      <w:r>
        <w:rPr/>
        <w:t>, (1981-2008),</w:t>
        <w:tab/>
        <w:t>El</w:t>
        <w:tab/>
        <w:t>Colegio</w:t>
        <w:tab/>
        <w:t>de</w:t>
        <w:tab/>
        <w:t>México,</w:t>
        <w:tab/>
        <w:t>disponible</w:t>
        <w:tab/>
        <w:t>en</w:t>
        <w:tab/>
        <w:t>línea: </w:t>
      </w:r>
      <w:hyperlink r:id="rId58">
        <w:r>
          <w:rPr/>
          <w:t>http://campus.usal.es/~acpa/democracialocal/pdfs/MonografiaEstadodeMexico.p</w:t>
        </w:r>
      </w:hyperlink>
      <w:r>
        <w:rPr/>
        <w:t> df</w:t>
      </w:r>
    </w:p>
    <w:p>
      <w:pPr>
        <w:pStyle w:val="BodyText"/>
        <w:spacing w:line="278" w:lineRule="auto" w:before="121"/>
        <w:ind w:left="830" w:right="243" w:hanging="708"/>
      </w:pPr>
      <w:r>
        <w:rPr/>
        <w:t>Grossman, Gene Michael y Elhanan Helpman (1990), “Quality ladders in the theory of growth”, </w:t>
      </w:r>
      <w:r>
        <w:rPr>
          <w:i/>
        </w:rPr>
        <w:t>Review of Economic Studies</w:t>
      </w:r>
      <w:r>
        <w:rPr/>
        <w:t>, núm. 58, pp. 43-61.</w:t>
      </w:r>
    </w:p>
    <w:p>
      <w:pPr>
        <w:spacing w:before="118"/>
        <w:ind w:left="1204" w:right="243" w:firstLine="0"/>
        <w:jc w:val="left"/>
        <w:rPr>
          <w:sz w:val="24"/>
        </w:rPr>
      </w:pPr>
      <w:r>
        <w:rPr/>
        <w:pict>
          <v:line style="position:absolute;mso-position-horizontal-relative:page;mso-position-vertical-relative:paragraph;z-index:-463024" from="85.103996pt,13.158945pt" to="137.106719pt,13.158945pt" stroked="true" strokeweight=".3216pt" strokecolor="#000000">
            <w10:wrap type="none"/>
          </v:line>
        </w:pict>
      </w:r>
      <w:r>
        <w:rPr>
          <w:sz w:val="24"/>
        </w:rPr>
        <w:t>(1994), </w:t>
      </w:r>
      <w:r>
        <w:rPr>
          <w:i/>
          <w:sz w:val="24"/>
        </w:rPr>
        <w:t>Innovation and growth in the global economy</w:t>
      </w:r>
      <w:r>
        <w:rPr>
          <w:sz w:val="24"/>
        </w:rPr>
        <w:t>, Cambridge, MA.</w:t>
      </w:r>
    </w:p>
    <w:p>
      <w:pPr>
        <w:pStyle w:val="BodyText"/>
        <w:spacing w:before="161"/>
        <w:ind w:left="122" w:right="84"/>
      </w:pPr>
      <w:r>
        <w:rPr/>
        <w:t>Hausmann,  Ricardo,  Jason  Hwang  y  Dani  Rodrik  (2006),  “What  you  export matters”,</w:t>
      </w:r>
    </w:p>
    <w:p>
      <w:pPr>
        <w:spacing w:before="41"/>
        <w:ind w:left="830" w:right="243" w:firstLine="0"/>
        <w:jc w:val="left"/>
        <w:rPr>
          <w:sz w:val="24"/>
        </w:rPr>
      </w:pPr>
      <w:r>
        <w:rPr>
          <w:i/>
          <w:sz w:val="24"/>
        </w:rPr>
        <w:t>Journal of Economic Growth, </w:t>
      </w:r>
      <w:r>
        <w:rPr>
          <w:sz w:val="24"/>
        </w:rPr>
        <w:t>vol.12, núm.1, pp. 1-25.</w:t>
      </w:r>
    </w:p>
    <w:p>
      <w:pPr>
        <w:pStyle w:val="BodyText"/>
        <w:spacing w:line="276" w:lineRule="auto" w:before="163"/>
        <w:ind w:left="830" w:right="243" w:hanging="708"/>
      </w:pPr>
      <w:r>
        <w:rPr/>
        <w:t>Hausman, Jerry (1978), “Specification tests in Econometrics”, </w:t>
      </w:r>
      <w:r>
        <w:rPr>
          <w:i/>
        </w:rPr>
        <w:t>Econometrica</w:t>
      </w:r>
      <w:r>
        <w:rPr/>
        <w:t>, vol. 46, núm.6, pp. 1251-1272.</w:t>
      </w:r>
    </w:p>
    <w:p>
      <w:pPr>
        <w:spacing w:line="276" w:lineRule="auto" w:before="121"/>
        <w:ind w:left="830" w:right="243" w:hanging="708"/>
        <w:jc w:val="left"/>
        <w:rPr>
          <w:sz w:val="24"/>
        </w:rPr>
      </w:pPr>
      <w:r>
        <w:rPr>
          <w:sz w:val="24"/>
        </w:rPr>
        <w:t>Hernández Laos, Enrique (1985), </w:t>
      </w:r>
      <w:r>
        <w:rPr>
          <w:i/>
          <w:sz w:val="24"/>
        </w:rPr>
        <w:t>La productividad y el desarrollo industrial en México</w:t>
      </w:r>
      <w:r>
        <w:rPr>
          <w:sz w:val="24"/>
        </w:rPr>
        <w:t>, Fondo de Cultura Económica, México.</w:t>
      </w:r>
    </w:p>
    <w:p>
      <w:pPr>
        <w:pStyle w:val="BodyText"/>
        <w:spacing w:line="276" w:lineRule="auto" w:before="123"/>
        <w:ind w:left="830" w:right="243" w:hanging="708"/>
      </w:pPr>
      <w:r>
        <w:rPr/>
        <w:t>Hernández Romero, Jazmín y Raúl Galindo Sosa (2006), “La industria textil en el Estado  de México, retos y perspectivas”, </w:t>
      </w:r>
      <w:r>
        <w:rPr>
          <w:i/>
        </w:rPr>
        <w:t>Espacios públicos</w:t>
      </w:r>
      <w:r>
        <w:rPr/>
        <w:t>, vol. 9, núm. 17, pp.</w:t>
      </w:r>
      <w:r>
        <w:rPr>
          <w:spacing w:val="-8"/>
        </w:rPr>
        <w:t> </w:t>
      </w:r>
      <w:r>
        <w:rPr/>
        <w:t>422-435.</w:t>
      </w:r>
    </w:p>
    <w:p>
      <w:pPr>
        <w:spacing w:line="276" w:lineRule="auto" w:before="121"/>
        <w:ind w:left="830" w:right="115" w:firstLine="410"/>
        <w:jc w:val="both"/>
        <w:rPr>
          <w:i/>
          <w:sz w:val="24"/>
        </w:rPr>
      </w:pPr>
      <w:r>
        <w:rPr/>
        <w:pict>
          <v:line style="position:absolute;mso-position-horizontal-relative:page;mso-position-vertical-relative:paragraph;z-index:-463000" from="85.103996pt,13.308946pt" to="137.106719pt,13.308946pt" stroked="true" strokeweight=".3216pt" strokecolor="#000000">
            <w10:wrap type="none"/>
          </v:line>
        </w:pict>
      </w:r>
      <w:r>
        <w:rPr>
          <w:sz w:val="24"/>
        </w:rPr>
        <w:t>(2006), “El movimiento obrero en la fábrica textil </w:t>
      </w:r>
      <w:r>
        <w:rPr>
          <w:spacing w:val="-3"/>
          <w:sz w:val="24"/>
        </w:rPr>
        <w:t>La </w:t>
      </w:r>
      <w:r>
        <w:rPr>
          <w:sz w:val="24"/>
        </w:rPr>
        <w:t>Hortensia: una lucha por  la dignidad, Ponencia presentada en el V Congreso Nacional AMET 2006, </w:t>
      </w:r>
      <w:r>
        <w:rPr>
          <w:i/>
          <w:sz w:val="24"/>
        </w:rPr>
        <w:t>Trabajo  </w:t>
      </w:r>
      <w:r>
        <w:rPr>
          <w:i/>
          <w:sz w:val="24"/>
        </w:rPr>
        <w:t>y restructuración: Los retos del nuevo</w:t>
      </w:r>
      <w:r>
        <w:rPr>
          <w:i/>
          <w:spacing w:val="-6"/>
          <w:sz w:val="24"/>
        </w:rPr>
        <w:t> </w:t>
      </w:r>
      <w:r>
        <w:rPr>
          <w:i/>
          <w:sz w:val="24"/>
        </w:rPr>
        <w:t>siglo.</w:t>
      </w:r>
    </w:p>
    <w:p>
      <w:pPr>
        <w:spacing w:before="123"/>
        <w:ind w:left="122" w:right="243" w:firstLine="0"/>
        <w:jc w:val="left"/>
        <w:rPr>
          <w:sz w:val="24"/>
        </w:rPr>
      </w:pPr>
      <w:r>
        <w:rPr>
          <w:sz w:val="24"/>
        </w:rPr>
        <w:t>Herrejón Peredo, Carlos (1985),  </w:t>
      </w:r>
      <w:r>
        <w:rPr>
          <w:i/>
          <w:sz w:val="24"/>
        </w:rPr>
        <w:t>Historia del Estado de México, </w:t>
      </w:r>
      <w:r>
        <w:rPr>
          <w:sz w:val="24"/>
        </w:rPr>
        <w:t>UAEM, México.</w:t>
      </w:r>
    </w:p>
    <w:p>
      <w:pPr>
        <w:spacing w:line="276" w:lineRule="auto" w:before="161"/>
        <w:ind w:left="830" w:right="243" w:hanging="708"/>
        <w:jc w:val="left"/>
        <w:rPr>
          <w:sz w:val="24"/>
        </w:rPr>
      </w:pPr>
      <w:r>
        <w:rPr>
          <w:sz w:val="24"/>
        </w:rPr>
        <w:t>Hsiao, Cheng (2006), “Panel Data analysis. Advantages and Challenges”, </w:t>
      </w:r>
      <w:r>
        <w:rPr>
          <w:i/>
          <w:sz w:val="24"/>
        </w:rPr>
        <w:t>Wise Working </w:t>
      </w:r>
      <w:r>
        <w:rPr>
          <w:i/>
          <w:sz w:val="24"/>
        </w:rPr>
        <w:t>Paper Series</w:t>
      </w:r>
      <w:r>
        <w:rPr>
          <w:sz w:val="24"/>
        </w:rPr>
        <w:t>, Xiamen University, China.</w:t>
      </w:r>
    </w:p>
    <w:p>
      <w:pPr>
        <w:pStyle w:val="BodyText"/>
        <w:spacing w:line="278" w:lineRule="auto" w:before="121"/>
        <w:ind w:left="830" w:right="243" w:hanging="708"/>
      </w:pPr>
      <w:r>
        <w:rPr/>
        <w:t>Ibarra Niño, Carlos, (2008) "La Paradoja del crecimiento lento de México", </w:t>
      </w:r>
      <w:r>
        <w:rPr>
          <w:i/>
        </w:rPr>
        <w:t>Revista de la </w:t>
      </w:r>
      <w:r>
        <w:rPr>
          <w:i/>
        </w:rPr>
        <w:t>CEPAL</w:t>
      </w:r>
      <w:r>
        <w:rPr/>
        <w:t>, núm. 95, Santiago de Chile, pp. 83-102.</w:t>
      </w:r>
    </w:p>
    <w:p>
      <w:pPr>
        <w:pStyle w:val="BodyText"/>
        <w:spacing w:line="276" w:lineRule="auto" w:before="118"/>
        <w:ind w:left="830" w:right="243" w:hanging="708"/>
      </w:pPr>
      <w:r>
        <w:rPr>
          <w:i/>
        </w:rPr>
        <w:t>IMCO </w:t>
      </w:r>
      <w:r>
        <w:rPr/>
        <w:t>(2008), “Competitividad estatal 2008. Aspiraciones y realidad: las agendas del futuro”, documento PDF, en </w:t>
      </w:r>
      <w:r>
        <w:rPr>
          <w:spacing w:val="53"/>
        </w:rPr>
        <w:t> </w:t>
      </w:r>
      <w:r>
        <w:rPr/>
        <w:t>&lt;</w:t>
      </w:r>
      <w:hyperlink r:id="rId59">
        <w:r>
          <w:rPr/>
          <w:t>http://www.imco.org.mx/</w:t>
        </w:r>
      </w:hyperlink>
      <w:r>
        <w:rPr/>
        <w:t>&gt;.</w:t>
      </w:r>
    </w:p>
    <w:p>
      <w:pPr>
        <w:spacing w:line="278" w:lineRule="auto" w:before="121"/>
        <w:ind w:left="830" w:right="118" w:hanging="708"/>
        <w:jc w:val="left"/>
        <w:rPr>
          <w:sz w:val="24"/>
        </w:rPr>
      </w:pPr>
      <w:r>
        <w:rPr>
          <w:sz w:val="24"/>
        </w:rPr>
        <w:t>INEGI, </w:t>
      </w:r>
      <w:r>
        <w:rPr>
          <w:i/>
          <w:sz w:val="24"/>
        </w:rPr>
        <w:t>Anuario Estadístico de los Estados Unidos Mexicanos, y Estado de México</w:t>
      </w:r>
      <w:r>
        <w:rPr>
          <w:sz w:val="24"/>
        </w:rPr>
        <w:t>, (varios números), Aguascalientes.</w:t>
      </w:r>
    </w:p>
    <w:p>
      <w:pPr>
        <w:spacing w:before="118"/>
        <w:ind w:left="1223" w:right="243" w:firstLine="0"/>
        <w:jc w:val="left"/>
        <w:rPr>
          <w:sz w:val="24"/>
        </w:rPr>
      </w:pPr>
      <w:r>
        <w:rPr/>
        <w:pict>
          <v:line style="position:absolute;mso-position-horizontal-relative:page;mso-position-vertical-relative:paragraph;z-index:4000" from="85.103996pt,13.15896pt" to="137.106719pt,13.15896pt" stroked="true" strokeweight=".3216pt" strokecolor="#000000">
            <w10:wrap type="none"/>
          </v:line>
        </w:pict>
      </w:r>
      <w:r>
        <w:rPr>
          <w:sz w:val="24"/>
        </w:rPr>
        <w:t>(2010), </w:t>
      </w:r>
      <w:r>
        <w:rPr>
          <w:i/>
          <w:sz w:val="24"/>
        </w:rPr>
        <w:t>Censo Nacional de Población y Vivienda 2010</w:t>
      </w:r>
      <w:r>
        <w:rPr>
          <w:sz w:val="24"/>
        </w:rPr>
        <w:t>, Aguascalientes.</w:t>
      </w:r>
    </w:p>
    <w:p>
      <w:pPr>
        <w:spacing w:before="161"/>
        <w:ind w:left="1230" w:right="84" w:firstLine="0"/>
        <w:jc w:val="left"/>
        <w:rPr>
          <w:sz w:val="24"/>
        </w:rPr>
      </w:pPr>
      <w:r>
        <w:rPr/>
        <w:pict>
          <v:line style="position:absolute;mso-position-horizontal-relative:page;mso-position-vertical-relative:paragraph;z-index:4024" from="85.103996pt,15.308976pt" to="137.106719pt,15.308976pt" stroked="true" strokeweight=".3216pt" strokecolor="#000000">
            <w10:wrap type="none"/>
          </v:line>
        </w:pict>
      </w:r>
      <w:r>
        <w:rPr>
          <w:sz w:val="24"/>
        </w:rPr>
        <w:t>(2010), </w:t>
      </w:r>
      <w:r>
        <w:rPr>
          <w:i/>
          <w:sz w:val="24"/>
        </w:rPr>
        <w:t>Censos Industriales y Económicos</w:t>
      </w:r>
      <w:r>
        <w:rPr>
          <w:sz w:val="24"/>
        </w:rPr>
        <w:t>, 1971, 1976, 1981,1986, 1989,</w:t>
      </w:r>
      <w:r>
        <w:rPr>
          <w:spacing w:val="58"/>
          <w:sz w:val="24"/>
        </w:rPr>
        <w:t> </w:t>
      </w:r>
      <w:r>
        <w:rPr>
          <w:sz w:val="24"/>
        </w:rPr>
        <w:t>1994,</w:t>
      </w:r>
    </w:p>
    <w:p>
      <w:pPr>
        <w:pStyle w:val="BodyText"/>
        <w:spacing w:before="41"/>
        <w:ind w:left="1113" w:right="243"/>
      </w:pPr>
      <w:r>
        <w:rPr/>
        <w:t>1999, 2003, 2009, Aguascalientes.</w:t>
      </w:r>
    </w:p>
    <w:p>
      <w:pPr>
        <w:spacing w:line="430" w:lineRule="atLeast" w:before="9"/>
        <w:ind w:left="122" w:right="243" w:firstLine="0"/>
        <w:jc w:val="left"/>
        <w:rPr>
          <w:sz w:val="24"/>
        </w:rPr>
      </w:pPr>
      <w:r>
        <w:rPr>
          <w:sz w:val="24"/>
        </w:rPr>
        <w:t>Johnston, Jack y John DiNardo (1997), </w:t>
      </w:r>
      <w:r>
        <w:rPr>
          <w:i/>
          <w:sz w:val="24"/>
        </w:rPr>
        <w:t>Econometrics Methods</w:t>
      </w:r>
      <w:r>
        <w:rPr>
          <w:sz w:val="24"/>
        </w:rPr>
        <w:t>, McGraw Hill, Singapure. Jones, Charles (2000), </w:t>
      </w:r>
      <w:r>
        <w:rPr>
          <w:i/>
          <w:sz w:val="24"/>
        </w:rPr>
        <w:t>Introducción al crecimiento económico</w:t>
      </w:r>
      <w:r>
        <w:rPr>
          <w:sz w:val="24"/>
        </w:rPr>
        <w:t>, primera edición, Prentice</w:t>
      </w:r>
    </w:p>
    <w:p>
      <w:pPr>
        <w:pStyle w:val="BodyText"/>
        <w:spacing w:before="41"/>
        <w:ind w:left="830" w:right="243"/>
      </w:pPr>
      <w:r>
        <w:rPr/>
        <w:t>Hall, México.</w:t>
      </w:r>
    </w:p>
    <w:p>
      <w:pPr>
        <w:spacing w:after="0"/>
        <w:sectPr>
          <w:pgSz w:w="12240" w:h="15840"/>
          <w:pgMar w:header="0" w:footer="1003" w:top="1360" w:bottom="1200" w:left="1580" w:right="1580"/>
        </w:sectPr>
      </w:pPr>
    </w:p>
    <w:p>
      <w:pPr>
        <w:spacing w:line="276" w:lineRule="auto" w:before="50"/>
        <w:ind w:left="830" w:right="114" w:hanging="708"/>
        <w:jc w:val="both"/>
        <w:rPr>
          <w:sz w:val="24"/>
        </w:rPr>
      </w:pPr>
      <w:r>
        <w:rPr>
          <w:sz w:val="24"/>
        </w:rPr>
        <w:t>Jungmittag, André (2004), “Innovations, technological specialization and economic growth in the EU”, </w:t>
      </w:r>
      <w:r>
        <w:rPr>
          <w:i/>
          <w:sz w:val="24"/>
        </w:rPr>
        <w:t>International Economics and Economic Policy</w:t>
      </w:r>
      <w:r>
        <w:rPr>
          <w:sz w:val="24"/>
        </w:rPr>
        <w:t>, núm. 1, vol. 2, pp. 247- 273.</w:t>
      </w:r>
    </w:p>
    <w:p>
      <w:pPr>
        <w:spacing w:before="121"/>
        <w:ind w:left="122" w:right="243" w:firstLine="0"/>
        <w:jc w:val="left"/>
        <w:rPr>
          <w:sz w:val="24"/>
        </w:rPr>
      </w:pPr>
      <w:r>
        <w:rPr>
          <w:sz w:val="24"/>
        </w:rPr>
        <w:t>Kaldor, Nicholas (1978), </w:t>
      </w:r>
      <w:r>
        <w:rPr>
          <w:i/>
          <w:sz w:val="24"/>
        </w:rPr>
        <w:t>Further Essays on Applied Economics</w:t>
      </w:r>
      <w:r>
        <w:rPr>
          <w:sz w:val="24"/>
        </w:rPr>
        <w:t>, Duckworth, London.</w:t>
      </w:r>
    </w:p>
    <w:p>
      <w:pPr>
        <w:pStyle w:val="BodyText"/>
        <w:spacing w:before="161"/>
        <w:ind w:left="1307" w:right="118"/>
      </w:pPr>
      <w:r>
        <w:rPr/>
        <w:pict>
          <v:line style="position:absolute;mso-position-horizontal-relative:page;mso-position-vertical-relative:paragraph;z-index:4048" from="85.103996pt,15.309007pt" to="137.106719pt,15.309007pt" stroked="true" strokeweight=".3216pt" strokecolor="#000000">
            <w10:wrap type="none"/>
          </v:line>
        </w:pict>
      </w:r>
      <w:r>
        <w:rPr/>
        <w:t>(1975),  “Economic  Growth  and  the  Verdoorn  Law.  A  comment  on     Mr.</w:t>
      </w:r>
    </w:p>
    <w:p>
      <w:pPr>
        <w:spacing w:before="43"/>
        <w:ind w:left="830" w:right="243" w:firstLine="0"/>
        <w:jc w:val="left"/>
        <w:rPr>
          <w:sz w:val="24"/>
        </w:rPr>
      </w:pPr>
      <w:r>
        <w:rPr>
          <w:sz w:val="24"/>
        </w:rPr>
        <w:t>Rowthorn´s article”, </w:t>
      </w:r>
      <w:r>
        <w:rPr>
          <w:i/>
          <w:sz w:val="24"/>
        </w:rPr>
        <w:t>The Economic Journal</w:t>
      </w:r>
      <w:r>
        <w:rPr>
          <w:sz w:val="24"/>
        </w:rPr>
        <w:t>, núm. 85, pp. 891-896.</w:t>
      </w:r>
    </w:p>
    <w:p>
      <w:pPr>
        <w:spacing w:before="161"/>
        <w:ind w:left="1233" w:right="84" w:firstLine="0"/>
        <w:jc w:val="left"/>
        <w:rPr>
          <w:i/>
          <w:sz w:val="24"/>
        </w:rPr>
      </w:pPr>
      <w:r>
        <w:rPr/>
        <w:pict>
          <v:line style="position:absolute;mso-position-horizontal-relative:page;mso-position-vertical-relative:paragraph;z-index:4072" from="85.103996pt,15.308946pt" to="137.106719pt,15.308946pt" stroked="true" strokeweight=".3216pt" strokecolor="#000000">
            <w10:wrap type="none"/>
          </v:line>
        </w:pict>
      </w:r>
      <w:r>
        <w:rPr>
          <w:sz w:val="24"/>
        </w:rPr>
        <w:t>(1970), “The case for regional policies”, </w:t>
      </w:r>
      <w:r>
        <w:rPr>
          <w:i/>
          <w:sz w:val="24"/>
        </w:rPr>
        <w:t>Scottish Journal of Political  Economy,</w:t>
      </w:r>
    </w:p>
    <w:p>
      <w:pPr>
        <w:pStyle w:val="BodyText"/>
        <w:spacing w:before="41"/>
        <w:ind w:left="830" w:right="243"/>
      </w:pPr>
      <w:r>
        <w:rPr/>
        <w:t>núm. 17, pp. 337-348.</w:t>
      </w:r>
    </w:p>
    <w:p>
      <w:pPr>
        <w:pStyle w:val="BodyText"/>
        <w:spacing w:line="278" w:lineRule="auto" w:before="161"/>
        <w:ind w:left="830" w:right="105" w:firstLine="374"/>
      </w:pPr>
      <w:r>
        <w:rPr/>
        <w:pict>
          <v:line style="position:absolute;mso-position-horizontal-relative:page;mso-position-vertical-relative:paragraph;z-index:-462880" from="85.103996pt,15.308946pt" to="137.106719pt,15.308946pt" stroked="true" strokeweight=".3216pt" strokecolor="#000000">
            <w10:wrap type="none"/>
          </v:line>
        </w:pict>
      </w:r>
      <w:r>
        <w:rPr/>
        <w:t>(1966), “Causas del Lento ritmo de crecimiento del Reino Unido”, traducción de Fidel Aroche (1984), </w:t>
      </w:r>
      <w:r>
        <w:rPr>
          <w:i/>
        </w:rPr>
        <w:t>Investigación Económica</w:t>
      </w:r>
      <w:r>
        <w:rPr/>
        <w:t>, núm. 167, pp. 9-27.</w:t>
      </w:r>
    </w:p>
    <w:p>
      <w:pPr>
        <w:spacing w:line="276" w:lineRule="auto" w:before="119"/>
        <w:ind w:left="830" w:right="119" w:hanging="708"/>
        <w:jc w:val="both"/>
        <w:rPr>
          <w:sz w:val="24"/>
        </w:rPr>
      </w:pPr>
      <w:r>
        <w:rPr>
          <w:sz w:val="24"/>
        </w:rPr>
        <w:t>Krugman, Paul Robin y Maurice Obstfeld (2009), </w:t>
      </w:r>
      <w:r>
        <w:rPr>
          <w:i/>
          <w:sz w:val="24"/>
        </w:rPr>
        <w:t>International economics theory and </w:t>
      </w:r>
      <w:r>
        <w:rPr>
          <w:i/>
          <w:sz w:val="24"/>
        </w:rPr>
        <w:t>policy</w:t>
      </w:r>
      <w:r>
        <w:rPr>
          <w:sz w:val="24"/>
        </w:rPr>
        <w:t>, Pearson Addison-Wesley, Boston.</w:t>
      </w:r>
    </w:p>
    <w:p>
      <w:pPr>
        <w:pStyle w:val="BodyText"/>
        <w:spacing w:line="276" w:lineRule="auto" w:before="121"/>
        <w:ind w:left="830" w:right="117" w:hanging="708"/>
        <w:jc w:val="both"/>
      </w:pPr>
      <w:r>
        <w:rPr/>
        <w:t>Lara Rivero Arturo, Alejandro García Garnica y Gerardo Trujano (2004), “El Clúster automotriz en el Estado de México, retos y oportunidades”, </w:t>
      </w:r>
      <w:r>
        <w:rPr>
          <w:i/>
        </w:rPr>
        <w:t>Región y Sociedad</w:t>
      </w:r>
      <w:r>
        <w:rPr/>
        <w:t>, Vol. XVI, núm. 31, 83-117.</w:t>
      </w:r>
    </w:p>
    <w:p>
      <w:pPr>
        <w:pStyle w:val="BodyText"/>
        <w:spacing w:line="276" w:lineRule="auto" w:before="121"/>
        <w:ind w:left="830" w:right="120" w:hanging="708"/>
        <w:jc w:val="both"/>
      </w:pPr>
      <w:r>
        <w:rPr/>
        <w:t>Loayza Norman, Pablo Fajnzylber y César Calderón (2004), “Economic growth in Latin America and the Caribbean: stylized facts, explanations, and forecast”, </w:t>
      </w:r>
      <w:r>
        <w:rPr>
          <w:i/>
        </w:rPr>
        <w:t>Documentos </w:t>
      </w:r>
      <w:r>
        <w:rPr>
          <w:i/>
        </w:rPr>
        <w:t>de Trabajo</w:t>
      </w:r>
      <w:r>
        <w:rPr/>
        <w:t>, núm. 265, Banco Central de Chile.</w:t>
      </w:r>
    </w:p>
    <w:p>
      <w:pPr>
        <w:pStyle w:val="BodyText"/>
        <w:spacing w:line="276" w:lineRule="auto" w:before="123"/>
        <w:ind w:left="830" w:right="115" w:hanging="708"/>
        <w:jc w:val="both"/>
      </w:pPr>
      <w:r>
        <w:rPr/>
        <w:t>Loría, Eduardo (2009), “Sobre el lento crecimiento económico de México. Una explicación sectorial”, </w:t>
      </w:r>
      <w:r>
        <w:rPr>
          <w:i/>
        </w:rPr>
        <w:t>Investigación Económica</w:t>
      </w:r>
      <w:r>
        <w:rPr/>
        <w:t>. vol.68, no.270, pp. 37-68.</w:t>
      </w:r>
    </w:p>
    <w:p>
      <w:pPr>
        <w:spacing w:line="276" w:lineRule="auto" w:before="121"/>
        <w:ind w:left="830" w:right="116" w:hanging="708"/>
        <w:jc w:val="both"/>
        <w:rPr>
          <w:sz w:val="24"/>
        </w:rPr>
      </w:pPr>
      <w:r>
        <w:rPr>
          <w:sz w:val="24"/>
        </w:rPr>
        <w:t>Lucas, Romer (1988), “On the Mechanics of Economic Development”, </w:t>
      </w:r>
      <w:r>
        <w:rPr>
          <w:i/>
          <w:sz w:val="24"/>
        </w:rPr>
        <w:t>Journal of  </w:t>
      </w:r>
      <w:r>
        <w:rPr>
          <w:i/>
          <w:sz w:val="24"/>
        </w:rPr>
        <w:t>monetary economics</w:t>
      </w:r>
      <w:r>
        <w:rPr>
          <w:sz w:val="24"/>
        </w:rPr>
        <w:t>, vol. 22, pp.</w:t>
      </w:r>
      <w:r>
        <w:rPr>
          <w:spacing w:val="-4"/>
          <w:sz w:val="24"/>
        </w:rPr>
        <w:t> </w:t>
      </w:r>
      <w:r>
        <w:rPr>
          <w:sz w:val="24"/>
        </w:rPr>
        <w:t>3-42.</w:t>
      </w:r>
    </w:p>
    <w:p>
      <w:pPr>
        <w:spacing w:line="276" w:lineRule="auto" w:before="123"/>
        <w:ind w:left="830" w:right="118" w:hanging="708"/>
        <w:jc w:val="both"/>
        <w:rPr>
          <w:sz w:val="24"/>
        </w:rPr>
      </w:pPr>
      <w:r>
        <w:rPr>
          <w:sz w:val="24"/>
        </w:rPr>
        <w:t>Lustig, Nora (2001), “Life is not Easy: Mexico´s Quest for Stability and Growth”, </w:t>
      </w:r>
      <w:r>
        <w:rPr>
          <w:i/>
          <w:sz w:val="24"/>
        </w:rPr>
        <w:t>Journal </w:t>
      </w:r>
      <w:r>
        <w:rPr>
          <w:i/>
          <w:sz w:val="24"/>
        </w:rPr>
        <w:t>of Economic Perspectives</w:t>
      </w:r>
      <w:r>
        <w:rPr>
          <w:sz w:val="24"/>
        </w:rPr>
        <w:t>, vol. 15, núm. 1, pp. 85-106.</w:t>
      </w:r>
    </w:p>
    <w:p>
      <w:pPr>
        <w:spacing w:line="276" w:lineRule="auto" w:before="121"/>
        <w:ind w:left="830" w:right="117" w:hanging="708"/>
        <w:jc w:val="both"/>
        <w:rPr>
          <w:sz w:val="24"/>
        </w:rPr>
      </w:pPr>
      <w:r>
        <w:rPr>
          <w:sz w:val="24"/>
        </w:rPr>
        <w:t>Lustig, Nora (1994), </w:t>
      </w:r>
      <w:r>
        <w:rPr>
          <w:i/>
          <w:sz w:val="24"/>
        </w:rPr>
        <w:t>México. Hacia la reconstrucción de una economía</w:t>
      </w:r>
      <w:r>
        <w:rPr>
          <w:sz w:val="24"/>
        </w:rPr>
        <w:t>, Colegio de  México y Fondo de Cultura Económica,</w:t>
      </w:r>
      <w:r>
        <w:rPr>
          <w:spacing w:val="-8"/>
          <w:sz w:val="24"/>
        </w:rPr>
        <w:t> </w:t>
      </w:r>
      <w:r>
        <w:rPr>
          <w:sz w:val="24"/>
        </w:rPr>
        <w:t>México.</w:t>
      </w:r>
    </w:p>
    <w:p>
      <w:pPr>
        <w:spacing w:line="276" w:lineRule="auto" w:before="123"/>
        <w:ind w:left="830" w:right="120" w:hanging="708"/>
        <w:jc w:val="both"/>
        <w:rPr>
          <w:sz w:val="24"/>
        </w:rPr>
      </w:pPr>
      <w:r>
        <w:rPr>
          <w:sz w:val="24"/>
        </w:rPr>
        <w:t>Mahía, Ramón (2000), </w:t>
      </w:r>
      <w:r>
        <w:rPr>
          <w:i/>
          <w:sz w:val="24"/>
        </w:rPr>
        <w:t>Introducción a la especificación y estimación de modelos con datos </w:t>
      </w:r>
      <w:r>
        <w:rPr>
          <w:i/>
          <w:sz w:val="24"/>
        </w:rPr>
        <w:t>de pane</w:t>
      </w:r>
      <w:r>
        <w:rPr>
          <w:sz w:val="24"/>
        </w:rPr>
        <w:t>l, Universidad Autónoma de Madrid.</w:t>
      </w:r>
    </w:p>
    <w:p>
      <w:pPr>
        <w:spacing w:line="276" w:lineRule="auto" w:before="121"/>
        <w:ind w:left="1113" w:right="119" w:hanging="992"/>
        <w:jc w:val="both"/>
        <w:rPr>
          <w:sz w:val="24"/>
        </w:rPr>
      </w:pPr>
      <w:r>
        <w:rPr>
          <w:sz w:val="24"/>
        </w:rPr>
        <w:t>Mankiw, Gregory; David Romer y David Weil (2007), “A contribution to the empirics of economic growth”, </w:t>
      </w:r>
      <w:r>
        <w:rPr>
          <w:i/>
          <w:sz w:val="24"/>
        </w:rPr>
        <w:t>The Quarterly Journal of Economics</w:t>
      </w:r>
      <w:r>
        <w:rPr>
          <w:sz w:val="24"/>
        </w:rPr>
        <w:t>, vol. 107, núm. 2, pp. 407-437.</w:t>
      </w:r>
    </w:p>
    <w:p>
      <w:pPr>
        <w:spacing w:line="276" w:lineRule="auto" w:before="121"/>
        <w:ind w:left="1113" w:right="123" w:hanging="992"/>
        <w:jc w:val="both"/>
        <w:rPr>
          <w:sz w:val="24"/>
        </w:rPr>
      </w:pPr>
      <w:r>
        <w:rPr>
          <w:sz w:val="24"/>
        </w:rPr>
        <w:t>Mayorga, M., y Muñoz, E. (2000), </w:t>
      </w:r>
      <w:r>
        <w:rPr>
          <w:i/>
          <w:sz w:val="24"/>
        </w:rPr>
        <w:t>La técnica de datos de panel: Una guía para su uso e </w:t>
      </w:r>
      <w:r>
        <w:rPr>
          <w:i/>
          <w:sz w:val="24"/>
        </w:rPr>
        <w:t>interpretación</w:t>
      </w:r>
      <w:r>
        <w:rPr>
          <w:sz w:val="24"/>
        </w:rPr>
        <w:t>, Banca Central de Costa Rica, División económica.</w:t>
      </w:r>
    </w:p>
    <w:p>
      <w:pPr>
        <w:spacing w:line="278" w:lineRule="auto" w:before="121"/>
        <w:ind w:left="830" w:right="114" w:hanging="708"/>
        <w:jc w:val="both"/>
        <w:rPr>
          <w:sz w:val="24"/>
        </w:rPr>
      </w:pPr>
      <w:r>
        <w:rPr>
          <w:sz w:val="24"/>
        </w:rPr>
        <w:t>Martínez del Campo, Manuel (1972), </w:t>
      </w:r>
      <w:r>
        <w:rPr>
          <w:i/>
          <w:sz w:val="24"/>
        </w:rPr>
        <w:t>Factores en el proceso de industrialización</w:t>
      </w:r>
      <w:r>
        <w:rPr>
          <w:sz w:val="24"/>
        </w:rPr>
        <w:t>, Fondo de Cultura Económica, México.</w:t>
      </w:r>
    </w:p>
    <w:p>
      <w:pPr>
        <w:spacing w:after="0" w:line="278" w:lineRule="auto"/>
        <w:jc w:val="both"/>
        <w:rPr>
          <w:sz w:val="24"/>
        </w:rPr>
        <w:sectPr>
          <w:pgSz w:w="12240" w:h="15840"/>
          <w:pgMar w:header="0" w:footer="1003" w:top="1360" w:bottom="1200" w:left="1580" w:right="1580"/>
        </w:sectPr>
      </w:pPr>
    </w:p>
    <w:p>
      <w:pPr>
        <w:tabs>
          <w:tab w:pos="1377" w:val="left" w:leader="none"/>
        </w:tabs>
        <w:spacing w:before="48"/>
        <w:ind w:left="830" w:right="284" w:hanging="708"/>
        <w:jc w:val="left"/>
        <w:rPr>
          <w:sz w:val="24"/>
        </w:rPr>
      </w:pPr>
      <w:r>
        <w:rPr>
          <w:sz w:val="24"/>
          <w:u w:val="single"/>
        </w:rPr>
        <w:t> </w:t>
        <w:tab/>
        <w:tab/>
      </w:r>
      <w:r>
        <w:rPr>
          <w:sz w:val="24"/>
        </w:rPr>
        <w:t>(1985), </w:t>
      </w:r>
      <w:r>
        <w:rPr>
          <w:i/>
          <w:sz w:val="24"/>
        </w:rPr>
        <w:t>Industrialización en México: Hacia un análisis crítico, </w:t>
      </w:r>
      <w:r>
        <w:rPr>
          <w:sz w:val="24"/>
        </w:rPr>
        <w:t>El</w:t>
      </w:r>
      <w:r>
        <w:rPr>
          <w:spacing w:val="-9"/>
          <w:sz w:val="24"/>
        </w:rPr>
        <w:t> </w:t>
      </w:r>
      <w:r>
        <w:rPr>
          <w:sz w:val="24"/>
        </w:rPr>
        <w:t>Colegio</w:t>
      </w:r>
      <w:r>
        <w:rPr>
          <w:spacing w:val="-1"/>
          <w:sz w:val="24"/>
        </w:rPr>
        <w:t> </w:t>
      </w:r>
      <w:r>
        <w:rPr>
          <w:sz w:val="24"/>
        </w:rPr>
        <w:t>de México,</w:t>
      </w:r>
      <w:r>
        <w:rPr>
          <w:spacing w:val="-1"/>
          <w:sz w:val="24"/>
        </w:rPr>
        <w:t> </w:t>
      </w:r>
      <w:r>
        <w:rPr>
          <w:sz w:val="24"/>
        </w:rPr>
        <w:t>México.</w:t>
      </w:r>
    </w:p>
    <w:p>
      <w:pPr>
        <w:spacing w:before="122"/>
        <w:ind w:left="122" w:right="243" w:firstLine="0"/>
        <w:jc w:val="left"/>
        <w:rPr>
          <w:sz w:val="24"/>
        </w:rPr>
      </w:pPr>
      <w:r>
        <w:rPr>
          <w:sz w:val="24"/>
        </w:rPr>
        <w:t>Marshall, Alfred (1927), </w:t>
      </w:r>
      <w:r>
        <w:rPr>
          <w:i/>
          <w:sz w:val="24"/>
        </w:rPr>
        <w:t>Principles of Economics, </w:t>
      </w:r>
      <w:r>
        <w:rPr>
          <w:sz w:val="24"/>
        </w:rPr>
        <w:t>McMillan, Londres.</w:t>
      </w:r>
    </w:p>
    <w:p>
      <w:pPr>
        <w:pStyle w:val="BodyText"/>
        <w:spacing w:line="276" w:lineRule="auto" w:before="163"/>
        <w:ind w:left="1113" w:right="117" w:hanging="992"/>
        <w:jc w:val="both"/>
      </w:pPr>
      <w:r>
        <w:rPr/>
        <w:t>Matsuyama, K. (1992), “Agricultural Productivity, Comparative Advantage, and Economic Growth”, </w:t>
      </w:r>
      <w:r>
        <w:rPr>
          <w:i/>
        </w:rPr>
        <w:t>Journal of Economic Theory</w:t>
      </w:r>
      <w:r>
        <w:rPr/>
        <w:t>, núm. 58, pp. 317-334.</w:t>
      </w:r>
    </w:p>
    <w:p>
      <w:pPr>
        <w:spacing w:line="276" w:lineRule="auto" w:before="121"/>
        <w:ind w:left="1113" w:right="114" w:hanging="992"/>
        <w:jc w:val="both"/>
        <w:rPr>
          <w:sz w:val="24"/>
        </w:rPr>
      </w:pPr>
      <w:r>
        <w:rPr>
          <w:sz w:val="24"/>
        </w:rPr>
        <w:t>Mauro, Pablo (1995), “Corruption and growth”, </w:t>
      </w:r>
      <w:r>
        <w:rPr>
          <w:i/>
          <w:sz w:val="24"/>
        </w:rPr>
        <w:t>Quarterly Journal of Economics</w:t>
      </w:r>
      <w:r>
        <w:rPr>
          <w:sz w:val="24"/>
        </w:rPr>
        <w:t>, vol. 110, núm. 3, pp. 681-712.</w:t>
      </w:r>
    </w:p>
    <w:p>
      <w:pPr>
        <w:spacing w:line="276" w:lineRule="auto" w:before="123"/>
        <w:ind w:left="830" w:right="117" w:hanging="708"/>
        <w:jc w:val="both"/>
        <w:rPr>
          <w:sz w:val="24"/>
        </w:rPr>
      </w:pPr>
      <w:r>
        <w:rPr>
          <w:sz w:val="24"/>
        </w:rPr>
        <w:t>McCann, Philip y Frank Van Oort (2009), “Theories of agglomeration and regional economic growth: a historical review”, </w:t>
      </w:r>
      <w:r>
        <w:rPr>
          <w:i/>
          <w:sz w:val="24"/>
        </w:rPr>
        <w:t>Handbook of Regional Growth and </w:t>
      </w:r>
      <w:r>
        <w:rPr>
          <w:i/>
          <w:sz w:val="24"/>
        </w:rPr>
        <w:t>Development Theories, </w:t>
      </w:r>
      <w:r>
        <w:rPr>
          <w:sz w:val="24"/>
        </w:rPr>
        <w:t>PEFC, Cambridge, Mass, pp. 19-32.</w:t>
      </w:r>
    </w:p>
    <w:p>
      <w:pPr>
        <w:pStyle w:val="BodyText"/>
        <w:spacing w:line="276" w:lineRule="auto" w:before="121"/>
        <w:ind w:left="1113" w:right="117" w:hanging="992"/>
        <w:jc w:val="both"/>
      </w:pPr>
      <w:r>
        <w:rPr/>
        <w:t>McCombie J.S.L y John. R. de Ridder (1983), “Increasing returns, productivity, and output growth: the case of the United States”, </w:t>
      </w:r>
      <w:r>
        <w:rPr>
          <w:i/>
        </w:rPr>
        <w:t>Journal of Post Keynesian Economics</w:t>
      </w:r>
      <w:r>
        <w:rPr/>
        <w:t>,  vol. V,  núm. 3, pp.</w:t>
      </w:r>
      <w:r>
        <w:rPr>
          <w:spacing w:val="-1"/>
        </w:rPr>
        <w:t> </w:t>
      </w:r>
      <w:r>
        <w:rPr/>
        <w:t>373-387.</w:t>
      </w:r>
    </w:p>
    <w:p>
      <w:pPr>
        <w:spacing w:line="276" w:lineRule="auto" w:before="121"/>
        <w:ind w:left="1113" w:right="243" w:firstLine="132"/>
        <w:jc w:val="left"/>
        <w:rPr>
          <w:sz w:val="24"/>
        </w:rPr>
      </w:pPr>
      <w:r>
        <w:rPr/>
        <w:pict>
          <v:line style="position:absolute;mso-position-horizontal-relative:page;mso-position-vertical-relative:paragraph;z-index:-462856" from="85.103996pt,13.308976pt" to="137.106719pt,13.308976pt" stroked="true" strokeweight=".3216pt" strokecolor="#000000">
            <w10:wrap type="none"/>
          </v:line>
        </w:pict>
      </w:r>
      <w:r>
        <w:rPr>
          <w:sz w:val="24"/>
        </w:rPr>
        <w:t>(1981), “What still remains of Kaldor´s Laws?”, </w:t>
      </w:r>
      <w:r>
        <w:rPr>
          <w:i/>
          <w:sz w:val="24"/>
        </w:rPr>
        <w:t>The Economic Journal, </w:t>
      </w:r>
      <w:r>
        <w:rPr>
          <w:sz w:val="24"/>
        </w:rPr>
        <w:t>núm. 91, pp. 206-216.</w:t>
      </w:r>
    </w:p>
    <w:p>
      <w:pPr>
        <w:pStyle w:val="BodyText"/>
        <w:spacing w:line="276" w:lineRule="auto" w:before="123"/>
        <w:ind w:left="830" w:right="115" w:hanging="708"/>
        <w:jc w:val="both"/>
      </w:pPr>
      <w:r>
        <w:rPr/>
        <w:t>Mejía Reyes, Pablo (2005), “La inversión extranjera directa en los estados de México: evolución reciente y retos futuros”, </w:t>
      </w:r>
      <w:r>
        <w:rPr>
          <w:i/>
        </w:rPr>
        <w:t>Economía Sociedad y Territorio</w:t>
      </w:r>
      <w:r>
        <w:rPr/>
        <w:t>, Dossier especial, pp. 185-236.</w:t>
      </w:r>
    </w:p>
    <w:p>
      <w:pPr>
        <w:pStyle w:val="BodyText"/>
        <w:tabs>
          <w:tab w:pos="1204" w:val="left" w:leader="none"/>
        </w:tabs>
        <w:spacing w:line="276" w:lineRule="auto" w:before="121"/>
        <w:ind w:left="830" w:right="118" w:hanging="708"/>
        <w:jc w:val="both"/>
      </w:pPr>
      <w:r>
        <w:rPr>
          <w:u w:val="single"/>
        </w:rPr>
        <w:t> </w:t>
        <w:tab/>
        <w:tab/>
      </w:r>
      <w:r>
        <w:rPr/>
        <w:t>y</w:t>
      </w:r>
      <w:r>
        <w:rPr>
          <w:spacing w:val="10"/>
        </w:rPr>
        <w:t> </w:t>
      </w:r>
      <w:r>
        <w:rPr/>
        <w:t>Rendón</w:t>
      </w:r>
      <w:r>
        <w:rPr>
          <w:spacing w:val="17"/>
        </w:rPr>
        <w:t> </w:t>
      </w:r>
      <w:r>
        <w:rPr/>
        <w:t>Liliana</w:t>
      </w:r>
      <w:r>
        <w:rPr>
          <w:spacing w:val="14"/>
        </w:rPr>
        <w:t> </w:t>
      </w:r>
      <w:r>
        <w:rPr/>
        <w:t>(2011),</w:t>
      </w:r>
      <w:r>
        <w:rPr>
          <w:spacing w:val="17"/>
        </w:rPr>
        <w:t> </w:t>
      </w:r>
      <w:r>
        <w:rPr/>
        <w:t>“La</w:t>
      </w:r>
      <w:r>
        <w:rPr>
          <w:spacing w:val="14"/>
        </w:rPr>
        <w:t> </w:t>
      </w:r>
      <w:r>
        <w:rPr/>
        <w:t>producción</w:t>
      </w:r>
      <w:r>
        <w:rPr>
          <w:spacing w:val="16"/>
        </w:rPr>
        <w:t> </w:t>
      </w:r>
      <w:r>
        <w:rPr/>
        <w:t>del</w:t>
      </w:r>
      <w:r>
        <w:rPr>
          <w:spacing w:val="16"/>
        </w:rPr>
        <w:t> </w:t>
      </w:r>
      <w:r>
        <w:rPr/>
        <w:t>Estado</w:t>
      </w:r>
      <w:r>
        <w:rPr>
          <w:spacing w:val="15"/>
        </w:rPr>
        <w:t> </w:t>
      </w:r>
      <w:r>
        <w:rPr/>
        <w:t>de</w:t>
      </w:r>
      <w:r>
        <w:rPr>
          <w:spacing w:val="14"/>
        </w:rPr>
        <w:t> </w:t>
      </w:r>
      <w:r>
        <w:rPr/>
        <w:t>México</w:t>
      </w:r>
      <w:r>
        <w:rPr>
          <w:spacing w:val="15"/>
        </w:rPr>
        <w:t> </w:t>
      </w:r>
      <w:r>
        <w:rPr/>
        <w:t>en</w:t>
      </w:r>
      <w:r>
        <w:rPr>
          <w:spacing w:val="15"/>
        </w:rPr>
        <w:t> </w:t>
      </w:r>
      <w:r>
        <w:rPr/>
        <w:t>la</w:t>
      </w:r>
      <w:r>
        <w:rPr>
          <w:spacing w:val="15"/>
        </w:rPr>
        <w:t> </w:t>
      </w:r>
      <w:r>
        <w:rPr/>
        <w:t>era</w:t>
      </w:r>
      <w:r>
        <w:rPr>
          <w:spacing w:val="14"/>
        </w:rPr>
        <w:t> </w:t>
      </w:r>
      <w:r>
        <w:rPr/>
        <w:t>de</w:t>
      </w:r>
      <w:r>
        <w:rPr>
          <w:spacing w:val="14"/>
        </w:rPr>
        <w:t> </w:t>
      </w:r>
      <w:r>
        <w:rPr/>
        <w:t>la</w:t>
      </w:r>
      <w:r>
        <w:rPr>
          <w:w w:val="100"/>
        </w:rPr>
        <w:t> </w:t>
      </w:r>
      <w:r>
        <w:rPr/>
        <w:t>economía global”, en P. Riguzzi y J. Sobrino (coords.), </w:t>
      </w:r>
      <w:r>
        <w:rPr>
          <w:i/>
        </w:rPr>
        <w:t>Historia General del Estado </w:t>
      </w:r>
      <w:r>
        <w:rPr>
          <w:i/>
        </w:rPr>
        <w:t>de México</w:t>
      </w:r>
      <w:r>
        <w:rPr/>
        <w:t>, vol. VI, México, pp.</w:t>
      </w:r>
      <w:r>
        <w:rPr>
          <w:spacing w:val="-6"/>
        </w:rPr>
        <w:t> </w:t>
      </w:r>
      <w:r>
        <w:rPr/>
        <w:t>435-467.</w:t>
      </w:r>
    </w:p>
    <w:p>
      <w:pPr>
        <w:pStyle w:val="BodyText"/>
        <w:spacing w:line="276" w:lineRule="auto" w:before="121"/>
        <w:ind w:left="830" w:right="119" w:firstLine="333"/>
        <w:jc w:val="both"/>
      </w:pPr>
      <w:r>
        <w:rPr/>
        <w:pict>
          <v:line style="position:absolute;mso-position-horizontal-relative:page;mso-position-vertical-relative:paragraph;z-index:-462832" from="85.103996pt,13.308946pt" to="137.106719pt,13.308946pt" stroked="true" strokeweight=".3216pt" strokecolor="#000000">
            <w10:wrap type="none"/>
          </v:line>
        </w:pict>
      </w:r>
      <w:r>
        <w:rPr/>
        <w:t>, Liliana Rendón y Sandra Ochoa (2010), “Efecto de la gran recesión en el empleo regional del Estado de México”, </w:t>
      </w:r>
      <w:r>
        <w:rPr>
          <w:i/>
        </w:rPr>
        <w:t>Economía Actual</w:t>
      </w:r>
      <w:r>
        <w:rPr/>
        <w:t>, año 3, núm. 2. Facultad de Economía, Universidad Autónoma del Estado de México, pp. 24-28.</w:t>
      </w:r>
    </w:p>
    <w:p>
      <w:pPr>
        <w:pStyle w:val="BodyText"/>
        <w:spacing w:line="276" w:lineRule="auto" w:before="123"/>
        <w:ind w:left="830" w:right="125" w:firstLine="333"/>
        <w:jc w:val="both"/>
      </w:pPr>
      <w:r>
        <w:rPr/>
        <w:pict>
          <v:line style="position:absolute;mso-position-horizontal-relative:page;mso-position-vertical-relative:paragraph;z-index:-462808" from="85.103996pt,13.408976pt" to="137.106719pt,13.408976pt" stroked="true" strokeweight=".3216pt" strokecolor="#000000">
            <w10:wrap type="none"/>
          </v:line>
        </w:pict>
      </w:r>
      <w:r>
        <w:rPr/>
        <w:t>, Elías Gutiérrez Alva y José Pérez Díaz (2006), “Los claroscuros de la sincronización internacional de los ciclos económicos: Evidencia sobre la manufactura de México”, </w:t>
      </w:r>
      <w:r>
        <w:rPr>
          <w:i/>
        </w:rPr>
        <w:t>Ciencia Ergo Sum</w:t>
      </w:r>
      <w:r>
        <w:rPr/>
        <w:t>, vol.13, núm. 2, Toluca, pp. 133-142.</w:t>
      </w:r>
    </w:p>
    <w:p>
      <w:pPr>
        <w:pStyle w:val="BodyText"/>
        <w:spacing w:line="278" w:lineRule="auto" w:before="121"/>
        <w:ind w:left="830" w:right="114" w:hanging="708"/>
        <w:jc w:val="both"/>
      </w:pPr>
      <w:r>
        <w:rPr/>
        <w:t>Mendoza Cota Jorge Eduardo, (2001), “Crecimiento y especialización en la región Saltillo- Ramos Arizpe”, </w:t>
      </w:r>
      <w:r>
        <w:rPr>
          <w:i/>
        </w:rPr>
        <w:t>Comercio Exterior, </w:t>
      </w:r>
      <w:r>
        <w:rPr/>
        <w:t>vol. 51, núm. 3, pp.250-258.</w:t>
      </w:r>
    </w:p>
    <w:p>
      <w:pPr>
        <w:tabs>
          <w:tab w:pos="1257" w:val="left" w:leader="none"/>
        </w:tabs>
        <w:spacing w:line="276" w:lineRule="auto" w:before="119"/>
        <w:ind w:left="830" w:right="118" w:hanging="708"/>
        <w:jc w:val="both"/>
        <w:rPr>
          <w:sz w:val="24"/>
        </w:rPr>
      </w:pPr>
      <w:r>
        <w:rPr>
          <w:sz w:val="24"/>
          <w:u w:val="single"/>
        </w:rPr>
        <w:t> </w:t>
        <w:tab/>
        <w:tab/>
      </w:r>
      <w:r>
        <w:rPr>
          <w:spacing w:val="21"/>
          <w:sz w:val="24"/>
        </w:rPr>
        <w:t> </w:t>
      </w:r>
      <w:r>
        <w:rPr>
          <w:sz w:val="24"/>
        </w:rPr>
        <w:t>y  Alejandro  Díaz-Bautista  (2006),  </w:t>
      </w:r>
      <w:r>
        <w:rPr>
          <w:i/>
          <w:sz w:val="24"/>
        </w:rPr>
        <w:t>Economía  regional  moderna.  </w:t>
      </w:r>
      <w:r>
        <w:rPr>
          <w:i/>
          <w:spacing w:val="31"/>
          <w:sz w:val="24"/>
        </w:rPr>
        <w:t> </w:t>
      </w:r>
      <w:r>
        <w:rPr>
          <w:i/>
          <w:sz w:val="24"/>
        </w:rPr>
        <w:t>Teoría </w:t>
      </w:r>
      <w:r>
        <w:rPr>
          <w:i/>
          <w:spacing w:val="12"/>
          <w:sz w:val="24"/>
        </w:rPr>
        <w:t> </w:t>
      </w:r>
      <w:r>
        <w:rPr>
          <w:i/>
          <w:sz w:val="24"/>
        </w:rPr>
        <w:t>y</w:t>
      </w:r>
      <w:r>
        <w:rPr>
          <w:i/>
          <w:sz w:val="24"/>
        </w:rPr>
        <w:t> práctica, </w:t>
      </w:r>
      <w:r>
        <w:rPr>
          <w:sz w:val="24"/>
        </w:rPr>
        <w:t>El Colegio de la Frontera Norte y Plaza y Valdés Editores, Tijuana</w:t>
      </w:r>
      <w:r>
        <w:rPr>
          <w:spacing w:val="-18"/>
          <w:sz w:val="24"/>
        </w:rPr>
        <w:t> </w:t>
      </w:r>
      <w:r>
        <w:rPr>
          <w:sz w:val="24"/>
        </w:rPr>
        <w:t>B.C.</w:t>
      </w:r>
    </w:p>
    <w:p>
      <w:pPr>
        <w:pStyle w:val="BodyText"/>
        <w:tabs>
          <w:tab w:pos="1257" w:val="left" w:leader="none"/>
        </w:tabs>
        <w:spacing w:line="278" w:lineRule="auto" w:before="121"/>
        <w:ind w:left="830" w:right="124" w:hanging="708"/>
        <w:jc w:val="both"/>
      </w:pPr>
      <w:r>
        <w:rPr>
          <w:u w:val="single"/>
        </w:rPr>
        <w:t> </w:t>
        <w:tab/>
        <w:tab/>
      </w:r>
      <w:r>
        <w:rPr>
          <w:spacing w:val="-22"/>
        </w:rPr>
        <w:t> </w:t>
      </w:r>
      <w:r>
        <w:rPr/>
        <w:t>y Mary Villeda (2006), “Liberalización  económica  y crecimiento </w:t>
      </w:r>
      <w:r>
        <w:rPr>
          <w:spacing w:val="52"/>
        </w:rPr>
        <w:t> </w:t>
      </w:r>
      <w:r>
        <w:rPr/>
        <w:t>regional</w:t>
      </w:r>
      <w:r>
        <w:rPr>
          <w:spacing w:val="29"/>
        </w:rPr>
        <w:t> </w:t>
      </w:r>
      <w:r>
        <w:rPr/>
        <w:t>en México”, </w:t>
      </w:r>
      <w:r>
        <w:rPr>
          <w:i/>
        </w:rPr>
        <w:t>Comercio Exterior</w:t>
      </w:r>
      <w:r>
        <w:rPr/>
        <w:t>, vol. 56. núm. 7, pp.</w:t>
      </w:r>
      <w:r>
        <w:rPr>
          <w:spacing w:val="-6"/>
        </w:rPr>
        <w:t> </w:t>
      </w:r>
      <w:r>
        <w:rPr/>
        <w:t>581-591.</w:t>
      </w:r>
    </w:p>
    <w:p>
      <w:pPr>
        <w:spacing w:line="276" w:lineRule="auto" w:before="118"/>
        <w:ind w:left="830" w:right="119" w:hanging="708"/>
        <w:jc w:val="both"/>
        <w:rPr>
          <w:sz w:val="24"/>
        </w:rPr>
      </w:pPr>
      <w:r>
        <w:rPr>
          <w:sz w:val="24"/>
        </w:rPr>
        <w:t>Miguel, Andrés (2004), </w:t>
      </w:r>
      <w:r>
        <w:rPr>
          <w:i/>
          <w:sz w:val="24"/>
        </w:rPr>
        <w:t>Ciencia Regional. Principios de Economía y Desarrollo</w:t>
      </w:r>
      <w:r>
        <w:rPr>
          <w:sz w:val="24"/>
        </w:rPr>
        <w:t>, ITO, Oaxaca.</w:t>
      </w:r>
    </w:p>
    <w:p>
      <w:pPr>
        <w:spacing w:after="0" w:line="276" w:lineRule="auto"/>
        <w:jc w:val="both"/>
        <w:rPr>
          <w:sz w:val="24"/>
        </w:rPr>
        <w:sectPr>
          <w:pgSz w:w="12240" w:h="15840"/>
          <w:pgMar w:header="0" w:footer="1003" w:top="1360" w:bottom="1200" w:left="1580" w:right="1580"/>
        </w:sectPr>
      </w:pPr>
    </w:p>
    <w:p>
      <w:pPr>
        <w:spacing w:line="278" w:lineRule="auto" w:before="50"/>
        <w:ind w:left="830" w:right="118" w:hanging="708"/>
        <w:jc w:val="both"/>
        <w:rPr>
          <w:sz w:val="24"/>
        </w:rPr>
      </w:pPr>
      <w:r>
        <w:rPr>
          <w:sz w:val="24"/>
        </w:rPr>
        <w:t>Millán Valenzuela, Henio (1999), </w:t>
      </w:r>
      <w:r>
        <w:rPr>
          <w:i/>
          <w:sz w:val="24"/>
        </w:rPr>
        <w:t>La competitividad de la industria manufacturera del </w:t>
      </w:r>
      <w:r>
        <w:rPr>
          <w:i/>
          <w:sz w:val="24"/>
        </w:rPr>
        <w:t>Estado de México</w:t>
      </w:r>
      <w:r>
        <w:rPr>
          <w:sz w:val="24"/>
        </w:rPr>
        <w:t>, primera edición,  El Colegio Mexiquense A. C, Zinacantepec.</w:t>
      </w:r>
    </w:p>
    <w:p>
      <w:pPr>
        <w:pStyle w:val="BodyText"/>
        <w:spacing w:before="118"/>
        <w:ind w:left="1211" w:right="118"/>
      </w:pPr>
      <w:r>
        <w:rPr/>
        <w:pict>
          <v:line style="position:absolute;mso-position-horizontal-relative:page;mso-position-vertical-relative:paragraph;z-index:4192" from="85.103996pt,13.159006pt" to="137.106719pt,13.159006pt" stroked="true" strokeweight=".3216pt" strokecolor="#000000">
            <w10:wrap type="none"/>
          </v:line>
        </w:pict>
      </w:r>
      <w:r>
        <w:rPr/>
        <w:t>(2007), “La economía mexiquense: víctima de su propio éxito”, en M. Bazant  y</w:t>
      </w:r>
    </w:p>
    <w:p>
      <w:pPr>
        <w:spacing w:line="276" w:lineRule="auto" w:before="41"/>
        <w:ind w:left="830" w:right="243" w:firstLine="0"/>
        <w:jc w:val="left"/>
        <w:rPr>
          <w:sz w:val="24"/>
        </w:rPr>
      </w:pPr>
      <w:r>
        <w:rPr>
          <w:sz w:val="24"/>
        </w:rPr>
        <w:t>C. Salinas (</w:t>
      </w:r>
      <w:r>
        <w:rPr>
          <w:i/>
          <w:sz w:val="24"/>
        </w:rPr>
        <w:t>coords.), Visiones del Estado de México, tradición, modernidad y </w:t>
      </w:r>
      <w:r>
        <w:rPr>
          <w:i/>
          <w:sz w:val="24"/>
        </w:rPr>
        <w:t>globalización</w:t>
      </w:r>
      <w:r>
        <w:rPr>
          <w:sz w:val="24"/>
        </w:rPr>
        <w:t>, Milenio Estado de México, Toluca.</w:t>
      </w:r>
    </w:p>
    <w:p>
      <w:pPr>
        <w:spacing w:line="276" w:lineRule="auto" w:before="123"/>
        <w:ind w:left="830" w:right="117" w:hanging="708"/>
        <w:jc w:val="both"/>
        <w:rPr>
          <w:sz w:val="24"/>
        </w:rPr>
      </w:pPr>
      <w:r>
        <w:rPr>
          <w:sz w:val="24"/>
        </w:rPr>
        <w:t>Millin, Mark y Nichola Tennassie (2005), “Explaining economic growth in South Africa: a Kaldorian approach</w:t>
      </w:r>
      <w:r>
        <w:rPr>
          <w:i/>
          <w:sz w:val="24"/>
        </w:rPr>
        <w:t>”, International Journal of Technology Management and </w:t>
      </w:r>
      <w:r>
        <w:rPr>
          <w:i/>
          <w:sz w:val="24"/>
        </w:rPr>
        <w:t>Sustainable Development</w:t>
      </w:r>
      <w:r>
        <w:rPr>
          <w:sz w:val="24"/>
        </w:rPr>
        <w:t>, vol. 4, núm. 1, pp. 47 -62.</w:t>
      </w:r>
    </w:p>
    <w:p>
      <w:pPr>
        <w:pStyle w:val="BodyText"/>
        <w:spacing w:line="278" w:lineRule="auto" w:before="121"/>
        <w:ind w:left="830" w:right="120" w:hanging="708"/>
        <w:jc w:val="both"/>
      </w:pPr>
      <w:r>
        <w:rPr/>
        <w:t>Mora, Toni (2003), “¿Es posible suponer rendimientos a escala homogéneos para las provincias españolas?”, </w:t>
      </w:r>
      <w:r>
        <w:rPr>
          <w:i/>
        </w:rPr>
        <w:t>Investigaciones Regionales</w:t>
      </w:r>
      <w:r>
        <w:rPr/>
        <w:t>, núm. 3, pp. 65-80.</w:t>
      </w:r>
    </w:p>
    <w:p>
      <w:pPr>
        <w:spacing w:line="276" w:lineRule="auto" w:before="119"/>
        <w:ind w:left="830" w:right="119" w:hanging="708"/>
        <w:jc w:val="both"/>
        <w:rPr>
          <w:sz w:val="24"/>
        </w:rPr>
      </w:pPr>
      <w:r>
        <w:rPr>
          <w:sz w:val="24"/>
        </w:rPr>
        <w:t>Morales Sales, Samuel E. (1988), </w:t>
      </w:r>
      <w:r>
        <w:rPr>
          <w:i/>
          <w:sz w:val="24"/>
        </w:rPr>
        <w:t>La industrialización del Valle de Toluca y las </w:t>
      </w:r>
      <w:r>
        <w:rPr>
          <w:i/>
          <w:sz w:val="24"/>
        </w:rPr>
        <w:t>poblaciones ribereñas del Río Lerma</w:t>
      </w:r>
      <w:r>
        <w:rPr>
          <w:sz w:val="24"/>
        </w:rPr>
        <w:t>, UAEM,</w:t>
      </w:r>
      <w:r>
        <w:rPr>
          <w:spacing w:val="-7"/>
          <w:sz w:val="24"/>
        </w:rPr>
        <w:t> </w:t>
      </w:r>
      <w:r>
        <w:rPr>
          <w:sz w:val="24"/>
        </w:rPr>
        <w:t>Toluca.</w:t>
      </w:r>
    </w:p>
    <w:p>
      <w:pPr>
        <w:spacing w:line="276" w:lineRule="auto" w:before="121"/>
        <w:ind w:left="830" w:right="120" w:hanging="708"/>
        <w:jc w:val="both"/>
        <w:rPr>
          <w:sz w:val="24"/>
        </w:rPr>
      </w:pPr>
      <w:r>
        <w:rPr>
          <w:sz w:val="24"/>
        </w:rPr>
        <w:t>Moreno-Brid, Juan Carlos y Jaime Ros Bosch (2010), </w:t>
      </w:r>
      <w:r>
        <w:rPr>
          <w:i/>
          <w:sz w:val="24"/>
        </w:rPr>
        <w:t>Desarrollo y crecimiento en la </w:t>
      </w:r>
      <w:r>
        <w:rPr>
          <w:i/>
          <w:sz w:val="24"/>
        </w:rPr>
        <w:t>economía mexicana. Una perspectiva histórica</w:t>
      </w:r>
      <w:r>
        <w:rPr>
          <w:sz w:val="24"/>
        </w:rPr>
        <w:t>, Fondo de Cultura Económica, México.</w:t>
      </w:r>
    </w:p>
    <w:p>
      <w:pPr>
        <w:pStyle w:val="BodyText"/>
        <w:spacing w:line="276" w:lineRule="auto" w:before="121"/>
        <w:ind w:left="830" w:right="116" w:hanging="708"/>
        <w:jc w:val="both"/>
      </w:pPr>
      <w:r>
        <w:rPr/>
        <w:t>Moreno Rivas, Álvaro Martín (2008), “Las leyes del desarrollo económico endógeno de Kaldor: el caso colombiano”, </w:t>
      </w:r>
      <w:r>
        <w:rPr>
          <w:i/>
        </w:rPr>
        <w:t>Revista de Economía Institucional</w:t>
      </w:r>
      <w:r>
        <w:rPr/>
        <w:t>, vol. 10, núm. 18, pp. 129-147.</w:t>
      </w:r>
    </w:p>
    <w:p>
      <w:pPr>
        <w:spacing w:line="276" w:lineRule="auto" w:before="123"/>
        <w:ind w:left="830" w:right="116" w:hanging="708"/>
        <w:jc w:val="both"/>
        <w:rPr>
          <w:sz w:val="24"/>
        </w:rPr>
      </w:pPr>
      <w:r>
        <w:rPr>
          <w:sz w:val="24"/>
        </w:rPr>
        <w:t>Muñoz Cidad, Cándido (2011), “La economía del desarrollo y la convergencia de las  ideas”, </w:t>
      </w:r>
      <w:r>
        <w:rPr>
          <w:i/>
          <w:sz w:val="24"/>
        </w:rPr>
        <w:t>Tendencias y nuevos desarrollos de la teoría económica</w:t>
      </w:r>
      <w:r>
        <w:rPr>
          <w:sz w:val="24"/>
        </w:rPr>
        <w:t>, núm. 858, pp. 57- 70.</w:t>
      </w:r>
    </w:p>
    <w:p>
      <w:pPr>
        <w:spacing w:line="278" w:lineRule="auto" w:before="121"/>
        <w:ind w:left="1113" w:right="115" w:hanging="992"/>
        <w:jc w:val="both"/>
        <w:rPr>
          <w:sz w:val="24"/>
        </w:rPr>
      </w:pPr>
      <w:r>
        <w:rPr>
          <w:sz w:val="24"/>
        </w:rPr>
        <w:t>Myrdal, Gunnar. (1957), </w:t>
      </w:r>
      <w:r>
        <w:rPr>
          <w:i/>
          <w:sz w:val="24"/>
        </w:rPr>
        <w:t>Economic Theory and Underdeveloped Regions</w:t>
      </w:r>
      <w:r>
        <w:rPr>
          <w:sz w:val="24"/>
        </w:rPr>
        <w:t>, Duckworth and Co., Londres.</w:t>
      </w:r>
    </w:p>
    <w:p>
      <w:pPr>
        <w:pStyle w:val="BodyText"/>
        <w:spacing w:before="118"/>
        <w:ind w:left="122" w:right="243"/>
      </w:pPr>
      <w:r>
        <w:rPr/>
        <w:t>Necmi, S. (1999), “Kaldor´s growth analysis revisited”, </w:t>
      </w:r>
      <w:r>
        <w:rPr>
          <w:i/>
        </w:rPr>
        <w:t>Applied Economics</w:t>
      </w:r>
      <w:r>
        <w:rPr/>
        <w:t>, núm. 31, pp.</w:t>
      </w:r>
    </w:p>
    <w:p>
      <w:pPr>
        <w:pStyle w:val="BodyText"/>
        <w:spacing w:before="41"/>
        <w:ind w:left="1113" w:right="243"/>
      </w:pPr>
      <w:r>
        <w:rPr/>
        <w:t>653-660.</w:t>
      </w:r>
    </w:p>
    <w:p>
      <w:pPr>
        <w:spacing w:line="276" w:lineRule="auto" w:before="161"/>
        <w:ind w:left="830" w:right="117" w:hanging="708"/>
        <w:jc w:val="both"/>
        <w:rPr>
          <w:sz w:val="24"/>
        </w:rPr>
      </w:pPr>
      <w:r>
        <w:rPr>
          <w:sz w:val="24"/>
        </w:rPr>
        <w:t>Noriega Curtis, Carlos y Reynoso del Valle Alejandro (1994), “Política  Macroeconómica  y estructura industrial: un modelo de crecimiento endógeno para la economía mexicana”, en Fernando Clavijo y José Casar (comp.), </w:t>
      </w:r>
      <w:r>
        <w:rPr>
          <w:i/>
          <w:sz w:val="24"/>
        </w:rPr>
        <w:t>La industria mexicana en el </w:t>
      </w:r>
      <w:r>
        <w:rPr>
          <w:i/>
          <w:sz w:val="24"/>
        </w:rPr>
        <w:t>mercado mundial. Elementos para una política industrial, </w:t>
      </w:r>
      <w:r>
        <w:rPr>
          <w:sz w:val="24"/>
        </w:rPr>
        <w:t>Lecturas de El Trimestre Económico, núm. 80,  Fondo de Cultura Económica,   pp.</w:t>
      </w:r>
      <w:r>
        <w:rPr>
          <w:spacing w:val="-8"/>
          <w:sz w:val="24"/>
        </w:rPr>
        <w:t> </w:t>
      </w:r>
      <w:r>
        <w:rPr>
          <w:sz w:val="24"/>
        </w:rPr>
        <w:t>257-307.</w:t>
      </w:r>
    </w:p>
    <w:p>
      <w:pPr>
        <w:spacing w:before="123"/>
        <w:ind w:left="122" w:right="243" w:firstLine="0"/>
        <w:jc w:val="left"/>
        <w:rPr>
          <w:sz w:val="24"/>
        </w:rPr>
      </w:pPr>
      <w:r>
        <w:rPr>
          <w:sz w:val="24"/>
        </w:rPr>
        <w:t>North, Douglas (1993), </w:t>
      </w:r>
      <w:r>
        <w:rPr>
          <w:i/>
          <w:sz w:val="24"/>
        </w:rPr>
        <w:t>Institutions and productivity </w:t>
      </w:r>
      <w:r>
        <w:rPr>
          <w:sz w:val="24"/>
        </w:rPr>
        <w:t>in history, Washington, University.</w:t>
      </w:r>
    </w:p>
    <w:p>
      <w:pPr>
        <w:spacing w:line="276" w:lineRule="auto" w:before="161"/>
        <w:ind w:left="830" w:right="243" w:firstLine="422"/>
        <w:jc w:val="left"/>
        <w:rPr>
          <w:sz w:val="24"/>
        </w:rPr>
      </w:pPr>
      <w:r>
        <w:rPr/>
        <w:pict>
          <v:line style="position:absolute;mso-position-horizontal-relative:page;mso-position-vertical-relative:paragraph;z-index:-462760" from="85.103996pt,15.308961pt" to="137.106719pt,15.308961pt" stroked="true" strokeweight=".3216pt" strokecolor="#000000">
            <w10:wrap type="none"/>
          </v:line>
        </w:pict>
      </w:r>
      <w:r>
        <w:rPr>
          <w:sz w:val="24"/>
        </w:rPr>
        <w:t>(2006), </w:t>
      </w:r>
      <w:r>
        <w:rPr>
          <w:i/>
          <w:sz w:val="24"/>
        </w:rPr>
        <w:t>Instituciones, cambio institucional y desempeño económico</w:t>
      </w:r>
      <w:r>
        <w:rPr>
          <w:sz w:val="24"/>
        </w:rPr>
        <w:t>, Fondo de Cultura Económica, México.</w:t>
      </w:r>
    </w:p>
    <w:p>
      <w:pPr>
        <w:pStyle w:val="BodyText"/>
        <w:spacing w:line="276" w:lineRule="auto" w:before="121"/>
        <w:ind w:left="1113" w:right="118" w:hanging="992"/>
        <w:jc w:val="both"/>
      </w:pPr>
      <w:r>
        <w:rPr/>
        <w:t>Ocegueda Hernández, Juan Manuel (2003), “Análisis kaldoriano del crecimiento económico de los estados de México”, </w:t>
      </w:r>
      <w:r>
        <w:rPr>
          <w:i/>
        </w:rPr>
        <w:t>Comercio Exterior</w:t>
      </w:r>
      <w:r>
        <w:rPr/>
        <w:t>, vol.53, núm. 11, pp. 1024-1034.</w:t>
      </w:r>
    </w:p>
    <w:p>
      <w:pPr>
        <w:spacing w:after="0" w:line="276" w:lineRule="auto"/>
        <w:jc w:val="both"/>
        <w:sectPr>
          <w:pgSz w:w="12240" w:h="15840"/>
          <w:pgMar w:header="0" w:footer="1003" w:top="1360" w:bottom="1200" w:left="1580" w:right="1580"/>
        </w:sectPr>
      </w:pPr>
    </w:p>
    <w:p>
      <w:pPr>
        <w:pStyle w:val="BodyText"/>
        <w:spacing w:line="276" w:lineRule="auto" w:before="90"/>
        <w:ind w:left="830" w:right="120" w:firstLine="333"/>
        <w:jc w:val="both"/>
      </w:pPr>
      <w:r>
        <w:rPr/>
        <w:pict>
          <v:line style="position:absolute;mso-position-horizontal-relative:page;mso-position-vertical-relative:paragraph;z-index:-462736" from="85.103996pt,11.759007pt" to="137.106719pt,11.759007pt" stroked="true" strokeweight=".3216pt" strokecolor="#000000">
            <w10:wrap type="none"/>
          </v:line>
        </w:pict>
      </w:r>
      <w:r>
        <w:rPr/>
        <w:t>, Ramón Castillo Ponce y Rogelio Varela Llamas (2009), “Crecimiento regional en México: Especialización y sectores clave”, </w:t>
      </w:r>
      <w:r>
        <w:rPr>
          <w:i/>
        </w:rPr>
        <w:t>Problemas del Desarrollo</w:t>
      </w:r>
      <w:r>
        <w:rPr/>
        <w:t>, vol.40, núm. 159, pp. 61-84.</w:t>
      </w:r>
    </w:p>
    <w:p>
      <w:pPr>
        <w:pStyle w:val="BodyText"/>
        <w:spacing w:before="121"/>
        <w:ind w:left="122" w:right="118"/>
      </w:pPr>
      <w:r>
        <w:rPr/>
        <w:t>Olson M (1996), “Big bills left on sidewalk: Why some nations are rich, and others   poor?,</w:t>
      </w:r>
    </w:p>
    <w:p>
      <w:pPr>
        <w:spacing w:before="41"/>
        <w:ind w:left="830" w:right="243" w:firstLine="0"/>
        <w:jc w:val="left"/>
        <w:rPr>
          <w:sz w:val="24"/>
        </w:rPr>
      </w:pPr>
      <w:r>
        <w:rPr>
          <w:i/>
          <w:sz w:val="24"/>
        </w:rPr>
        <w:t>Journal of Economic Perspectives</w:t>
      </w:r>
      <w:r>
        <w:rPr>
          <w:sz w:val="24"/>
        </w:rPr>
        <w:t>, vol. 10, núm. 2, pp. 2-24.</w:t>
      </w:r>
    </w:p>
    <w:p>
      <w:pPr>
        <w:pStyle w:val="BodyText"/>
        <w:spacing w:line="276" w:lineRule="auto" w:before="163"/>
        <w:ind w:left="830" w:right="118" w:hanging="708"/>
        <w:jc w:val="both"/>
      </w:pPr>
      <w:r>
        <w:rPr/>
        <w:t>Orozco Hernández Estela y María Teresa Sánchez Salazar (2004), “Organización socioeconómica y territorial en la región del Alto Lerma, Estado de México”. </w:t>
      </w:r>
      <w:r>
        <w:rPr>
          <w:i/>
        </w:rPr>
        <w:t>Investigaciones geográficas</w:t>
      </w:r>
      <w:r>
        <w:rPr/>
        <w:t>, pp. 163-184.</w:t>
      </w:r>
    </w:p>
    <w:p>
      <w:pPr>
        <w:spacing w:before="121"/>
        <w:ind w:left="122" w:right="243" w:firstLine="0"/>
        <w:jc w:val="left"/>
        <w:rPr>
          <w:i/>
          <w:sz w:val="24"/>
        </w:rPr>
      </w:pPr>
      <w:r>
        <w:rPr>
          <w:sz w:val="24"/>
        </w:rPr>
        <w:t>Ortiz, Mena Antonio (1998), </w:t>
      </w:r>
      <w:r>
        <w:rPr>
          <w:i/>
          <w:sz w:val="24"/>
        </w:rPr>
        <w:t>El desarrollo estabilizador: Reflexiones sobre una época,</w:t>
      </w:r>
    </w:p>
    <w:p>
      <w:pPr>
        <w:pStyle w:val="BodyText"/>
        <w:spacing w:before="43"/>
        <w:ind w:left="830" w:right="243"/>
      </w:pPr>
      <w:r>
        <w:rPr/>
        <w:t>Fondo de Cultura Económica, México.</w:t>
      </w:r>
    </w:p>
    <w:p>
      <w:pPr>
        <w:pStyle w:val="BodyText"/>
        <w:spacing w:line="276" w:lineRule="auto" w:before="161"/>
        <w:ind w:left="830" w:right="124" w:hanging="708"/>
        <w:jc w:val="both"/>
      </w:pPr>
      <w:r>
        <w:rPr/>
        <w:t>Pavitt, Keith (1984), “Sectoral patterns of technological change: Towards a taxonomy and  a theory”, </w:t>
      </w:r>
      <w:r>
        <w:rPr>
          <w:i/>
        </w:rPr>
        <w:t>Research Policy</w:t>
      </w:r>
      <w:r>
        <w:rPr/>
        <w:t>, vol. 13, núm.6, pp.</w:t>
      </w:r>
      <w:r>
        <w:rPr>
          <w:spacing w:val="-7"/>
        </w:rPr>
        <w:t> </w:t>
      </w:r>
      <w:r>
        <w:rPr/>
        <w:t>343-373.</w:t>
      </w:r>
    </w:p>
    <w:p>
      <w:pPr>
        <w:spacing w:line="278" w:lineRule="auto" w:before="121"/>
        <w:ind w:left="830" w:right="119" w:hanging="708"/>
        <w:jc w:val="both"/>
        <w:rPr>
          <w:sz w:val="24"/>
        </w:rPr>
      </w:pPr>
      <w:r>
        <w:rPr>
          <w:sz w:val="24"/>
        </w:rPr>
        <w:t>Perroux, Francois (1950), “Economic space. Theory and applications”, </w:t>
      </w:r>
      <w:r>
        <w:rPr>
          <w:i/>
          <w:sz w:val="24"/>
        </w:rPr>
        <w:t>Quarteriy Journal  </w:t>
      </w:r>
      <w:r>
        <w:rPr>
          <w:i/>
          <w:sz w:val="24"/>
        </w:rPr>
        <w:t>of Economics</w:t>
      </w:r>
      <w:r>
        <w:rPr>
          <w:sz w:val="24"/>
        </w:rPr>
        <w:t>, vol. 64, núm. 1, pp.</w:t>
      </w:r>
      <w:r>
        <w:rPr>
          <w:spacing w:val="-4"/>
          <w:sz w:val="24"/>
        </w:rPr>
        <w:t> </w:t>
      </w:r>
      <w:r>
        <w:rPr>
          <w:sz w:val="24"/>
        </w:rPr>
        <w:t>89-104.</w:t>
      </w:r>
    </w:p>
    <w:p>
      <w:pPr>
        <w:pStyle w:val="BodyText"/>
        <w:spacing w:line="276" w:lineRule="auto" w:before="118"/>
        <w:ind w:left="830" w:right="118" w:firstLine="396"/>
        <w:jc w:val="both"/>
      </w:pPr>
      <w:r>
        <w:rPr/>
        <w:pict>
          <v:line style="position:absolute;mso-position-horizontal-relative:page;mso-position-vertical-relative:paragraph;z-index:-462712" from="85.103996pt,13.158945pt" to="137.106719pt,13.158945pt" stroked="true" strokeweight=".3216pt" strokecolor="#000000">
            <w10:wrap type="none"/>
          </v:line>
        </w:pict>
      </w:r>
      <w:r>
        <w:rPr/>
        <w:t>(1955), “Note sur la notion de pôle de croissance”, </w:t>
      </w:r>
      <w:r>
        <w:rPr>
          <w:i/>
        </w:rPr>
        <w:t>Economie Appliquèe</w:t>
      </w:r>
      <w:r>
        <w:rPr/>
        <w:t>, núm.7, pp. 307-320.</w:t>
      </w:r>
    </w:p>
    <w:p>
      <w:pPr>
        <w:spacing w:line="276" w:lineRule="auto" w:before="121"/>
        <w:ind w:left="830" w:right="123" w:hanging="708"/>
        <w:jc w:val="both"/>
        <w:rPr>
          <w:sz w:val="24"/>
        </w:rPr>
      </w:pPr>
      <w:r>
        <w:rPr>
          <w:sz w:val="24"/>
        </w:rPr>
        <w:t>Puyana de Palacios Alicia y José Romero (2009), </w:t>
      </w:r>
      <w:r>
        <w:rPr>
          <w:i/>
          <w:sz w:val="24"/>
        </w:rPr>
        <w:t>México, de la crisis de la deuda al </w:t>
      </w:r>
      <w:r>
        <w:rPr>
          <w:i/>
          <w:sz w:val="24"/>
        </w:rPr>
        <w:t>estancamiento económico</w:t>
      </w:r>
      <w:r>
        <w:rPr>
          <w:sz w:val="24"/>
        </w:rPr>
        <w:t>, El Colegio de México.</w:t>
      </w:r>
    </w:p>
    <w:p>
      <w:pPr>
        <w:pStyle w:val="BodyText"/>
        <w:spacing w:line="276" w:lineRule="auto" w:before="123"/>
        <w:ind w:left="830" w:right="125" w:hanging="708"/>
        <w:jc w:val="both"/>
      </w:pPr>
      <w:r>
        <w:rPr/>
        <w:t>Plan de Desarrollo Urbano de Lerma de Villada (2010), H. Ayuntamiento de Lerma de Villada, Estado de México.</w:t>
      </w:r>
    </w:p>
    <w:p>
      <w:pPr>
        <w:spacing w:line="379" w:lineRule="auto" w:before="121"/>
        <w:ind w:left="122" w:right="487" w:firstLine="0"/>
        <w:jc w:val="left"/>
        <w:rPr>
          <w:sz w:val="24"/>
        </w:rPr>
      </w:pPr>
      <w:r>
        <w:rPr>
          <w:sz w:val="24"/>
        </w:rPr>
        <w:t>Ray, Debraj (1998), </w:t>
      </w:r>
      <w:r>
        <w:rPr>
          <w:i/>
          <w:sz w:val="24"/>
        </w:rPr>
        <w:t>Economía del desarrollo</w:t>
      </w:r>
      <w:r>
        <w:rPr>
          <w:sz w:val="24"/>
        </w:rPr>
        <w:t>, Antoni Bosh Editors, España. Richardson, Harry (1975), </w:t>
      </w:r>
      <w:r>
        <w:rPr>
          <w:i/>
          <w:sz w:val="24"/>
        </w:rPr>
        <w:t>Elementos de Economía Regional</w:t>
      </w:r>
      <w:r>
        <w:rPr>
          <w:sz w:val="24"/>
        </w:rPr>
        <w:t>, Alianza editorial, Madrid.</w:t>
      </w:r>
    </w:p>
    <w:p>
      <w:pPr>
        <w:spacing w:line="379" w:lineRule="auto" w:before="9"/>
        <w:ind w:left="1223" w:right="1138" w:firstLine="0"/>
        <w:jc w:val="left"/>
        <w:rPr>
          <w:sz w:val="24"/>
        </w:rPr>
      </w:pPr>
      <w:r>
        <w:rPr/>
        <w:pict>
          <v:line style="position:absolute;mso-position-horizontal-relative:page;mso-position-vertical-relative:paragraph;z-index:4288" from="85.103996pt,7.708976pt" to="137.106719pt,7.708976pt" stroked="true" strokeweight=".3216pt" strokecolor="#000000">
            <w10:wrap type="none"/>
          </v:line>
        </w:pict>
      </w:r>
      <w:r>
        <w:rPr/>
        <w:pict>
          <v:line style="position:absolute;mso-position-horizontal-relative:page;mso-position-vertical-relative:paragraph;z-index:4312" from="85.103996pt,29.548973pt" to="137.106719pt,29.548973pt" stroked="true" strokeweight=".3216pt" strokecolor="#000000">
            <w10:wrap type="none"/>
          </v:line>
        </w:pict>
      </w:r>
      <w:r>
        <w:rPr>
          <w:sz w:val="24"/>
        </w:rPr>
        <w:t>(1977), </w:t>
      </w:r>
      <w:r>
        <w:rPr>
          <w:i/>
          <w:sz w:val="24"/>
        </w:rPr>
        <w:t>Teoría del crecimiento regional</w:t>
      </w:r>
      <w:r>
        <w:rPr>
          <w:sz w:val="24"/>
        </w:rPr>
        <w:t>, Ediciones Pirámide, Madrid. (1986), </w:t>
      </w:r>
      <w:r>
        <w:rPr>
          <w:i/>
          <w:sz w:val="24"/>
        </w:rPr>
        <w:t>Economía regional y urbana</w:t>
      </w:r>
      <w:r>
        <w:rPr>
          <w:sz w:val="24"/>
        </w:rPr>
        <w:t>, Alianza editorial, Madrid.</w:t>
      </w:r>
    </w:p>
    <w:p>
      <w:pPr>
        <w:pStyle w:val="BodyText"/>
        <w:spacing w:line="276" w:lineRule="auto" w:before="6"/>
        <w:ind w:left="830" w:right="115" w:hanging="708"/>
        <w:jc w:val="both"/>
      </w:pPr>
      <w:r>
        <w:rPr/>
        <w:t>Rodríguez Pichardo, Oscar Manuel (2010), “La Distribución territorial de la acumulación industrial metropolitana y sus efectos en los mercados de trabajo en la ZMCM 1985-2004”, </w:t>
      </w:r>
      <w:r>
        <w:rPr>
          <w:i/>
        </w:rPr>
        <w:t>Cuadernos de investigación</w:t>
      </w:r>
      <w:r>
        <w:rPr/>
        <w:t>, cuarta época, núm. 59, Universidad Autónoma del Estado de México, Toluca.</w:t>
      </w:r>
    </w:p>
    <w:p>
      <w:pPr>
        <w:pStyle w:val="BodyText"/>
        <w:spacing w:line="276" w:lineRule="auto" w:before="121"/>
        <w:ind w:left="830" w:right="118" w:firstLine="482"/>
        <w:jc w:val="both"/>
      </w:pPr>
      <w:r>
        <w:rPr/>
        <w:pict>
          <v:line style="position:absolute;mso-position-horizontal-relative:page;mso-position-vertical-relative:paragraph;z-index:-462640" from="85.103996pt,13.308976pt" to="137.106719pt,13.308976pt" stroked="true" strokeweight=".3216pt" strokecolor="#000000">
            <w10:wrap type="none"/>
          </v:line>
        </w:pict>
      </w:r>
      <w:r>
        <w:rPr/>
        <w:t>(2005), “Las tendencias actuales de la industrialización y sus efectos laborales en la zona Toluca-Lerma 1986-2000”, tesis de doctorado en Ciencias Sociales, Universidad Iberoamericana, México.</w:t>
      </w:r>
    </w:p>
    <w:p>
      <w:pPr>
        <w:pStyle w:val="BodyText"/>
        <w:spacing w:line="276" w:lineRule="auto" w:before="121"/>
        <w:ind w:left="830" w:right="118" w:firstLine="405"/>
        <w:jc w:val="both"/>
        <w:rPr>
          <w:i/>
        </w:rPr>
      </w:pPr>
      <w:r>
        <w:rPr/>
        <w:pict>
          <v:line style="position:absolute;mso-position-horizontal-relative:page;mso-position-vertical-relative:paragraph;z-index:-462616" from="85.103996pt,13.308961pt" to="137.106719pt,13.308961pt" stroked="true" strokeweight=".3216pt" strokecolor="#000000">
            <w10:wrap type="none"/>
          </v:line>
        </w:pict>
      </w:r>
      <w:r>
        <w:rPr/>
        <w:t>y Albarrán, Yolanda (2008), “Análisis de la acumulación de capital industrial y la constitución de los mercados interregionales de trabajo entre las ZMMT y ZMCM”,  en P. Mejía, L. Del Moral y O. Rodríguez  (</w:t>
      </w:r>
      <w:r>
        <w:rPr>
          <w:i/>
        </w:rPr>
        <w:t>coord.), Actividad Económica</w:t>
      </w:r>
    </w:p>
    <w:p>
      <w:pPr>
        <w:spacing w:after="0" w:line="276" w:lineRule="auto"/>
        <w:jc w:val="both"/>
        <w:sectPr>
          <w:pgSz w:w="12240" w:h="15840"/>
          <w:pgMar w:header="0" w:footer="1003" w:top="1320" w:bottom="1200" w:left="1580" w:right="1580"/>
        </w:sectPr>
      </w:pPr>
    </w:p>
    <w:p>
      <w:pPr>
        <w:spacing w:line="278" w:lineRule="auto" w:before="50"/>
        <w:ind w:left="830" w:right="243" w:firstLine="0"/>
        <w:jc w:val="left"/>
        <w:rPr>
          <w:sz w:val="24"/>
        </w:rPr>
      </w:pPr>
      <w:r>
        <w:rPr>
          <w:i/>
          <w:sz w:val="24"/>
        </w:rPr>
        <w:t>Regional en el Estado de México</w:t>
      </w:r>
      <w:r>
        <w:rPr>
          <w:sz w:val="24"/>
        </w:rPr>
        <w:t>, Biblioteca Mexiquense del Bicentenario,  Gobierno del Estado de México,  Toluca, pp.</w:t>
      </w:r>
      <w:r>
        <w:rPr>
          <w:spacing w:val="-5"/>
          <w:sz w:val="24"/>
        </w:rPr>
        <w:t> </w:t>
      </w:r>
      <w:r>
        <w:rPr>
          <w:sz w:val="24"/>
        </w:rPr>
        <w:t>139-174.</w:t>
      </w:r>
    </w:p>
    <w:p>
      <w:pPr>
        <w:spacing w:line="276" w:lineRule="auto" w:before="118"/>
        <w:ind w:left="830" w:right="116" w:hanging="708"/>
        <w:jc w:val="both"/>
        <w:rPr>
          <w:sz w:val="24"/>
        </w:rPr>
      </w:pPr>
      <w:r>
        <w:rPr>
          <w:sz w:val="24"/>
        </w:rPr>
        <w:t>Romer P. M. (1986), “Increasing Returns and long Run Growth”, </w:t>
      </w:r>
      <w:r>
        <w:rPr>
          <w:i/>
          <w:sz w:val="24"/>
        </w:rPr>
        <w:t>Journal of Political </w:t>
      </w:r>
      <w:r>
        <w:rPr>
          <w:i/>
          <w:sz w:val="24"/>
        </w:rPr>
        <w:t>Economy, </w:t>
      </w:r>
      <w:r>
        <w:rPr>
          <w:sz w:val="24"/>
        </w:rPr>
        <w:t>vol. 94, pp. 1002-1037.</w:t>
      </w:r>
    </w:p>
    <w:p>
      <w:pPr>
        <w:spacing w:before="121"/>
        <w:ind w:left="1259" w:right="84" w:firstLine="0"/>
        <w:jc w:val="left"/>
        <w:rPr>
          <w:i/>
          <w:sz w:val="24"/>
        </w:rPr>
      </w:pPr>
      <w:r>
        <w:rPr/>
        <w:pict>
          <v:line style="position:absolute;mso-position-horizontal-relative:page;mso-position-vertical-relative:paragraph;z-index:4384" from="85.103996pt,13.309007pt" to="137.106719pt,13.309007pt" stroked="true" strokeweight=".3216pt" strokecolor="#000000">
            <w10:wrap type="none"/>
          </v:line>
        </w:pict>
      </w:r>
      <w:r>
        <w:rPr>
          <w:sz w:val="24"/>
        </w:rPr>
        <w:t>(1990), “Endogenous, Technological Change”, </w:t>
      </w:r>
      <w:r>
        <w:rPr>
          <w:i/>
          <w:sz w:val="24"/>
        </w:rPr>
        <w:t>Journal of Political   </w:t>
      </w:r>
      <w:r>
        <w:rPr>
          <w:i/>
          <w:spacing w:val="52"/>
          <w:sz w:val="24"/>
        </w:rPr>
        <w:t> </w:t>
      </w:r>
      <w:r>
        <w:rPr>
          <w:i/>
          <w:sz w:val="24"/>
        </w:rPr>
        <w:t>Economy,</w:t>
      </w:r>
    </w:p>
    <w:p>
      <w:pPr>
        <w:pStyle w:val="BodyText"/>
        <w:spacing w:before="43"/>
        <w:ind w:left="830" w:right="243"/>
      </w:pPr>
      <w:r>
        <w:rPr/>
        <w:t>vol. 98, pp. s71-s102.</w:t>
      </w:r>
    </w:p>
    <w:p>
      <w:pPr>
        <w:spacing w:line="276" w:lineRule="auto" w:before="161"/>
        <w:ind w:left="830" w:right="115" w:firstLine="525"/>
        <w:jc w:val="both"/>
        <w:rPr>
          <w:sz w:val="24"/>
        </w:rPr>
      </w:pPr>
      <w:r>
        <w:rPr/>
        <w:pict>
          <v:line style="position:absolute;mso-position-horizontal-relative:page;mso-position-vertical-relative:paragraph;z-index:-462568" from="85.103996pt,15.308946pt" to="137.106719pt,15.308946pt" stroked="true" strokeweight=".3216pt" strokecolor="#000000">
            <w10:wrap type="none"/>
          </v:line>
        </w:pict>
      </w:r>
      <w:r>
        <w:rPr>
          <w:sz w:val="24"/>
        </w:rPr>
        <w:t>(1994), “The Origins of Endogenous Growth”, </w:t>
      </w:r>
      <w:r>
        <w:rPr>
          <w:i/>
          <w:sz w:val="24"/>
        </w:rPr>
        <w:t>Journal of Economic </w:t>
      </w:r>
      <w:r>
        <w:rPr>
          <w:i/>
          <w:sz w:val="24"/>
        </w:rPr>
        <w:t>Perspectives</w:t>
      </w:r>
      <w:r>
        <w:rPr>
          <w:sz w:val="24"/>
        </w:rPr>
        <w:t>, vol. 8, núm. 1, pp. 3-22.</w:t>
      </w:r>
    </w:p>
    <w:p>
      <w:pPr>
        <w:spacing w:line="276" w:lineRule="auto" w:before="121"/>
        <w:ind w:left="830" w:right="118" w:firstLine="398"/>
        <w:jc w:val="both"/>
        <w:rPr>
          <w:sz w:val="24"/>
        </w:rPr>
      </w:pPr>
      <w:r>
        <w:rPr/>
        <w:pict>
          <v:line style="position:absolute;mso-position-horizontal-relative:page;mso-position-vertical-relative:paragraph;z-index:-462544" from="85.103996pt,13.308946pt" to="137.106719pt,13.308946pt" stroked="true" strokeweight=".3216pt" strokecolor="#000000">
            <w10:wrap type="none"/>
          </v:line>
        </w:pict>
      </w:r>
      <w:r>
        <w:rPr>
          <w:sz w:val="24"/>
        </w:rPr>
        <w:t>(1996), “Why, Indeed, in America?, Theory, history, and the Origins of Modern Economic Growth”, </w:t>
      </w:r>
      <w:r>
        <w:rPr>
          <w:i/>
          <w:sz w:val="24"/>
        </w:rPr>
        <w:t>New Growth Theory and Economic History</w:t>
      </w:r>
      <w:r>
        <w:rPr>
          <w:sz w:val="24"/>
        </w:rPr>
        <w:t>, vol. 86, núm. 2,  pp.</w:t>
      </w:r>
      <w:r>
        <w:rPr>
          <w:spacing w:val="-1"/>
          <w:sz w:val="24"/>
        </w:rPr>
        <w:t> </w:t>
      </w:r>
      <w:r>
        <w:rPr>
          <w:sz w:val="24"/>
        </w:rPr>
        <w:t>202-206.</w:t>
      </w:r>
    </w:p>
    <w:p>
      <w:pPr>
        <w:pStyle w:val="BodyText"/>
        <w:spacing w:line="276" w:lineRule="auto" w:before="121"/>
        <w:ind w:left="830" w:right="116" w:hanging="708"/>
        <w:jc w:val="both"/>
      </w:pPr>
      <w:r>
        <w:rPr/>
        <w:t>Ros, Jaime (1987), ”Mexico from de oil boom to the debt crisis: and analysis of policy responses to the external shocks, 1978-85”, en R. Thorp y L. Whitehead (</w:t>
      </w:r>
      <w:r>
        <w:rPr>
          <w:i/>
        </w:rPr>
        <w:t>comps.</w:t>
      </w:r>
      <w:r>
        <w:rPr/>
        <w:t>), </w:t>
      </w:r>
      <w:r>
        <w:rPr>
          <w:i/>
        </w:rPr>
        <w:t>Latin American Debt and the Adjustment Crisis</w:t>
      </w:r>
      <w:r>
        <w:rPr/>
        <w:t>, University of Pittsburg Press, Pittsburg.</w:t>
      </w:r>
    </w:p>
    <w:p>
      <w:pPr>
        <w:pStyle w:val="BodyText"/>
        <w:spacing w:line="276" w:lineRule="auto" w:before="121"/>
        <w:ind w:left="830" w:right="116" w:firstLine="403"/>
        <w:jc w:val="both"/>
      </w:pPr>
      <w:r>
        <w:rPr/>
        <w:pict>
          <v:line style="position:absolute;mso-position-horizontal-relative:page;mso-position-vertical-relative:paragraph;z-index:-462520" from="85.103996pt,13.308946pt" to="137.106719pt,13.308946pt" stroked="true" strokeweight=".3216pt" strokecolor="#000000">
            <w10:wrap type="none"/>
          </v:line>
        </w:pict>
      </w:r>
      <w:r>
        <w:rPr/>
        <w:t>(2001), “Política industrial, ventajas comparativas y crecimiento”, </w:t>
      </w:r>
      <w:r>
        <w:rPr>
          <w:i/>
        </w:rPr>
        <w:t>Revista de la </w:t>
      </w:r>
      <w:r>
        <w:rPr>
          <w:i/>
        </w:rPr>
        <w:t>CEPAL</w:t>
      </w:r>
      <w:r>
        <w:rPr/>
        <w:t>, núm. 73, pp. 129-148.</w:t>
      </w:r>
    </w:p>
    <w:p>
      <w:pPr>
        <w:pStyle w:val="BodyText"/>
        <w:spacing w:before="121"/>
        <w:ind w:left="1213" w:right="118"/>
      </w:pPr>
      <w:r>
        <w:rPr/>
        <w:pict>
          <v:line style="position:absolute;mso-position-horizontal-relative:page;mso-position-vertical-relative:paragraph;z-index:4480" from="85.103996pt,13.308976pt" to="137.106719pt,13.308976pt" stroked="true" strokeweight=".3216pt" strokecolor="#000000">
            <w10:wrap type="none"/>
          </v:line>
        </w:pict>
      </w:r>
      <w:r>
        <w:rPr/>
        <w:t>(2008), “La desaceleración del crecimiento económico en México desde  1982”,</w:t>
      </w:r>
    </w:p>
    <w:p>
      <w:pPr>
        <w:spacing w:before="43"/>
        <w:ind w:left="830" w:right="243" w:firstLine="0"/>
        <w:jc w:val="left"/>
        <w:rPr>
          <w:sz w:val="24"/>
        </w:rPr>
      </w:pPr>
      <w:r>
        <w:rPr>
          <w:i/>
          <w:sz w:val="24"/>
        </w:rPr>
        <w:t>El Trimestre Económico</w:t>
      </w:r>
      <w:r>
        <w:rPr>
          <w:sz w:val="24"/>
        </w:rPr>
        <w:t>, vol. LXXV (4), núm. 299, pp. 537-560.</w:t>
      </w:r>
    </w:p>
    <w:p>
      <w:pPr>
        <w:pStyle w:val="BodyText"/>
        <w:spacing w:line="276" w:lineRule="auto" w:before="161"/>
        <w:ind w:left="830" w:right="117" w:hanging="708"/>
        <w:jc w:val="both"/>
      </w:pPr>
      <w:r>
        <w:rPr/>
        <w:t>Rózga Luter, Ryzard (1992), “Industrialización, Desarrollo de las Industrias Modernas y Desarrollo Regional en el Estado de México”, </w:t>
      </w:r>
      <w:r>
        <w:rPr>
          <w:i/>
        </w:rPr>
        <w:t>Cuadernos de investigación, </w:t>
      </w:r>
      <w:r>
        <w:rPr/>
        <w:t>tercera época, núm.6, CGIyP, Universidad Autónoma del Estado de México, Toluca.</w:t>
      </w:r>
    </w:p>
    <w:p>
      <w:pPr>
        <w:pStyle w:val="BodyText"/>
        <w:tabs>
          <w:tab w:pos="1257" w:val="left" w:leader="none"/>
        </w:tabs>
        <w:spacing w:line="276" w:lineRule="auto" w:before="123"/>
        <w:ind w:left="830" w:right="119" w:hanging="708"/>
        <w:jc w:val="both"/>
      </w:pPr>
      <w:r>
        <w:rPr>
          <w:u w:val="single"/>
        </w:rPr>
        <w:t> </w:t>
        <w:tab/>
        <w:tab/>
      </w:r>
      <w:r>
        <w:rPr/>
        <w:t>(1996), “Industrialización, Desarrollo de las Industrias Modernas  </w:t>
      </w:r>
      <w:r>
        <w:rPr>
          <w:spacing w:val="19"/>
        </w:rPr>
        <w:t> </w:t>
      </w:r>
      <w:r>
        <w:rPr/>
        <w:t>y</w:t>
      </w:r>
      <w:r>
        <w:rPr>
          <w:spacing w:val="14"/>
        </w:rPr>
        <w:t> </w:t>
      </w:r>
      <w:r>
        <w:rPr/>
        <w:t>Desarrollo</w:t>
      </w:r>
      <w:r>
        <w:rPr>
          <w:w w:val="100"/>
        </w:rPr>
        <w:t> </w:t>
      </w:r>
      <w:r>
        <w:rPr/>
        <w:t>Regional en el Estado de México”, </w:t>
      </w:r>
      <w:r>
        <w:rPr>
          <w:i/>
        </w:rPr>
        <w:t>Cuadernos de investigación, </w:t>
      </w:r>
      <w:r>
        <w:rPr/>
        <w:t>tercera época, núm. 6, CGIyP, Universidad Autónoma del Estado de México,</w:t>
      </w:r>
      <w:r>
        <w:rPr>
          <w:spacing w:val="-5"/>
        </w:rPr>
        <w:t> </w:t>
      </w:r>
      <w:r>
        <w:rPr/>
        <w:t>Toluca.</w:t>
      </w:r>
    </w:p>
    <w:p>
      <w:pPr>
        <w:spacing w:line="276" w:lineRule="auto" w:before="121"/>
        <w:ind w:left="830" w:right="115" w:firstLine="393"/>
        <w:jc w:val="both"/>
        <w:rPr>
          <w:sz w:val="24"/>
        </w:rPr>
      </w:pPr>
      <w:r>
        <w:rPr/>
        <w:pict>
          <v:line style="position:absolute;mso-position-horizontal-relative:page;mso-position-vertical-relative:paragraph;z-index:-462472" from="85.103996pt,13.308961pt" to="137.106719pt,13.308961pt" stroked="true" strokeweight=".3216pt" strokecolor="#000000">
            <w10:wrap type="none"/>
          </v:line>
        </w:pict>
      </w:r>
      <w:r>
        <w:rPr>
          <w:sz w:val="24"/>
        </w:rPr>
        <w:t>y Madrigal García, Angélica (1998), “La industrialización”, en L. J. Sobrino (coord.), </w:t>
      </w:r>
      <w:r>
        <w:rPr>
          <w:i/>
          <w:sz w:val="24"/>
        </w:rPr>
        <w:t>Historia General del Estado de México</w:t>
      </w:r>
      <w:r>
        <w:rPr>
          <w:sz w:val="24"/>
        </w:rPr>
        <w:t>. </w:t>
      </w:r>
      <w:r>
        <w:rPr>
          <w:i/>
          <w:sz w:val="24"/>
        </w:rPr>
        <w:t>De la Revolución a 1990, </w:t>
      </w:r>
      <w:r>
        <w:rPr>
          <w:sz w:val="24"/>
        </w:rPr>
        <w:t>El Colegio Mexiquense, Zinacantepec, pp. 278-297.</w:t>
      </w:r>
    </w:p>
    <w:p>
      <w:pPr>
        <w:spacing w:line="276" w:lineRule="auto" w:before="121"/>
        <w:ind w:left="830" w:right="116" w:firstLine="487"/>
        <w:jc w:val="both"/>
        <w:rPr>
          <w:sz w:val="24"/>
        </w:rPr>
      </w:pPr>
      <w:r>
        <w:rPr/>
        <w:pict>
          <v:line style="position:absolute;mso-position-horizontal-relative:page;mso-position-vertical-relative:paragraph;z-index:-462448" from="85.103996pt,13.278977pt" to="137.106719pt,13.278977pt" stroked="true" strokeweight=".3216pt" strokecolor="#000000">
            <w10:wrap type="none"/>
          </v:line>
        </w:pict>
      </w:r>
      <w:r>
        <w:rPr>
          <w:sz w:val="24"/>
        </w:rPr>
        <w:t>e Iglesias Piña David (2004), “El proceso de industrialización en el Estado de México: Tendencias y Estado actual”, en Mejía Reyes (coord.), </w:t>
      </w:r>
      <w:r>
        <w:rPr>
          <w:i/>
          <w:sz w:val="24"/>
        </w:rPr>
        <w:t>La Economía del </w:t>
      </w:r>
      <w:r>
        <w:rPr>
          <w:i/>
          <w:sz w:val="24"/>
        </w:rPr>
        <w:t>Estado de México: hacia una agenda de investigación, </w:t>
      </w:r>
      <w:r>
        <w:rPr>
          <w:sz w:val="24"/>
        </w:rPr>
        <w:t>El Colegio Mexiquense, Zinacantepec,  pp. 73-102.</w:t>
      </w:r>
    </w:p>
    <w:p>
      <w:pPr>
        <w:pStyle w:val="BodyText"/>
        <w:spacing w:line="276" w:lineRule="auto" w:before="121"/>
        <w:ind w:left="830" w:right="115" w:firstLine="432"/>
        <w:jc w:val="both"/>
        <w:rPr>
          <w:i/>
        </w:rPr>
      </w:pPr>
      <w:r>
        <w:rPr/>
        <w:pict>
          <v:line style="position:absolute;mso-position-horizontal-relative:page;mso-position-vertical-relative:paragraph;z-index:-462424" from="85.103996pt,13.308961pt" to="137.106719pt,13.308961pt" stroked="true" strokeweight=".3216pt" strokecolor="#000000">
            <w10:wrap type="none"/>
          </v:line>
        </w:pict>
      </w:r>
      <w:r>
        <w:rPr/>
        <w:t>y Ruíz, Renata (2008), “Los cambios económico-territoriales de la industria manufacturera en el Estado de México y su zona poniente, 1900-2005”, en P.  Mejía, L. Del Moral y O. Rodríguez  (</w:t>
      </w:r>
      <w:r>
        <w:rPr>
          <w:i/>
        </w:rPr>
        <w:t>coord.), Actividad Económica en el Estado</w:t>
      </w:r>
      <w:r>
        <w:rPr>
          <w:i/>
          <w:spacing w:val="28"/>
        </w:rPr>
        <w:t> </w:t>
      </w:r>
      <w:r>
        <w:rPr>
          <w:i/>
        </w:rPr>
        <w:t>de</w:t>
      </w:r>
    </w:p>
    <w:p>
      <w:pPr>
        <w:spacing w:after="0" w:line="276" w:lineRule="auto"/>
        <w:jc w:val="both"/>
        <w:sectPr>
          <w:footerReference w:type="default" r:id="rId60"/>
          <w:pgSz w:w="12240" w:h="15840"/>
          <w:pgMar w:footer="1003" w:header="0" w:top="1360" w:bottom="1200" w:left="1580" w:right="1580"/>
          <w:pgNumType w:start="166"/>
        </w:sectPr>
      </w:pPr>
    </w:p>
    <w:p>
      <w:pPr>
        <w:pStyle w:val="BodyText"/>
        <w:spacing w:line="278" w:lineRule="auto" w:before="50"/>
        <w:ind w:left="830" w:right="243"/>
      </w:pPr>
      <w:r>
        <w:rPr>
          <w:i/>
        </w:rPr>
        <w:t>México</w:t>
      </w:r>
      <w:r>
        <w:rPr/>
        <w:t>, vol. II, Biblioteca Mexiquense del Bicentenario, Gobierno del Estado de México,  Toluca, pp. 9-39.</w:t>
      </w:r>
    </w:p>
    <w:p>
      <w:pPr>
        <w:pStyle w:val="BodyText"/>
        <w:spacing w:line="276" w:lineRule="auto" w:before="118"/>
        <w:ind w:left="830" w:right="116" w:firstLine="420"/>
        <w:jc w:val="both"/>
      </w:pPr>
      <w:r>
        <w:rPr/>
        <w:pict>
          <v:line style="position:absolute;mso-position-horizontal-relative:page;mso-position-vertical-relative:paragraph;z-index:-462400" from="85.103996pt,13.159006pt" to="137.106719pt,13.159006pt" stroked="true" strokeweight=".3216pt" strokecolor="#000000">
            <w10:wrap type="none"/>
          </v:line>
        </w:pict>
      </w:r>
      <w:r>
        <w:rPr/>
        <w:t>y Madrigal García, Angélica (2011), “El proceso de industrialización (1930- 1980)”, en P. Riguzzi y J. Sobrino, (coords.), </w:t>
      </w:r>
      <w:r>
        <w:rPr>
          <w:i/>
        </w:rPr>
        <w:t>Historia General del Estado de </w:t>
      </w:r>
      <w:r>
        <w:rPr>
          <w:i/>
        </w:rPr>
        <w:t>México</w:t>
      </w:r>
      <w:r>
        <w:rPr/>
        <w:t>, vol. VI, Zinacantepec, pp. 245-272.</w:t>
      </w:r>
    </w:p>
    <w:p>
      <w:pPr>
        <w:spacing w:line="276" w:lineRule="auto" w:before="123"/>
        <w:ind w:left="830" w:right="117" w:hanging="708"/>
        <w:jc w:val="both"/>
        <w:rPr>
          <w:sz w:val="24"/>
        </w:rPr>
      </w:pPr>
      <w:r>
        <w:rPr>
          <w:sz w:val="24"/>
        </w:rPr>
        <w:t>Safadr, Khizra y M. Wasif (2011), “Impact of Manufacturing industry of Economic Growth in case of Pakistan: A Kaldorian Approach”, </w:t>
      </w:r>
      <w:r>
        <w:rPr>
          <w:i/>
          <w:sz w:val="24"/>
        </w:rPr>
        <w:t>Interdisciplinary Journal of </w:t>
      </w:r>
      <w:r>
        <w:rPr>
          <w:i/>
          <w:sz w:val="24"/>
        </w:rPr>
        <w:t>Contemporary Research in Business</w:t>
      </w:r>
      <w:r>
        <w:rPr>
          <w:sz w:val="24"/>
        </w:rPr>
        <w:t>, vol. 3, núm. 1, pp. 1021-1038.</w:t>
      </w:r>
    </w:p>
    <w:p>
      <w:pPr>
        <w:spacing w:line="278" w:lineRule="auto" w:before="121"/>
        <w:ind w:left="830" w:right="117" w:hanging="708"/>
        <w:jc w:val="both"/>
        <w:rPr>
          <w:sz w:val="24"/>
        </w:rPr>
      </w:pPr>
      <w:r>
        <w:rPr>
          <w:sz w:val="24"/>
        </w:rPr>
        <w:t>Sala-i-Martin, Xavier (2000), </w:t>
      </w:r>
      <w:r>
        <w:rPr>
          <w:i/>
          <w:sz w:val="24"/>
        </w:rPr>
        <w:t>Apuntes de crecimiento económico</w:t>
      </w:r>
      <w:r>
        <w:rPr>
          <w:sz w:val="24"/>
        </w:rPr>
        <w:t>, segunda edición, Antoni Bosch Editor, España.</w:t>
      </w:r>
    </w:p>
    <w:p>
      <w:pPr>
        <w:pStyle w:val="BodyText"/>
        <w:spacing w:line="276" w:lineRule="auto" w:before="119"/>
        <w:ind w:left="830" w:right="117" w:hanging="708"/>
        <w:jc w:val="both"/>
      </w:pPr>
      <w:r>
        <w:rPr/>
        <w:t>Salazar, Ana (2011), “Tradición empresarial en riesgo”, </w:t>
      </w:r>
      <w:r>
        <w:rPr>
          <w:i/>
        </w:rPr>
        <w:t>Milenio</w:t>
      </w:r>
      <w:r>
        <w:rPr/>
        <w:t>, 20 de abril, en línea</w:t>
      </w:r>
      <w:hyperlink r:id="rId61">
        <w:r>
          <w:rPr/>
          <w:t>:http://</w:t>
        </w:r>
      </w:hyperlink>
      <w:r>
        <w:rPr/>
        <w:t>e</w:t>
      </w:r>
      <w:hyperlink r:id="rId61">
        <w:r>
          <w:rPr/>
          <w:t>domex.milenio.com/cdb/doc/noticias2011/</w:t>
        </w:r>
      </w:hyperlink>
    </w:p>
    <w:p>
      <w:pPr>
        <w:pStyle w:val="BodyText"/>
        <w:spacing w:line="276" w:lineRule="auto" w:before="121"/>
        <w:ind w:left="830" w:right="118" w:hanging="708"/>
        <w:jc w:val="both"/>
      </w:pPr>
      <w:r>
        <w:rPr/>
        <w:t>Sánchez, Juárez Isaac Leobardo (2011), “Estancamiento económico en México, manufacturas y rendimientos crecientes: un enfoque Kaldoriano”, </w:t>
      </w:r>
      <w:r>
        <w:rPr>
          <w:i/>
        </w:rPr>
        <w:t>Investigación </w:t>
      </w:r>
      <w:r>
        <w:rPr>
          <w:i/>
        </w:rPr>
        <w:t>económica</w:t>
      </w:r>
      <w:r>
        <w:rPr/>
        <w:t>, vol. LXX, núm. 227, pp. 87-126.</w:t>
      </w:r>
    </w:p>
    <w:p>
      <w:pPr>
        <w:pStyle w:val="BodyText"/>
        <w:spacing w:line="276" w:lineRule="auto" w:before="121"/>
        <w:ind w:left="830" w:right="125" w:hanging="708"/>
        <w:jc w:val="both"/>
      </w:pPr>
      <w:r>
        <w:rPr/>
        <w:t>Santaella, Julio (1998), “El crecimiento económico de México: explorando causas de su caída secular”,  </w:t>
      </w:r>
      <w:r>
        <w:rPr>
          <w:i/>
        </w:rPr>
        <w:t>Gaceta de Economía</w:t>
      </w:r>
      <w:r>
        <w:rPr/>
        <w:t>, año 3, núm 6, pp. 5-46.</w:t>
      </w:r>
    </w:p>
    <w:p>
      <w:pPr>
        <w:spacing w:line="278" w:lineRule="auto" w:before="121"/>
        <w:ind w:left="830" w:right="119" w:hanging="708"/>
        <w:jc w:val="both"/>
        <w:rPr>
          <w:sz w:val="24"/>
        </w:rPr>
      </w:pPr>
      <w:r>
        <w:rPr>
          <w:sz w:val="24"/>
        </w:rPr>
        <w:t>Schumpeter, Joseph (1976), </w:t>
      </w:r>
      <w:r>
        <w:rPr>
          <w:i/>
          <w:sz w:val="24"/>
        </w:rPr>
        <w:t>Teoría del desenvolvimiento económico. Una investigación </w:t>
      </w:r>
      <w:r>
        <w:rPr>
          <w:i/>
          <w:sz w:val="24"/>
        </w:rPr>
        <w:t>sobre ganancias, capital, crédito, interés y ciclos económicos</w:t>
      </w:r>
      <w:r>
        <w:rPr>
          <w:sz w:val="24"/>
        </w:rPr>
        <w:t>, FCE, México.</w:t>
      </w:r>
    </w:p>
    <w:p>
      <w:pPr>
        <w:spacing w:line="276" w:lineRule="auto" w:before="118"/>
        <w:ind w:left="830" w:right="118" w:hanging="708"/>
        <w:jc w:val="both"/>
        <w:rPr>
          <w:sz w:val="24"/>
        </w:rPr>
      </w:pPr>
      <w:r>
        <w:rPr>
          <w:sz w:val="24"/>
        </w:rPr>
        <w:t>Seldon, Arthur y F. Pennance (1986), </w:t>
      </w:r>
      <w:r>
        <w:rPr>
          <w:i/>
          <w:sz w:val="24"/>
        </w:rPr>
        <w:t>Diccionario de Economía. Una exposición alfabética </w:t>
      </w:r>
      <w:r>
        <w:rPr>
          <w:i/>
          <w:sz w:val="24"/>
        </w:rPr>
        <w:t>de conceptos económicos y su aplicación</w:t>
      </w:r>
      <w:r>
        <w:rPr>
          <w:sz w:val="24"/>
        </w:rPr>
        <w:t>, Oikos-tau ediciones, Barcelona.</w:t>
      </w:r>
    </w:p>
    <w:p>
      <w:pPr>
        <w:spacing w:line="278" w:lineRule="auto" w:before="121"/>
        <w:ind w:left="830" w:right="118" w:hanging="708"/>
        <w:jc w:val="both"/>
        <w:rPr>
          <w:sz w:val="24"/>
        </w:rPr>
      </w:pPr>
      <w:r>
        <w:rPr>
          <w:sz w:val="24"/>
        </w:rPr>
        <w:t>Solís, Leopoldo (1970), </w:t>
      </w:r>
      <w:r>
        <w:rPr>
          <w:i/>
          <w:sz w:val="24"/>
        </w:rPr>
        <w:t>La realidad económica mexicana. Retrovisión y perspectivas</w:t>
      </w:r>
      <w:r>
        <w:rPr>
          <w:sz w:val="24"/>
        </w:rPr>
        <w:t>, Siglo XXI, México.</w:t>
      </w:r>
    </w:p>
    <w:p>
      <w:pPr>
        <w:spacing w:line="276" w:lineRule="auto" w:before="118"/>
        <w:ind w:left="830" w:right="116" w:hanging="708"/>
        <w:jc w:val="both"/>
        <w:rPr>
          <w:sz w:val="24"/>
        </w:rPr>
      </w:pPr>
      <w:r>
        <w:rPr>
          <w:sz w:val="24"/>
        </w:rPr>
        <w:t>Solow, Robert (1956), “A contribution to the theory of economic Growth”, </w:t>
      </w:r>
      <w:r>
        <w:rPr>
          <w:i/>
          <w:sz w:val="24"/>
        </w:rPr>
        <w:t>Quarterly </w:t>
      </w:r>
      <w:r>
        <w:rPr>
          <w:i/>
          <w:sz w:val="24"/>
        </w:rPr>
        <w:t>Journal of economics, </w:t>
      </w:r>
      <w:r>
        <w:rPr>
          <w:sz w:val="24"/>
        </w:rPr>
        <w:t>vol. 70, no. 1, pp. 65-94.</w:t>
      </w:r>
    </w:p>
    <w:p>
      <w:pPr>
        <w:pStyle w:val="BodyText"/>
        <w:spacing w:line="276" w:lineRule="auto" w:before="121"/>
        <w:ind w:left="1113" w:right="117" w:hanging="992"/>
        <w:jc w:val="both"/>
      </w:pPr>
      <w:r>
        <w:rPr/>
        <w:t>Stilianos, Alexiadis y Dimitrios Tsagdis (2006), "</w:t>
      </w:r>
      <w:hyperlink r:id="rId62">
        <w:r>
          <w:rPr/>
          <w:t>Reassessing the validity of Verdoorn's</w:t>
        </w:r>
      </w:hyperlink>
      <w:r>
        <w:rPr/>
        <w:t>  </w:t>
      </w:r>
      <w:hyperlink r:id="rId62">
        <w:r>
          <w:rPr/>
          <w:t>law under conditions of spatial dependence: a case study of the Greek regions,</w:t>
        </w:r>
      </w:hyperlink>
      <w:r>
        <w:rPr/>
        <w:t>" </w:t>
      </w:r>
      <w:hyperlink r:id="rId63">
        <w:r>
          <w:rPr>
            <w:i/>
          </w:rPr>
          <w:t>Journal of Post Keynesian Economics,</w:t>
        </w:r>
      </w:hyperlink>
      <w:r>
        <w:rPr>
          <w:i/>
        </w:rPr>
        <w:t> </w:t>
      </w:r>
      <w:r>
        <w:rPr/>
        <w:t>vol. 29, núm. 1, pp.</w:t>
      </w:r>
      <w:r>
        <w:rPr>
          <w:spacing w:val="-5"/>
        </w:rPr>
        <w:t> </w:t>
      </w:r>
      <w:r>
        <w:rPr/>
        <w:t>149-170.</w:t>
      </w:r>
    </w:p>
    <w:p>
      <w:pPr>
        <w:spacing w:line="276" w:lineRule="auto" w:before="121"/>
        <w:ind w:left="830" w:right="121" w:hanging="708"/>
        <w:jc w:val="both"/>
        <w:rPr>
          <w:sz w:val="24"/>
        </w:rPr>
      </w:pPr>
      <w:r>
        <w:rPr>
          <w:sz w:val="24"/>
        </w:rPr>
        <w:t>Sunkel Osvaldo y Pedro Paz (2005), </w:t>
      </w:r>
      <w:r>
        <w:rPr>
          <w:i/>
          <w:sz w:val="24"/>
        </w:rPr>
        <w:t>El subdesarrollo latinoamericano y la teoría del </w:t>
      </w:r>
      <w:r>
        <w:rPr>
          <w:i/>
          <w:sz w:val="24"/>
        </w:rPr>
        <w:t>desarrollo</w:t>
      </w:r>
      <w:r>
        <w:rPr>
          <w:sz w:val="24"/>
        </w:rPr>
        <w:t>, 28ª edición, Editorial Siglo XXI, México.</w:t>
      </w:r>
    </w:p>
    <w:p>
      <w:pPr>
        <w:pStyle w:val="BodyText"/>
        <w:tabs>
          <w:tab w:pos="2929" w:val="left" w:leader="none"/>
          <w:tab w:pos="4059" w:val="left" w:leader="none"/>
          <w:tab w:pos="5393" w:val="left" w:leader="none"/>
          <w:tab w:pos="7295" w:val="left" w:leader="none"/>
          <w:tab w:pos="8423" w:val="left" w:leader="none"/>
        </w:tabs>
        <w:spacing w:line="276" w:lineRule="auto" w:before="123"/>
        <w:ind w:left="830" w:right="117" w:hanging="708"/>
      </w:pPr>
      <w:r>
        <w:rPr/>
        <w:t>SRE (Secretaría de Relaciones Exteriores) (2010), </w:t>
      </w:r>
      <w:r>
        <w:rPr>
          <w:i/>
        </w:rPr>
        <w:t>Perfil municipal 2010</w:t>
      </w:r>
      <w:r>
        <w:rPr/>
        <w:t>, Ayuntamiento de Tlalnepantla</w:t>
        <w:tab/>
        <w:t>de</w:t>
        <w:tab/>
        <w:t>Baz,</w:t>
        <w:tab/>
        <w:t>disponible</w:t>
        <w:tab/>
        <w:t>en</w:t>
        <w:tab/>
        <w:t>línea: </w:t>
      </w:r>
      <w:hyperlink r:id="rId64">
        <w:r>
          <w:rPr/>
          <w:t>http://www.sre.gob.mx/coordinacionpolitica/images/stories/documentos_gobiernos/</w:t>
        </w:r>
      </w:hyperlink>
      <w:r>
        <w:rPr/>
        <w:t> </w:t>
      </w:r>
      <w:hyperlink r:id="rId64">
        <w:r>
          <w:rPr/>
          <w:t>pmtlalnepantla.pdf</w:t>
        </w:r>
      </w:hyperlink>
    </w:p>
    <w:p>
      <w:pPr>
        <w:spacing w:before="123"/>
        <w:ind w:left="122" w:right="118" w:firstLine="0"/>
        <w:jc w:val="left"/>
        <w:rPr>
          <w:sz w:val="24"/>
        </w:rPr>
      </w:pPr>
      <w:r>
        <w:rPr>
          <w:sz w:val="24"/>
        </w:rPr>
        <w:t>Tello, Carlos (2007), </w:t>
      </w:r>
      <w:r>
        <w:rPr>
          <w:i/>
          <w:sz w:val="24"/>
        </w:rPr>
        <w:t>Estado y desarrollo económico: México 1920-2006</w:t>
      </w:r>
      <w:r>
        <w:rPr>
          <w:sz w:val="24"/>
        </w:rPr>
        <w:t>, UNAM, México.</w:t>
      </w:r>
    </w:p>
    <w:p>
      <w:pPr>
        <w:spacing w:after="0"/>
        <w:jc w:val="left"/>
        <w:rPr>
          <w:sz w:val="24"/>
        </w:rPr>
        <w:sectPr>
          <w:pgSz w:w="12240" w:h="15840"/>
          <w:pgMar w:header="0" w:footer="1003" w:top="1360" w:bottom="1200" w:left="1580" w:right="1580"/>
        </w:sectPr>
      </w:pPr>
    </w:p>
    <w:p>
      <w:pPr>
        <w:pStyle w:val="BodyText"/>
        <w:spacing w:line="278" w:lineRule="auto" w:before="50"/>
        <w:ind w:left="830" w:right="123" w:hanging="708"/>
        <w:jc w:val="both"/>
      </w:pPr>
      <w:r>
        <w:rPr/>
        <w:t>Thirlwall, Anthony (2000), “Trade agreements, trade liberalization and economic growth: a selective survey”, </w:t>
      </w:r>
      <w:r>
        <w:rPr>
          <w:i/>
        </w:rPr>
        <w:t>African Development Review</w:t>
      </w:r>
      <w:r>
        <w:rPr/>
        <w:t>, vol. 12, núm. 2, pp. 129-160</w:t>
      </w:r>
    </w:p>
    <w:p>
      <w:pPr>
        <w:spacing w:line="276" w:lineRule="auto" w:before="118"/>
        <w:ind w:left="830" w:right="119" w:firstLine="420"/>
        <w:jc w:val="both"/>
        <w:rPr>
          <w:sz w:val="24"/>
        </w:rPr>
      </w:pPr>
      <w:r>
        <w:rPr/>
        <w:pict>
          <v:line style="position:absolute;mso-position-horizontal-relative:page;mso-position-vertical-relative:paragraph;z-index:-462376" from="85.103996pt,13.159006pt" to="137.106719pt,13.159006pt" stroked="true" strokeweight=".3216pt" strokecolor="#000000">
            <w10:wrap type="none"/>
          </v:line>
        </w:pict>
      </w:r>
      <w:r>
        <w:rPr>
          <w:sz w:val="24"/>
        </w:rPr>
        <w:t>(2003), </w:t>
      </w:r>
      <w:r>
        <w:rPr>
          <w:i/>
          <w:sz w:val="24"/>
        </w:rPr>
        <w:t>La naturaleza del crecimiento económico: Un marco alternativo para </w:t>
      </w:r>
      <w:r>
        <w:rPr>
          <w:i/>
          <w:sz w:val="24"/>
        </w:rPr>
        <w:t>comprender el desempeño de las naciones</w:t>
      </w:r>
      <w:r>
        <w:rPr>
          <w:sz w:val="24"/>
        </w:rPr>
        <w:t>, Fondo de Cultura Económica, México.</w:t>
      </w:r>
    </w:p>
    <w:p>
      <w:pPr>
        <w:spacing w:before="118"/>
        <w:ind w:left="830" w:right="119" w:firstLine="468"/>
        <w:jc w:val="both"/>
        <w:rPr>
          <w:sz w:val="24"/>
        </w:rPr>
      </w:pPr>
      <w:r>
        <w:rPr/>
        <w:pict>
          <v:line style="position:absolute;mso-position-horizontal-relative:page;mso-position-vertical-relative:paragraph;z-index:-462352" from="85.103996pt,13.159006pt" to="137.106719pt,13.159006pt" stroked="true" strokeweight=".3216pt" strokecolor="#000000">
            <w10:wrap type="none"/>
          </v:line>
        </w:pict>
      </w:r>
      <w:r>
        <w:rPr>
          <w:sz w:val="24"/>
        </w:rPr>
        <w:t>(1983), “</w:t>
      </w:r>
      <w:hyperlink r:id="rId65">
        <w:r>
          <w:rPr>
            <w:sz w:val="24"/>
          </w:rPr>
          <w:t>A plain man's guide to Kaldor's growth laws</w:t>
        </w:r>
      </w:hyperlink>
      <w:r>
        <w:rPr>
          <w:sz w:val="24"/>
        </w:rPr>
        <w:t>”</w:t>
      </w:r>
      <w:r>
        <w:rPr>
          <w:i/>
          <w:sz w:val="24"/>
        </w:rPr>
        <w:t>, Journal of Post </w:t>
      </w:r>
      <w:r>
        <w:rPr>
          <w:i/>
          <w:sz w:val="24"/>
        </w:rPr>
        <w:t>Keynesian Economics</w:t>
      </w:r>
      <w:r>
        <w:rPr>
          <w:sz w:val="24"/>
        </w:rPr>
        <w:t>, vol. 4, núm 1, pp. 345-358.</w:t>
      </w:r>
    </w:p>
    <w:p>
      <w:pPr>
        <w:spacing w:line="276" w:lineRule="auto" w:before="122"/>
        <w:ind w:left="830" w:right="118" w:firstLine="412"/>
        <w:jc w:val="both"/>
        <w:rPr>
          <w:sz w:val="24"/>
        </w:rPr>
      </w:pPr>
      <w:r>
        <w:rPr/>
        <w:pict>
          <v:line style="position:absolute;mso-position-horizontal-relative:page;mso-position-vertical-relative:paragraph;z-index:-462328" from="85.103996pt,13.358946pt" to="137.106719pt,13.358946pt" stroked="true" strokeweight=".3216pt" strokecolor="#000000">
            <w10:wrap type="none"/>
          </v:line>
        </w:pict>
      </w:r>
      <w:r>
        <w:rPr>
          <w:sz w:val="24"/>
        </w:rPr>
        <w:t>(1979), “The balance of payments constraint as an explanation of international growth rate differences”, </w:t>
      </w:r>
      <w:r>
        <w:rPr>
          <w:i/>
          <w:sz w:val="24"/>
        </w:rPr>
        <w:t>Banca Nazionale del Lavoro Quarterly Review</w:t>
      </w:r>
      <w:r>
        <w:rPr>
          <w:sz w:val="24"/>
        </w:rPr>
        <w:t>, núm. 128, Rome, pp. 45-53.</w:t>
      </w:r>
    </w:p>
    <w:p>
      <w:pPr>
        <w:spacing w:line="276" w:lineRule="auto" w:before="121"/>
        <w:ind w:left="830" w:right="117" w:hanging="708"/>
        <w:jc w:val="both"/>
        <w:rPr>
          <w:sz w:val="24"/>
        </w:rPr>
      </w:pPr>
      <w:r>
        <w:rPr>
          <w:sz w:val="24"/>
        </w:rPr>
        <w:t>Torres, Felipe; Ryszard Rózga; Armando García y Javier Delgadillo (2009), </w:t>
      </w:r>
      <w:r>
        <w:rPr>
          <w:i/>
          <w:sz w:val="24"/>
        </w:rPr>
        <w:t>Técnicas de </w:t>
      </w:r>
      <w:r>
        <w:rPr>
          <w:i/>
          <w:sz w:val="24"/>
        </w:rPr>
        <w:t>análisis regional. Desarrollo y aplicaciones</w:t>
      </w:r>
      <w:r>
        <w:rPr>
          <w:sz w:val="24"/>
        </w:rPr>
        <w:t>, Trillas, México.</w:t>
      </w:r>
    </w:p>
    <w:p>
      <w:pPr>
        <w:spacing w:line="276" w:lineRule="auto" w:before="123"/>
        <w:ind w:left="830" w:right="117" w:hanging="708"/>
        <w:jc w:val="both"/>
        <w:rPr>
          <w:sz w:val="24"/>
        </w:rPr>
      </w:pPr>
      <w:r>
        <w:rPr>
          <w:sz w:val="24"/>
        </w:rPr>
        <w:t>Unger, Kurt (2010), </w:t>
      </w:r>
      <w:r>
        <w:rPr>
          <w:i/>
          <w:sz w:val="24"/>
        </w:rPr>
        <w:t>Globalización y Clusters regionales en México: Un enfoque evolutivo</w:t>
      </w:r>
      <w:r>
        <w:rPr>
          <w:sz w:val="24"/>
        </w:rPr>
        <w:t>, Fondo de Cultura Económica, México.</w:t>
      </w:r>
    </w:p>
    <w:p>
      <w:pPr>
        <w:pStyle w:val="BodyText"/>
        <w:spacing w:line="276" w:lineRule="auto" w:before="121"/>
        <w:ind w:left="830" w:right="116" w:firstLine="434"/>
        <w:jc w:val="both"/>
      </w:pPr>
      <w:r>
        <w:rPr/>
        <w:pict>
          <v:line style="position:absolute;mso-position-horizontal-relative:page;mso-position-vertical-relative:paragraph;z-index:-462304" from="85.103996pt,13.308976pt" to="137.106719pt,13.308976pt" stroked="true" strokeweight=".3216pt" strokecolor="#000000">
            <w10:wrap type="none"/>
          </v:line>
        </w:pict>
      </w:r>
      <w:r>
        <w:rPr/>
        <w:t>(2005), “Regional economic development and mexican out-migration</w:t>
      </w:r>
      <w:r>
        <w:rPr>
          <w:i/>
        </w:rPr>
        <w:t>”, Nber </w:t>
      </w:r>
      <w:r>
        <w:rPr>
          <w:i/>
        </w:rPr>
        <w:t>working paper series</w:t>
      </w:r>
      <w:r>
        <w:rPr/>
        <w:t>, núm. 1143, disponible en línea: </w:t>
      </w:r>
      <w:hyperlink r:id="rId66">
        <w:r>
          <w:rPr>
            <w:u w:val="single"/>
          </w:rPr>
          <w:t>www.nber.org/papers/w11432.</w:t>
        </w:r>
      </w:hyperlink>
    </w:p>
    <w:p>
      <w:pPr>
        <w:spacing w:line="276" w:lineRule="auto" w:before="121"/>
        <w:ind w:left="830" w:right="119" w:hanging="708"/>
        <w:jc w:val="both"/>
        <w:rPr>
          <w:sz w:val="24"/>
        </w:rPr>
      </w:pPr>
      <w:r>
        <w:rPr>
          <w:sz w:val="24"/>
        </w:rPr>
        <w:t>Uribe- Etxeberria, Asier Minondo (2009), “Especialización productiva y crecimiento en los países de renta media”, </w:t>
      </w:r>
      <w:hyperlink r:id="rId67">
        <w:r>
          <w:rPr>
            <w:i/>
            <w:sz w:val="24"/>
          </w:rPr>
          <w:t>Working Papers del Instituto Complutense de Estudios</w:t>
        </w:r>
      </w:hyperlink>
      <w:r>
        <w:rPr>
          <w:i/>
          <w:sz w:val="24"/>
        </w:rPr>
        <w:t> </w:t>
      </w:r>
      <w:hyperlink r:id="rId67">
        <w:r>
          <w:rPr>
            <w:i/>
            <w:sz w:val="24"/>
          </w:rPr>
          <w:t>Internacionales,</w:t>
        </w:r>
      </w:hyperlink>
      <w:r>
        <w:rPr>
          <w:i/>
          <w:sz w:val="24"/>
        </w:rPr>
        <w:t> </w:t>
      </w:r>
      <w:r>
        <w:rPr>
          <w:sz w:val="24"/>
        </w:rPr>
        <w:t>vol. 7, núm. 9,  pp. 1-25.</w:t>
      </w:r>
    </w:p>
    <w:p>
      <w:pPr>
        <w:pStyle w:val="BodyText"/>
        <w:spacing w:line="278" w:lineRule="auto" w:before="121"/>
        <w:ind w:left="830" w:right="117" w:hanging="708"/>
        <w:jc w:val="both"/>
      </w:pPr>
      <w:r>
        <w:rPr/>
        <w:t>Vargas, José (2000), “La economía y la reinvención del Estado Mexicano”, </w:t>
      </w:r>
      <w:r>
        <w:rPr>
          <w:i/>
        </w:rPr>
        <w:t>Cinta de </w:t>
      </w:r>
      <w:r>
        <w:rPr>
          <w:i/>
        </w:rPr>
        <w:t>Moebio</w:t>
      </w:r>
      <w:r>
        <w:rPr/>
        <w:t>, núm. 8,</w:t>
      </w:r>
    </w:p>
    <w:p>
      <w:pPr>
        <w:spacing w:line="276" w:lineRule="auto" w:before="118"/>
        <w:ind w:left="830" w:right="225" w:hanging="708"/>
        <w:jc w:val="both"/>
        <w:rPr>
          <w:sz w:val="24"/>
        </w:rPr>
      </w:pPr>
      <w:r>
        <w:rPr>
          <w:sz w:val="24"/>
        </w:rPr>
        <w:t>Villareal González, Diana y Marcela Villegas Silva (2007), "Cambios en la localización</w:t>
      </w:r>
      <w:r>
        <w:rPr>
          <w:spacing w:val="-19"/>
          <w:sz w:val="24"/>
        </w:rPr>
        <w:t> </w:t>
      </w:r>
      <w:r>
        <w:rPr>
          <w:sz w:val="24"/>
        </w:rPr>
        <w:t>de la industria automotriz en México: 1994-2004", </w:t>
      </w:r>
      <w:r>
        <w:rPr>
          <w:i/>
          <w:sz w:val="24"/>
        </w:rPr>
        <w:t>Producción económica 2007-2010, </w:t>
      </w:r>
      <w:r>
        <w:rPr>
          <w:i/>
          <w:sz w:val="24"/>
        </w:rPr>
        <w:t>Memoria. </w:t>
      </w:r>
      <w:r>
        <w:rPr>
          <w:sz w:val="24"/>
        </w:rPr>
        <w:t>UAM-Xochimilco,</w:t>
      </w:r>
      <w:r>
        <w:rPr>
          <w:spacing w:val="-6"/>
          <w:sz w:val="24"/>
        </w:rPr>
        <w:t> </w:t>
      </w:r>
      <w:r>
        <w:rPr>
          <w:sz w:val="24"/>
        </w:rPr>
        <w:t>México.</w:t>
      </w:r>
    </w:p>
    <w:p>
      <w:pPr>
        <w:spacing w:line="276" w:lineRule="auto" w:before="123"/>
        <w:ind w:left="830" w:right="118" w:hanging="708"/>
        <w:jc w:val="both"/>
        <w:rPr>
          <w:sz w:val="24"/>
        </w:rPr>
      </w:pPr>
      <w:r>
        <w:rPr>
          <w:sz w:val="24"/>
        </w:rPr>
        <w:t>Villareal, René (2005), </w:t>
      </w:r>
      <w:r>
        <w:rPr>
          <w:i/>
          <w:sz w:val="24"/>
        </w:rPr>
        <w:t>Industrialización, competitividad y desequilibrio externo en  </w:t>
      </w:r>
      <w:r>
        <w:rPr>
          <w:i/>
          <w:sz w:val="24"/>
        </w:rPr>
        <w:t>México, un enfoque macroindustrial y financiero (1929-2010), </w:t>
      </w:r>
      <w:r>
        <w:rPr>
          <w:sz w:val="24"/>
        </w:rPr>
        <w:t>quinta edición., Fondo de Cultura Económica,</w:t>
      </w:r>
      <w:r>
        <w:rPr>
          <w:spacing w:val="-6"/>
          <w:sz w:val="24"/>
        </w:rPr>
        <w:t> </w:t>
      </w:r>
      <w:r>
        <w:rPr>
          <w:sz w:val="24"/>
        </w:rPr>
        <w:t>México.</w:t>
      </w:r>
    </w:p>
    <w:p>
      <w:pPr>
        <w:pStyle w:val="BodyText"/>
        <w:spacing w:line="276" w:lineRule="auto" w:before="121"/>
        <w:ind w:left="830" w:right="117" w:hanging="708"/>
        <w:jc w:val="both"/>
      </w:pPr>
      <w:r>
        <w:rPr/>
        <w:t>Weinhold, Diana y James Raunch (1997), “Openness, Specialization, and Productivity Growth in Less Developed Countries”, </w:t>
      </w:r>
      <w:r>
        <w:rPr>
          <w:i/>
        </w:rPr>
        <w:t>NBER Working Paper, núm. </w:t>
      </w:r>
      <w:r>
        <w:rPr/>
        <w:t>131, Cambridge,</w:t>
      </w:r>
      <w:r>
        <w:rPr>
          <w:spacing w:val="-3"/>
        </w:rPr>
        <w:t> </w:t>
      </w:r>
      <w:r>
        <w:rPr/>
        <w:t>pp.1-24.</w:t>
      </w:r>
    </w:p>
    <w:p>
      <w:pPr>
        <w:spacing w:line="276" w:lineRule="auto" w:before="121"/>
        <w:ind w:left="830" w:right="119" w:hanging="708"/>
        <w:jc w:val="both"/>
        <w:rPr>
          <w:sz w:val="24"/>
        </w:rPr>
      </w:pPr>
      <w:r>
        <w:rPr>
          <w:sz w:val="24"/>
        </w:rPr>
        <w:t>Wooldridge, Jeffrey (2009), </w:t>
      </w:r>
      <w:r>
        <w:rPr>
          <w:i/>
          <w:sz w:val="24"/>
        </w:rPr>
        <w:t>Introducción a la econometría. Un enfoque moderno</w:t>
      </w:r>
      <w:r>
        <w:rPr>
          <w:sz w:val="24"/>
        </w:rPr>
        <w:t>, cuarta edición, Cengage, Learning,  México, DF.</w:t>
      </w:r>
    </w:p>
    <w:p>
      <w:pPr>
        <w:spacing w:after="0" w:line="276" w:lineRule="auto"/>
        <w:jc w:val="both"/>
        <w:rPr>
          <w:sz w:val="24"/>
        </w:rPr>
        <w:sectPr>
          <w:pgSz w:w="12240" w:h="15840"/>
          <w:pgMar w:header="0" w:footer="1003" w:top="1360" w:bottom="1200" w:left="1580" w:right="1580"/>
        </w:sectPr>
      </w:pPr>
    </w:p>
    <w:p>
      <w:pPr>
        <w:pStyle w:val="BodyText"/>
        <w:rPr>
          <w:sz w:val="20"/>
        </w:rPr>
      </w:pPr>
    </w:p>
    <w:p>
      <w:pPr>
        <w:pStyle w:val="BodyText"/>
        <w:rPr>
          <w:sz w:val="20"/>
        </w:rPr>
      </w:pPr>
    </w:p>
    <w:p>
      <w:pPr>
        <w:pStyle w:val="BodyText"/>
        <w:rPr>
          <w:sz w:val="20"/>
        </w:rPr>
      </w:pPr>
    </w:p>
    <w:p>
      <w:pPr>
        <w:pStyle w:val="BodyText"/>
        <w:spacing w:before="3"/>
        <w:rPr>
          <w:sz w:val="20"/>
        </w:rPr>
      </w:pPr>
    </w:p>
    <w:p>
      <w:pPr>
        <w:spacing w:line="1571" w:lineRule="exact" w:before="0"/>
        <w:ind w:left="2159" w:right="188" w:firstLine="0"/>
        <w:jc w:val="left"/>
        <w:rPr>
          <w:b/>
          <w:sz w:val="144"/>
        </w:rPr>
      </w:pPr>
      <w:r>
        <w:rPr>
          <w:b/>
          <w:sz w:val="144"/>
        </w:rPr>
        <w:t>Anexos</w:t>
      </w:r>
    </w:p>
    <w:p>
      <w:pPr>
        <w:spacing w:after="0" w:line="1571" w:lineRule="exact"/>
        <w:jc w:val="left"/>
        <w:rPr>
          <w:sz w:val="144"/>
        </w:rPr>
        <w:sectPr>
          <w:pgSz w:w="12240" w:h="15840"/>
          <w:pgMar w:header="0" w:footer="1003" w:top="1500" w:bottom="1200" w:left="1720" w:right="1580"/>
        </w:sectPr>
      </w:pPr>
    </w:p>
    <w:p>
      <w:pPr>
        <w:pStyle w:val="Heading1"/>
        <w:ind w:left="581"/>
      </w:pPr>
      <w:r>
        <w:rPr/>
        <w:t>Anexo metodológico</w:t>
      </w:r>
    </w:p>
    <w:p>
      <w:pPr>
        <w:pStyle w:val="BodyText"/>
        <w:rPr>
          <w:b/>
          <w:sz w:val="28"/>
        </w:rPr>
      </w:pPr>
    </w:p>
    <w:p>
      <w:pPr>
        <w:pStyle w:val="BodyText"/>
        <w:spacing w:before="9"/>
        <w:rPr>
          <w:b/>
          <w:sz w:val="27"/>
        </w:rPr>
      </w:pPr>
    </w:p>
    <w:p>
      <w:pPr>
        <w:pStyle w:val="BodyText"/>
        <w:spacing w:line="360" w:lineRule="auto"/>
        <w:ind w:left="102" w:right="119"/>
        <w:jc w:val="both"/>
      </w:pPr>
      <w:r>
        <w:rPr/>
        <w:t>Este apartado tiene como objetivo, presentar la metodología utilizada en este trabajo de investigación.</w:t>
      </w:r>
    </w:p>
    <w:p>
      <w:pPr>
        <w:pStyle w:val="BodyText"/>
        <w:spacing w:line="360" w:lineRule="auto" w:before="6"/>
        <w:ind w:left="102" w:right="117" w:firstLine="707"/>
        <w:jc w:val="both"/>
      </w:pPr>
      <w:r>
        <w:rPr/>
        <w:t>En este camino que conlleva a la generación del conocimiento sobre la industria manufacturera del Estado de México, fue indispensable seguir los principios básicos del método científico a través de un enfoque cuantitativo, para encontrar las respuestas a las interrogantes planteadas como problema, con el único fin de divulgar los conocimientos o resultados a los que se llegó con esta investigación.</w:t>
      </w:r>
    </w:p>
    <w:p>
      <w:pPr>
        <w:pStyle w:val="BodyText"/>
        <w:spacing w:line="360" w:lineRule="auto" w:before="4"/>
        <w:ind w:left="102" w:right="116" w:firstLine="707"/>
        <w:jc w:val="both"/>
      </w:pPr>
      <w:r>
        <w:rPr/>
        <w:t>Los procedimientos para conocer el objeto de estudio se llevaron a cabo de manera sistemática, empírica y crítica, a través del método deductivo. Así, durante el proceso de elaboración de este trabajo se plantearon objetivos que implicaron actividades de investigación, desde que se concibió la idea, evidencias empíricas y documentales, con la búsqueda de material histórico que sirvió como de punto de partida para el estudio de la especialización productiva en el fenómeno del crecimiento económico de las dos regiones industrializadas del Estado de México. Asimismo fue obligada la consulta de fuentes especializadas sobre el tema, las cuales han permitido enriquecer y presentar los principales planteamientos expuestos por los expertos, así como mostrar lo que se ha escrito recientemente sobre el tema y que sirve de fundamento de esta investigación.</w:t>
      </w:r>
    </w:p>
    <w:p>
      <w:pPr>
        <w:pStyle w:val="BodyText"/>
        <w:spacing w:line="360" w:lineRule="auto" w:before="4"/>
        <w:ind w:left="102" w:right="115" w:firstLine="707"/>
        <w:jc w:val="both"/>
      </w:pPr>
      <w:r>
        <w:rPr/>
        <w:t>Las evidencias empíricas encontradas muestran un crecimiento diferenciado de las regiones Toluca-Lerma y Valle de México, pertenecientes al Estado de México. Sin embargo, cabe mencionar que durante este proceso han surgido otras ideas e interrogantes futuras para estudiar.</w:t>
      </w:r>
    </w:p>
    <w:p>
      <w:pPr>
        <w:pStyle w:val="BodyText"/>
      </w:pPr>
    </w:p>
    <w:p>
      <w:pPr>
        <w:pStyle w:val="Heading2"/>
        <w:spacing w:before="148"/>
        <w:ind w:right="0"/>
        <w:jc w:val="both"/>
      </w:pPr>
      <w:r>
        <w:rPr/>
        <w:t>Tipo de investigación</w:t>
      </w:r>
    </w:p>
    <w:p>
      <w:pPr>
        <w:pStyle w:val="BodyText"/>
        <w:spacing w:before="11"/>
        <w:rPr>
          <w:b/>
          <w:sz w:val="21"/>
        </w:rPr>
      </w:pPr>
    </w:p>
    <w:p>
      <w:pPr>
        <w:pStyle w:val="BodyText"/>
        <w:spacing w:line="360" w:lineRule="auto"/>
        <w:ind w:left="102" w:right="117"/>
        <w:jc w:val="both"/>
      </w:pPr>
      <w:r>
        <w:rPr/>
        <w:t>La presente investigación es de tipo histórica porque se analizan eventos del pasado para poder relacionarlos con los del presente (Bernal, 2010). Esto se hace principalmente en el segundo capítulo. Se lleva a cabo el recuento el proceso de industrialización del Estado de México y específicamente de las regiones de estudio. Es documental porque se analiza información de bases de datos secundarias (Valor agregado censal bruto por subsector de</w:t>
      </w:r>
    </w:p>
    <w:p>
      <w:pPr>
        <w:spacing w:after="0" w:line="360" w:lineRule="auto"/>
        <w:jc w:val="both"/>
        <w:sectPr>
          <w:footerReference w:type="default" r:id="rId68"/>
          <w:pgSz w:w="12240" w:h="15840"/>
          <w:pgMar w:footer="1003" w:header="0" w:top="1360" w:bottom="1200" w:left="1600" w:right="1580"/>
          <w:pgNumType w:start="170"/>
        </w:sectPr>
      </w:pPr>
    </w:p>
    <w:p>
      <w:pPr>
        <w:pStyle w:val="BodyText"/>
        <w:spacing w:line="362" w:lineRule="auto" w:before="50"/>
        <w:ind w:left="102" w:right="121"/>
      </w:pPr>
      <w:r>
        <w:rPr/>
        <w:t>actividad manufacturera a nivel municipal) proporcionadas por el Instituto Nacional de Estadística y Geografía.</w:t>
      </w:r>
    </w:p>
    <w:p>
      <w:pPr>
        <w:pStyle w:val="BodyText"/>
        <w:spacing w:line="360" w:lineRule="auto" w:before="1"/>
        <w:ind w:left="102" w:right="116" w:firstLine="707"/>
        <w:jc w:val="both"/>
      </w:pPr>
      <w:r>
        <w:rPr/>
        <w:t>A su vez, esta investigación también es de tipo correlacional porque mide la  relación existente entre crecimiento y especialización; y la relación entre crecimiento y productividad, que plantea la Segunda Ley de Kaldor, lo cual se hace a través del modelo  de panel. Y también es explicativa, porque a través de los capítulos que conforman esta  tesis se dan las razones del porqué del fenómeno de</w:t>
      </w:r>
      <w:r>
        <w:rPr>
          <w:spacing w:val="-8"/>
        </w:rPr>
        <w:t> </w:t>
      </w:r>
      <w:r>
        <w:rPr/>
        <w:t>estudio.</w:t>
      </w:r>
    </w:p>
    <w:p>
      <w:pPr>
        <w:pStyle w:val="BodyText"/>
        <w:spacing w:line="360" w:lineRule="auto" w:before="6"/>
        <w:ind w:left="102" w:right="115" w:firstLine="707"/>
        <w:jc w:val="both"/>
      </w:pPr>
      <w:r>
        <w:rPr/>
        <w:t>Finalmente, es un estudio longitudinal porque se comparan los datos obtenidos en diferentes momentos de tiempo que conforman ambas regiones de estudio, con el propósito de comparar y evaluar los cambios del producto manufacturero a nivel de subsector y ramas de las regiones Toluca- Lerma y Valle de México.</w:t>
      </w:r>
    </w:p>
    <w:p>
      <w:pPr>
        <w:pStyle w:val="BodyText"/>
        <w:spacing w:before="1"/>
        <w:rPr>
          <w:sz w:val="28"/>
        </w:rPr>
      </w:pPr>
    </w:p>
    <w:p>
      <w:pPr>
        <w:pStyle w:val="BodyText"/>
        <w:spacing w:line="276" w:lineRule="auto"/>
        <w:ind w:left="102" w:right="189"/>
      </w:pPr>
      <w:r>
        <w:rPr/>
        <w:t>A continuación se exponen los índices que representan la estructura económica regional  que se analizan el tercer</w:t>
      </w:r>
      <w:r>
        <w:rPr>
          <w:spacing w:val="-5"/>
        </w:rPr>
        <w:t> </w:t>
      </w:r>
      <w:r>
        <w:rPr/>
        <w:t>capítulo.</w:t>
      </w:r>
    </w:p>
    <w:p>
      <w:pPr>
        <w:pStyle w:val="BodyText"/>
      </w:pPr>
    </w:p>
    <w:p>
      <w:pPr>
        <w:pStyle w:val="Heading2"/>
        <w:spacing w:before="145"/>
      </w:pPr>
      <w:r>
        <w:rPr/>
        <w:t>Índices</w:t>
      </w:r>
    </w:p>
    <w:p>
      <w:pPr>
        <w:pStyle w:val="ListParagraph"/>
        <w:numPr>
          <w:ilvl w:val="2"/>
          <w:numId w:val="22"/>
        </w:numPr>
        <w:tabs>
          <w:tab w:pos="1031" w:val="left" w:leader="none"/>
        </w:tabs>
        <w:spacing w:line="240" w:lineRule="auto" w:before="137" w:after="0"/>
        <w:ind w:left="1030" w:right="0" w:hanging="360"/>
        <w:jc w:val="left"/>
        <w:rPr>
          <w:b/>
          <w:sz w:val="24"/>
        </w:rPr>
      </w:pPr>
      <w:r>
        <w:rPr>
          <w:b/>
          <w:sz w:val="24"/>
        </w:rPr>
        <w:t>Cociente de localización (Boisier,</w:t>
      </w:r>
      <w:r>
        <w:rPr>
          <w:b/>
          <w:spacing w:val="-7"/>
          <w:sz w:val="24"/>
        </w:rPr>
        <w:t> </w:t>
      </w:r>
      <w:r>
        <w:rPr>
          <w:b/>
          <w:sz w:val="24"/>
        </w:rPr>
        <w:t>1980)</w:t>
      </w:r>
    </w:p>
    <w:p>
      <w:pPr>
        <w:pStyle w:val="BodyText"/>
        <w:spacing w:before="134"/>
        <w:ind w:left="102" w:right="121"/>
      </w:pPr>
      <w:r>
        <w:rPr/>
        <w:t>Su expresión algebraica es:</w:t>
      </w:r>
    </w:p>
    <w:p>
      <w:pPr>
        <w:pStyle w:val="BodyText"/>
        <w:rPr>
          <w:sz w:val="20"/>
        </w:rPr>
      </w:pPr>
    </w:p>
    <w:p>
      <w:pPr>
        <w:pStyle w:val="BodyText"/>
        <w:spacing w:before="10"/>
        <w:rPr>
          <w:sz w:val="15"/>
        </w:rPr>
      </w:pPr>
      <w:r>
        <w:rPr/>
        <w:pict>
          <v:line style="position:absolute;mso-position-horizontal-relative:page;mso-position-vertical-relative:paragraph;z-index:4696;mso-wrap-distance-left:0;mso-wrap-distance-right:0" from="282.529999pt,11.545282pt" to="308.473999pt,11.545282pt" stroked="true" strokeweight=".84pt" strokecolor="#000000">
            <w10:wrap type="topAndBottom"/>
          </v:line>
        </w:pict>
      </w:r>
      <w:r>
        <w:rPr/>
        <w:pict>
          <v:line style="position:absolute;mso-position-horizontal-relative:page;mso-position-vertical-relative:paragraph;z-index:4720;mso-wrap-distance-left:0;mso-wrap-distance-right:0" from="321.549988pt,11.545282pt" to="360.789988pt,11.545282pt" stroked="true" strokeweight=".84pt" strokecolor="#000000">
            <w10:wrap type="topAndBottom"/>
          </v:line>
        </w:pict>
      </w:r>
    </w:p>
    <w:p>
      <w:pPr>
        <w:pStyle w:val="BodyText"/>
        <w:rPr>
          <w:sz w:val="20"/>
        </w:rPr>
      </w:pPr>
    </w:p>
    <w:p>
      <w:pPr>
        <w:pStyle w:val="BodyText"/>
        <w:rPr>
          <w:sz w:val="20"/>
        </w:rPr>
      </w:pPr>
    </w:p>
    <w:p>
      <w:pPr>
        <w:pStyle w:val="BodyText"/>
        <w:spacing w:before="1"/>
        <w:rPr>
          <w:sz w:val="26"/>
        </w:rPr>
      </w:pPr>
    </w:p>
    <w:p>
      <w:pPr>
        <w:pStyle w:val="BodyText"/>
        <w:spacing w:before="69"/>
        <w:ind w:left="102" w:right="121"/>
      </w:pPr>
      <w:r>
        <w:rPr/>
        <w:t>En que:</w:t>
      </w:r>
    </w:p>
    <w:p>
      <w:pPr>
        <w:pStyle w:val="BodyText"/>
        <w:spacing w:before="141"/>
        <w:ind w:left="102" w:right="121"/>
      </w:pPr>
      <w:r>
        <w:rPr>
          <w:rFonts w:ascii="Cambria Math" w:hAnsi="Cambria Math"/>
          <w:w w:val="283"/>
        </w:rPr>
        <w:t> </w:t>
      </w:r>
      <w:r>
        <w:rPr>
          <w:rFonts w:ascii="Cambria Math" w:hAnsi="Cambria Math"/>
          <w:w w:val="186"/>
          <w:position w:val="-4"/>
          <w:sz w:val="17"/>
        </w:rPr>
        <w:t>  </w:t>
      </w:r>
      <w:r>
        <w:rPr/>
        <w:t>= valor de     correspondiente al sector      de la región     .</w:t>
      </w:r>
    </w:p>
    <w:p>
      <w:pPr>
        <w:pStyle w:val="BodyText"/>
        <w:spacing w:before="175"/>
        <w:ind w:left="102" w:right="121"/>
      </w:pPr>
      <w:r>
        <w:rPr>
          <w:rFonts w:ascii="Cambria Math"/>
          <w:w w:val="321"/>
        </w:rPr>
        <w:t> </w:t>
      </w:r>
      <w:r>
        <w:rPr>
          <w:rFonts w:ascii="Cambria Math"/>
          <w:w w:val="159"/>
          <w:position w:val="-4"/>
          <w:sz w:val="17"/>
        </w:rPr>
        <w:t> </w:t>
      </w:r>
      <w:r>
        <w:rPr>
          <w:rFonts w:ascii="Cambria Math"/>
          <w:position w:val="-4"/>
          <w:sz w:val="17"/>
        </w:rPr>
        <w:t>  </w:t>
      </w:r>
      <w:r>
        <w:rPr>
          <w:rFonts w:ascii="Cambria Math"/>
          <w:w w:val="283"/>
        </w:rPr>
        <w:t> </w:t>
      </w:r>
      <w:r>
        <w:rPr>
          <w:rFonts w:ascii="Cambria Math"/>
          <w:w w:val="186"/>
          <w:position w:val="-4"/>
          <w:sz w:val="17"/>
        </w:rPr>
        <w:t>  </w:t>
      </w:r>
      <w:r>
        <w:rPr>
          <w:rFonts w:ascii="Cambria Math"/>
          <w:position w:val="-4"/>
          <w:sz w:val="17"/>
        </w:rPr>
        <w:t>  </w:t>
      </w:r>
      <w:r>
        <w:rPr/>
        <w:t>= valor de     correspondiente al total regional.</w:t>
      </w:r>
    </w:p>
    <w:p>
      <w:pPr>
        <w:pStyle w:val="BodyText"/>
        <w:spacing w:before="175"/>
        <w:ind w:left="102" w:right="121"/>
      </w:pPr>
      <w:r>
        <w:rPr>
          <w:rFonts w:ascii="Cambria Math"/>
          <w:w w:val="321"/>
        </w:rPr>
        <w:t> </w:t>
      </w:r>
      <w:r>
        <w:rPr>
          <w:rFonts w:ascii="Cambria Math"/>
          <w:w w:val="213"/>
          <w:position w:val="-4"/>
          <w:sz w:val="17"/>
        </w:rPr>
        <w:t> </w:t>
      </w:r>
      <w:r>
        <w:rPr>
          <w:rFonts w:ascii="Cambria Math"/>
          <w:position w:val="-4"/>
          <w:sz w:val="17"/>
        </w:rPr>
        <w:t>  </w:t>
      </w:r>
      <w:r>
        <w:rPr>
          <w:rFonts w:ascii="Cambria Math"/>
          <w:w w:val="283"/>
        </w:rPr>
        <w:t> </w:t>
      </w:r>
      <w:r>
        <w:rPr>
          <w:rFonts w:ascii="Cambria Math"/>
          <w:w w:val="186"/>
          <w:position w:val="-4"/>
          <w:sz w:val="17"/>
        </w:rPr>
        <w:t>  </w:t>
      </w:r>
      <w:r>
        <w:rPr>
          <w:rFonts w:ascii="Cambria Math"/>
          <w:position w:val="-4"/>
          <w:sz w:val="17"/>
        </w:rPr>
        <w:t>  </w:t>
      </w:r>
      <w:r>
        <w:rPr/>
        <w:t>= valor de     correspondiente al total sectorial.</w:t>
      </w:r>
    </w:p>
    <w:p>
      <w:pPr>
        <w:pStyle w:val="BodyText"/>
        <w:spacing w:before="175"/>
        <w:ind w:left="102" w:right="121"/>
      </w:pPr>
      <w:r>
        <w:rPr>
          <w:rFonts w:ascii="Cambria Math"/>
          <w:w w:val="321"/>
        </w:rPr>
        <w:t> </w:t>
      </w:r>
      <w:r>
        <w:rPr>
          <w:rFonts w:ascii="Cambria Math"/>
          <w:w w:val="159"/>
          <w:position w:val="-4"/>
          <w:sz w:val="17"/>
        </w:rPr>
        <w:t> </w:t>
      </w:r>
      <w:r>
        <w:rPr>
          <w:rFonts w:ascii="Cambria Math"/>
          <w:position w:val="-4"/>
          <w:sz w:val="17"/>
        </w:rPr>
        <w:t>  </w:t>
      </w:r>
      <w:r>
        <w:rPr>
          <w:rFonts w:ascii="Cambria Math"/>
          <w:spacing w:val="-8"/>
          <w:w w:val="321"/>
        </w:rPr>
        <w:t> </w:t>
      </w:r>
      <w:r>
        <w:rPr>
          <w:rFonts w:ascii="Cambria Math"/>
          <w:spacing w:val="-8"/>
        </w:rPr>
        <w:t> </w:t>
      </w:r>
      <w:r>
        <w:rPr>
          <w:rFonts w:ascii="Cambria Math"/>
          <w:spacing w:val="-8"/>
          <w:w w:val="213"/>
          <w:position w:val="-4"/>
          <w:sz w:val="17"/>
        </w:rPr>
        <w:t> </w:t>
      </w:r>
      <w:r>
        <w:rPr>
          <w:rFonts w:ascii="Cambria Math"/>
          <w:spacing w:val="-8"/>
          <w:position w:val="-4"/>
          <w:sz w:val="17"/>
        </w:rPr>
        <w:t> </w:t>
      </w:r>
      <w:r>
        <w:rPr>
          <w:rFonts w:ascii="Cambria Math"/>
          <w:position w:val="-4"/>
          <w:sz w:val="17"/>
        </w:rPr>
        <w:t> </w:t>
      </w:r>
      <w:r>
        <w:rPr>
          <w:rFonts w:ascii="Cambria Math"/>
          <w:spacing w:val="-33"/>
          <w:w w:val="283"/>
        </w:rPr>
        <w:t> </w:t>
      </w:r>
      <w:r>
        <w:rPr>
          <w:rFonts w:ascii="Cambria Math"/>
          <w:spacing w:val="-33"/>
          <w:w w:val="186"/>
          <w:position w:val="-4"/>
          <w:sz w:val="17"/>
        </w:rPr>
        <w:t> </w:t>
      </w:r>
      <w:r>
        <w:rPr>
          <w:rFonts w:ascii="Cambria Math"/>
          <w:w w:val="186"/>
          <w:position w:val="-4"/>
          <w:sz w:val="17"/>
        </w:rPr>
        <w:t> </w:t>
      </w:r>
      <w:r>
        <w:rPr/>
        <w:t>= valor de     correspondiente al total nacional.</w:t>
      </w:r>
    </w:p>
    <w:p>
      <w:pPr>
        <w:pStyle w:val="BodyText"/>
        <w:spacing w:line="360" w:lineRule="auto" w:before="171"/>
        <w:ind w:left="102" w:right="120" w:firstLine="707"/>
        <w:jc w:val="both"/>
      </w:pPr>
      <w:r>
        <w:rPr/>
        <w:t>Con estos parámetros se determina el grado de especialización de una región respecto a una escala territorial mayor. En el numerador se establece el peso que tiene una actividad regional respecto al total estatal y en el denominador la participación de todas las actividades de la región comparada con el total de las actividades del estado.</w:t>
      </w:r>
    </w:p>
    <w:p>
      <w:pPr>
        <w:pStyle w:val="BodyText"/>
        <w:spacing w:before="6"/>
        <w:ind w:left="102" w:right="121"/>
      </w:pPr>
      <w:r>
        <w:rPr/>
        <w:t>Los valores del CL de referencia son:</w:t>
      </w:r>
    </w:p>
    <w:p>
      <w:pPr>
        <w:spacing w:after="0"/>
        <w:sectPr>
          <w:pgSz w:w="12240" w:h="15840"/>
          <w:pgMar w:header="0" w:footer="1003" w:top="1360" w:bottom="1200" w:left="1600" w:right="1580"/>
        </w:sectPr>
      </w:pPr>
    </w:p>
    <w:p>
      <w:pPr>
        <w:pStyle w:val="BodyText"/>
        <w:spacing w:line="374" w:lineRule="auto" w:before="55"/>
        <w:ind w:left="102" w:right="116"/>
        <w:jc w:val="both"/>
      </w:pPr>
      <w:r>
        <w:rPr/>
        <w:t>Si     , ello implica que el tamaño relativo del sector      en la región      es idéntico al  tamaño relativo del mismo sector en todo el país. En tal caso no se puede afirmar que exista una especialización regional en la</w:t>
      </w:r>
      <w:r>
        <w:rPr>
          <w:spacing w:val="-7"/>
        </w:rPr>
        <w:t> </w:t>
      </w:r>
      <w:r>
        <w:rPr/>
        <w:t>actividad.</w:t>
      </w:r>
    </w:p>
    <w:p>
      <w:pPr>
        <w:pStyle w:val="BodyText"/>
        <w:spacing w:line="388" w:lineRule="auto"/>
        <w:ind w:left="102" w:right="122"/>
        <w:jc w:val="both"/>
      </w:pPr>
      <w:r>
        <w:rPr/>
        <w:t>Si       entonces estaría mostrando que en la región el tamaño relativo del sector es        menor que en el país. Tampoco podría hablarse en tal caso de la</w:t>
      </w:r>
      <w:r>
        <w:rPr>
          <w:spacing w:val="-14"/>
        </w:rPr>
        <w:t> </w:t>
      </w:r>
      <w:r>
        <w:rPr/>
        <w:t>especialización.</w:t>
      </w:r>
    </w:p>
    <w:p>
      <w:pPr>
        <w:pStyle w:val="BodyText"/>
        <w:spacing w:line="255" w:lineRule="exact"/>
        <w:ind w:left="102" w:firstLine="60"/>
        <w:jc w:val="both"/>
      </w:pPr>
      <w:r>
        <w:rPr/>
        <w:t>Si              la conclusión es que en la región el tamaño (relativo) del sector es mayor que en</w:t>
      </w:r>
    </w:p>
    <w:p>
      <w:pPr>
        <w:pStyle w:val="BodyText"/>
        <w:spacing w:line="360" w:lineRule="auto" w:before="168"/>
        <w:ind w:left="102" w:right="122"/>
        <w:jc w:val="both"/>
      </w:pPr>
      <w:r>
        <w:rPr/>
        <w:t>el país en su conjunto. En este caso se trata de una situación de especialización regional en esa actividad.</w:t>
      </w:r>
    </w:p>
    <w:p>
      <w:pPr>
        <w:pStyle w:val="BodyText"/>
        <w:spacing w:line="360" w:lineRule="auto" w:before="4"/>
        <w:ind w:left="102" w:right="124"/>
        <w:jc w:val="both"/>
      </w:pPr>
      <w:r>
        <w:rPr/>
        <w:t>El cociente de localización es siempre una medida estática y se refiere a la situación de un sector en una región.</w:t>
      </w:r>
    </w:p>
    <w:p>
      <w:pPr>
        <w:pStyle w:val="BodyText"/>
      </w:pPr>
    </w:p>
    <w:p>
      <w:pPr>
        <w:pStyle w:val="Heading2"/>
        <w:numPr>
          <w:ilvl w:val="2"/>
          <w:numId w:val="22"/>
        </w:numPr>
        <w:tabs>
          <w:tab w:pos="1031" w:val="left" w:leader="none"/>
        </w:tabs>
        <w:spacing w:line="240" w:lineRule="auto" w:before="148" w:after="0"/>
        <w:ind w:left="1030" w:right="0" w:hanging="360"/>
        <w:jc w:val="left"/>
      </w:pPr>
      <w:r>
        <w:rPr/>
        <w:t>Coeficiente de</w:t>
      </w:r>
      <w:r>
        <w:rPr>
          <w:spacing w:val="-9"/>
        </w:rPr>
        <w:t> </w:t>
      </w:r>
      <w:r>
        <w:rPr/>
        <w:t>especialización</w:t>
      </w:r>
    </w:p>
    <w:p>
      <w:pPr>
        <w:pStyle w:val="BodyText"/>
        <w:spacing w:line="360" w:lineRule="auto" w:before="132"/>
        <w:ind w:left="102" w:right="122"/>
        <w:jc w:val="both"/>
      </w:pPr>
      <w:r>
        <w:rPr/>
        <w:t>Este indicador sirve para conocer si una región es diversificada o no. Es una medida de la diferencia existente entre la estructura de actividades de una región y una cierta estructura de actividades que se usa como patrón de comparación.</w:t>
      </w:r>
    </w:p>
    <w:p>
      <w:pPr>
        <w:pStyle w:val="BodyText"/>
        <w:spacing w:before="6"/>
        <w:ind w:left="164"/>
        <w:jc w:val="both"/>
      </w:pPr>
      <w:r>
        <w:rPr/>
        <w:t>La fórmula que expresa el coeficiente de especialización es:</w:t>
      </w:r>
    </w:p>
    <w:p>
      <w:pPr>
        <w:pStyle w:val="BodyText"/>
        <w:spacing w:before="1"/>
        <w:rPr>
          <w:sz w:val="22"/>
        </w:rPr>
      </w:pPr>
    </w:p>
    <w:p>
      <w:pPr>
        <w:tabs>
          <w:tab w:pos="5850" w:val="left" w:leader="none"/>
        </w:tabs>
        <w:spacing w:before="66"/>
        <w:ind w:left="3745" w:right="121" w:firstLine="0"/>
        <w:jc w:val="left"/>
        <w:rPr>
          <w:rFonts w:ascii="Cambria Math"/>
          <w:sz w:val="24"/>
        </w:rPr>
      </w:pPr>
      <w:r>
        <w:rPr/>
        <w:pict>
          <v:line style="position:absolute;mso-position-horizontal-relative:page;mso-position-vertical-relative:paragraph;z-index:4744" from="258.649994pt,11.282349pt" to="265.249994pt,11.282349pt" stroked="true" strokeweight=".84pt" strokecolor="#000000">
            <w10:wrap type="none"/>
          </v:line>
        </w:pict>
      </w:r>
      <w:r>
        <w:rPr/>
        <w:pict>
          <v:line style="position:absolute;mso-position-horizontal-relative:page;mso-position-vertical-relative:paragraph;z-index:-462208" from="292.989990pt,11.282349pt" to="318.90999pt,11.282349pt" stroked="true" strokeweight=".84pt" strokecolor="#000000">
            <w10:wrap type="none"/>
          </v:line>
        </w:pict>
      </w:r>
      <w:r>
        <w:rPr/>
        <w:pict>
          <v:line style="position:absolute;mso-position-horizontal-relative:page;mso-position-vertical-relative:paragraph;z-index:-462184" from="333.309998pt,11.282349pt" to="372.549998pt,11.282349pt" stroked="true" strokeweight=".84pt" strokecolor="#000000">
            <w10:wrap type="none"/>
          </v:line>
        </w:pict>
      </w:r>
      <w:r>
        <w:rPr>
          <w:rFonts w:ascii="Cambria Math"/>
          <w:w w:val="321"/>
          <w:sz w:val="24"/>
        </w:rPr>
        <w:t> </w:t>
      </w:r>
      <w:r>
        <w:rPr>
          <w:rFonts w:ascii="Cambria Math"/>
          <w:w w:val="159"/>
          <w:position w:val="-4"/>
          <w:sz w:val="17"/>
        </w:rPr>
        <w:t> </w:t>
      </w:r>
      <w:r>
        <w:rPr>
          <w:rFonts w:ascii="Cambria Math"/>
          <w:spacing w:val="17"/>
          <w:position w:val="-4"/>
          <w:sz w:val="17"/>
        </w:rPr>
        <w:t> </w:t>
      </w:r>
      <w:r>
        <w:rPr>
          <w:rFonts w:ascii="Cambria Math"/>
          <w:w w:val="125"/>
          <w:sz w:val="24"/>
        </w:rPr>
        <w:t>[(</w:t>
        <w:tab/>
        <w:t>)]</w:t>
      </w:r>
    </w:p>
    <w:p>
      <w:pPr>
        <w:pStyle w:val="BodyText"/>
        <w:rPr>
          <w:rFonts w:ascii="Cambria Math"/>
          <w:sz w:val="20"/>
        </w:rPr>
      </w:pPr>
    </w:p>
    <w:p>
      <w:pPr>
        <w:pStyle w:val="BodyText"/>
        <w:rPr>
          <w:rFonts w:ascii="Cambria Math"/>
          <w:sz w:val="20"/>
        </w:rPr>
      </w:pPr>
    </w:p>
    <w:p>
      <w:pPr>
        <w:pStyle w:val="BodyText"/>
        <w:spacing w:before="5"/>
        <w:rPr>
          <w:rFonts w:ascii="Cambria Math"/>
          <w:sz w:val="17"/>
        </w:rPr>
      </w:pPr>
    </w:p>
    <w:p>
      <w:pPr>
        <w:pStyle w:val="BodyText"/>
        <w:spacing w:line="360" w:lineRule="auto" w:before="69"/>
        <w:ind w:left="102" w:right="119" w:firstLine="568"/>
        <w:jc w:val="both"/>
      </w:pPr>
      <w:r>
        <w:rPr/>
        <w:t>El coeficiente de especialización es una medida de la diferencia existente entre la estructura de las actividades de una región y una cierta estructura de actividades que se usa como patrón de comparación, generalmente en un país. Este coeficiente es una medida de naturaleza típicamente intrarregional, no es sino una medida del grado de similitud de dos distribuciones relativas. </w:t>
      </w:r>
      <w:r>
        <w:rPr>
          <w:spacing w:val="-3"/>
        </w:rPr>
        <w:t>La </w:t>
      </w:r>
      <w:r>
        <w:rPr/>
        <w:t>interpretación de un bajo valor del coeficiente de especialización indica un alto grado de diversificación de la estructura económica regional bastante arbitraria y se basa en la hipótesis de aceptación de la distribución de referencia como una distribución</w:t>
      </w:r>
      <w:r>
        <w:rPr>
          <w:spacing w:val="-5"/>
        </w:rPr>
        <w:t> </w:t>
      </w:r>
      <w:r>
        <w:rPr/>
        <w:t>adecuada.</w:t>
      </w:r>
    </w:p>
    <w:p>
      <w:pPr>
        <w:pStyle w:val="BodyText"/>
      </w:pPr>
    </w:p>
    <w:p>
      <w:pPr>
        <w:pStyle w:val="Heading2"/>
        <w:numPr>
          <w:ilvl w:val="2"/>
          <w:numId w:val="22"/>
        </w:numPr>
        <w:tabs>
          <w:tab w:pos="1031" w:val="left" w:leader="none"/>
        </w:tabs>
        <w:spacing w:line="240" w:lineRule="auto" w:before="148" w:after="0"/>
        <w:ind w:left="1030" w:right="0" w:hanging="360"/>
        <w:jc w:val="left"/>
      </w:pPr>
      <w:r>
        <w:rPr/>
        <w:t>Coeficiente de</w:t>
      </w:r>
      <w:r>
        <w:rPr>
          <w:spacing w:val="-6"/>
        </w:rPr>
        <w:t> </w:t>
      </w:r>
      <w:r>
        <w:rPr/>
        <w:t>localización</w:t>
      </w:r>
    </w:p>
    <w:p>
      <w:pPr>
        <w:pStyle w:val="BodyText"/>
        <w:spacing w:line="360" w:lineRule="auto" w:before="132"/>
        <w:ind w:left="102" w:right="121"/>
      </w:pPr>
      <w:r>
        <w:rPr/>
        <w:t>En este apartado también se calculará el coeficiente de localización para identificar el mercado al que se destinan la producción de las actividades industriales, ya sea al  mercado</w:t>
      </w:r>
    </w:p>
    <w:p>
      <w:pPr>
        <w:spacing w:after="0" w:line="360" w:lineRule="auto"/>
        <w:sectPr>
          <w:pgSz w:w="12240" w:h="15840"/>
          <w:pgMar w:header="0" w:footer="1003" w:top="1360" w:bottom="1200" w:left="1600" w:right="1580"/>
        </w:sectPr>
      </w:pPr>
    </w:p>
    <w:p>
      <w:pPr>
        <w:pStyle w:val="BodyText"/>
        <w:spacing w:line="360" w:lineRule="auto" w:before="50"/>
        <w:ind w:left="102" w:right="121"/>
        <w:jc w:val="both"/>
      </w:pPr>
      <w:r>
        <w:rPr/>
        <w:t>local o exterior. El coeficiente de localización es una medida de carácter intrasectorial. Se define como una medida de la diferencia existente entre la estructura interregional de una actividad y una cierta estructura interregional de otra actividad que se usa como patrón de comparación.</w:t>
      </w:r>
    </w:p>
    <w:p>
      <w:pPr>
        <w:pStyle w:val="BodyText"/>
        <w:rPr>
          <w:sz w:val="20"/>
        </w:rPr>
      </w:pPr>
    </w:p>
    <w:p>
      <w:pPr>
        <w:pStyle w:val="BodyText"/>
        <w:spacing w:before="6"/>
        <w:rPr>
          <w:sz w:val="26"/>
        </w:rPr>
      </w:pPr>
    </w:p>
    <w:p>
      <w:pPr>
        <w:tabs>
          <w:tab w:pos="5843" w:val="left" w:leader="none"/>
        </w:tabs>
        <w:spacing w:before="67"/>
        <w:ind w:left="2970" w:right="121" w:firstLine="0"/>
        <w:jc w:val="left"/>
        <w:rPr>
          <w:rFonts w:ascii="Cambria Math"/>
          <w:sz w:val="24"/>
        </w:rPr>
      </w:pPr>
      <w:r>
        <w:rPr/>
        <w:pict>
          <v:line style="position:absolute;mso-position-horizontal-relative:page;mso-position-vertical-relative:paragraph;z-index:-462160" from="257.209991pt,11.332371pt" to="263.809991pt,11.332371pt" stroked="true" strokeweight=".84pt" strokecolor="#000000">
            <w10:wrap type="none"/>
          </v:line>
        </w:pict>
      </w:r>
      <w:r>
        <w:rPr/>
        <w:pict>
          <v:line style="position:absolute;mso-position-horizontal-relative:page;mso-position-vertical-relative:paragraph;z-index:-462136" from="292.75pt,11.332371pt" to="318.67pt,11.332371pt" stroked="true" strokeweight=".84pt" strokecolor="#000000">
            <w10:wrap type="none"/>
          </v:line>
        </w:pict>
      </w:r>
      <w:r>
        <w:rPr/>
        <w:pict>
          <v:line style="position:absolute;mso-position-horizontal-relative:page;mso-position-vertical-relative:paragraph;z-index:-462112" from="332.950012pt,11.332371pt" to="372.190012pt,11.332371pt" stroked="true" strokeweight=".84pt" strokecolor="#000000">
            <w10:wrap type="none"/>
          </v:line>
        </w:pict>
      </w:r>
      <w:r>
        <w:rPr>
          <w:rFonts w:ascii="Cambria Math"/>
          <w:spacing w:val="-7"/>
          <w:w w:val="306"/>
          <w:sz w:val="24"/>
        </w:rPr>
        <w:t> </w:t>
      </w:r>
      <w:r>
        <w:rPr>
          <w:rFonts w:ascii="Cambria Math"/>
          <w:w w:val="251"/>
          <w:position w:val="-4"/>
          <w:sz w:val="17"/>
        </w:rPr>
        <w:t> </w:t>
      </w:r>
      <w:r>
        <w:rPr>
          <w:rFonts w:ascii="Cambria Math"/>
          <w:position w:val="-4"/>
          <w:sz w:val="17"/>
        </w:rPr>
        <w:t> </w:t>
      </w:r>
      <w:r>
        <w:rPr>
          <w:rFonts w:ascii="Cambria Math"/>
          <w:spacing w:val="3"/>
          <w:position w:val="-4"/>
          <w:sz w:val="17"/>
        </w:rPr>
        <w:t> </w:t>
      </w:r>
      <w:r>
        <w:rPr>
          <w:rFonts w:ascii="Cambria Math"/>
          <w:w w:val="339"/>
          <w:sz w:val="24"/>
        </w:rPr>
        <w:t> </w:t>
      </w:r>
      <w:r>
        <w:rPr>
          <w:rFonts w:ascii="Cambria Math"/>
          <w:spacing w:val="12"/>
          <w:sz w:val="24"/>
        </w:rPr>
        <w:t> </w:t>
      </w:r>
      <w:r>
        <w:rPr>
          <w:rFonts w:ascii="Cambria Math"/>
          <w:w w:val="251"/>
          <w:position w:val="-15"/>
          <w:sz w:val="24"/>
        </w:rPr>
        <w:t> </w:t>
      </w:r>
      <w:r>
        <w:rPr>
          <w:rFonts w:ascii="Cambria Math"/>
          <w:spacing w:val="-13"/>
          <w:position w:val="-15"/>
          <w:sz w:val="24"/>
        </w:rPr>
        <w:t> </w:t>
      </w:r>
      <w:r>
        <w:rPr>
          <w:rFonts w:ascii="Cambria Math"/>
          <w:w w:val="321"/>
          <w:sz w:val="24"/>
        </w:rPr>
        <w:t> </w:t>
      </w:r>
      <w:r>
        <w:rPr>
          <w:rFonts w:ascii="Cambria Math"/>
          <w:w w:val="213"/>
          <w:position w:val="-4"/>
          <w:sz w:val="17"/>
        </w:rPr>
        <w:t> </w:t>
      </w:r>
      <w:r>
        <w:rPr>
          <w:rFonts w:ascii="Cambria Math"/>
          <w:position w:val="-4"/>
          <w:sz w:val="17"/>
        </w:rPr>
        <w:t> </w:t>
      </w:r>
      <w:r>
        <w:rPr>
          <w:rFonts w:ascii="Cambria Math"/>
          <w:spacing w:val="-18"/>
          <w:position w:val="-4"/>
          <w:sz w:val="17"/>
        </w:rPr>
        <w:t> </w:t>
      </w:r>
      <w:r>
        <w:rPr>
          <w:rFonts w:ascii="Cambria Math"/>
          <w:w w:val="125"/>
          <w:sz w:val="24"/>
        </w:rPr>
        <w:t>[(</w:t>
      </w:r>
      <w:r>
        <w:rPr>
          <w:rFonts w:ascii="Cambria Math"/>
          <w:w w:val="125"/>
          <w:position w:val="-15"/>
          <w:sz w:val="24"/>
        </w:rPr>
        <w:tab/>
      </w:r>
      <w:r>
        <w:rPr>
          <w:rFonts w:ascii="Cambria Math"/>
          <w:w w:val="125"/>
          <w:sz w:val="24"/>
        </w:rPr>
        <w:t>)]</w:t>
      </w:r>
    </w:p>
    <w:p>
      <w:pPr>
        <w:pStyle w:val="BodyText"/>
        <w:rPr>
          <w:rFonts w:ascii="Cambria Math"/>
          <w:sz w:val="20"/>
        </w:rPr>
      </w:pPr>
    </w:p>
    <w:p>
      <w:pPr>
        <w:pStyle w:val="BodyText"/>
        <w:rPr>
          <w:rFonts w:ascii="Cambria Math"/>
          <w:sz w:val="20"/>
        </w:rPr>
      </w:pPr>
    </w:p>
    <w:p>
      <w:pPr>
        <w:pStyle w:val="BodyText"/>
        <w:spacing w:before="5"/>
        <w:rPr>
          <w:rFonts w:ascii="Cambria Math"/>
          <w:sz w:val="17"/>
        </w:rPr>
      </w:pPr>
    </w:p>
    <w:p>
      <w:pPr>
        <w:pStyle w:val="BodyText"/>
        <w:spacing w:line="360" w:lineRule="auto" w:before="69"/>
        <w:ind w:left="102" w:right="117" w:firstLine="707"/>
        <w:jc w:val="both"/>
      </w:pPr>
      <w:r>
        <w:rPr/>
        <w:t>El rango de recorrido de los valores del coeficiente de localización está definido por los extremos de cero y uno. Si la distribución interregional de un sector correspondiera exactamente a la distribución interregional del patrón referencial las diferencias tomadas región a región sería cero. Por el contrario, si el sector en cuestión apareciera localizado en una sola región, el valor del coeficiente sería distinto de cero y tendería a uno en la medida en que la región muestre una participación relativa en el total del patrón referencial cercana a cero.</w:t>
      </w:r>
    </w:p>
    <w:p>
      <w:pPr>
        <w:pStyle w:val="BodyText"/>
      </w:pPr>
    </w:p>
    <w:p>
      <w:pPr>
        <w:pStyle w:val="Heading2"/>
        <w:spacing w:before="148"/>
        <w:ind w:right="0"/>
        <w:jc w:val="both"/>
      </w:pPr>
      <w:r>
        <w:rPr/>
        <w:t>Taxonomía de Pavitt</w:t>
      </w:r>
    </w:p>
    <w:p>
      <w:pPr>
        <w:pStyle w:val="BodyText"/>
        <w:spacing w:line="360" w:lineRule="auto" w:before="132"/>
        <w:ind w:left="102" w:right="120"/>
        <w:jc w:val="both"/>
      </w:pPr>
      <w:r>
        <w:rPr/>
        <w:t>Una vez identificados los tres índices anteriores, se clasifican con base en la taxonomía propuesta por Pavitt (1984), la cual cataloga la manufactura de acuerdo con su contenido tecnológico; a partir de eso se infiere sobre los efectos del patrón de especialización sobre  el crecimiento</w:t>
      </w:r>
      <w:r>
        <w:rPr>
          <w:spacing w:val="-8"/>
        </w:rPr>
        <w:t> </w:t>
      </w:r>
      <w:r>
        <w:rPr/>
        <w:t>manufacturero.</w:t>
      </w:r>
    </w:p>
    <w:p>
      <w:pPr>
        <w:pStyle w:val="BodyText"/>
        <w:spacing w:line="360" w:lineRule="auto" w:before="4"/>
        <w:ind w:left="102" w:right="116" w:firstLine="707"/>
        <w:jc w:val="both"/>
      </w:pPr>
      <w:r>
        <w:rPr/>
        <w:t>La taxonomía de Pavitt (1984) tiene por objeto describir y explicar los modelos sectoriales de cambio tecnológico. Con base a ello, las empresas y las actividades productivas industriales se agrupan en cuatro sectores tecnológicos: 1) basado en  la ciencia, 2) intensivo en escala, 3) oferentes especializados y 4) dominados por el proveedor. En el sector dominado por el proveedor se pueden encontrar principalmente sectores manufactureros tradicionales. Son empresas pequeñas, tienen bajos gastos en invención y desarrollo, y carecen de laboratorios o departamentos de ingeniería. Sus  innovaciones tienen origen en los proveedores de equipo y materiales; y en la investigación financiada por el</w:t>
      </w:r>
      <w:r>
        <w:rPr>
          <w:spacing w:val="-4"/>
        </w:rPr>
        <w:t> </w:t>
      </w:r>
      <w:r>
        <w:rPr/>
        <w:t>gobierno.</w:t>
      </w:r>
    </w:p>
    <w:p>
      <w:pPr>
        <w:spacing w:after="0" w:line="360" w:lineRule="auto"/>
        <w:jc w:val="both"/>
        <w:sectPr>
          <w:pgSz w:w="12240" w:h="15840"/>
          <w:pgMar w:header="0" w:footer="1003" w:top="1360" w:bottom="1200" w:left="1600" w:right="1580"/>
        </w:sectPr>
      </w:pPr>
    </w:p>
    <w:p>
      <w:pPr>
        <w:pStyle w:val="BodyText"/>
        <w:spacing w:line="360" w:lineRule="auto" w:before="50"/>
        <w:ind w:left="102" w:right="122" w:firstLine="707"/>
        <w:jc w:val="both"/>
      </w:pPr>
      <w:r>
        <w:rPr/>
        <w:t>Las empresas dominadas por el proveedor hacen solamente una contribución menor al proceso tecnológico, y los sectores que tienes tales características son: el textil; madera; productos de madera y papel; impresión y publicidad; y construcción.</w:t>
      </w:r>
    </w:p>
    <w:p>
      <w:pPr>
        <w:pStyle w:val="BodyText"/>
        <w:spacing w:line="360" w:lineRule="auto" w:before="6"/>
        <w:ind w:left="102" w:right="118"/>
        <w:jc w:val="both"/>
      </w:pPr>
      <w:r>
        <w:rPr/>
        <w:t>En el sector intensivo en escala están ubicadas las industrias productoras de bienes con tecnologías maduras, que presentan importantes economías de escala; utilizando  tecnologías altamente conocidas y difundidas, que se caracterizan por dinamismo tecnológico. Las empresas son grandes y cuentan con departamentos de ingeniería de producción y laboratorios de investigación y desarrollo, fundamentalmente estas empresas son capaces de diseñar nuevos equipos que logran el aumento de la</w:t>
      </w:r>
      <w:r>
        <w:rPr>
          <w:spacing w:val="-10"/>
        </w:rPr>
        <w:t> </w:t>
      </w:r>
      <w:r>
        <w:rPr/>
        <w:t>productividad.</w:t>
      </w:r>
    </w:p>
    <w:p>
      <w:pPr>
        <w:pStyle w:val="BodyText"/>
        <w:spacing w:line="360" w:lineRule="auto" w:before="7"/>
        <w:ind w:left="102" w:right="118" w:firstLine="707"/>
        <w:jc w:val="both"/>
      </w:pPr>
      <w:r>
        <w:rPr/>
        <w:t>Una fuente importante del proceso de innovación son las pocas empresas especializadas que les abastecen de equipo e instrumentación y con quien las empresas intensivas en escala tienen una relación cercana. Los sectores principales son: productos alimenticios, fabricación de metal, construcción naval, motores de vehículos, vidrio y cemento.</w:t>
      </w:r>
    </w:p>
    <w:p>
      <w:pPr>
        <w:pStyle w:val="BodyText"/>
        <w:spacing w:line="360" w:lineRule="auto" w:before="4"/>
        <w:ind w:left="102" w:right="116" w:firstLine="707"/>
        <w:jc w:val="both"/>
      </w:pPr>
      <w:r>
        <w:rPr/>
        <w:t>En el sector de oferentes especializados predominan empresas relativamente pequeñas que generan una alta proporción de sus innovaciones de proceso, usadas en otros sectores. Las empresas no realizan importantes gastos en investigación y desarrollo, pero demandan y combinan tecnologías de punta en materiales, diseño, nuevos bienes, etcétera. Se caracterizan por la retroalimentación que realizan con otros sectores y por el efecto tecnológico multiplicador que tienen con el conjunto de la economía. La constante  actividad de innovación determina un alto dinamismo tecnológico en este</w:t>
      </w:r>
      <w:r>
        <w:rPr>
          <w:spacing w:val="-10"/>
        </w:rPr>
        <w:t> </w:t>
      </w:r>
      <w:r>
        <w:rPr/>
        <w:t>sector.</w:t>
      </w:r>
    </w:p>
    <w:p>
      <w:pPr>
        <w:pStyle w:val="BodyText"/>
        <w:spacing w:line="360" w:lineRule="auto" w:before="6"/>
        <w:ind w:left="102" w:right="120" w:firstLine="707"/>
        <w:jc w:val="both"/>
      </w:pPr>
      <w:r>
        <w:rPr/>
        <w:t>La apropiación de rentas tecnológicas se basa en el diseño, la calidad, el control de </w:t>
      </w:r>
      <w:r>
        <w:rPr>
          <w:i/>
        </w:rPr>
        <w:t>know how </w:t>
      </w:r>
      <w:r>
        <w:rPr/>
        <w:t>y, en los mecanismos de interrelación con sus usuarios. Se protegen de la competencia por medio de patentes y marcas, de barreras a la entrada asociadas a las relaciones establecidas con los usuarios. La competitividad depende de las habilidades de la empresa para incorporar mejoras específicas a los bienes de capital y la rapidez con la que responde a los requerimientos tecnológicos de sus usuarios. Los principales sectores que presentan estas características son los de maquinaria e instrumentos.</w:t>
      </w:r>
    </w:p>
    <w:p>
      <w:pPr>
        <w:pStyle w:val="BodyText"/>
        <w:spacing w:line="360" w:lineRule="auto" w:before="4"/>
        <w:ind w:left="102" w:right="119" w:firstLine="707"/>
        <w:jc w:val="both"/>
      </w:pPr>
      <w:r>
        <w:rPr/>
        <w:t>Finalmente, el sector basado en la ciencia, conformado por empresas de gran  tamaño que tienen una intensa actividad de generación tecnológica, cuyas fuentes principales</w:t>
      </w:r>
      <w:r>
        <w:rPr>
          <w:spacing w:val="17"/>
        </w:rPr>
        <w:t> </w:t>
      </w:r>
      <w:r>
        <w:rPr/>
        <w:t>de</w:t>
      </w:r>
      <w:r>
        <w:rPr>
          <w:spacing w:val="17"/>
        </w:rPr>
        <w:t> </w:t>
      </w:r>
      <w:r>
        <w:rPr/>
        <w:t>ésta,</w:t>
      </w:r>
      <w:r>
        <w:rPr>
          <w:spacing w:val="19"/>
        </w:rPr>
        <w:t> </w:t>
      </w:r>
      <w:r>
        <w:rPr/>
        <w:t>son</w:t>
      </w:r>
      <w:r>
        <w:rPr>
          <w:spacing w:val="18"/>
        </w:rPr>
        <w:t> </w:t>
      </w:r>
      <w:r>
        <w:rPr/>
        <w:t>las</w:t>
      </w:r>
      <w:r>
        <w:rPr>
          <w:spacing w:val="18"/>
        </w:rPr>
        <w:t> </w:t>
      </w:r>
      <w:r>
        <w:rPr/>
        <w:t>actividades</w:t>
      </w:r>
      <w:r>
        <w:rPr>
          <w:spacing w:val="18"/>
        </w:rPr>
        <w:t> </w:t>
      </w:r>
      <w:r>
        <w:rPr/>
        <w:t>de</w:t>
      </w:r>
      <w:r>
        <w:rPr>
          <w:spacing w:val="19"/>
        </w:rPr>
        <w:t> </w:t>
      </w:r>
      <w:r>
        <w:rPr/>
        <w:t>investigación</w:t>
      </w:r>
      <w:r>
        <w:rPr>
          <w:spacing w:val="23"/>
        </w:rPr>
        <w:t> </w:t>
      </w:r>
      <w:r>
        <w:rPr/>
        <w:t>y</w:t>
      </w:r>
      <w:r>
        <w:rPr>
          <w:spacing w:val="13"/>
        </w:rPr>
        <w:t> </w:t>
      </w:r>
      <w:r>
        <w:rPr/>
        <w:t>desarrollo,</w:t>
      </w:r>
      <w:r>
        <w:rPr>
          <w:spacing w:val="18"/>
        </w:rPr>
        <w:t> </w:t>
      </w:r>
      <w:r>
        <w:rPr/>
        <w:t>basadas</w:t>
      </w:r>
      <w:r>
        <w:rPr>
          <w:spacing w:val="18"/>
        </w:rPr>
        <w:t> </w:t>
      </w:r>
      <w:r>
        <w:rPr/>
        <w:t>en</w:t>
      </w:r>
      <w:r>
        <w:rPr>
          <w:spacing w:val="20"/>
        </w:rPr>
        <w:t> </w:t>
      </w:r>
      <w:r>
        <w:rPr/>
        <w:t>el</w:t>
      </w:r>
      <w:r>
        <w:rPr>
          <w:spacing w:val="18"/>
        </w:rPr>
        <w:t> </w:t>
      </w:r>
      <w:r>
        <w:rPr/>
        <w:t>rápido</w:t>
      </w:r>
    </w:p>
    <w:p>
      <w:pPr>
        <w:spacing w:after="0" w:line="360" w:lineRule="auto"/>
        <w:jc w:val="both"/>
        <w:sectPr>
          <w:pgSz w:w="12240" w:h="15840"/>
          <w:pgMar w:header="0" w:footer="1003" w:top="1360" w:bottom="1200" w:left="1600" w:right="1580"/>
        </w:sectPr>
      </w:pPr>
    </w:p>
    <w:p>
      <w:pPr>
        <w:pStyle w:val="BodyText"/>
        <w:spacing w:line="360" w:lineRule="auto" w:before="50"/>
        <w:ind w:left="102" w:right="117"/>
        <w:jc w:val="both"/>
      </w:pPr>
      <w:r>
        <w:rPr/>
        <w:t>adelanto de las ciencias subyacentes en las universidades y otros lugares. Este  sector difunde sus innovaciones de producto a todos los demás sectores por medio de los bienes finales y los insumos, se realimenta del sector de oferentes especializados y obtiene elevados niveles de rentas tecnológicas, asociados a la intensidad de su actividad de generación. Sin embargo, el ciclo de vida del proceso tecnológico es corto, lo que  determina una disminución del periodo de apropiación de dichas rentas y la necesidad de crear nuevos</w:t>
      </w:r>
      <w:r>
        <w:rPr>
          <w:spacing w:val="-5"/>
        </w:rPr>
        <w:t> </w:t>
      </w:r>
      <w:r>
        <w:rPr/>
        <w:t>productos.</w:t>
      </w:r>
    </w:p>
    <w:p>
      <w:pPr>
        <w:pStyle w:val="BodyText"/>
        <w:spacing w:line="360" w:lineRule="auto" w:before="6"/>
        <w:ind w:left="102" w:right="122" w:firstLine="707"/>
        <w:jc w:val="both"/>
      </w:pPr>
      <w:r>
        <w:rPr/>
        <w:t>La apropiación de las rentas tecnológicas está asociada a diferentes mecanismos: </w:t>
      </w:r>
      <w:r>
        <w:rPr>
          <w:i/>
        </w:rPr>
        <w:t>know how</w:t>
      </w:r>
      <w:r>
        <w:rPr/>
        <w:t>, investigación y desarrollo, secreto industrial, economías dinámicas del aprendizaje y uso de patentes. Las empresas basadas en la ciencia se encuentran principalmente en los sectores químico, electrónico y eléctrico.</w:t>
      </w:r>
    </w:p>
    <w:p>
      <w:pPr>
        <w:pStyle w:val="BodyText"/>
      </w:pPr>
    </w:p>
    <w:p>
      <w:pPr>
        <w:spacing w:before="148"/>
        <w:ind w:left="102" w:right="0" w:firstLine="0"/>
        <w:jc w:val="both"/>
        <w:rPr>
          <w:b/>
          <w:i/>
          <w:sz w:val="24"/>
        </w:rPr>
      </w:pPr>
      <w:r>
        <w:rPr>
          <w:b/>
          <w:sz w:val="24"/>
        </w:rPr>
        <w:t>Técnica </w:t>
      </w:r>
      <w:r>
        <w:rPr>
          <w:b/>
          <w:i/>
          <w:sz w:val="24"/>
        </w:rPr>
        <w:t>Shift-share</w:t>
      </w:r>
    </w:p>
    <w:p>
      <w:pPr>
        <w:pStyle w:val="BodyText"/>
        <w:spacing w:line="360" w:lineRule="auto" w:before="134"/>
        <w:ind w:left="102" w:right="116"/>
        <w:jc w:val="both"/>
      </w:pPr>
      <w:r>
        <w:rPr/>
        <w:t>Por otra parte, la técnica S</w:t>
      </w:r>
      <w:r>
        <w:rPr>
          <w:i/>
        </w:rPr>
        <w:t>hift-share </w:t>
      </w:r>
      <w:r>
        <w:rPr/>
        <w:t>fue propuesta en 1960 por Edgar Dunn, tiene como objetivo principal cuantificar los cambios o sesgos geográficos en la actividad económica. Permite profundizar en la especialización de cada economía y en el efecto de su crecimiento.</w:t>
      </w:r>
    </w:p>
    <w:p>
      <w:pPr>
        <w:pStyle w:val="BodyText"/>
        <w:spacing w:line="360" w:lineRule="auto" w:before="6"/>
        <w:ind w:left="102" w:right="116"/>
        <w:jc w:val="both"/>
      </w:pPr>
      <w:r>
        <w:rPr/>
        <w:t>Al usar directamente las cifras censales, puede trabajarse mediante el establecimiento de una rutina de cálculo mecanizable y apta para manejar una gran cantidad de datos. Además, posibilita el análisis de los cambios en la estructura de actividades de una región, siempre en relación a la dimensión nacional, también permite la identificación de factores que inciden en la dinámica regional, distinguiendo entre factores que actúan de manera más o menos uniforme en todas las regiones y factores que actúan más específicamente a nivel de una región dada (Boisier,</w:t>
      </w:r>
      <w:r>
        <w:rPr>
          <w:spacing w:val="-6"/>
        </w:rPr>
        <w:t> </w:t>
      </w:r>
      <w:r>
        <w:rPr/>
        <w:t>1980).</w:t>
      </w:r>
    </w:p>
    <w:p>
      <w:pPr>
        <w:pStyle w:val="BodyText"/>
        <w:spacing w:line="360" w:lineRule="auto" w:before="4"/>
        <w:ind w:left="102" w:right="117" w:firstLine="707"/>
        <w:jc w:val="both"/>
      </w:pPr>
      <w:r>
        <w:rPr/>
        <w:t>Los resultados de la aplicación del método diferencial-estructural muestra: a) cambios en la posición relativa de las regiones en relación a alguna variable dada; b) cambios en el tiempo en la estructura regional. Asimismo ayudan al analista a formularse preguntas para profundizar el análisis de los fenómenos económicos de cada región y también puede ser utilizado como modelo de programación de corto y mediano plazo. En síntesis, esta técnica consiste en comparar el cambio observado en una variable ocurrido en un periodo de tiempo, tanto a nivel de cada región como a nivel del país en su conjunto,</w:t>
      </w:r>
    </w:p>
    <w:p>
      <w:pPr>
        <w:spacing w:after="0" w:line="360" w:lineRule="auto"/>
        <w:jc w:val="both"/>
        <w:sectPr>
          <w:pgSz w:w="12240" w:h="15840"/>
          <w:pgMar w:header="0" w:footer="1003" w:top="1360" w:bottom="1200" w:left="1600" w:right="1580"/>
        </w:sectPr>
      </w:pPr>
    </w:p>
    <w:p>
      <w:pPr>
        <w:pStyle w:val="BodyText"/>
        <w:spacing w:line="362" w:lineRule="auto" w:before="50"/>
        <w:ind w:left="102" w:right="121"/>
      </w:pPr>
      <w:r>
        <w:rPr/>
        <w:t>esta transformación se compara con la que se habría producido en la región si la variable en cuestión se hubiese comportado de idéntica manera; tanto en la región como en el país.</w:t>
      </w:r>
    </w:p>
    <w:p>
      <w:pPr>
        <w:pStyle w:val="BodyText"/>
        <w:spacing w:line="360" w:lineRule="auto" w:before="1"/>
        <w:ind w:left="102" w:right="122" w:firstLine="707"/>
        <w:jc w:val="both"/>
      </w:pPr>
      <w:r>
        <w:rPr/>
        <w:t>La técnica se basa en la descomposición del crecimiento de una variable en dos componentes que reflejan por tanto el efecto que el crecimiento de una economía tiene sobre otra, como el efecto que una determinada especialización sectorial tiene sobre el crecimiento del trabajo en</w:t>
      </w:r>
      <w:r>
        <w:rPr>
          <w:spacing w:val="-6"/>
        </w:rPr>
        <w:t> </w:t>
      </w:r>
      <w:r>
        <w:rPr/>
        <w:t>estudio.</w:t>
      </w:r>
    </w:p>
    <w:p>
      <w:pPr>
        <w:pStyle w:val="BodyText"/>
        <w:spacing w:before="4"/>
        <w:ind w:left="102" w:right="121"/>
      </w:pPr>
      <w:r>
        <w:rPr/>
        <w:t>Torres </w:t>
      </w:r>
      <w:r>
        <w:rPr>
          <w:i/>
        </w:rPr>
        <w:t>et al., </w:t>
      </w:r>
      <w:r>
        <w:rPr/>
        <w:t>(2009: 210) señalan que este método estudia dos aspectos:</w:t>
      </w:r>
    </w:p>
    <w:p>
      <w:pPr>
        <w:pStyle w:val="ListParagraph"/>
        <w:numPr>
          <w:ilvl w:val="0"/>
          <w:numId w:val="23"/>
        </w:numPr>
        <w:tabs>
          <w:tab w:pos="822" w:val="left" w:leader="none"/>
        </w:tabs>
        <w:spacing w:line="360" w:lineRule="auto" w:before="139" w:after="0"/>
        <w:ind w:left="822" w:right="119" w:hanging="360"/>
        <w:jc w:val="both"/>
        <w:rPr>
          <w:sz w:val="24"/>
        </w:rPr>
      </w:pPr>
      <w:r>
        <w:rPr>
          <w:sz w:val="24"/>
        </w:rPr>
        <w:t>La estructura interna por sectores de la variable, en el espacio geográfico considerado. Este aspecto se denomina efecto estructural o efecto proporcional, designado por π. Con la siguiente</w:t>
      </w:r>
      <w:r>
        <w:rPr>
          <w:spacing w:val="-9"/>
          <w:sz w:val="24"/>
        </w:rPr>
        <w:t> </w:t>
      </w:r>
      <w:r>
        <w:rPr>
          <w:sz w:val="24"/>
        </w:rPr>
        <w:t>interpretación.</w:t>
      </w:r>
    </w:p>
    <w:p>
      <w:pPr>
        <w:pStyle w:val="BodyText"/>
        <w:spacing w:line="360" w:lineRule="auto" w:before="4"/>
        <w:ind w:left="821" w:right="121"/>
      </w:pPr>
      <w:r>
        <w:rPr/>
        <w:t>π &gt; 0 indica que la estructura del empleo o producción regional es más favorable para el crecimiento que la estructura estatal.</w:t>
      </w:r>
    </w:p>
    <w:p>
      <w:pPr>
        <w:pStyle w:val="BodyText"/>
        <w:spacing w:line="360" w:lineRule="auto" w:before="4"/>
        <w:ind w:left="821" w:right="121"/>
      </w:pPr>
      <w:r>
        <w:rPr/>
        <w:t>π = 0 Indica que la estructura del empleo o producción regional es igual a la estructura del empleo estatal.</w:t>
      </w:r>
    </w:p>
    <w:p>
      <w:pPr>
        <w:pStyle w:val="BodyText"/>
        <w:spacing w:line="360" w:lineRule="auto" w:before="4"/>
        <w:ind w:left="821" w:right="121"/>
      </w:pPr>
      <w:r>
        <w:rPr/>
        <w:t>π &lt; 0 indica que la estructura del empleo o producción regional es menos favorable para el crecimiento que la estructura estatal.</w:t>
      </w:r>
    </w:p>
    <w:p>
      <w:pPr>
        <w:pStyle w:val="BodyText"/>
        <w:spacing w:line="360" w:lineRule="auto" w:before="4"/>
        <w:ind w:left="102" w:right="114" w:firstLine="359"/>
        <w:jc w:val="both"/>
      </w:pPr>
      <w:r>
        <w:rPr/>
        <w:t>Es decir, el efecto estructural indica si existe concentración del empleo o de la producción en algún subsector de rápido crecimiento (resultado positivo) o no (resultado negativo). Las regiones que tienen una estructura económica especializada en estos subsectores de rápido crecimiento tenderán a mostrar cambios relativos positivos. De acuerdo con Boisier (1980) la importancia relativa de los subsectores económicos en una región (su estructura económica) constituye uno de los elementos determinantes en las posibilidades de crecimiento regional en un periodo dado.</w:t>
      </w:r>
    </w:p>
    <w:p>
      <w:pPr>
        <w:pStyle w:val="ListParagraph"/>
        <w:numPr>
          <w:ilvl w:val="0"/>
          <w:numId w:val="23"/>
        </w:numPr>
        <w:tabs>
          <w:tab w:pos="822" w:val="left" w:leader="none"/>
        </w:tabs>
        <w:spacing w:line="360" w:lineRule="auto" w:before="6" w:after="0"/>
        <w:ind w:left="822" w:right="125" w:hanging="360"/>
        <w:jc w:val="both"/>
        <w:rPr>
          <w:sz w:val="24"/>
        </w:rPr>
      </w:pPr>
      <w:r>
        <w:rPr>
          <w:sz w:val="24"/>
        </w:rPr>
        <w:t>El grado de heterogeneidad, o sea el ritmo diferente de crecimiento de los sectores económicos por separado en cada espacio geográfico. Se denomina efecto diferencial y se representa por δ. Con la siguiente</w:t>
      </w:r>
      <w:r>
        <w:rPr>
          <w:spacing w:val="-13"/>
          <w:sz w:val="24"/>
        </w:rPr>
        <w:t> </w:t>
      </w:r>
      <w:r>
        <w:rPr>
          <w:sz w:val="24"/>
        </w:rPr>
        <w:t>interpretación.</w:t>
      </w:r>
    </w:p>
    <w:p>
      <w:pPr>
        <w:pStyle w:val="BodyText"/>
        <w:spacing w:line="360" w:lineRule="auto" w:before="4"/>
        <w:ind w:left="810" w:right="189"/>
      </w:pPr>
      <w:r>
        <w:rPr/>
        <w:t>δ &gt; 0 indica que la región contiene sectores con ritmo de crecimiento superiores a los</w:t>
      </w:r>
      <w:r>
        <w:rPr>
          <w:spacing w:val="-3"/>
        </w:rPr>
        <w:t> </w:t>
      </w:r>
      <w:r>
        <w:rPr/>
        <w:t>estatales.</w:t>
      </w:r>
    </w:p>
    <w:p>
      <w:pPr>
        <w:pStyle w:val="BodyText"/>
        <w:spacing w:line="360" w:lineRule="auto" w:before="4"/>
        <w:ind w:left="810" w:right="530"/>
      </w:pPr>
      <w:r>
        <w:rPr/>
        <w:t>δ = 0 indica que los ritmos de crecimiento regional son iguales a los del estado. δ &lt; 0 indica que la región tiene ritmos de crecimiento inferiores a los del estado.</w:t>
      </w:r>
    </w:p>
    <w:p>
      <w:pPr>
        <w:spacing w:after="0" w:line="360" w:lineRule="auto"/>
        <w:sectPr>
          <w:pgSz w:w="12240" w:h="15840"/>
          <w:pgMar w:header="0" w:footer="1003" w:top="1360" w:bottom="1200" w:left="1600" w:right="1580"/>
        </w:sectPr>
      </w:pPr>
    </w:p>
    <w:p>
      <w:pPr>
        <w:pStyle w:val="BodyText"/>
        <w:spacing w:line="360" w:lineRule="auto" w:before="50"/>
        <w:ind w:left="122" w:right="120" w:firstLine="707"/>
        <w:jc w:val="both"/>
      </w:pPr>
      <w:r>
        <w:rPr/>
        <w:t>Es decir, muestra que si una región presenta mayor competitividad en relación al resto de las regiones en el volumen de empleo o producción de un determinado subsector, en este caso se muestra una dinámica positiva es ese subsector en la región, cuando se compara con el promedio nacional (estatal) del subsector, ya que ciertas regiones presentan condiciones más favorables que otras para la expansión de ciertas actividades. Las regiones con efectos diferenciales positivos son las que gozan de condiciones de accesibilidad a los mercados o a los recursos productivos en comparación con otras regiones.</w:t>
      </w:r>
    </w:p>
    <w:p>
      <w:pPr>
        <w:pStyle w:val="BodyText"/>
        <w:spacing w:line="360" w:lineRule="auto" w:before="6"/>
        <w:ind w:left="122" w:right="118" w:firstLine="707"/>
        <w:jc w:val="both"/>
      </w:pPr>
      <w:r>
        <w:rPr/>
        <w:t>Boudeville (1966), sostiene que el efecto diferencial refleja las economías de aglomeración presentes en la región y también puede ligarse con la teoría de los polos de crecimiento.</w:t>
      </w:r>
    </w:p>
    <w:p>
      <w:pPr>
        <w:pStyle w:val="BodyText"/>
        <w:spacing w:line="360" w:lineRule="auto" w:before="4"/>
        <w:ind w:left="122" w:right="117" w:firstLine="707"/>
        <w:jc w:val="both"/>
      </w:pPr>
      <w:r>
        <w:rPr/>
        <w:t>Ahora bien, se debe cumplir la siguiente igualdad T= π+ δ. El efecto total (T) es la suma algebraica de ambos, un efecto total positivo indica un crecimiento relativo de la variable regional mayor que el crecimiento relativo de la misma variable a escala estatal, o lo que es lo mismo; una mayor dinámica regional que estatal.</w:t>
      </w:r>
    </w:p>
    <w:p>
      <w:pPr>
        <w:pStyle w:val="BodyText"/>
      </w:pPr>
    </w:p>
    <w:p>
      <w:pPr>
        <w:pStyle w:val="BodyText"/>
        <w:spacing w:before="3"/>
        <w:rPr>
          <w:sz w:val="23"/>
        </w:rPr>
      </w:pPr>
    </w:p>
    <w:p>
      <w:pPr>
        <w:pStyle w:val="Heading2"/>
        <w:spacing w:before="0"/>
        <w:ind w:left="122" w:right="0"/>
        <w:jc w:val="both"/>
      </w:pPr>
      <w:r>
        <w:rPr/>
        <w:t>Índice de industrias motrices</w:t>
      </w:r>
    </w:p>
    <w:p>
      <w:pPr>
        <w:pStyle w:val="BodyText"/>
        <w:spacing w:before="10"/>
        <w:rPr>
          <w:b/>
          <w:sz w:val="21"/>
        </w:rPr>
      </w:pPr>
    </w:p>
    <w:p>
      <w:pPr>
        <w:pStyle w:val="BodyText"/>
        <w:spacing w:line="360" w:lineRule="auto" w:before="1"/>
        <w:ind w:left="122" w:right="117"/>
        <w:jc w:val="both"/>
      </w:pPr>
      <w:r>
        <w:rPr/>
        <w:t>Finalmente, el índice de industrias motrices nos da a conocer la interacción entre las industrias claves o propulsoras que forman el núcleo del polo de desarrollo de cada región. Para conocer cuáles son las industrias motrices en cada una de las regiones de estudio, es necesario calcular seis índices, los cuales se presentan a continuación, el resultado de los seis  índices  se suman  y los  subsectores  con los  mayores  valores  son  los  que llamamos</w:t>
      </w:r>
    </w:p>
    <w:p>
      <w:pPr>
        <w:pStyle w:val="BodyText"/>
        <w:spacing w:line="345" w:lineRule="auto" w:before="6"/>
        <w:ind w:left="122" w:right="117"/>
        <w:jc w:val="both"/>
      </w:pPr>
      <w:r>
        <w:rPr/>
        <w:t>motrices. El análisis de estos índices se hizo en dos periodos de estudio, considerando el cambio estructural en México de apertura comercial</w:t>
      </w:r>
      <w:r>
        <w:rPr>
          <w:position w:val="11"/>
          <w:sz w:val="16"/>
        </w:rPr>
        <w:t>90</w:t>
      </w:r>
      <w:r>
        <w:rPr/>
        <w:t>. El primero periodo es de 1970 a 1985, el segundo de 1988 a 2008.</w:t>
      </w:r>
    </w:p>
    <w:p>
      <w:pPr>
        <w:pStyle w:val="Heading2"/>
        <w:numPr>
          <w:ilvl w:val="0"/>
          <w:numId w:val="24"/>
        </w:numPr>
        <w:tabs>
          <w:tab w:pos="842" w:val="left" w:leader="none"/>
        </w:tabs>
        <w:spacing w:line="240" w:lineRule="auto" w:before="145" w:after="0"/>
        <w:ind w:left="842" w:right="0" w:hanging="360"/>
        <w:jc w:val="left"/>
      </w:pPr>
      <w:r>
        <w:rPr/>
        <w:t>Indicador Componente Nacional</w:t>
      </w:r>
      <w:r>
        <w:rPr>
          <w:spacing w:val="-8"/>
        </w:rPr>
        <w:t> </w:t>
      </w:r>
      <w:r>
        <w:rPr/>
        <w:t>(ICN)</w:t>
      </w:r>
    </w:p>
    <w:p>
      <w:pPr>
        <w:pStyle w:val="BodyText"/>
        <w:spacing w:line="360" w:lineRule="auto" w:before="134"/>
        <w:ind w:left="122" w:right="124"/>
        <w:jc w:val="both"/>
      </w:pPr>
      <w:r>
        <w:rPr/>
        <w:pict>
          <v:line style="position:absolute;mso-position-horizontal-relative:page;mso-position-vertical-relative:paragraph;z-index:4888;mso-wrap-distance-left:0;mso-wrap-distance-right:0" from="85.103996pt,70.223106pt" to="229.123996pt,70.223106pt" stroked="true" strokeweight=".72003pt" strokecolor="#000000">
            <w10:wrap type="topAndBottom"/>
          </v:line>
        </w:pict>
      </w:r>
      <w:r>
        <w:rPr/>
        <w:t>Permite conocer la participación de los subsectores de la industria manufacturera en las regiones Toluca-Lerma y Valle de México comparado con la participación a nivel estatal. Se calcula a través de la siguiente fórmula:</w:t>
      </w:r>
    </w:p>
    <w:p>
      <w:pPr>
        <w:spacing w:before="42"/>
        <w:ind w:left="122" w:right="130" w:firstLine="0"/>
        <w:jc w:val="both"/>
        <w:rPr>
          <w:sz w:val="20"/>
        </w:rPr>
      </w:pPr>
      <w:r>
        <w:rPr>
          <w:position w:val="9"/>
          <w:sz w:val="13"/>
        </w:rPr>
        <w:t>90 </w:t>
      </w:r>
      <w:r>
        <w:rPr>
          <w:sz w:val="20"/>
        </w:rPr>
        <w:t>Se dividió el periodo de estudio en dos considerando que el cambio de modelo de desarrollo se manifestó  en distintos ritmos de crecimiento de las actividades de la producción en México, lo que a su vez dependió de su capacidad para competir exitosamente con los productos de otros países, tanto en el mercado interno como externo, y de su potencial para adaptarse rápidamente a un entorno más</w:t>
      </w:r>
      <w:r>
        <w:rPr>
          <w:spacing w:val="-24"/>
          <w:sz w:val="20"/>
        </w:rPr>
        <w:t> </w:t>
      </w:r>
      <w:r>
        <w:rPr>
          <w:sz w:val="20"/>
        </w:rPr>
        <w:t>competitivo.</w:t>
      </w:r>
    </w:p>
    <w:p>
      <w:pPr>
        <w:spacing w:after="0"/>
        <w:jc w:val="both"/>
        <w:rPr>
          <w:sz w:val="20"/>
        </w:rPr>
        <w:sectPr>
          <w:pgSz w:w="12240" w:h="15840"/>
          <w:pgMar w:header="0" w:footer="1003" w:top="1360" w:bottom="1200" w:left="1580" w:right="1580"/>
        </w:sectPr>
      </w:pPr>
    </w:p>
    <w:p>
      <w:pPr>
        <w:pStyle w:val="BodyText"/>
        <w:rPr>
          <w:sz w:val="20"/>
        </w:rPr>
      </w:pPr>
    </w:p>
    <w:p>
      <w:pPr>
        <w:pStyle w:val="BodyText"/>
        <w:rPr>
          <w:sz w:val="20"/>
        </w:rPr>
      </w:pPr>
    </w:p>
    <w:p>
      <w:pPr>
        <w:pStyle w:val="BodyText"/>
        <w:spacing w:before="7" w:after="1"/>
        <w:rPr>
          <w:sz w:val="23"/>
        </w:rPr>
      </w:pPr>
    </w:p>
    <w:p>
      <w:pPr>
        <w:pStyle w:val="BodyText"/>
        <w:spacing w:line="20" w:lineRule="exact"/>
        <w:ind w:left="4767"/>
        <w:rPr>
          <w:sz w:val="2"/>
        </w:rPr>
      </w:pPr>
      <w:r>
        <w:rPr>
          <w:sz w:val="2"/>
        </w:rPr>
        <w:pict>
          <v:group style="width:12.05pt;height:.85pt;mso-position-horizontal-relative:char;mso-position-vertical-relative:line" coordorigin="0,0" coordsize="241,17">
            <v:line style="position:absolute" from="9,9" to="232,9" stroked="true" strokeweight=".84pt" strokecolor="#000000"/>
          </v:group>
        </w:pict>
      </w:r>
      <w:r>
        <w:rPr>
          <w:sz w:val="2"/>
        </w:rPr>
      </w:r>
    </w:p>
    <w:p>
      <w:pPr>
        <w:pStyle w:val="BodyText"/>
        <w:rPr>
          <w:sz w:val="19"/>
        </w:rPr>
      </w:pPr>
      <w:r>
        <w:rPr/>
        <w:pict>
          <v:line style="position:absolute;mso-position-horizontal-relative:page;mso-position-vertical-relative:paragraph;z-index:4936;mso-wrap-distance-left:0;mso-wrap-distance-right:0" from="316.869995pt,13.345pt" to="331.869995pt,13.345pt" stroked="true" strokeweight=".84pt" strokecolor="#000000">
            <w10:wrap type="topAndBottom"/>
          </v:line>
        </w:pict>
      </w:r>
      <w:r>
        <w:rPr/>
        <w:pict>
          <v:line style="position:absolute;mso-position-horizontal-relative:page;mso-position-vertical-relative:paragraph;z-index:4960;mso-wrap-distance-left:0;mso-wrap-distance-right:0" from="318.070007pt,27.985001pt" to="330.670007pt,27.985001pt" stroked="true" strokeweight=".84pt" strokecolor="#000000">
            <w10:wrap type="topAndBottom"/>
          </v:line>
        </w:pict>
      </w:r>
    </w:p>
    <w:p>
      <w:pPr>
        <w:pStyle w:val="BodyText"/>
        <w:rPr>
          <w:sz w:val="18"/>
        </w:rPr>
      </w:pPr>
    </w:p>
    <w:p>
      <w:pPr>
        <w:pStyle w:val="BodyText"/>
        <w:rPr>
          <w:sz w:val="20"/>
        </w:rPr>
      </w:pPr>
    </w:p>
    <w:p>
      <w:pPr>
        <w:pStyle w:val="BodyText"/>
        <w:spacing w:before="4"/>
        <w:rPr>
          <w:sz w:val="20"/>
        </w:rPr>
      </w:pPr>
    </w:p>
    <w:p>
      <w:pPr>
        <w:pStyle w:val="BodyText"/>
        <w:ind w:left="102" w:right="121"/>
      </w:pPr>
      <w:r>
        <w:rPr>
          <w:rFonts w:ascii="Cambria Math" w:hAnsi="Cambria Math"/>
          <w:w w:val="225"/>
        </w:rPr>
        <w:t> </w:t>
      </w:r>
      <w:r>
        <w:rPr>
          <w:rFonts w:ascii="Cambria Math" w:hAnsi="Cambria Math"/>
          <w:w w:val="159"/>
          <w:position w:val="-4"/>
          <w:sz w:val="17"/>
        </w:rPr>
        <w:t> </w:t>
      </w:r>
      <w:r>
        <w:rPr>
          <w:rFonts w:ascii="Cambria Math" w:hAnsi="Cambria Math"/>
          <w:position w:val="-4"/>
          <w:sz w:val="17"/>
        </w:rPr>
        <w:t>  </w:t>
      </w:r>
      <w:r>
        <w:rPr/>
        <w:t>= VA local en el subsector de actividad i, en el año base</w:t>
      </w:r>
    </w:p>
    <w:p>
      <w:pPr>
        <w:pStyle w:val="BodyText"/>
        <w:spacing w:before="1"/>
        <w:rPr>
          <w:sz w:val="23"/>
        </w:rPr>
      </w:pPr>
    </w:p>
    <w:p>
      <w:pPr>
        <w:pStyle w:val="BodyText"/>
        <w:spacing w:before="1"/>
        <w:ind w:left="102" w:right="121"/>
      </w:pPr>
      <w:r>
        <w:rPr>
          <w:rFonts w:ascii="Cambria Math" w:hAnsi="Cambria Math"/>
          <w:w w:val="225"/>
        </w:rPr>
        <w:t> </w:t>
      </w:r>
      <w:r>
        <w:rPr>
          <w:rFonts w:ascii="Cambria Math" w:hAnsi="Cambria Math"/>
          <w:w w:val="159"/>
          <w:position w:val="-4"/>
          <w:sz w:val="17"/>
        </w:rPr>
        <w:t> </w:t>
      </w:r>
      <w:r>
        <w:rPr>
          <w:w w:val="200"/>
        </w:rPr>
        <w:t> </w:t>
      </w:r>
      <w:r>
        <w:rPr/>
        <w:t> = VA  local en el subsector de actividad i, en el año final</w:t>
      </w:r>
    </w:p>
    <w:p>
      <w:pPr>
        <w:pStyle w:val="BodyText"/>
        <w:spacing w:before="1"/>
        <w:rPr>
          <w:sz w:val="23"/>
        </w:rPr>
      </w:pPr>
    </w:p>
    <w:p>
      <w:pPr>
        <w:pStyle w:val="BodyText"/>
        <w:spacing w:before="1"/>
        <w:ind w:left="102" w:right="121"/>
      </w:pPr>
      <w:r>
        <w:rPr>
          <w:rFonts w:ascii="Cambria Math" w:hAnsi="Cambria Math"/>
          <w:w w:val="231"/>
        </w:rPr>
        <w:t>  </w:t>
      </w:r>
      <w:r>
        <w:rPr>
          <w:rFonts w:ascii="Cambria Math" w:hAnsi="Cambria Math"/>
        </w:rPr>
        <w:t> </w:t>
      </w:r>
      <w:r>
        <w:rPr/>
        <w:t>= VA  total estatal en el año base</w:t>
      </w:r>
    </w:p>
    <w:p>
      <w:pPr>
        <w:pStyle w:val="BodyText"/>
        <w:spacing w:before="2"/>
        <w:rPr>
          <w:sz w:val="23"/>
        </w:rPr>
      </w:pPr>
    </w:p>
    <w:p>
      <w:pPr>
        <w:pStyle w:val="BodyText"/>
        <w:ind w:left="102" w:right="121"/>
      </w:pPr>
      <w:r>
        <w:rPr>
          <w:rFonts w:ascii="Cambria Math" w:hAnsi="Cambria Math"/>
          <w:w w:val="231"/>
        </w:rPr>
        <w:t>  </w:t>
      </w:r>
      <w:r>
        <w:rPr>
          <w:rFonts w:ascii="Cambria Math" w:hAnsi="Cambria Math"/>
        </w:rPr>
        <w:t> </w:t>
      </w:r>
      <w:r>
        <w:rPr>
          <w:rFonts w:ascii="Cambria Math" w:hAnsi="Cambria Math"/>
          <w:w w:val="219"/>
        </w:rPr>
        <w:t> </w:t>
      </w:r>
      <w:r>
        <w:rPr>
          <w:rFonts w:ascii="Cambria Math" w:hAnsi="Cambria Math"/>
        </w:rPr>
        <w:t>  </w:t>
      </w:r>
      <w:r>
        <w:rPr/>
        <w:t>= VA  total estatal en el año final</w:t>
      </w:r>
    </w:p>
    <w:p>
      <w:pPr>
        <w:pStyle w:val="BodyText"/>
        <w:spacing w:before="11"/>
        <w:rPr>
          <w:sz w:val="22"/>
        </w:rPr>
      </w:pPr>
    </w:p>
    <w:p>
      <w:pPr>
        <w:pStyle w:val="Heading2"/>
        <w:numPr>
          <w:ilvl w:val="0"/>
          <w:numId w:val="24"/>
        </w:numPr>
        <w:tabs>
          <w:tab w:pos="1085" w:val="left" w:leader="none"/>
        </w:tabs>
        <w:spacing w:line="240" w:lineRule="auto" w:before="0" w:after="0"/>
        <w:ind w:left="1084" w:right="0" w:hanging="274"/>
        <w:jc w:val="left"/>
      </w:pPr>
      <w:r>
        <w:rPr/>
        <w:t>Indicador Componente Diferencial</w:t>
      </w:r>
      <w:r>
        <w:rPr>
          <w:spacing w:val="-14"/>
        </w:rPr>
        <w:t> </w:t>
      </w:r>
      <w:r>
        <w:rPr/>
        <w:t>(ICD)</w:t>
      </w:r>
    </w:p>
    <w:p>
      <w:pPr>
        <w:pStyle w:val="BodyText"/>
        <w:spacing w:before="10"/>
        <w:rPr>
          <w:b/>
          <w:sz w:val="21"/>
        </w:rPr>
      </w:pPr>
    </w:p>
    <w:p>
      <w:pPr>
        <w:pStyle w:val="BodyText"/>
        <w:spacing w:line="360" w:lineRule="auto"/>
        <w:ind w:left="102" w:right="121"/>
      </w:pPr>
      <w:r>
        <w:rPr/>
        <w:t>Muestra las diferencias existentes entre los subsectores de actividad de las regiones de estudio y los subsectores de actividad estatal. Se calcula a través del siguiente índice:</w:t>
      </w:r>
    </w:p>
    <w:p>
      <w:pPr>
        <w:pStyle w:val="BodyText"/>
        <w:spacing w:before="102"/>
        <w:ind w:left="756"/>
        <w:jc w:val="center"/>
        <w:rPr>
          <w:rFonts w:ascii="Cambria Math" w:hAnsi="Cambria Math"/>
        </w:rPr>
      </w:pPr>
      <w:r>
        <w:rPr>
          <w:rFonts w:ascii="Cambria Math" w:hAnsi="Cambria Math"/>
          <w:w w:val="225"/>
        </w:rPr>
        <w:t> </w:t>
      </w:r>
      <w:r>
        <w:rPr>
          <w:rFonts w:ascii="Cambria Math" w:hAnsi="Cambria Math"/>
          <w:w w:val="159"/>
          <w:position w:val="-4"/>
          <w:sz w:val="17"/>
        </w:rPr>
        <w:t> </w:t>
      </w:r>
      <w:r>
        <w:rPr>
          <w:rFonts w:ascii="Cambria Math" w:hAnsi="Cambria Math"/>
          <w:position w:val="-4"/>
          <w:sz w:val="17"/>
        </w:rPr>
        <w:t> </w:t>
      </w:r>
      <w:r>
        <w:rPr>
          <w:rFonts w:ascii="Cambria Math" w:hAnsi="Cambria Math"/>
          <w:w w:val="188"/>
          <w:position w:val="1"/>
        </w:rPr>
        <w:t> </w:t>
      </w:r>
      <w:r>
        <w:rPr>
          <w:rFonts w:ascii="Cambria Math" w:hAnsi="Cambria Math"/>
          <w:w w:val="225"/>
        </w:rPr>
        <w:t> </w:t>
      </w:r>
      <w:r>
        <w:rPr>
          <w:rFonts w:ascii="Cambria Math" w:hAnsi="Cambria Math"/>
          <w:w w:val="159"/>
          <w:position w:val="-5"/>
          <w:sz w:val="17"/>
        </w:rPr>
        <w:t> </w:t>
      </w:r>
      <w:r>
        <w:rPr>
          <w:rFonts w:ascii="Cambria Math" w:hAnsi="Cambria Math"/>
          <w:position w:val="-5"/>
          <w:sz w:val="17"/>
        </w:rPr>
        <w:t> </w:t>
      </w:r>
      <w:r>
        <w:rPr>
          <w:rFonts w:ascii="Cambria Math" w:hAnsi="Cambria Math"/>
          <w:position w:val="1"/>
        </w:rPr>
        <w:t>⁄              ⁄</w:t>
      </w:r>
      <w:r>
        <w:rPr>
          <w:rFonts w:ascii="Cambria Math" w:hAnsi="Cambria Math"/>
          <w:w w:val="283"/>
        </w:rPr>
        <w:t> </w:t>
      </w:r>
      <w:r>
        <w:rPr>
          <w:rFonts w:ascii="Cambria Math" w:hAnsi="Cambria Math"/>
          <w:w w:val="159"/>
          <w:position w:val="-4"/>
          <w:sz w:val="17"/>
        </w:rPr>
        <w:t> </w:t>
      </w:r>
      <w:r>
        <w:rPr>
          <w:rFonts w:ascii="Cambria Math" w:hAnsi="Cambria Math"/>
          <w:w w:val="188"/>
          <w:position w:val="1"/>
        </w:rPr>
        <w:t> </w:t>
      </w:r>
    </w:p>
    <w:p>
      <w:pPr>
        <w:spacing w:before="49"/>
        <w:ind w:left="353" w:right="0" w:firstLine="0"/>
        <w:jc w:val="center"/>
        <w:rPr>
          <w:rFonts w:ascii="Cambria Math"/>
          <w:sz w:val="17"/>
        </w:rPr>
      </w:pPr>
      <w:r>
        <w:rPr/>
        <w:pict>
          <v:line style="position:absolute;mso-position-horizontal-relative:page;mso-position-vertical-relative:paragraph;z-index:-461968" from="278.209991pt,3.506648pt" to="372.673991pt,3.506648pt" stroked="true" strokeweight=".84pt" strokecolor="#000000">
            <w10:wrap type="none"/>
          </v:line>
        </w:pict>
      </w:r>
      <w:r>
        <w:rPr>
          <w:rFonts w:ascii="Cambria Math"/>
          <w:w w:val="219"/>
          <w:sz w:val="17"/>
        </w:rPr>
        <w:t> </w:t>
      </w:r>
    </w:p>
    <w:p>
      <w:pPr>
        <w:pStyle w:val="BodyText"/>
        <w:spacing w:before="6"/>
        <w:rPr>
          <w:rFonts w:ascii="Cambria Math"/>
          <w:sz w:val="26"/>
        </w:rPr>
      </w:pPr>
    </w:p>
    <w:p>
      <w:pPr>
        <w:pStyle w:val="BodyText"/>
        <w:spacing w:before="70"/>
        <w:ind w:left="102" w:right="121"/>
      </w:pPr>
      <w:r>
        <w:rPr>
          <w:rFonts w:ascii="Cambria Math" w:hAnsi="Cambria Math"/>
          <w:w w:val="225"/>
        </w:rPr>
        <w:t> </w:t>
      </w:r>
      <w:r>
        <w:rPr>
          <w:rFonts w:ascii="Cambria Math" w:hAnsi="Cambria Math"/>
          <w:w w:val="159"/>
          <w:position w:val="-4"/>
          <w:sz w:val="17"/>
        </w:rPr>
        <w:t> </w:t>
      </w:r>
      <w:r>
        <w:rPr>
          <w:rFonts w:ascii="Cambria Math" w:hAnsi="Cambria Math"/>
          <w:position w:val="-4"/>
          <w:sz w:val="17"/>
        </w:rPr>
        <w:t>  </w:t>
      </w:r>
      <w:r>
        <w:rPr/>
        <w:t>y      = VA local  y estatal en el subsector de actividad i, respectivamente en el año base.</w:t>
      </w:r>
    </w:p>
    <w:p>
      <w:pPr>
        <w:pStyle w:val="BodyText"/>
        <w:spacing w:before="4"/>
        <w:rPr>
          <w:sz w:val="13"/>
        </w:rPr>
      </w:pPr>
    </w:p>
    <w:p>
      <w:pPr>
        <w:spacing w:after="0"/>
        <w:rPr>
          <w:sz w:val="13"/>
        </w:rPr>
        <w:sectPr>
          <w:pgSz w:w="12240" w:h="15840"/>
          <w:pgMar w:header="0" w:footer="1003" w:top="1500" w:bottom="1200" w:left="1600" w:right="1580"/>
        </w:sectPr>
      </w:pPr>
    </w:p>
    <w:p>
      <w:pPr>
        <w:spacing w:before="111"/>
        <w:ind w:left="102" w:right="0" w:firstLine="0"/>
        <w:jc w:val="left"/>
        <w:rPr>
          <w:rFonts w:ascii="Cambria Math"/>
          <w:sz w:val="17"/>
        </w:rPr>
      </w:pPr>
      <w:r>
        <w:rPr/>
        <w:pict>
          <v:shape style="position:absolute;margin-left:119.300003pt;margin-top:12.727697pt;width:3pt;height:8.550pt;mso-position-horizontal-relative:page;mso-position-vertical-relative:paragraph;z-index:-461920" type="#_x0000_t202" filled="false" stroked="false">
            <v:textbox inset="0,0,0,0">
              <w:txbxContent>
                <w:p>
                  <w:pPr>
                    <w:spacing w:line="170" w:lineRule="exact" w:before="0"/>
                    <w:ind w:left="0" w:right="0" w:firstLine="0"/>
                    <w:jc w:val="left"/>
                    <w:rPr>
                      <w:rFonts w:ascii="Cambria Math"/>
                      <w:sz w:val="17"/>
                    </w:rPr>
                  </w:pPr>
                  <w:r>
                    <w:rPr>
                      <w:rFonts w:ascii="Cambria Math"/>
                      <w:w w:val="159"/>
                      <w:sz w:val="17"/>
                    </w:rPr>
                    <w:t> </w:t>
                  </w:r>
                </w:p>
              </w:txbxContent>
            </v:textbox>
            <w10:wrap type="none"/>
          </v:shape>
        </w:pict>
      </w:r>
      <w:r>
        <w:rPr>
          <w:rFonts w:ascii="Cambria Math"/>
          <w:w w:val="225"/>
          <w:sz w:val="24"/>
        </w:rPr>
        <w:t> </w:t>
      </w:r>
      <w:r>
        <w:rPr>
          <w:rFonts w:ascii="Cambria Math"/>
          <w:w w:val="159"/>
          <w:position w:val="-4"/>
          <w:sz w:val="17"/>
        </w:rPr>
        <w:t> </w:t>
      </w:r>
      <w:r>
        <w:rPr>
          <w:w w:val="200"/>
          <w:sz w:val="24"/>
        </w:rPr>
        <w:t> </w:t>
      </w:r>
      <w:r>
        <w:rPr>
          <w:sz w:val="24"/>
        </w:rPr>
        <w:t> y </w:t>
      </w:r>
      <w:r>
        <w:rPr>
          <w:rFonts w:ascii="Cambria Math"/>
          <w:w w:val="283"/>
          <w:sz w:val="24"/>
        </w:rPr>
        <w:t> </w:t>
      </w:r>
      <w:r>
        <w:rPr>
          <w:rFonts w:ascii="Cambria Math"/>
          <w:w w:val="219"/>
          <w:position w:val="10"/>
          <w:sz w:val="17"/>
        </w:rPr>
        <w:t> </w:t>
      </w:r>
    </w:p>
    <w:p>
      <w:pPr>
        <w:pStyle w:val="BodyText"/>
        <w:spacing w:before="111"/>
        <w:ind w:left="62"/>
      </w:pPr>
      <w:r>
        <w:rPr/>
        <w:br w:type="column"/>
      </w:r>
      <w:r>
        <w:rPr/>
        <w:t>= VA  local  y estatal en el subsector de actividad i, respectivamente en el final.</w:t>
      </w:r>
    </w:p>
    <w:p>
      <w:pPr>
        <w:spacing w:after="0"/>
        <w:sectPr>
          <w:type w:val="continuous"/>
          <w:pgSz w:w="12240" w:h="15840"/>
          <w:pgMar w:top="500" w:bottom="1200" w:left="1600" w:right="1580"/>
          <w:cols w:num="2" w:equalWidth="0">
            <w:col w:w="890" w:space="40"/>
            <w:col w:w="8130"/>
          </w:cols>
        </w:sectPr>
      </w:pPr>
    </w:p>
    <w:p>
      <w:pPr>
        <w:pStyle w:val="BodyText"/>
        <w:rPr>
          <w:sz w:val="20"/>
        </w:rPr>
      </w:pPr>
    </w:p>
    <w:p>
      <w:pPr>
        <w:pStyle w:val="BodyText"/>
        <w:rPr>
          <w:sz w:val="20"/>
        </w:rPr>
      </w:pPr>
    </w:p>
    <w:p>
      <w:pPr>
        <w:pStyle w:val="BodyText"/>
        <w:spacing w:before="1"/>
      </w:pPr>
    </w:p>
    <w:p>
      <w:pPr>
        <w:pStyle w:val="Heading2"/>
        <w:numPr>
          <w:ilvl w:val="0"/>
          <w:numId w:val="24"/>
        </w:numPr>
        <w:tabs>
          <w:tab w:pos="1056" w:val="left" w:leader="none"/>
        </w:tabs>
        <w:spacing w:line="240" w:lineRule="auto" w:before="69" w:after="0"/>
        <w:ind w:left="1055" w:right="0" w:hanging="245"/>
        <w:jc w:val="left"/>
      </w:pPr>
      <w:r>
        <w:rPr/>
        <w:t>Indicador Alto Incremento Neto Real</w:t>
      </w:r>
      <w:r>
        <w:rPr>
          <w:spacing w:val="-8"/>
        </w:rPr>
        <w:t> </w:t>
      </w:r>
      <w:r>
        <w:rPr/>
        <w:t>(IAINR)</w:t>
      </w:r>
    </w:p>
    <w:p>
      <w:pPr>
        <w:pStyle w:val="BodyText"/>
        <w:spacing w:before="10"/>
        <w:rPr>
          <w:b/>
          <w:sz w:val="21"/>
        </w:rPr>
      </w:pPr>
    </w:p>
    <w:p>
      <w:pPr>
        <w:pStyle w:val="BodyText"/>
        <w:spacing w:line="360" w:lineRule="auto"/>
        <w:ind w:left="102" w:right="121"/>
      </w:pPr>
      <w:r>
        <w:rPr/>
        <w:t>Permite medir el grado de crecimiento de las ramas o subsectores de actividad para las regiones de estudio. Se obtiene a través de la siguiente fórmula.</w:t>
      </w:r>
    </w:p>
    <w:p>
      <w:pPr>
        <w:pStyle w:val="BodyText"/>
        <w:rPr>
          <w:sz w:val="20"/>
        </w:rPr>
      </w:pPr>
    </w:p>
    <w:p>
      <w:pPr>
        <w:pStyle w:val="BodyText"/>
        <w:rPr>
          <w:sz w:val="20"/>
        </w:rPr>
      </w:pPr>
    </w:p>
    <w:p>
      <w:pPr>
        <w:pStyle w:val="BodyText"/>
        <w:rPr>
          <w:sz w:val="20"/>
        </w:rPr>
      </w:pPr>
    </w:p>
    <w:p>
      <w:pPr>
        <w:pStyle w:val="BodyText"/>
        <w:spacing w:before="6"/>
        <w:rPr>
          <w:sz w:val="21"/>
        </w:rPr>
      </w:pPr>
      <w:r>
        <w:rPr/>
        <w:pict>
          <v:line style="position:absolute;mso-position-horizontal-relative:page;mso-position-vertical-relative:paragraph;z-index:4984;mso-wrap-distance-left:0;mso-wrap-distance-right:0" from="305.589996pt,14.792677pt" to="352.989996pt,14.792677pt" stroked="true" strokeweight=".84003pt" strokecolor="#000000">
            <w10:wrap type="topAndBottom"/>
          </v:line>
        </w:pict>
      </w:r>
    </w:p>
    <w:p>
      <w:pPr>
        <w:pStyle w:val="BodyText"/>
        <w:spacing w:line="259" w:lineRule="exact" w:before="95"/>
        <w:ind w:left="912"/>
        <w:jc w:val="center"/>
        <w:rPr>
          <w:rFonts w:ascii="Cambria Math"/>
        </w:rPr>
      </w:pPr>
      <w:r>
        <w:rPr>
          <w:rFonts w:ascii="Cambria Math"/>
          <w:w w:val="251"/>
        </w:rPr>
        <w:t> </w:t>
      </w:r>
      <w:r>
        <w:rPr>
          <w:rFonts w:ascii="Cambria Math"/>
          <w:w w:val="93"/>
        </w:rPr>
        <w:t> </w:t>
      </w:r>
      <w:r>
        <w:rPr>
          <w:rFonts w:ascii="Cambria Math"/>
          <w:w w:val="251"/>
        </w:rPr>
        <w:t>  </w:t>
      </w:r>
      <w:r>
        <w:rPr>
          <w:rFonts w:ascii="Cambria Math"/>
        </w:rPr>
        <w:t> </w:t>
      </w:r>
      <w:r>
        <w:rPr>
          <w:rFonts w:ascii="Cambria Math"/>
          <w:w w:val="120"/>
        </w:rPr>
        <w:t>(   )</w:t>
      </w:r>
    </w:p>
    <w:p>
      <w:pPr>
        <w:spacing w:line="177" w:lineRule="exact" w:before="0"/>
        <w:ind w:left="1389" w:right="0" w:firstLine="0"/>
        <w:jc w:val="center"/>
        <w:rPr>
          <w:rFonts w:ascii="Cambria Math"/>
          <w:sz w:val="17"/>
        </w:rPr>
      </w:pPr>
      <w:r>
        <w:rPr/>
        <w:pict>
          <v:line style="position:absolute;mso-position-horizontal-relative:page;mso-position-vertical-relative:paragraph;z-index:-461944" from="335.950012pt,-4.964693pt" to="347.110012pt,-4.964693pt" stroked="true" strokeweight=".84003pt" strokecolor="#000000">
            <w10:wrap type="none"/>
          </v:line>
        </w:pict>
      </w:r>
      <w:r>
        <w:rPr>
          <w:rFonts w:ascii="Cambria Math"/>
          <w:spacing w:val="-7"/>
          <w:w w:val="225"/>
          <w:sz w:val="24"/>
        </w:rPr>
        <w:t> </w:t>
      </w:r>
      <w:r>
        <w:rPr>
          <w:rFonts w:ascii="Cambria Math"/>
          <w:w w:val="200"/>
          <w:position w:val="-4"/>
          <w:sz w:val="17"/>
        </w:rPr>
        <w:t> </w:t>
      </w:r>
    </w:p>
    <w:p>
      <w:pPr>
        <w:pStyle w:val="BodyText"/>
        <w:spacing w:before="2"/>
        <w:rPr>
          <w:rFonts w:ascii="Cambria Math"/>
          <w:sz w:val="13"/>
        </w:rPr>
      </w:pPr>
    </w:p>
    <w:p>
      <w:pPr>
        <w:pStyle w:val="BodyText"/>
        <w:spacing w:before="71"/>
        <w:ind w:left="102" w:right="121"/>
      </w:pPr>
      <w:r>
        <w:rPr>
          <w:rFonts w:ascii="Cambria Math" w:hAnsi="Cambria Math"/>
          <w:w w:val="225"/>
        </w:rPr>
        <w:t> </w:t>
      </w:r>
      <w:r>
        <w:rPr>
          <w:rFonts w:ascii="Cambria Math" w:hAnsi="Cambria Math"/>
          <w:w w:val="159"/>
          <w:position w:val="-4"/>
          <w:sz w:val="17"/>
        </w:rPr>
        <w:t> </w:t>
      </w:r>
      <w:r>
        <w:rPr>
          <w:rFonts w:ascii="Cambria Math" w:hAnsi="Cambria Math"/>
          <w:position w:val="-4"/>
          <w:sz w:val="17"/>
        </w:rPr>
        <w:t>  </w:t>
      </w:r>
      <w:r>
        <w:rPr/>
        <w:t>=      local en el subsector de actividad i, en el año base.</w:t>
      </w:r>
    </w:p>
    <w:p>
      <w:pPr>
        <w:pStyle w:val="BodyText"/>
        <w:spacing w:before="1"/>
        <w:rPr>
          <w:sz w:val="23"/>
        </w:rPr>
      </w:pPr>
    </w:p>
    <w:p>
      <w:pPr>
        <w:pStyle w:val="BodyText"/>
        <w:spacing w:before="1"/>
        <w:ind w:left="102" w:right="121"/>
      </w:pPr>
      <w:r>
        <w:rPr>
          <w:rFonts w:ascii="Cambria Math" w:hAnsi="Cambria Math"/>
          <w:w w:val="225"/>
        </w:rPr>
        <w:t> </w:t>
      </w:r>
      <w:r>
        <w:rPr>
          <w:rFonts w:ascii="Cambria Math" w:hAnsi="Cambria Math"/>
          <w:w w:val="159"/>
          <w:position w:val="-4"/>
          <w:sz w:val="17"/>
        </w:rPr>
        <w:t> </w:t>
      </w:r>
      <w:r>
        <w:rPr>
          <w:w w:val="200"/>
        </w:rPr>
        <w:t> </w:t>
      </w:r>
      <w:r>
        <w:rPr/>
        <w:t> = VA local en el subsector de actividad i, en el año final.</w:t>
      </w:r>
    </w:p>
    <w:p>
      <w:pPr>
        <w:pStyle w:val="BodyText"/>
        <w:spacing w:before="1"/>
        <w:rPr>
          <w:sz w:val="23"/>
        </w:rPr>
      </w:pPr>
    </w:p>
    <w:p>
      <w:pPr>
        <w:pStyle w:val="BodyText"/>
        <w:spacing w:before="1"/>
        <w:ind w:left="102" w:right="121"/>
      </w:pPr>
      <w:r>
        <w:rPr>
          <w:rFonts w:ascii="Cambria Math" w:hAnsi="Cambria Math"/>
          <w:w w:val="202"/>
        </w:rPr>
        <w:t>  </w:t>
      </w:r>
      <w:r>
        <w:rPr>
          <w:rFonts w:ascii="Cambria Math" w:hAnsi="Cambria Math"/>
        </w:rPr>
        <w:t> </w:t>
      </w:r>
      <w:r>
        <w:rPr/>
        <w:t>= VA total local en el año base.</w:t>
      </w:r>
    </w:p>
    <w:p>
      <w:pPr>
        <w:spacing w:after="0"/>
        <w:sectPr>
          <w:type w:val="continuous"/>
          <w:pgSz w:w="12240" w:h="15840"/>
          <w:pgMar w:top="500" w:bottom="1200" w:left="1600" w:right="1580"/>
        </w:sectPr>
      </w:pPr>
    </w:p>
    <w:p>
      <w:pPr>
        <w:pStyle w:val="BodyText"/>
        <w:spacing w:before="77"/>
        <w:ind w:left="162"/>
        <w:jc w:val="both"/>
      </w:pPr>
      <w:r>
        <w:rPr/>
        <w:pict>
          <v:shape style="position:absolute;margin-left:93.744003pt;margin-top:10.687685pt;width:3.75pt;height:8.550pt;mso-position-horizontal-relative:page;mso-position-vertical-relative:paragraph;z-index:-461824" type="#_x0000_t202" filled="false" stroked="false">
            <v:textbox inset="0,0,0,0">
              <w:txbxContent>
                <w:p>
                  <w:pPr>
                    <w:spacing w:line="170" w:lineRule="exact" w:before="0"/>
                    <w:ind w:left="0" w:right="0" w:firstLine="0"/>
                    <w:jc w:val="left"/>
                    <w:rPr>
                      <w:rFonts w:ascii="Cambria Math"/>
                      <w:sz w:val="17"/>
                    </w:rPr>
                  </w:pPr>
                  <w:r>
                    <w:rPr>
                      <w:rFonts w:ascii="Cambria Math"/>
                      <w:w w:val="200"/>
                      <w:sz w:val="17"/>
                    </w:rPr>
                    <w:t> </w:t>
                  </w:r>
                </w:p>
              </w:txbxContent>
            </v:textbox>
            <w10:wrap type="none"/>
          </v:shape>
        </w:pict>
      </w:r>
      <w:r>
        <w:rPr>
          <w:rFonts w:ascii="Cambria Math" w:hAnsi="Cambria Math"/>
          <w:w w:val="225"/>
        </w:rPr>
        <w:t> </w:t>
      </w:r>
      <w:r>
        <w:rPr>
          <w:rFonts w:ascii="Cambria Math" w:hAnsi="Cambria Math"/>
          <w:w w:val="219"/>
          <w:position w:val="9"/>
          <w:sz w:val="17"/>
        </w:rPr>
        <w:t> </w:t>
      </w:r>
      <w:r>
        <w:rPr>
          <w:rFonts w:ascii="Cambria Math" w:hAnsi="Cambria Math"/>
          <w:position w:val="9"/>
          <w:sz w:val="17"/>
        </w:rPr>
        <w:t> </w:t>
      </w:r>
      <w:r>
        <w:rPr/>
        <w:t>= VA total local en el año final.</w:t>
      </w:r>
    </w:p>
    <w:p>
      <w:pPr>
        <w:pStyle w:val="BodyText"/>
        <w:rPr>
          <w:sz w:val="26"/>
        </w:rPr>
      </w:pPr>
    </w:p>
    <w:p>
      <w:pPr>
        <w:pStyle w:val="BodyText"/>
        <w:rPr>
          <w:sz w:val="26"/>
        </w:rPr>
      </w:pPr>
    </w:p>
    <w:p>
      <w:pPr>
        <w:pStyle w:val="Heading2"/>
        <w:numPr>
          <w:ilvl w:val="0"/>
          <w:numId w:val="24"/>
        </w:numPr>
        <w:tabs>
          <w:tab w:pos="822" w:val="left" w:leader="none"/>
        </w:tabs>
        <w:spacing w:line="240" w:lineRule="auto" w:before="201" w:after="0"/>
        <w:ind w:left="822" w:right="0" w:hanging="360"/>
        <w:jc w:val="left"/>
      </w:pPr>
      <w:r>
        <w:rPr/>
        <w:t>Índice de Especialización Local</w:t>
      </w:r>
      <w:r>
        <w:rPr>
          <w:spacing w:val="-6"/>
        </w:rPr>
        <w:t> </w:t>
      </w:r>
      <w:r>
        <w:rPr/>
        <w:t>(IEL)</w:t>
      </w:r>
    </w:p>
    <w:p>
      <w:pPr>
        <w:pStyle w:val="BodyText"/>
        <w:spacing w:line="360" w:lineRule="auto" w:before="132"/>
        <w:ind w:left="102" w:right="121"/>
        <w:jc w:val="both"/>
      </w:pPr>
      <w:r>
        <w:rPr/>
        <w:t>Muestra cuáles son las actividades de mayor importancia en la localidad y así poder identificar cuáles son las industrias que necesitan mayor impulso. Se calcula a través de la siguiente fórmula:</w:t>
      </w:r>
    </w:p>
    <w:p>
      <w:pPr>
        <w:spacing w:line="176" w:lineRule="exact" w:before="81"/>
        <w:ind w:left="794" w:right="0" w:firstLine="0"/>
        <w:jc w:val="center"/>
        <w:rPr>
          <w:rFonts w:ascii="Cambria Math"/>
          <w:sz w:val="17"/>
        </w:rPr>
      </w:pPr>
      <w:r>
        <w:rPr/>
        <w:pict>
          <v:shape style="position:absolute;margin-left:317.709991pt;margin-top:7.200693pt;width:6pt;height:12pt;mso-position-horizontal-relative:page;mso-position-vertical-relative:paragraph;z-index:-461800" type="#_x0000_t202" filled="false" stroked="false">
            <v:textbox inset="0,0,0,0">
              <w:txbxContent>
                <w:p>
                  <w:pPr>
                    <w:pStyle w:val="BodyText"/>
                    <w:spacing w:line="240" w:lineRule="exact"/>
                    <w:rPr>
                      <w:rFonts w:ascii="Cambria Math"/>
                    </w:rPr>
                  </w:pPr>
                  <w:r>
                    <w:rPr>
                      <w:rFonts w:ascii="Cambria Math"/>
                      <w:w w:val="225"/>
                    </w:rPr>
                    <w:t> </w:t>
                  </w:r>
                </w:p>
              </w:txbxContent>
            </v:textbox>
            <w10:wrap type="none"/>
          </v:shape>
        </w:pict>
      </w:r>
      <w:r>
        <w:rPr>
          <w:rFonts w:ascii="Cambria Math"/>
          <w:w w:val="219"/>
          <w:sz w:val="17"/>
        </w:rPr>
        <w:t> </w:t>
      </w:r>
    </w:p>
    <w:p>
      <w:pPr>
        <w:spacing w:line="140" w:lineRule="exact" w:before="0"/>
        <w:ind w:left="733" w:right="0" w:firstLine="0"/>
        <w:jc w:val="center"/>
        <w:rPr>
          <w:rFonts w:ascii="Cambria Math"/>
          <w:sz w:val="17"/>
        </w:rPr>
      </w:pPr>
      <w:r>
        <w:rPr>
          <w:rFonts w:ascii="Cambria Math"/>
          <w:w w:val="159"/>
          <w:sz w:val="17"/>
        </w:rPr>
        <w:t> </w:t>
      </w:r>
    </w:p>
    <w:p>
      <w:pPr>
        <w:spacing w:line="137" w:lineRule="exact" w:before="0"/>
        <w:ind w:left="662" w:right="0" w:firstLine="0"/>
        <w:jc w:val="center"/>
        <w:rPr>
          <w:rFonts w:ascii="Cambria Math"/>
          <w:sz w:val="17"/>
        </w:rPr>
      </w:pPr>
      <w:r>
        <w:rPr/>
        <w:pict>
          <v:line style="position:absolute;mso-position-horizontal-relative:page;mso-position-vertical-relative:paragraph;z-index:-461872" from="317.709991pt,1.054106pt" to="328.869991pt,1.054106pt" stroked="true" strokeweight=".84001pt" strokecolor="#000000">
            <w10:wrap type="none"/>
          </v:line>
        </w:pict>
      </w:r>
      <w:r>
        <w:rPr>
          <w:rFonts w:ascii="Cambria Math"/>
          <w:spacing w:val="12"/>
          <w:w w:val="225"/>
          <w:position w:val="-8"/>
          <w:sz w:val="24"/>
        </w:rPr>
        <w:t> </w:t>
      </w:r>
      <w:r>
        <w:rPr>
          <w:rFonts w:ascii="Cambria Math"/>
          <w:w w:val="219"/>
          <w:sz w:val="17"/>
        </w:rPr>
        <w:t> </w:t>
      </w:r>
    </w:p>
    <w:p>
      <w:pPr>
        <w:pStyle w:val="BodyText"/>
        <w:tabs>
          <w:tab w:pos="837" w:val="left" w:leader="none"/>
        </w:tabs>
        <w:spacing w:line="191" w:lineRule="exact"/>
        <w:ind w:right="87"/>
        <w:jc w:val="center"/>
        <w:rPr>
          <w:rFonts w:ascii="Cambria Math"/>
          <w:sz w:val="17"/>
        </w:rPr>
      </w:pPr>
      <w:r>
        <w:rPr/>
        <w:pict>
          <v:line style="position:absolute;mso-position-horizontal-relative:page;mso-position-vertical-relative:paragraph;z-index:-461848" from="315.790009pt,8.844100pt" to="330.790009pt,8.844100pt" stroked="true" strokeweight=".84001pt" strokecolor="#000000">
            <w10:wrap type="none"/>
          </v:line>
        </w:pict>
      </w:r>
      <w:r>
        <w:rPr>
          <w:rFonts w:ascii="Cambria Math"/>
          <w:w w:val="227"/>
        </w:rPr>
        <w:t> </w:t>
      </w:r>
      <w:r>
        <w:rPr>
          <w:rFonts w:ascii="Cambria Math"/>
          <w:spacing w:val="-1"/>
          <w:w w:val="227"/>
        </w:rPr>
        <w:t> </w:t>
      </w:r>
      <w:r>
        <w:rPr>
          <w:rFonts w:ascii="Cambria Math"/>
          <w:w w:val="241"/>
        </w:rPr>
        <w:t> </w:t>
      </w:r>
      <w:r>
        <w:rPr>
          <w:rFonts w:ascii="Cambria Math"/>
          <w:spacing w:val="19"/>
        </w:rPr>
        <w:t> </w:t>
      </w:r>
      <w:r>
        <w:rPr>
          <w:rFonts w:ascii="Cambria Math"/>
          <w:w w:val="339"/>
        </w:rPr>
        <w:t> </w:t>
      </w:r>
      <w:r>
        <w:rPr>
          <w:rFonts w:ascii="Cambria Math"/>
        </w:rPr>
        <w:tab/>
      </w:r>
      <w:r>
        <w:rPr>
          <w:rFonts w:ascii="Cambria Math"/>
          <w:w w:val="200"/>
          <w:position w:val="11"/>
          <w:sz w:val="17"/>
        </w:rPr>
        <w:t> </w:t>
      </w:r>
    </w:p>
    <w:p>
      <w:pPr>
        <w:spacing w:line="145" w:lineRule="exact" w:before="0"/>
        <w:ind w:left="660" w:right="0" w:firstLine="0"/>
        <w:jc w:val="center"/>
        <w:rPr>
          <w:rFonts w:ascii="Cambria Math"/>
          <w:sz w:val="17"/>
        </w:rPr>
      </w:pPr>
      <w:r>
        <w:rPr/>
        <w:pict>
          <v:shape style="position:absolute;margin-left:323.829987pt;margin-top:6.162906pt;width:5.8pt;height:8.550pt;mso-position-horizontal-relative:page;mso-position-vertical-relative:paragraph;z-index:-461776" type="#_x0000_t202" filled="false" stroked="false">
            <v:textbox inset="0,0,0,0">
              <w:txbxContent>
                <w:p>
                  <w:pPr>
                    <w:spacing w:line="170" w:lineRule="exact" w:before="0"/>
                    <w:ind w:left="0" w:right="0" w:firstLine="0"/>
                    <w:jc w:val="left"/>
                    <w:rPr>
                      <w:rFonts w:ascii="Cambria Math"/>
                      <w:sz w:val="17"/>
                    </w:rPr>
                  </w:pPr>
                  <w:r>
                    <w:rPr>
                      <w:rFonts w:ascii="Cambria Math"/>
                      <w:w w:val="159"/>
                      <w:sz w:val="17"/>
                      <w:u w:val="single"/>
                    </w:rPr>
                    <w:t> </w:t>
                  </w:r>
                  <w:r>
                    <w:rPr>
                      <w:rFonts w:ascii="Cambria Math"/>
                      <w:spacing w:val="17"/>
                      <w:sz w:val="17"/>
                      <w:u w:val="single"/>
                    </w:rPr>
                    <w:t> </w:t>
                  </w:r>
                </w:p>
              </w:txbxContent>
            </v:textbox>
            <w10:wrap type="none"/>
          </v:shape>
        </w:pict>
      </w:r>
      <w:r>
        <w:rPr>
          <w:rFonts w:ascii="Cambria Math"/>
          <w:spacing w:val="-150"/>
          <w:w w:val="283"/>
          <w:position w:val="-8"/>
          <w:sz w:val="24"/>
        </w:rPr>
        <w:t> </w:t>
      </w:r>
      <w:r>
        <w:rPr>
          <w:w w:val="100"/>
          <w:position w:val="-14"/>
          <w:sz w:val="17"/>
          <w:u w:val="single"/>
        </w:rPr>
        <w:t> </w:t>
      </w:r>
      <w:r>
        <w:rPr>
          <w:position w:val="-14"/>
          <w:sz w:val="17"/>
          <w:u w:val="single"/>
        </w:rPr>
        <w:t> </w:t>
      </w:r>
      <w:r>
        <w:rPr>
          <w:spacing w:val="9"/>
          <w:position w:val="-14"/>
          <w:sz w:val="17"/>
          <w:u w:val="single"/>
        </w:rPr>
        <w:t> </w:t>
      </w:r>
      <w:r>
        <w:rPr>
          <w:spacing w:val="-21"/>
          <w:position w:val="-14"/>
          <w:sz w:val="17"/>
        </w:rPr>
        <w:t> </w:t>
      </w:r>
      <w:r>
        <w:rPr>
          <w:rFonts w:ascii="Cambria Math"/>
          <w:w w:val="219"/>
          <w:sz w:val="17"/>
        </w:rPr>
        <w:t> </w:t>
      </w:r>
    </w:p>
    <w:p>
      <w:pPr>
        <w:spacing w:line="174" w:lineRule="exact" w:before="82"/>
        <w:ind w:left="818" w:right="0" w:firstLine="0"/>
        <w:jc w:val="center"/>
        <w:rPr>
          <w:rFonts w:ascii="Cambria Math"/>
          <w:sz w:val="17"/>
        </w:rPr>
      </w:pPr>
      <w:r>
        <w:rPr/>
        <w:pict>
          <v:shape style="position:absolute;margin-left:316.989990pt;margin-top:7.010727pt;width:7.5pt;height:12pt;mso-position-horizontal-relative:page;mso-position-vertical-relative:paragraph;z-index:-461752" type="#_x0000_t202" filled="false" stroked="false">
            <v:textbox inset="0,0,0,0">
              <w:txbxContent>
                <w:p>
                  <w:pPr>
                    <w:pStyle w:val="BodyText"/>
                    <w:spacing w:line="240" w:lineRule="exact"/>
                    <w:rPr>
                      <w:rFonts w:ascii="Cambria Math"/>
                    </w:rPr>
                  </w:pPr>
                  <w:r>
                    <w:rPr>
                      <w:rFonts w:ascii="Cambria Math"/>
                      <w:w w:val="283"/>
                    </w:rPr>
                    <w:t> </w:t>
                  </w:r>
                </w:p>
              </w:txbxContent>
            </v:textbox>
            <w10:wrap type="none"/>
          </v:shape>
        </w:pict>
      </w:r>
      <w:r>
        <w:rPr>
          <w:rFonts w:ascii="Cambria Math"/>
          <w:w w:val="219"/>
          <w:sz w:val="17"/>
        </w:rPr>
        <w:t> </w:t>
      </w:r>
    </w:p>
    <w:p>
      <w:pPr>
        <w:spacing w:line="174" w:lineRule="exact" w:before="0"/>
        <w:ind w:left="768" w:right="0" w:firstLine="0"/>
        <w:jc w:val="center"/>
        <w:rPr>
          <w:rFonts w:ascii="Cambria Math"/>
          <w:sz w:val="17"/>
        </w:rPr>
      </w:pPr>
      <w:r>
        <w:rPr>
          <w:rFonts w:ascii="Cambria Math"/>
          <w:w w:val="200"/>
          <w:sz w:val="17"/>
        </w:rPr>
        <w:t> </w:t>
      </w:r>
    </w:p>
    <w:p>
      <w:pPr>
        <w:pStyle w:val="BodyText"/>
        <w:rPr>
          <w:rFonts w:ascii="Cambria Math"/>
          <w:sz w:val="19"/>
        </w:rPr>
      </w:pPr>
    </w:p>
    <w:p>
      <w:pPr>
        <w:pStyle w:val="BodyText"/>
        <w:ind w:right="187"/>
        <w:jc w:val="center"/>
      </w:pPr>
      <w:r>
        <w:rPr>
          <w:rFonts w:ascii="Cambria Math" w:hAnsi="Cambria Math"/>
          <w:w w:val="225"/>
        </w:rPr>
        <w:t> </w:t>
      </w:r>
      <w:r>
        <w:rPr>
          <w:rFonts w:ascii="Cambria Math" w:hAnsi="Cambria Math"/>
          <w:w w:val="159"/>
          <w:position w:val="-4"/>
          <w:sz w:val="17"/>
        </w:rPr>
        <w:t> </w:t>
      </w:r>
      <w:r>
        <w:rPr>
          <w:w w:val="200"/>
        </w:rPr>
        <w:t> </w:t>
      </w:r>
      <w:r>
        <w:rPr/>
        <w:t> y       = VA local y estatal en el subsector de actividad respectivamente en el año final.</w:t>
      </w:r>
    </w:p>
    <w:p>
      <w:pPr>
        <w:pStyle w:val="BodyText"/>
        <w:spacing w:before="11"/>
        <w:rPr>
          <w:sz w:val="22"/>
        </w:rPr>
      </w:pPr>
    </w:p>
    <w:p>
      <w:pPr>
        <w:pStyle w:val="BodyText"/>
        <w:ind w:right="233"/>
        <w:jc w:val="center"/>
      </w:pPr>
      <w:r>
        <w:rPr>
          <w:rFonts w:ascii="Cambria Math" w:hAnsi="Cambria Math"/>
          <w:w w:val="225"/>
        </w:rPr>
        <w:t> </w:t>
      </w:r>
      <w:r>
        <w:rPr>
          <w:rFonts w:ascii="Cambria Math" w:hAnsi="Cambria Math"/>
          <w:w w:val="200"/>
          <w:position w:val="-4"/>
          <w:sz w:val="17"/>
        </w:rPr>
        <w:t> </w:t>
      </w:r>
      <w:r>
        <w:rPr>
          <w:w w:val="200"/>
        </w:rPr>
        <w:t> </w:t>
      </w:r>
      <w:r>
        <w:rPr/>
        <w:t> y      = VA local y estatal en el subsector de actividad respectivamente en el año base.</w:t>
      </w:r>
    </w:p>
    <w:p>
      <w:pPr>
        <w:pStyle w:val="BodyText"/>
        <w:rPr>
          <w:sz w:val="26"/>
        </w:rPr>
      </w:pPr>
    </w:p>
    <w:p>
      <w:pPr>
        <w:pStyle w:val="BodyText"/>
        <w:rPr>
          <w:sz w:val="26"/>
        </w:rPr>
      </w:pPr>
    </w:p>
    <w:p>
      <w:pPr>
        <w:pStyle w:val="Heading2"/>
        <w:numPr>
          <w:ilvl w:val="0"/>
          <w:numId w:val="24"/>
        </w:numPr>
        <w:tabs>
          <w:tab w:pos="822" w:val="left" w:leader="none"/>
        </w:tabs>
        <w:spacing w:line="240" w:lineRule="auto" w:before="206" w:after="0"/>
        <w:ind w:left="822" w:right="1223" w:hanging="360"/>
        <w:jc w:val="center"/>
      </w:pPr>
      <w:r>
        <w:rPr/>
        <w:t>Índice de Incremento del Índice de Especialización Local</w:t>
      </w:r>
      <w:r>
        <w:rPr>
          <w:spacing w:val="-11"/>
        </w:rPr>
        <w:t> </w:t>
      </w:r>
      <w:r>
        <w:rPr/>
        <w:t>(IIEL)</w:t>
      </w:r>
    </w:p>
    <w:p>
      <w:pPr>
        <w:pStyle w:val="BodyText"/>
        <w:spacing w:before="134"/>
        <w:ind w:left="102" w:right="121"/>
      </w:pPr>
      <w:r>
        <w:rPr/>
        <w:t>Mide el incremento del índice de especialización local.  Se calcula a través de:</w:t>
      </w:r>
    </w:p>
    <w:p>
      <w:pPr>
        <w:pStyle w:val="BodyText"/>
        <w:rPr>
          <w:sz w:val="20"/>
        </w:rPr>
      </w:pPr>
    </w:p>
    <w:p>
      <w:pPr>
        <w:pStyle w:val="BodyText"/>
        <w:spacing w:before="4"/>
        <w:rPr>
          <w:sz w:val="27"/>
        </w:rPr>
      </w:pPr>
      <w:r>
        <w:rPr/>
        <w:pict>
          <v:line style="position:absolute;mso-position-horizontal-relative:page;mso-position-vertical-relative:paragraph;z-index:5080;mso-wrap-distance-left:0;mso-wrap-distance-right:0" from="314.350006pt,18.145262pt" to="336.670006pt,18.145262pt" stroked="true" strokeweight=".84003pt" strokecolor="#000000">
            <w10:wrap type="topAndBottom"/>
          </v:line>
        </w:pict>
      </w:r>
    </w:p>
    <w:p>
      <w:pPr>
        <w:pStyle w:val="BodyText"/>
        <w:rPr>
          <w:sz w:val="20"/>
        </w:rPr>
      </w:pPr>
    </w:p>
    <w:p>
      <w:pPr>
        <w:pStyle w:val="BodyText"/>
        <w:rPr>
          <w:sz w:val="19"/>
        </w:rPr>
      </w:pPr>
    </w:p>
    <w:p>
      <w:pPr>
        <w:pStyle w:val="BodyText"/>
        <w:spacing w:before="71"/>
        <w:ind w:left="102" w:right="121"/>
      </w:pPr>
      <w:r>
        <w:rPr>
          <w:rFonts w:ascii="Cambria Math" w:hAnsi="Cambria Math"/>
          <w:w w:val="227"/>
        </w:rPr>
        <w:t>  </w:t>
      </w:r>
      <w:r>
        <w:rPr>
          <w:rFonts w:ascii="Cambria Math" w:hAnsi="Cambria Math"/>
          <w:w w:val="241"/>
        </w:rPr>
        <w:t> </w:t>
      </w:r>
      <w:r>
        <w:rPr>
          <w:rFonts w:ascii="Cambria Math" w:hAnsi="Cambria Math"/>
          <w:w w:val="159"/>
          <w:position w:val="-4"/>
          <w:sz w:val="17"/>
        </w:rPr>
        <w:t> </w:t>
      </w:r>
      <w:r>
        <w:rPr>
          <w:w w:val="200"/>
        </w:rPr>
        <w:t> </w:t>
      </w:r>
      <w:r>
        <w:rPr/>
        <w:t> =  ndice de  especialización local del subsector de actividad </w:t>
      </w:r>
      <w:r>
        <w:rPr>
          <w:i/>
        </w:rPr>
        <w:t>i </w:t>
      </w:r>
      <w:r>
        <w:rPr/>
        <w:t>en el año final.</w:t>
      </w:r>
    </w:p>
    <w:p>
      <w:pPr>
        <w:pStyle w:val="BodyText"/>
        <w:rPr>
          <w:sz w:val="25"/>
        </w:rPr>
      </w:pPr>
    </w:p>
    <w:p>
      <w:pPr>
        <w:pStyle w:val="BodyText"/>
        <w:ind w:left="102" w:right="121"/>
      </w:pPr>
      <w:r>
        <w:rPr>
          <w:rFonts w:ascii="Cambria Math" w:hAnsi="Cambria Math"/>
          <w:w w:val="227"/>
        </w:rPr>
        <w:t>  </w:t>
      </w:r>
      <w:r>
        <w:rPr>
          <w:rFonts w:ascii="Cambria Math" w:hAnsi="Cambria Math"/>
          <w:w w:val="241"/>
        </w:rPr>
        <w:t> </w:t>
      </w:r>
      <w:r>
        <w:rPr>
          <w:rFonts w:ascii="Cambria Math" w:hAnsi="Cambria Math"/>
          <w:w w:val="159"/>
          <w:position w:val="-4"/>
          <w:sz w:val="17"/>
        </w:rPr>
        <w:t> </w:t>
      </w:r>
      <w:r>
        <w:rPr>
          <w:rFonts w:ascii="Cambria Math" w:hAnsi="Cambria Math"/>
          <w:position w:val="-4"/>
          <w:sz w:val="17"/>
        </w:rPr>
        <w:t>  </w:t>
      </w:r>
      <w:r>
        <w:rPr/>
        <w:t>=  ndice de  especialización local del subsector de actividad </w:t>
      </w:r>
      <w:r>
        <w:rPr>
          <w:i/>
        </w:rPr>
        <w:t>i </w:t>
      </w:r>
      <w:r>
        <w:rPr/>
        <w:t>en el año base.</w:t>
      </w:r>
    </w:p>
    <w:p>
      <w:pPr>
        <w:pStyle w:val="BodyText"/>
        <w:rPr>
          <w:sz w:val="26"/>
        </w:rPr>
      </w:pPr>
    </w:p>
    <w:p>
      <w:pPr>
        <w:pStyle w:val="BodyText"/>
        <w:rPr>
          <w:sz w:val="26"/>
        </w:rPr>
      </w:pPr>
    </w:p>
    <w:p>
      <w:pPr>
        <w:pStyle w:val="BodyText"/>
        <w:rPr>
          <w:sz w:val="26"/>
        </w:rPr>
      </w:pPr>
    </w:p>
    <w:p>
      <w:pPr>
        <w:pStyle w:val="Heading2"/>
        <w:numPr>
          <w:ilvl w:val="0"/>
          <w:numId w:val="24"/>
        </w:numPr>
        <w:tabs>
          <w:tab w:pos="881" w:val="left" w:leader="none"/>
          <w:tab w:pos="882" w:val="left" w:leader="none"/>
        </w:tabs>
        <w:spacing w:line="240" w:lineRule="auto" w:before="195" w:after="0"/>
        <w:ind w:left="882" w:right="0" w:hanging="420"/>
        <w:jc w:val="left"/>
      </w:pPr>
      <w:r>
        <w:rPr/>
        <w:t>Índice de Posición Competitiva</w:t>
      </w:r>
      <w:r>
        <w:rPr>
          <w:spacing w:val="-11"/>
        </w:rPr>
        <w:t> </w:t>
      </w:r>
      <w:r>
        <w:rPr/>
        <w:t>(IPC)</w:t>
      </w:r>
    </w:p>
    <w:p>
      <w:pPr>
        <w:pStyle w:val="BodyText"/>
        <w:spacing w:line="362" w:lineRule="auto" w:before="132"/>
        <w:ind w:left="102" w:right="688"/>
      </w:pPr>
      <w:r>
        <w:rPr/>
        <w:t>Mide la competencia que existe en cuanto a producción o personal ocupado en los diferentes subsectores de las regiones de estudio. Su fórmula</w:t>
      </w:r>
      <w:r>
        <w:rPr>
          <w:spacing w:val="-11"/>
        </w:rPr>
        <w:t> </w:t>
      </w:r>
      <w:r>
        <w:rPr/>
        <w:t>es:</w:t>
      </w:r>
    </w:p>
    <w:p>
      <w:pPr>
        <w:pStyle w:val="BodyText"/>
        <w:spacing w:before="10"/>
        <w:rPr>
          <w:sz w:val="17"/>
        </w:rPr>
      </w:pPr>
    </w:p>
    <w:p>
      <w:pPr>
        <w:spacing w:after="0"/>
        <w:rPr>
          <w:sz w:val="17"/>
        </w:rPr>
        <w:sectPr>
          <w:pgSz w:w="12240" w:h="15840"/>
          <w:pgMar w:header="0" w:footer="1003" w:top="1340" w:bottom="1200" w:left="1600" w:right="1580"/>
        </w:sectPr>
      </w:pPr>
    </w:p>
    <w:p>
      <w:pPr>
        <w:spacing w:line="44" w:lineRule="exact" w:before="96"/>
        <w:ind w:left="0" w:right="0" w:firstLine="0"/>
        <w:jc w:val="right"/>
        <w:rPr>
          <w:rFonts w:ascii="Cambria Math" w:hAnsi="Cambria Math"/>
          <w:sz w:val="17"/>
        </w:rPr>
      </w:pPr>
      <w:r>
        <w:rPr>
          <w:rFonts w:ascii="Cambria Math" w:hAnsi="Cambria Math"/>
          <w:w w:val="219"/>
          <w:position w:val="10"/>
          <w:sz w:val="17"/>
        </w:rPr>
        <w:t> </w:t>
      </w:r>
      <w:r>
        <w:rPr>
          <w:rFonts w:ascii="Cambria Math" w:hAnsi="Cambria Math"/>
          <w:position w:val="1"/>
          <w:sz w:val="24"/>
        </w:rPr>
        <w:t>⁄</w:t>
      </w:r>
      <w:r>
        <w:rPr>
          <w:rFonts w:ascii="Cambria Math" w:hAnsi="Cambria Math"/>
          <w:w w:val="225"/>
          <w:sz w:val="24"/>
        </w:rPr>
        <w:t> </w:t>
      </w:r>
      <w:r>
        <w:rPr>
          <w:rFonts w:ascii="Cambria Math" w:hAnsi="Cambria Math"/>
          <w:w w:val="159"/>
          <w:position w:val="-4"/>
          <w:sz w:val="17"/>
        </w:rPr>
        <w:t> </w:t>
      </w:r>
    </w:p>
    <w:p>
      <w:pPr>
        <w:spacing w:line="38" w:lineRule="exact" w:before="101"/>
        <w:ind w:left="1724" w:right="0" w:firstLine="0"/>
        <w:jc w:val="left"/>
        <w:rPr>
          <w:rFonts w:ascii="Cambria Math" w:hAnsi="Cambria Math"/>
          <w:sz w:val="17"/>
        </w:rPr>
      </w:pPr>
      <w:r>
        <w:rPr/>
        <w:br w:type="column"/>
      </w:r>
      <w:r>
        <w:rPr>
          <w:rFonts w:ascii="Cambria Math" w:hAnsi="Cambria Math"/>
          <w:w w:val="225"/>
          <w:position w:val="5"/>
          <w:sz w:val="24"/>
        </w:rPr>
        <w:t> </w:t>
      </w:r>
      <w:r>
        <w:rPr>
          <w:rFonts w:ascii="Cambria Math" w:hAnsi="Cambria Math"/>
          <w:w w:val="159"/>
          <w:sz w:val="17"/>
        </w:rPr>
        <w:t> </w:t>
      </w:r>
      <w:r>
        <w:rPr>
          <w:rFonts w:ascii="Cambria Math" w:hAnsi="Cambria Math"/>
          <w:position w:val="6"/>
          <w:sz w:val="24"/>
        </w:rPr>
        <w:t>⁄</w:t>
      </w:r>
      <w:r>
        <w:rPr>
          <w:rFonts w:ascii="Cambria Math" w:hAnsi="Cambria Math"/>
          <w:w w:val="225"/>
          <w:position w:val="5"/>
          <w:sz w:val="24"/>
        </w:rPr>
        <w:t> </w:t>
      </w:r>
      <w:r>
        <w:rPr>
          <w:rFonts w:ascii="Cambria Math" w:hAnsi="Cambria Math"/>
          <w:w w:val="159"/>
          <w:sz w:val="17"/>
        </w:rPr>
        <w:t> </w:t>
      </w:r>
      <w:r>
        <w:rPr>
          <w:rFonts w:ascii="Cambria Math" w:hAnsi="Cambria Math"/>
          <w:w w:val="331"/>
          <w:sz w:val="17"/>
        </w:rPr>
        <w:t> </w:t>
      </w:r>
      <w:r>
        <w:rPr>
          <w:rFonts w:ascii="Cambria Math" w:hAnsi="Cambria Math"/>
          <w:w w:val="263"/>
          <w:sz w:val="17"/>
        </w:rPr>
        <w:t> </w:t>
      </w:r>
    </w:p>
    <w:p>
      <w:pPr>
        <w:spacing w:after="0" w:line="38" w:lineRule="exact"/>
        <w:jc w:val="left"/>
        <w:rPr>
          <w:rFonts w:ascii="Cambria Math" w:hAnsi="Cambria Math"/>
          <w:sz w:val="17"/>
        </w:rPr>
        <w:sectPr>
          <w:type w:val="continuous"/>
          <w:pgSz w:w="12240" w:h="15840"/>
          <w:pgMar w:top="500" w:bottom="1200" w:left="1600" w:right="1580"/>
          <w:cols w:num="2" w:equalWidth="0">
            <w:col w:w="3633" w:space="40"/>
            <w:col w:w="5387"/>
          </w:cols>
        </w:sectPr>
      </w:pPr>
    </w:p>
    <w:p>
      <w:pPr>
        <w:pStyle w:val="BodyText"/>
        <w:tabs>
          <w:tab w:pos="3599" w:val="left" w:leader="none"/>
        </w:tabs>
        <w:spacing w:line="134" w:lineRule="exact" w:before="105"/>
        <w:ind w:left="1878"/>
        <w:rPr>
          <w:rFonts w:ascii="Cambria Math" w:hAnsi="Cambria Math"/>
        </w:rPr>
      </w:pPr>
      <w:r>
        <w:rPr>
          <w:rFonts w:ascii="Cambria Math" w:hAnsi="Cambria Math"/>
          <w:w w:val="241"/>
        </w:rPr>
        <w:t>   </w:t>
      </w:r>
      <w:r>
        <w:rPr>
          <w:rFonts w:ascii="Cambria Math" w:hAnsi="Cambria Math"/>
          <w:spacing w:val="24"/>
        </w:rPr>
        <w:t> </w:t>
      </w:r>
      <w:r>
        <w:rPr>
          <w:rFonts w:ascii="Cambria Math" w:hAnsi="Cambria Math"/>
          <w:w w:val="339"/>
        </w:rPr>
        <w:t> </w:t>
      </w:r>
      <w:r>
        <w:rPr>
          <w:rFonts w:ascii="Cambria Math" w:hAnsi="Cambria Math"/>
          <w:spacing w:val="15"/>
        </w:rPr>
        <w:t> </w:t>
      </w:r>
      <w:r>
        <w:rPr>
          <w:rFonts w:ascii="Cambria Math" w:hAnsi="Cambria Math"/>
          <w:spacing w:val="-1"/>
          <w:w w:val="251"/>
        </w:rPr>
        <w:t> </w:t>
      </w:r>
      <w:r>
        <w:rPr>
          <w:rFonts w:ascii="Cambria Math" w:hAnsi="Cambria Math"/>
          <w:spacing w:val="1"/>
          <w:w w:val="93"/>
        </w:rPr>
        <w:t> </w:t>
      </w:r>
      <w:r>
        <w:rPr>
          <w:rFonts w:ascii="Cambria Math" w:hAnsi="Cambria Math"/>
          <w:w w:val="251"/>
        </w:rPr>
        <w:t> </w:t>
      </w:r>
      <w:r>
        <w:rPr>
          <w:rFonts w:ascii="Cambria Math" w:hAnsi="Cambria Math"/>
          <w:spacing w:val="-16"/>
        </w:rPr>
        <w:t> </w:t>
      </w:r>
      <w:r>
        <w:rPr>
          <w:rFonts w:ascii="Cambria Math" w:hAnsi="Cambria Math"/>
          <w:w w:val="155"/>
        </w:rPr>
        <w:t>(</w:t>
      </w:r>
      <w:r>
        <w:rPr>
          <w:rFonts w:ascii="Cambria Math" w:hAnsi="Cambria Math"/>
          <w:w w:val="155"/>
          <w:position w:val="8"/>
          <w:sz w:val="17"/>
        </w:rPr>
        <w:tab/>
      </w:r>
      <w:r>
        <w:rPr>
          <w:rFonts w:ascii="Cambria Math" w:hAnsi="Cambria Math"/>
          <w:w w:val="145"/>
        </w:rPr>
        <w:t>⁄</w:t>
      </w:r>
    </w:p>
    <w:p>
      <w:pPr>
        <w:pStyle w:val="BodyText"/>
        <w:tabs>
          <w:tab w:pos="2244" w:val="left" w:leader="none"/>
          <w:tab w:pos="3168" w:val="left" w:leader="none"/>
        </w:tabs>
        <w:spacing w:line="139" w:lineRule="exact" w:before="101"/>
        <w:ind w:left="545"/>
        <w:rPr>
          <w:rFonts w:ascii="Cambria Math" w:hAnsi="Cambria Math"/>
        </w:rPr>
      </w:pPr>
      <w:r>
        <w:rPr/>
        <w:br w:type="column"/>
      </w:r>
      <w:r>
        <w:rPr>
          <w:rFonts w:ascii="Cambria Math" w:hAnsi="Cambria Math"/>
          <w:w w:val="160"/>
        </w:rPr>
        <w:t>)       </w:t>
      </w:r>
      <w:r>
        <w:rPr>
          <w:rFonts w:ascii="Cambria Math" w:hAnsi="Cambria Math"/>
          <w:spacing w:val="22"/>
          <w:w w:val="160"/>
        </w:rPr>
        <w:t> </w:t>
      </w:r>
      <w:r>
        <w:rPr>
          <w:rFonts w:ascii="Cambria Math" w:hAnsi="Cambria Math"/>
          <w:w w:val="160"/>
        </w:rPr>
        <w:t>(</w:t>
        <w:tab/>
        <w:t>⁄</w:t>
        <w:tab/>
        <w:t>)</w:t>
      </w:r>
    </w:p>
    <w:p>
      <w:pPr>
        <w:spacing w:after="0" w:line="139" w:lineRule="exact"/>
        <w:rPr>
          <w:rFonts w:ascii="Cambria Math" w:hAnsi="Cambria Math"/>
        </w:rPr>
        <w:sectPr>
          <w:type w:val="continuous"/>
          <w:pgSz w:w="12240" w:h="15840"/>
          <w:pgMar w:top="500" w:bottom="1200" w:left="1600" w:right="1580"/>
          <w:cols w:num="2" w:equalWidth="0">
            <w:col w:w="3793" w:space="40"/>
            <w:col w:w="5227"/>
          </w:cols>
        </w:sectPr>
      </w:pPr>
    </w:p>
    <w:p>
      <w:pPr>
        <w:spacing w:line="247" w:lineRule="exact" w:before="0"/>
        <w:ind w:left="0" w:right="0" w:firstLine="0"/>
        <w:jc w:val="right"/>
        <w:rPr>
          <w:rFonts w:ascii="Cambria Math" w:hAnsi="Cambria Math"/>
          <w:sz w:val="17"/>
        </w:rPr>
      </w:pPr>
      <w:r>
        <w:rPr>
          <w:rFonts w:ascii="Cambria Math" w:hAnsi="Cambria Math"/>
          <w:w w:val="283"/>
          <w:sz w:val="24"/>
        </w:rPr>
        <w:t> </w:t>
      </w:r>
      <w:r>
        <w:rPr>
          <w:rFonts w:ascii="Cambria Math" w:hAnsi="Cambria Math"/>
          <w:w w:val="159"/>
          <w:position w:val="-5"/>
          <w:sz w:val="17"/>
        </w:rPr>
        <w:t> </w:t>
      </w:r>
      <w:r>
        <w:rPr>
          <w:rFonts w:ascii="Cambria Math" w:hAnsi="Cambria Math"/>
          <w:position w:val="-5"/>
          <w:sz w:val="17"/>
        </w:rPr>
        <w:t>  </w:t>
      </w:r>
      <w:r>
        <w:rPr>
          <w:rFonts w:ascii="Cambria Math" w:hAnsi="Cambria Math"/>
          <w:position w:val="1"/>
          <w:sz w:val="24"/>
        </w:rPr>
        <w:t>⁄</w:t>
      </w:r>
      <w:r>
        <w:rPr>
          <w:rFonts w:ascii="Cambria Math" w:hAnsi="Cambria Math"/>
          <w:w w:val="283"/>
          <w:sz w:val="24"/>
        </w:rPr>
        <w:t> </w:t>
      </w:r>
      <w:r>
        <w:rPr>
          <w:rFonts w:ascii="Cambria Math" w:hAnsi="Cambria Math"/>
          <w:w w:val="159"/>
          <w:position w:val="-4"/>
          <w:sz w:val="17"/>
        </w:rPr>
        <w:t> </w:t>
      </w:r>
    </w:p>
    <w:p>
      <w:pPr>
        <w:spacing w:line="252" w:lineRule="exact" w:before="0"/>
        <w:ind w:left="2015" w:right="2260" w:firstLine="0"/>
        <w:jc w:val="center"/>
        <w:rPr>
          <w:rFonts w:ascii="Cambria Math" w:hAnsi="Cambria Math"/>
          <w:sz w:val="17"/>
        </w:rPr>
      </w:pPr>
      <w:r>
        <w:rPr/>
        <w:br w:type="column"/>
      </w:r>
      <w:r>
        <w:rPr>
          <w:rFonts w:ascii="Cambria Math" w:hAnsi="Cambria Math"/>
          <w:w w:val="283"/>
          <w:position w:val="5"/>
          <w:sz w:val="24"/>
        </w:rPr>
        <w:t> </w:t>
      </w:r>
      <w:r>
        <w:rPr>
          <w:rFonts w:ascii="Cambria Math" w:hAnsi="Cambria Math"/>
          <w:w w:val="159"/>
          <w:sz w:val="17"/>
        </w:rPr>
        <w:t> </w:t>
      </w:r>
      <w:r>
        <w:rPr>
          <w:rFonts w:ascii="Cambria Math" w:hAnsi="Cambria Math"/>
          <w:position w:val="6"/>
          <w:sz w:val="24"/>
        </w:rPr>
        <w:t>⁄</w:t>
      </w:r>
      <w:r>
        <w:rPr>
          <w:rFonts w:ascii="Cambria Math" w:hAnsi="Cambria Math"/>
          <w:w w:val="283"/>
          <w:position w:val="5"/>
          <w:sz w:val="24"/>
        </w:rPr>
        <w:t> </w:t>
      </w:r>
      <w:r>
        <w:rPr>
          <w:rFonts w:ascii="Cambria Math" w:hAnsi="Cambria Math"/>
          <w:w w:val="159"/>
          <w:sz w:val="17"/>
        </w:rPr>
        <w:t> </w:t>
      </w:r>
      <w:r>
        <w:rPr>
          <w:rFonts w:ascii="Cambria Math" w:hAnsi="Cambria Math"/>
          <w:w w:val="331"/>
          <w:sz w:val="17"/>
        </w:rPr>
        <w:t> </w:t>
      </w:r>
      <w:r>
        <w:rPr>
          <w:rFonts w:ascii="Cambria Math" w:hAnsi="Cambria Math"/>
          <w:w w:val="263"/>
          <w:sz w:val="17"/>
        </w:rPr>
        <w:t> </w:t>
      </w:r>
    </w:p>
    <w:p>
      <w:pPr>
        <w:spacing w:after="0" w:line="252" w:lineRule="exact"/>
        <w:jc w:val="center"/>
        <w:rPr>
          <w:rFonts w:ascii="Cambria Math" w:hAnsi="Cambria Math"/>
          <w:sz w:val="17"/>
        </w:rPr>
        <w:sectPr>
          <w:type w:val="continuous"/>
          <w:pgSz w:w="12240" w:h="15840"/>
          <w:pgMar w:top="500" w:bottom="1200" w:left="1600" w:right="1580"/>
          <w:cols w:num="2" w:equalWidth="0">
            <w:col w:w="4361" w:space="40"/>
            <w:col w:w="4659"/>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3"/>
        <w:rPr>
          <w:rFonts w:ascii="Cambria Math"/>
          <w:sz w:val="20"/>
        </w:rPr>
      </w:pPr>
    </w:p>
    <w:p>
      <w:pPr>
        <w:pStyle w:val="BodyText"/>
        <w:spacing w:before="71"/>
        <w:ind w:left="102" w:right="121"/>
      </w:pPr>
      <w:r>
        <w:rPr>
          <w:rFonts w:ascii="Cambria Math" w:hAnsi="Cambria Math"/>
          <w:w w:val="225"/>
        </w:rPr>
        <w:t> </w:t>
      </w:r>
      <w:r>
        <w:rPr>
          <w:rFonts w:ascii="Cambria Math" w:hAnsi="Cambria Math"/>
          <w:w w:val="159"/>
          <w:position w:val="-4"/>
          <w:sz w:val="17"/>
        </w:rPr>
        <w:t> </w:t>
      </w:r>
      <w:r>
        <w:rPr>
          <w:rFonts w:ascii="Cambria Math" w:hAnsi="Cambria Math"/>
          <w:position w:val="-4"/>
          <w:sz w:val="17"/>
        </w:rPr>
        <w:t>  </w:t>
      </w:r>
      <w:r>
        <w:rPr/>
        <w:t>y     = VA local  y estatal en el subsector de actividad </w:t>
      </w:r>
      <w:r>
        <w:rPr>
          <w:i/>
        </w:rPr>
        <w:t>i</w:t>
      </w:r>
      <w:r>
        <w:rPr/>
        <w:t>, respectivamente en el año base.</w:t>
      </w:r>
    </w:p>
    <w:p>
      <w:pPr>
        <w:spacing w:after="0"/>
        <w:sectPr>
          <w:type w:val="continuous"/>
          <w:pgSz w:w="12240" w:h="15840"/>
          <w:pgMar w:top="500" w:bottom="1200" w:left="1600" w:right="1580"/>
        </w:sectPr>
      </w:pPr>
    </w:p>
    <w:p>
      <w:pPr>
        <w:pStyle w:val="BodyText"/>
        <w:spacing w:before="95"/>
        <w:ind w:left="102" w:right="99"/>
      </w:pPr>
      <w:r>
        <w:rPr/>
        <w:pict>
          <v:shape style="position:absolute;margin-left:121.940002pt;margin-top:11.94768pt;width:3pt;height:8.550pt;mso-position-horizontal-relative:page;mso-position-vertical-relative:paragraph;z-index:-461728" type="#_x0000_t202" filled="false" stroked="false">
            <v:textbox inset="0,0,0,0">
              <w:txbxContent>
                <w:p>
                  <w:pPr>
                    <w:spacing w:line="170" w:lineRule="exact" w:before="0"/>
                    <w:ind w:left="0" w:right="0" w:firstLine="0"/>
                    <w:jc w:val="left"/>
                    <w:rPr>
                      <w:rFonts w:ascii="Cambria Math"/>
                      <w:sz w:val="17"/>
                    </w:rPr>
                  </w:pPr>
                  <w:r>
                    <w:rPr>
                      <w:rFonts w:ascii="Cambria Math"/>
                      <w:w w:val="159"/>
                      <w:sz w:val="17"/>
                    </w:rPr>
                    <w:t> </w:t>
                  </w:r>
                </w:p>
              </w:txbxContent>
            </v:textbox>
            <w10:wrap type="none"/>
          </v:shape>
        </w:pict>
      </w:r>
      <w:r>
        <w:rPr>
          <w:rFonts w:ascii="Cambria Math"/>
          <w:w w:val="225"/>
        </w:rPr>
        <w:t> </w:t>
      </w:r>
      <w:r>
        <w:rPr>
          <w:rFonts w:ascii="Cambria Math"/>
          <w:w w:val="159"/>
          <w:position w:val="-4"/>
          <w:sz w:val="17"/>
        </w:rPr>
        <w:t> </w:t>
      </w:r>
      <w:r>
        <w:rPr>
          <w:w w:val="200"/>
        </w:rPr>
        <w:t> </w:t>
      </w:r>
      <w:r>
        <w:rPr/>
        <w:t> y       = VA local  y estatal en el subsector de actividad i, respectivamente en el final.</w:t>
      </w:r>
    </w:p>
    <w:p>
      <w:pPr>
        <w:pStyle w:val="BodyText"/>
        <w:spacing w:before="9"/>
        <w:rPr>
          <w:sz w:val="23"/>
        </w:rPr>
      </w:pPr>
    </w:p>
    <w:p>
      <w:pPr>
        <w:pStyle w:val="BodyText"/>
        <w:spacing w:line="472" w:lineRule="auto"/>
        <w:ind w:left="102" w:right="99"/>
      </w:pPr>
      <w:r>
        <w:rPr>
          <w:rFonts w:ascii="Cambria Math" w:hAnsi="Cambria Math"/>
          <w:w w:val="225"/>
        </w:rPr>
        <w:t> </w:t>
      </w:r>
      <w:r>
        <w:rPr>
          <w:rFonts w:ascii="Cambria Math" w:hAnsi="Cambria Math"/>
          <w:w w:val="159"/>
          <w:position w:val="-4"/>
          <w:sz w:val="17"/>
        </w:rPr>
        <w:t> </w:t>
      </w:r>
      <w:r>
        <w:rPr>
          <w:rFonts w:ascii="Cambria Math" w:hAnsi="Cambria Math"/>
          <w:w w:val="331"/>
          <w:position w:val="-4"/>
          <w:sz w:val="17"/>
        </w:rPr>
        <w:t> </w:t>
      </w:r>
      <w:r>
        <w:rPr>
          <w:rFonts w:ascii="Cambria Math" w:hAnsi="Cambria Math"/>
          <w:w w:val="263"/>
          <w:position w:val="-4"/>
          <w:sz w:val="17"/>
        </w:rPr>
        <w:t> </w:t>
      </w:r>
      <w:r>
        <w:rPr>
          <w:rFonts w:ascii="Cambria Math" w:hAnsi="Cambria Math"/>
          <w:position w:val="-4"/>
          <w:sz w:val="17"/>
        </w:rPr>
        <w:t>  </w:t>
      </w:r>
      <w:r>
        <w:rPr>
          <w:i/>
        </w:rPr>
        <w:t>y       </w:t>
      </w:r>
      <w:r>
        <w:rPr/>
        <w:t>= VA local  y estatal en el subsector de actividad i, respectivamente en el año anterior al año base.</w:t>
      </w:r>
    </w:p>
    <w:p>
      <w:pPr>
        <w:spacing w:after="0" w:line="472" w:lineRule="auto"/>
        <w:sectPr>
          <w:footerReference w:type="default" r:id="rId69"/>
          <w:pgSz w:w="12240" w:h="15840"/>
          <w:pgMar w:footer="943" w:header="0" w:top="1320" w:bottom="1140" w:left="1600" w:right="1040"/>
          <w:pgNumType w:start="180"/>
        </w:sectPr>
      </w:pPr>
    </w:p>
    <w:p>
      <w:pPr>
        <w:pStyle w:val="Heading1"/>
      </w:pPr>
      <w:r>
        <w:rPr/>
        <w:t>ANEXO 1</w:t>
      </w:r>
    </w:p>
    <w:p>
      <w:pPr>
        <w:spacing w:before="122"/>
        <w:ind w:left="577" w:right="597" w:firstLine="0"/>
        <w:jc w:val="center"/>
        <w:rPr>
          <w:b/>
          <w:sz w:val="28"/>
        </w:rPr>
      </w:pPr>
      <w:r>
        <w:rPr>
          <w:b/>
          <w:sz w:val="28"/>
        </w:rPr>
        <w:t>Mapas de Especialización Productiva</w:t>
      </w:r>
    </w:p>
    <w:p>
      <w:pPr>
        <w:pStyle w:val="BodyText"/>
        <w:rPr>
          <w:b/>
          <w:sz w:val="20"/>
        </w:rPr>
      </w:pPr>
    </w:p>
    <w:p>
      <w:pPr>
        <w:pStyle w:val="BodyText"/>
        <w:spacing w:before="6"/>
        <w:rPr>
          <w:b/>
          <w:sz w:val="25"/>
        </w:rPr>
      </w:pPr>
      <w:r>
        <w:rPr/>
        <w:drawing>
          <wp:anchor distT="0" distB="0" distL="0" distR="0" allowOverlap="1" layoutInCell="1" locked="0" behindDoc="0" simplePos="0" relativeHeight="5272">
            <wp:simplePos x="0" y="0"/>
            <wp:positionH relativeFrom="page">
              <wp:posOffset>1080135</wp:posOffset>
            </wp:positionH>
            <wp:positionV relativeFrom="paragraph">
              <wp:posOffset>211488</wp:posOffset>
            </wp:positionV>
            <wp:extent cx="4497581" cy="3197732"/>
            <wp:effectExtent l="0" t="0" r="0" b="0"/>
            <wp:wrapTopAndBottom/>
            <wp:docPr id="9" name="image17.jpeg" descr=""/>
            <wp:cNvGraphicFramePr>
              <a:graphicFrameLocks noChangeAspect="1"/>
            </wp:cNvGraphicFramePr>
            <a:graphic>
              <a:graphicData uri="http://schemas.openxmlformats.org/drawingml/2006/picture">
                <pic:pic>
                  <pic:nvPicPr>
                    <pic:cNvPr id="10" name="image17.jpeg"/>
                    <pic:cNvPicPr/>
                  </pic:nvPicPr>
                  <pic:blipFill>
                    <a:blip r:embed="rId70" cstate="print"/>
                    <a:stretch>
                      <a:fillRect/>
                    </a:stretch>
                  </pic:blipFill>
                  <pic:spPr>
                    <a:xfrm>
                      <a:off x="0" y="0"/>
                      <a:ext cx="4497581" cy="3197732"/>
                    </a:xfrm>
                    <a:prstGeom prst="rect">
                      <a:avLst/>
                    </a:prstGeom>
                  </pic:spPr>
                </pic:pic>
              </a:graphicData>
            </a:graphic>
          </wp:anchor>
        </w:drawing>
      </w:r>
    </w:p>
    <w:p>
      <w:pPr>
        <w:pStyle w:val="BodyText"/>
        <w:rPr>
          <w:b/>
          <w:sz w:val="20"/>
        </w:rPr>
      </w:pPr>
    </w:p>
    <w:p>
      <w:pPr>
        <w:pStyle w:val="BodyText"/>
        <w:rPr>
          <w:b/>
          <w:sz w:val="20"/>
        </w:rPr>
      </w:pPr>
    </w:p>
    <w:p>
      <w:pPr>
        <w:pStyle w:val="BodyText"/>
        <w:spacing w:before="1"/>
        <w:rPr>
          <w:b/>
          <w:sz w:val="23"/>
        </w:rPr>
      </w:pPr>
      <w:r>
        <w:rPr/>
        <w:drawing>
          <wp:anchor distT="0" distB="0" distL="0" distR="0" allowOverlap="1" layoutInCell="1" locked="0" behindDoc="0" simplePos="0" relativeHeight="5296">
            <wp:simplePos x="0" y="0"/>
            <wp:positionH relativeFrom="page">
              <wp:posOffset>1080135</wp:posOffset>
            </wp:positionH>
            <wp:positionV relativeFrom="paragraph">
              <wp:posOffset>193572</wp:posOffset>
            </wp:positionV>
            <wp:extent cx="4461979" cy="3329844"/>
            <wp:effectExtent l="0" t="0" r="0" b="0"/>
            <wp:wrapTopAndBottom/>
            <wp:docPr id="11" name="image18.jpeg" descr=""/>
            <wp:cNvGraphicFramePr>
              <a:graphicFrameLocks noChangeAspect="1"/>
            </wp:cNvGraphicFramePr>
            <a:graphic>
              <a:graphicData uri="http://schemas.openxmlformats.org/drawingml/2006/picture">
                <pic:pic>
                  <pic:nvPicPr>
                    <pic:cNvPr id="12" name="image18.jpeg"/>
                    <pic:cNvPicPr/>
                  </pic:nvPicPr>
                  <pic:blipFill>
                    <a:blip r:embed="rId71" cstate="print"/>
                    <a:stretch>
                      <a:fillRect/>
                    </a:stretch>
                  </pic:blipFill>
                  <pic:spPr>
                    <a:xfrm>
                      <a:off x="0" y="0"/>
                      <a:ext cx="4461979" cy="3329844"/>
                    </a:xfrm>
                    <a:prstGeom prst="rect">
                      <a:avLst/>
                    </a:prstGeom>
                  </pic:spPr>
                </pic:pic>
              </a:graphicData>
            </a:graphic>
          </wp:anchor>
        </w:drawing>
      </w:r>
    </w:p>
    <w:p>
      <w:pPr>
        <w:spacing w:after="0"/>
        <w:rPr>
          <w:sz w:val="23"/>
        </w:rPr>
        <w:sectPr>
          <w:pgSz w:w="12240" w:h="15840"/>
          <w:pgMar w:header="0" w:footer="943" w:top="1360" w:bottom="1200" w:left="1600" w:right="1580"/>
        </w:sectPr>
      </w:pPr>
    </w:p>
    <w:p>
      <w:pPr>
        <w:pStyle w:val="BodyText"/>
        <w:rPr>
          <w:sz w:val="20"/>
        </w:rPr>
      </w:pPr>
    </w:p>
    <w:p>
      <w:pPr>
        <w:pStyle w:val="BodyText"/>
        <w:spacing w:before="8" w:after="1"/>
        <w:rPr>
          <w:sz w:val="17"/>
        </w:rPr>
      </w:pPr>
    </w:p>
    <w:p>
      <w:pPr>
        <w:pStyle w:val="BodyText"/>
        <w:ind w:left="101"/>
        <w:rPr>
          <w:sz w:val="20"/>
        </w:rPr>
      </w:pPr>
      <w:r>
        <w:rPr>
          <w:sz w:val="20"/>
        </w:rPr>
        <w:drawing>
          <wp:inline distT="0" distB="0" distL="0" distR="0">
            <wp:extent cx="4609374" cy="3445002"/>
            <wp:effectExtent l="0" t="0" r="0" b="0"/>
            <wp:docPr id="13" name="image19.jpeg" descr=""/>
            <wp:cNvGraphicFramePr>
              <a:graphicFrameLocks noChangeAspect="1"/>
            </wp:cNvGraphicFramePr>
            <a:graphic>
              <a:graphicData uri="http://schemas.openxmlformats.org/drawingml/2006/picture">
                <pic:pic>
                  <pic:nvPicPr>
                    <pic:cNvPr id="14" name="image19.jpeg"/>
                    <pic:cNvPicPr/>
                  </pic:nvPicPr>
                  <pic:blipFill>
                    <a:blip r:embed="rId72" cstate="print"/>
                    <a:stretch>
                      <a:fillRect/>
                    </a:stretch>
                  </pic:blipFill>
                  <pic:spPr>
                    <a:xfrm>
                      <a:off x="0" y="0"/>
                      <a:ext cx="4609374" cy="3445002"/>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9"/>
        <w:rPr>
          <w:sz w:val="17"/>
        </w:rPr>
      </w:pPr>
      <w:r>
        <w:rPr/>
        <w:drawing>
          <wp:anchor distT="0" distB="0" distL="0" distR="0" allowOverlap="1" layoutInCell="1" locked="0" behindDoc="0" simplePos="0" relativeHeight="5320">
            <wp:simplePos x="0" y="0"/>
            <wp:positionH relativeFrom="page">
              <wp:posOffset>1080135</wp:posOffset>
            </wp:positionH>
            <wp:positionV relativeFrom="paragraph">
              <wp:posOffset>154710</wp:posOffset>
            </wp:positionV>
            <wp:extent cx="4431396" cy="3104578"/>
            <wp:effectExtent l="0" t="0" r="0" b="0"/>
            <wp:wrapTopAndBottom/>
            <wp:docPr id="15" name="image20.jpeg" descr=""/>
            <wp:cNvGraphicFramePr>
              <a:graphicFrameLocks noChangeAspect="1"/>
            </wp:cNvGraphicFramePr>
            <a:graphic>
              <a:graphicData uri="http://schemas.openxmlformats.org/drawingml/2006/picture">
                <pic:pic>
                  <pic:nvPicPr>
                    <pic:cNvPr id="16" name="image20.jpeg"/>
                    <pic:cNvPicPr/>
                  </pic:nvPicPr>
                  <pic:blipFill>
                    <a:blip r:embed="rId73" cstate="print"/>
                    <a:stretch>
                      <a:fillRect/>
                    </a:stretch>
                  </pic:blipFill>
                  <pic:spPr>
                    <a:xfrm>
                      <a:off x="0" y="0"/>
                      <a:ext cx="4431396" cy="3104578"/>
                    </a:xfrm>
                    <a:prstGeom prst="rect">
                      <a:avLst/>
                    </a:prstGeom>
                  </pic:spPr>
                </pic:pic>
              </a:graphicData>
            </a:graphic>
          </wp:anchor>
        </w:drawing>
      </w:r>
    </w:p>
    <w:p>
      <w:pPr>
        <w:spacing w:after="0"/>
        <w:rPr>
          <w:sz w:val="17"/>
        </w:rPr>
        <w:sectPr>
          <w:pgSz w:w="12240" w:h="15840"/>
          <w:pgMar w:header="0" w:footer="943" w:top="1500" w:bottom="1140" w:left="1600" w:right="1580"/>
        </w:sectPr>
      </w:pPr>
    </w:p>
    <w:p>
      <w:pPr>
        <w:pStyle w:val="BodyText"/>
        <w:ind w:left="101"/>
        <w:rPr>
          <w:sz w:val="20"/>
        </w:rPr>
      </w:pPr>
      <w:r>
        <w:rPr>
          <w:sz w:val="20"/>
        </w:rPr>
        <w:drawing>
          <wp:inline distT="0" distB="0" distL="0" distR="0">
            <wp:extent cx="4521190" cy="3168396"/>
            <wp:effectExtent l="0" t="0" r="0" b="0"/>
            <wp:docPr id="17" name="image21.jpeg" descr=""/>
            <wp:cNvGraphicFramePr>
              <a:graphicFrameLocks noChangeAspect="1"/>
            </wp:cNvGraphicFramePr>
            <a:graphic>
              <a:graphicData uri="http://schemas.openxmlformats.org/drawingml/2006/picture">
                <pic:pic>
                  <pic:nvPicPr>
                    <pic:cNvPr id="18" name="image21.jpeg"/>
                    <pic:cNvPicPr/>
                  </pic:nvPicPr>
                  <pic:blipFill>
                    <a:blip r:embed="rId74" cstate="print"/>
                    <a:stretch>
                      <a:fillRect/>
                    </a:stretch>
                  </pic:blipFill>
                  <pic:spPr>
                    <a:xfrm>
                      <a:off x="0" y="0"/>
                      <a:ext cx="4521190" cy="3168396"/>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6"/>
        <w:rPr>
          <w:sz w:val="21"/>
        </w:rPr>
      </w:pPr>
      <w:r>
        <w:rPr/>
        <w:drawing>
          <wp:anchor distT="0" distB="0" distL="0" distR="0" allowOverlap="1" layoutInCell="1" locked="0" behindDoc="0" simplePos="0" relativeHeight="5344">
            <wp:simplePos x="0" y="0"/>
            <wp:positionH relativeFrom="page">
              <wp:posOffset>1080135</wp:posOffset>
            </wp:positionH>
            <wp:positionV relativeFrom="paragraph">
              <wp:posOffset>182142</wp:posOffset>
            </wp:positionV>
            <wp:extent cx="4431574" cy="3104578"/>
            <wp:effectExtent l="0" t="0" r="0" b="0"/>
            <wp:wrapTopAndBottom/>
            <wp:docPr id="19" name="image22.jpeg" descr=""/>
            <wp:cNvGraphicFramePr>
              <a:graphicFrameLocks noChangeAspect="1"/>
            </wp:cNvGraphicFramePr>
            <a:graphic>
              <a:graphicData uri="http://schemas.openxmlformats.org/drawingml/2006/picture">
                <pic:pic>
                  <pic:nvPicPr>
                    <pic:cNvPr id="20" name="image22.jpeg"/>
                    <pic:cNvPicPr/>
                  </pic:nvPicPr>
                  <pic:blipFill>
                    <a:blip r:embed="rId75" cstate="print"/>
                    <a:stretch>
                      <a:fillRect/>
                    </a:stretch>
                  </pic:blipFill>
                  <pic:spPr>
                    <a:xfrm>
                      <a:off x="0" y="0"/>
                      <a:ext cx="4431574" cy="3104578"/>
                    </a:xfrm>
                    <a:prstGeom prst="rect">
                      <a:avLst/>
                    </a:prstGeom>
                  </pic:spPr>
                </pic:pic>
              </a:graphicData>
            </a:graphic>
          </wp:anchor>
        </w:drawing>
      </w:r>
    </w:p>
    <w:p>
      <w:pPr>
        <w:spacing w:after="0"/>
        <w:rPr>
          <w:sz w:val="21"/>
        </w:rPr>
        <w:sectPr>
          <w:pgSz w:w="12240" w:h="15840"/>
          <w:pgMar w:header="0" w:footer="943" w:top="1420" w:bottom="1140" w:left="1600" w:right="1580"/>
        </w:sectPr>
      </w:pPr>
    </w:p>
    <w:p>
      <w:pPr>
        <w:pStyle w:val="BodyText"/>
        <w:rPr>
          <w:sz w:val="20"/>
        </w:rPr>
      </w:pPr>
    </w:p>
    <w:p>
      <w:pPr>
        <w:pStyle w:val="BodyText"/>
        <w:spacing w:before="8" w:after="1"/>
        <w:rPr>
          <w:sz w:val="17"/>
        </w:rPr>
      </w:pPr>
    </w:p>
    <w:p>
      <w:pPr>
        <w:pStyle w:val="BodyText"/>
        <w:ind w:left="101"/>
        <w:rPr>
          <w:sz w:val="20"/>
        </w:rPr>
      </w:pPr>
      <w:r>
        <w:rPr>
          <w:sz w:val="20"/>
        </w:rPr>
        <w:drawing>
          <wp:inline distT="0" distB="0" distL="0" distR="0">
            <wp:extent cx="4533721" cy="3176778"/>
            <wp:effectExtent l="0" t="0" r="0" b="0"/>
            <wp:docPr id="21" name="image23.jpeg" descr=""/>
            <wp:cNvGraphicFramePr>
              <a:graphicFrameLocks noChangeAspect="1"/>
            </wp:cNvGraphicFramePr>
            <a:graphic>
              <a:graphicData uri="http://schemas.openxmlformats.org/drawingml/2006/picture">
                <pic:pic>
                  <pic:nvPicPr>
                    <pic:cNvPr id="22" name="image23.jpeg"/>
                    <pic:cNvPicPr/>
                  </pic:nvPicPr>
                  <pic:blipFill>
                    <a:blip r:embed="rId76" cstate="print"/>
                    <a:stretch>
                      <a:fillRect/>
                    </a:stretch>
                  </pic:blipFill>
                  <pic:spPr>
                    <a:xfrm>
                      <a:off x="0" y="0"/>
                      <a:ext cx="4533721" cy="3176778"/>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6"/>
        <w:rPr>
          <w:sz w:val="20"/>
        </w:rPr>
      </w:pPr>
      <w:r>
        <w:rPr/>
        <w:drawing>
          <wp:anchor distT="0" distB="0" distL="0" distR="0" allowOverlap="1" layoutInCell="1" locked="0" behindDoc="0" simplePos="0" relativeHeight="5368">
            <wp:simplePos x="0" y="0"/>
            <wp:positionH relativeFrom="page">
              <wp:posOffset>1080135</wp:posOffset>
            </wp:positionH>
            <wp:positionV relativeFrom="paragraph">
              <wp:posOffset>175157</wp:posOffset>
            </wp:positionV>
            <wp:extent cx="4430682" cy="3104578"/>
            <wp:effectExtent l="0" t="0" r="0" b="0"/>
            <wp:wrapTopAndBottom/>
            <wp:docPr id="23" name="image24.jpeg" descr=""/>
            <wp:cNvGraphicFramePr>
              <a:graphicFrameLocks noChangeAspect="1"/>
            </wp:cNvGraphicFramePr>
            <a:graphic>
              <a:graphicData uri="http://schemas.openxmlformats.org/drawingml/2006/picture">
                <pic:pic>
                  <pic:nvPicPr>
                    <pic:cNvPr id="24" name="image24.jpeg"/>
                    <pic:cNvPicPr/>
                  </pic:nvPicPr>
                  <pic:blipFill>
                    <a:blip r:embed="rId77" cstate="print"/>
                    <a:stretch>
                      <a:fillRect/>
                    </a:stretch>
                  </pic:blipFill>
                  <pic:spPr>
                    <a:xfrm>
                      <a:off x="0" y="0"/>
                      <a:ext cx="4430682" cy="3104578"/>
                    </a:xfrm>
                    <a:prstGeom prst="rect">
                      <a:avLst/>
                    </a:prstGeom>
                  </pic:spPr>
                </pic:pic>
              </a:graphicData>
            </a:graphic>
          </wp:anchor>
        </w:drawing>
      </w:r>
    </w:p>
    <w:p>
      <w:pPr>
        <w:spacing w:after="0"/>
        <w:rPr>
          <w:sz w:val="20"/>
        </w:rPr>
        <w:sectPr>
          <w:pgSz w:w="12240" w:h="15840"/>
          <w:pgMar w:header="0" w:footer="943" w:top="1500" w:bottom="1140" w:left="1600" w:right="1580"/>
        </w:sectPr>
      </w:pPr>
    </w:p>
    <w:p>
      <w:pPr>
        <w:pStyle w:val="BodyText"/>
        <w:rPr>
          <w:sz w:val="20"/>
        </w:rPr>
      </w:pPr>
    </w:p>
    <w:p>
      <w:pPr>
        <w:pStyle w:val="BodyText"/>
        <w:spacing w:before="8" w:after="1"/>
        <w:rPr>
          <w:sz w:val="17"/>
        </w:rPr>
      </w:pPr>
    </w:p>
    <w:p>
      <w:pPr>
        <w:pStyle w:val="BodyText"/>
        <w:ind w:left="101"/>
        <w:rPr>
          <w:sz w:val="20"/>
        </w:rPr>
      </w:pPr>
      <w:r>
        <w:rPr>
          <w:sz w:val="20"/>
        </w:rPr>
        <w:drawing>
          <wp:inline distT="0" distB="0" distL="0" distR="0">
            <wp:extent cx="4533721" cy="3176778"/>
            <wp:effectExtent l="0" t="0" r="0" b="0"/>
            <wp:docPr id="25" name="image25.jpeg" descr=""/>
            <wp:cNvGraphicFramePr>
              <a:graphicFrameLocks noChangeAspect="1"/>
            </wp:cNvGraphicFramePr>
            <a:graphic>
              <a:graphicData uri="http://schemas.openxmlformats.org/drawingml/2006/picture">
                <pic:pic>
                  <pic:nvPicPr>
                    <pic:cNvPr id="26" name="image25.jpeg"/>
                    <pic:cNvPicPr/>
                  </pic:nvPicPr>
                  <pic:blipFill>
                    <a:blip r:embed="rId78" cstate="print"/>
                    <a:stretch>
                      <a:fillRect/>
                    </a:stretch>
                  </pic:blipFill>
                  <pic:spPr>
                    <a:xfrm>
                      <a:off x="0" y="0"/>
                      <a:ext cx="4533721" cy="3176778"/>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6"/>
        <w:rPr>
          <w:sz w:val="20"/>
        </w:rPr>
      </w:pPr>
      <w:r>
        <w:rPr/>
        <w:drawing>
          <wp:anchor distT="0" distB="0" distL="0" distR="0" allowOverlap="1" layoutInCell="1" locked="0" behindDoc="0" simplePos="0" relativeHeight="5392">
            <wp:simplePos x="0" y="0"/>
            <wp:positionH relativeFrom="page">
              <wp:posOffset>1080135</wp:posOffset>
            </wp:positionH>
            <wp:positionV relativeFrom="paragraph">
              <wp:posOffset>175157</wp:posOffset>
            </wp:positionV>
            <wp:extent cx="4473552" cy="3133248"/>
            <wp:effectExtent l="0" t="0" r="0" b="0"/>
            <wp:wrapTopAndBottom/>
            <wp:docPr id="27" name="image26.jpeg" descr=""/>
            <wp:cNvGraphicFramePr>
              <a:graphicFrameLocks noChangeAspect="1"/>
            </wp:cNvGraphicFramePr>
            <a:graphic>
              <a:graphicData uri="http://schemas.openxmlformats.org/drawingml/2006/picture">
                <pic:pic>
                  <pic:nvPicPr>
                    <pic:cNvPr id="28" name="image26.jpeg"/>
                    <pic:cNvPicPr/>
                  </pic:nvPicPr>
                  <pic:blipFill>
                    <a:blip r:embed="rId79" cstate="print"/>
                    <a:stretch>
                      <a:fillRect/>
                    </a:stretch>
                  </pic:blipFill>
                  <pic:spPr>
                    <a:xfrm>
                      <a:off x="0" y="0"/>
                      <a:ext cx="4473552" cy="3133248"/>
                    </a:xfrm>
                    <a:prstGeom prst="rect">
                      <a:avLst/>
                    </a:prstGeom>
                  </pic:spPr>
                </pic:pic>
              </a:graphicData>
            </a:graphic>
          </wp:anchor>
        </w:drawing>
      </w:r>
    </w:p>
    <w:p>
      <w:pPr>
        <w:spacing w:after="0"/>
        <w:rPr>
          <w:sz w:val="20"/>
        </w:rPr>
        <w:sectPr>
          <w:pgSz w:w="12240" w:h="15840"/>
          <w:pgMar w:header="0" w:footer="943" w:top="1500" w:bottom="1140" w:left="1600" w:right="1580"/>
        </w:sectPr>
      </w:pPr>
    </w:p>
    <w:p>
      <w:pPr>
        <w:pStyle w:val="BodyText"/>
        <w:rPr>
          <w:sz w:val="20"/>
        </w:rPr>
      </w:pPr>
    </w:p>
    <w:p>
      <w:pPr>
        <w:pStyle w:val="BodyText"/>
        <w:spacing w:before="8" w:after="1"/>
        <w:rPr>
          <w:sz w:val="17"/>
        </w:rPr>
      </w:pPr>
    </w:p>
    <w:p>
      <w:pPr>
        <w:pStyle w:val="BodyText"/>
        <w:ind w:left="101"/>
        <w:rPr>
          <w:sz w:val="20"/>
        </w:rPr>
      </w:pPr>
      <w:r>
        <w:rPr>
          <w:sz w:val="20"/>
        </w:rPr>
        <w:drawing>
          <wp:inline distT="0" distB="0" distL="0" distR="0">
            <wp:extent cx="4533721" cy="3176778"/>
            <wp:effectExtent l="0" t="0" r="0" b="0"/>
            <wp:docPr id="29" name="image27.jpeg" descr=""/>
            <wp:cNvGraphicFramePr>
              <a:graphicFrameLocks noChangeAspect="1"/>
            </wp:cNvGraphicFramePr>
            <a:graphic>
              <a:graphicData uri="http://schemas.openxmlformats.org/drawingml/2006/picture">
                <pic:pic>
                  <pic:nvPicPr>
                    <pic:cNvPr id="30" name="image27.jpeg"/>
                    <pic:cNvPicPr/>
                  </pic:nvPicPr>
                  <pic:blipFill>
                    <a:blip r:embed="rId80" cstate="print"/>
                    <a:stretch>
                      <a:fillRect/>
                    </a:stretch>
                  </pic:blipFill>
                  <pic:spPr>
                    <a:xfrm>
                      <a:off x="0" y="0"/>
                      <a:ext cx="4533721" cy="3176778"/>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6"/>
        <w:rPr>
          <w:sz w:val="20"/>
        </w:rPr>
      </w:pPr>
      <w:r>
        <w:rPr/>
        <w:drawing>
          <wp:anchor distT="0" distB="0" distL="0" distR="0" allowOverlap="1" layoutInCell="1" locked="0" behindDoc="0" simplePos="0" relativeHeight="5416">
            <wp:simplePos x="0" y="0"/>
            <wp:positionH relativeFrom="page">
              <wp:posOffset>1080135</wp:posOffset>
            </wp:positionH>
            <wp:positionV relativeFrom="paragraph">
              <wp:posOffset>175157</wp:posOffset>
            </wp:positionV>
            <wp:extent cx="4430682" cy="3104578"/>
            <wp:effectExtent l="0" t="0" r="0" b="0"/>
            <wp:wrapTopAndBottom/>
            <wp:docPr id="31" name="image28.jpeg" descr=""/>
            <wp:cNvGraphicFramePr>
              <a:graphicFrameLocks noChangeAspect="1"/>
            </wp:cNvGraphicFramePr>
            <a:graphic>
              <a:graphicData uri="http://schemas.openxmlformats.org/drawingml/2006/picture">
                <pic:pic>
                  <pic:nvPicPr>
                    <pic:cNvPr id="32" name="image28.jpeg"/>
                    <pic:cNvPicPr/>
                  </pic:nvPicPr>
                  <pic:blipFill>
                    <a:blip r:embed="rId81" cstate="print"/>
                    <a:stretch>
                      <a:fillRect/>
                    </a:stretch>
                  </pic:blipFill>
                  <pic:spPr>
                    <a:xfrm>
                      <a:off x="0" y="0"/>
                      <a:ext cx="4430682" cy="3104578"/>
                    </a:xfrm>
                    <a:prstGeom prst="rect">
                      <a:avLst/>
                    </a:prstGeom>
                  </pic:spPr>
                </pic:pic>
              </a:graphicData>
            </a:graphic>
          </wp:anchor>
        </w:drawing>
      </w:r>
    </w:p>
    <w:p>
      <w:pPr>
        <w:spacing w:after="0"/>
        <w:rPr>
          <w:sz w:val="20"/>
        </w:rPr>
        <w:sectPr>
          <w:pgSz w:w="12240" w:h="15840"/>
          <w:pgMar w:header="0" w:footer="943" w:top="1500" w:bottom="1140" w:left="1600" w:right="1580"/>
        </w:sectPr>
      </w:pPr>
    </w:p>
    <w:p>
      <w:pPr>
        <w:pStyle w:val="BodyText"/>
        <w:rPr>
          <w:sz w:val="20"/>
        </w:rPr>
      </w:pPr>
    </w:p>
    <w:p>
      <w:pPr>
        <w:pStyle w:val="BodyText"/>
        <w:spacing w:before="8" w:after="1"/>
        <w:rPr>
          <w:sz w:val="17"/>
        </w:rPr>
      </w:pPr>
    </w:p>
    <w:p>
      <w:pPr>
        <w:pStyle w:val="BodyText"/>
        <w:ind w:left="101"/>
        <w:rPr>
          <w:sz w:val="20"/>
        </w:rPr>
      </w:pPr>
      <w:r>
        <w:rPr>
          <w:sz w:val="20"/>
        </w:rPr>
        <w:drawing>
          <wp:inline distT="0" distB="0" distL="0" distR="0">
            <wp:extent cx="4533721" cy="3176778"/>
            <wp:effectExtent l="0" t="0" r="0" b="0"/>
            <wp:docPr id="33" name="image29.jpeg" descr=""/>
            <wp:cNvGraphicFramePr>
              <a:graphicFrameLocks noChangeAspect="1"/>
            </wp:cNvGraphicFramePr>
            <a:graphic>
              <a:graphicData uri="http://schemas.openxmlformats.org/drawingml/2006/picture">
                <pic:pic>
                  <pic:nvPicPr>
                    <pic:cNvPr id="34" name="image29.jpeg"/>
                    <pic:cNvPicPr/>
                  </pic:nvPicPr>
                  <pic:blipFill>
                    <a:blip r:embed="rId82" cstate="print"/>
                    <a:stretch>
                      <a:fillRect/>
                    </a:stretch>
                  </pic:blipFill>
                  <pic:spPr>
                    <a:xfrm>
                      <a:off x="0" y="0"/>
                      <a:ext cx="4533721" cy="3176778"/>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6"/>
        <w:rPr>
          <w:sz w:val="20"/>
        </w:rPr>
      </w:pPr>
      <w:r>
        <w:rPr/>
        <w:drawing>
          <wp:anchor distT="0" distB="0" distL="0" distR="0" allowOverlap="1" layoutInCell="1" locked="0" behindDoc="0" simplePos="0" relativeHeight="5440">
            <wp:simplePos x="0" y="0"/>
            <wp:positionH relativeFrom="page">
              <wp:posOffset>1080135</wp:posOffset>
            </wp:positionH>
            <wp:positionV relativeFrom="paragraph">
              <wp:posOffset>175157</wp:posOffset>
            </wp:positionV>
            <wp:extent cx="4430682" cy="3104578"/>
            <wp:effectExtent l="0" t="0" r="0" b="0"/>
            <wp:wrapTopAndBottom/>
            <wp:docPr id="35" name="image30.jpeg" descr=""/>
            <wp:cNvGraphicFramePr>
              <a:graphicFrameLocks noChangeAspect="1"/>
            </wp:cNvGraphicFramePr>
            <a:graphic>
              <a:graphicData uri="http://schemas.openxmlformats.org/drawingml/2006/picture">
                <pic:pic>
                  <pic:nvPicPr>
                    <pic:cNvPr id="36" name="image30.jpeg"/>
                    <pic:cNvPicPr/>
                  </pic:nvPicPr>
                  <pic:blipFill>
                    <a:blip r:embed="rId83" cstate="print"/>
                    <a:stretch>
                      <a:fillRect/>
                    </a:stretch>
                  </pic:blipFill>
                  <pic:spPr>
                    <a:xfrm>
                      <a:off x="0" y="0"/>
                      <a:ext cx="4430682" cy="3104578"/>
                    </a:xfrm>
                    <a:prstGeom prst="rect">
                      <a:avLst/>
                    </a:prstGeom>
                  </pic:spPr>
                </pic:pic>
              </a:graphicData>
            </a:graphic>
          </wp:anchor>
        </w:drawing>
      </w:r>
    </w:p>
    <w:p>
      <w:pPr>
        <w:spacing w:after="0"/>
        <w:rPr>
          <w:sz w:val="20"/>
        </w:rPr>
        <w:sectPr>
          <w:pgSz w:w="12240" w:h="15840"/>
          <w:pgMar w:header="0" w:footer="943" w:top="1500" w:bottom="1140" w:left="1600" w:right="1580"/>
        </w:sectPr>
      </w:pPr>
    </w:p>
    <w:p>
      <w:pPr>
        <w:pStyle w:val="BodyText"/>
        <w:ind w:left="101"/>
        <w:rPr>
          <w:sz w:val="20"/>
        </w:rPr>
      </w:pPr>
      <w:r>
        <w:rPr>
          <w:sz w:val="20"/>
        </w:rPr>
        <w:drawing>
          <wp:inline distT="0" distB="0" distL="0" distR="0">
            <wp:extent cx="4533721" cy="3176778"/>
            <wp:effectExtent l="0" t="0" r="0" b="0"/>
            <wp:docPr id="37" name="image31.jpeg" descr=""/>
            <wp:cNvGraphicFramePr>
              <a:graphicFrameLocks noChangeAspect="1"/>
            </wp:cNvGraphicFramePr>
            <a:graphic>
              <a:graphicData uri="http://schemas.openxmlformats.org/drawingml/2006/picture">
                <pic:pic>
                  <pic:nvPicPr>
                    <pic:cNvPr id="38" name="image31.jpeg"/>
                    <pic:cNvPicPr/>
                  </pic:nvPicPr>
                  <pic:blipFill>
                    <a:blip r:embed="rId84" cstate="print"/>
                    <a:stretch>
                      <a:fillRect/>
                    </a:stretch>
                  </pic:blipFill>
                  <pic:spPr>
                    <a:xfrm>
                      <a:off x="0" y="0"/>
                      <a:ext cx="4533721" cy="3176778"/>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4"/>
        <w:rPr>
          <w:sz w:val="20"/>
        </w:rPr>
      </w:pPr>
      <w:r>
        <w:rPr/>
        <w:drawing>
          <wp:anchor distT="0" distB="0" distL="0" distR="0" allowOverlap="1" layoutInCell="1" locked="0" behindDoc="0" simplePos="0" relativeHeight="5464">
            <wp:simplePos x="0" y="0"/>
            <wp:positionH relativeFrom="page">
              <wp:posOffset>1080135</wp:posOffset>
            </wp:positionH>
            <wp:positionV relativeFrom="paragraph">
              <wp:posOffset>173887</wp:posOffset>
            </wp:positionV>
            <wp:extent cx="4431574" cy="3104578"/>
            <wp:effectExtent l="0" t="0" r="0" b="0"/>
            <wp:wrapTopAndBottom/>
            <wp:docPr id="39" name="image32.jpeg" descr=""/>
            <wp:cNvGraphicFramePr>
              <a:graphicFrameLocks noChangeAspect="1"/>
            </wp:cNvGraphicFramePr>
            <a:graphic>
              <a:graphicData uri="http://schemas.openxmlformats.org/drawingml/2006/picture">
                <pic:pic>
                  <pic:nvPicPr>
                    <pic:cNvPr id="40" name="image32.jpeg"/>
                    <pic:cNvPicPr/>
                  </pic:nvPicPr>
                  <pic:blipFill>
                    <a:blip r:embed="rId85" cstate="print"/>
                    <a:stretch>
                      <a:fillRect/>
                    </a:stretch>
                  </pic:blipFill>
                  <pic:spPr>
                    <a:xfrm>
                      <a:off x="0" y="0"/>
                      <a:ext cx="4431574" cy="3104578"/>
                    </a:xfrm>
                    <a:prstGeom prst="rect">
                      <a:avLst/>
                    </a:prstGeom>
                  </pic:spPr>
                </pic:pic>
              </a:graphicData>
            </a:graphic>
          </wp:anchor>
        </w:drawing>
      </w:r>
    </w:p>
    <w:p>
      <w:pPr>
        <w:spacing w:after="0"/>
        <w:rPr>
          <w:sz w:val="20"/>
        </w:rPr>
        <w:sectPr>
          <w:pgSz w:w="12240" w:h="15840"/>
          <w:pgMar w:header="0" w:footer="943" w:top="1420" w:bottom="1140" w:left="1600" w:right="1580"/>
        </w:sectPr>
      </w:pPr>
    </w:p>
    <w:p>
      <w:pPr>
        <w:pStyle w:val="BodyText"/>
        <w:ind w:left="101"/>
        <w:rPr>
          <w:sz w:val="20"/>
        </w:rPr>
      </w:pPr>
      <w:r>
        <w:rPr>
          <w:sz w:val="20"/>
        </w:rPr>
        <w:drawing>
          <wp:inline distT="0" distB="0" distL="0" distR="0">
            <wp:extent cx="4561110" cy="3194685"/>
            <wp:effectExtent l="0" t="0" r="0" b="0"/>
            <wp:docPr id="41" name="image33.jpeg" descr=""/>
            <wp:cNvGraphicFramePr>
              <a:graphicFrameLocks noChangeAspect="1"/>
            </wp:cNvGraphicFramePr>
            <a:graphic>
              <a:graphicData uri="http://schemas.openxmlformats.org/drawingml/2006/picture">
                <pic:pic>
                  <pic:nvPicPr>
                    <pic:cNvPr id="42" name="image33.jpeg"/>
                    <pic:cNvPicPr/>
                  </pic:nvPicPr>
                  <pic:blipFill>
                    <a:blip r:embed="rId86" cstate="print"/>
                    <a:stretch>
                      <a:fillRect/>
                    </a:stretch>
                  </pic:blipFill>
                  <pic:spPr>
                    <a:xfrm>
                      <a:off x="0" y="0"/>
                      <a:ext cx="4561110" cy="3194685"/>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9"/>
        <w:rPr>
          <w:sz w:val="21"/>
        </w:rPr>
      </w:pPr>
      <w:r>
        <w:rPr/>
        <w:drawing>
          <wp:anchor distT="0" distB="0" distL="0" distR="0" allowOverlap="1" layoutInCell="1" locked="0" behindDoc="0" simplePos="0" relativeHeight="5488">
            <wp:simplePos x="0" y="0"/>
            <wp:positionH relativeFrom="page">
              <wp:posOffset>1080135</wp:posOffset>
            </wp:positionH>
            <wp:positionV relativeFrom="paragraph">
              <wp:posOffset>184047</wp:posOffset>
            </wp:positionV>
            <wp:extent cx="4430682" cy="3104578"/>
            <wp:effectExtent l="0" t="0" r="0" b="0"/>
            <wp:wrapTopAndBottom/>
            <wp:docPr id="43" name="image34.jpeg" descr=""/>
            <wp:cNvGraphicFramePr>
              <a:graphicFrameLocks noChangeAspect="1"/>
            </wp:cNvGraphicFramePr>
            <a:graphic>
              <a:graphicData uri="http://schemas.openxmlformats.org/drawingml/2006/picture">
                <pic:pic>
                  <pic:nvPicPr>
                    <pic:cNvPr id="44" name="image34.jpeg"/>
                    <pic:cNvPicPr/>
                  </pic:nvPicPr>
                  <pic:blipFill>
                    <a:blip r:embed="rId87" cstate="print"/>
                    <a:stretch>
                      <a:fillRect/>
                    </a:stretch>
                  </pic:blipFill>
                  <pic:spPr>
                    <a:xfrm>
                      <a:off x="0" y="0"/>
                      <a:ext cx="4430682" cy="3104578"/>
                    </a:xfrm>
                    <a:prstGeom prst="rect">
                      <a:avLst/>
                    </a:prstGeom>
                  </pic:spPr>
                </pic:pic>
              </a:graphicData>
            </a:graphic>
          </wp:anchor>
        </w:drawing>
      </w:r>
    </w:p>
    <w:p>
      <w:pPr>
        <w:spacing w:after="0"/>
        <w:rPr>
          <w:sz w:val="21"/>
        </w:rPr>
        <w:sectPr>
          <w:pgSz w:w="12240" w:h="15840"/>
          <w:pgMar w:header="0" w:footer="943" w:top="1420" w:bottom="1140" w:left="1600" w:right="1580"/>
        </w:sectPr>
      </w:pPr>
    </w:p>
    <w:p>
      <w:pPr>
        <w:pStyle w:val="BodyText"/>
        <w:rPr>
          <w:sz w:val="20"/>
        </w:rPr>
      </w:pPr>
    </w:p>
    <w:p>
      <w:pPr>
        <w:pStyle w:val="Heading1"/>
        <w:spacing w:before="202"/>
      </w:pPr>
      <w:r>
        <w:rPr/>
        <w:t>ANEXO 2</w:t>
      </w:r>
    </w:p>
    <w:p>
      <w:pPr>
        <w:spacing w:before="119"/>
        <w:ind w:left="582" w:right="597" w:firstLine="0"/>
        <w:jc w:val="center"/>
        <w:rPr>
          <w:b/>
          <w:sz w:val="28"/>
        </w:rPr>
      </w:pPr>
      <w:r>
        <w:rPr>
          <w:b/>
          <w:sz w:val="28"/>
        </w:rPr>
        <w:t>Censos Industriales</w:t>
      </w:r>
    </w:p>
    <w:p>
      <w:pPr>
        <w:pStyle w:val="BodyText"/>
        <w:rPr>
          <w:b/>
          <w:sz w:val="20"/>
        </w:rPr>
      </w:pPr>
    </w:p>
    <w:p>
      <w:pPr>
        <w:pStyle w:val="BodyText"/>
        <w:rPr>
          <w:b/>
          <w:sz w:val="20"/>
        </w:rPr>
      </w:pPr>
    </w:p>
    <w:p>
      <w:pPr>
        <w:pStyle w:val="BodyText"/>
        <w:rPr>
          <w:b/>
          <w:sz w:val="20"/>
        </w:rPr>
      </w:pPr>
    </w:p>
    <w:p>
      <w:pPr>
        <w:pStyle w:val="BodyText"/>
        <w:spacing w:before="2"/>
        <w:rPr>
          <w:b/>
          <w:sz w:val="19"/>
        </w:rPr>
      </w:pPr>
    </w:p>
    <w:p>
      <w:pPr>
        <w:pStyle w:val="Heading2"/>
        <w:spacing w:before="0"/>
      </w:pPr>
      <w:r>
        <w:rPr/>
        <w:t>CENSO INDUSTRIAL 1970</w:t>
      </w:r>
    </w:p>
    <w:p>
      <w:pPr>
        <w:pStyle w:val="BodyText"/>
        <w:rPr>
          <w:b/>
        </w:rPr>
      </w:pPr>
    </w:p>
    <w:p>
      <w:pPr>
        <w:pStyle w:val="BodyText"/>
        <w:spacing w:before="10"/>
        <w:rPr>
          <w:b/>
          <w:sz w:val="20"/>
        </w:rPr>
      </w:pPr>
    </w:p>
    <w:p>
      <w:pPr>
        <w:spacing w:line="343" w:lineRule="auto" w:before="0"/>
        <w:ind w:left="102" w:right="4757" w:firstLine="0"/>
        <w:jc w:val="left"/>
        <w:rPr>
          <w:sz w:val="24"/>
        </w:rPr>
      </w:pPr>
      <w:r>
        <w:rPr>
          <w:b/>
          <w:sz w:val="24"/>
        </w:rPr>
        <w:t>Subsector 31 Alimentos bebidas y tabaco </w:t>
      </w:r>
      <w:r>
        <w:rPr>
          <w:sz w:val="24"/>
        </w:rPr>
        <w:t>20 Manufactura de productos alimenticios 21 Elaboración de bebidas</w:t>
      </w:r>
    </w:p>
    <w:p>
      <w:pPr>
        <w:spacing w:line="343" w:lineRule="auto" w:before="5"/>
        <w:ind w:left="102" w:right="4053" w:firstLine="0"/>
        <w:jc w:val="left"/>
        <w:rPr>
          <w:sz w:val="24"/>
        </w:rPr>
      </w:pPr>
      <w:r>
        <w:rPr>
          <w:sz w:val="24"/>
        </w:rPr>
        <w:t>22 Beneficio y fabricación de productos del tabaco </w:t>
      </w:r>
      <w:r>
        <w:rPr>
          <w:b/>
          <w:sz w:val="24"/>
        </w:rPr>
        <w:t>Subsector 32 Textil, prendas de vestir y cuero </w:t>
      </w:r>
      <w:r>
        <w:rPr>
          <w:sz w:val="24"/>
        </w:rPr>
        <w:t>23 Fabricación de textiles</w:t>
      </w:r>
    </w:p>
    <w:p>
      <w:pPr>
        <w:pStyle w:val="BodyText"/>
        <w:spacing w:before="5"/>
        <w:ind w:left="102" w:right="121"/>
      </w:pPr>
      <w:r>
        <w:rPr/>
        <w:t>24 Fabricación de calzado y prendas de vestir</w:t>
      </w:r>
    </w:p>
    <w:p>
      <w:pPr>
        <w:spacing w:line="343" w:lineRule="auto" w:before="120"/>
        <w:ind w:left="102" w:right="1877" w:firstLine="0"/>
        <w:jc w:val="left"/>
        <w:rPr>
          <w:sz w:val="24"/>
        </w:rPr>
      </w:pPr>
      <w:r>
        <w:rPr>
          <w:sz w:val="24"/>
        </w:rPr>
        <w:t>29 Industria y productos de cuero, piel y materiales sucedáneos </w:t>
      </w:r>
      <w:r>
        <w:rPr>
          <w:b/>
          <w:sz w:val="24"/>
        </w:rPr>
        <w:t>Subsector 33 Industria madera, producción madera, incluye muebles </w:t>
      </w:r>
      <w:r>
        <w:rPr>
          <w:sz w:val="24"/>
        </w:rPr>
        <w:t>25 Industrias y productos de madera y corcho excepto muebles</w:t>
      </w:r>
    </w:p>
    <w:p>
      <w:pPr>
        <w:pStyle w:val="ListParagraph"/>
        <w:numPr>
          <w:ilvl w:val="0"/>
          <w:numId w:val="25"/>
        </w:numPr>
        <w:tabs>
          <w:tab w:pos="403" w:val="left" w:leader="none"/>
        </w:tabs>
        <w:spacing w:line="240" w:lineRule="auto" w:before="6" w:after="0"/>
        <w:ind w:left="102" w:right="0" w:firstLine="0"/>
        <w:jc w:val="left"/>
        <w:rPr>
          <w:sz w:val="24"/>
        </w:rPr>
      </w:pPr>
      <w:r>
        <w:rPr>
          <w:sz w:val="24"/>
        </w:rPr>
        <w:t>Fabricación de muebles y</w:t>
      </w:r>
      <w:r>
        <w:rPr>
          <w:spacing w:val="-9"/>
          <w:sz w:val="24"/>
        </w:rPr>
        <w:t> </w:t>
      </w:r>
      <w:r>
        <w:rPr>
          <w:sz w:val="24"/>
        </w:rPr>
        <w:t>accesorios</w:t>
      </w:r>
    </w:p>
    <w:p>
      <w:pPr>
        <w:pStyle w:val="Heading2"/>
      </w:pPr>
      <w:r>
        <w:rPr/>
        <w:t>Subsector 34 Papel, productos de papel, imprenta y editores</w:t>
      </w:r>
    </w:p>
    <w:p>
      <w:pPr>
        <w:pStyle w:val="ListParagraph"/>
        <w:numPr>
          <w:ilvl w:val="0"/>
          <w:numId w:val="25"/>
        </w:numPr>
        <w:tabs>
          <w:tab w:pos="463" w:val="left" w:leader="none"/>
        </w:tabs>
        <w:spacing w:line="343" w:lineRule="auto" w:before="115" w:after="0"/>
        <w:ind w:left="102" w:right="788" w:firstLine="0"/>
        <w:jc w:val="left"/>
        <w:rPr>
          <w:sz w:val="24"/>
        </w:rPr>
      </w:pPr>
      <w:r>
        <w:rPr>
          <w:sz w:val="24"/>
        </w:rPr>
        <w:t>Fabricación de pasta de celulosa, de papel, cartón y productos de estos</w:t>
      </w:r>
      <w:r>
        <w:rPr>
          <w:spacing w:val="-15"/>
          <w:sz w:val="24"/>
        </w:rPr>
        <w:t> </w:t>
      </w:r>
      <w:r>
        <w:rPr>
          <w:sz w:val="24"/>
        </w:rPr>
        <w:t>materiales 28 Editoriales imprentas e industrias</w:t>
      </w:r>
      <w:r>
        <w:rPr>
          <w:spacing w:val="-7"/>
          <w:sz w:val="24"/>
        </w:rPr>
        <w:t> </w:t>
      </w:r>
      <w:r>
        <w:rPr>
          <w:sz w:val="24"/>
        </w:rPr>
        <w:t>conexas</w:t>
      </w:r>
    </w:p>
    <w:p>
      <w:pPr>
        <w:pStyle w:val="Heading2"/>
        <w:spacing w:before="10"/>
      </w:pPr>
      <w:r>
        <w:rPr/>
        <w:t>Subsector 35 Sustancias químicas, productos del petróleo, carbón, hule y plásticos</w:t>
      </w:r>
    </w:p>
    <w:p>
      <w:pPr>
        <w:pStyle w:val="BodyText"/>
        <w:spacing w:line="343" w:lineRule="auto" w:before="115"/>
        <w:ind w:left="102" w:right="4059"/>
      </w:pPr>
      <w:r>
        <w:rPr/>
        <w:t>30 Fabricación y reparación de productos de hule 31 Fabricación de sustancias y productos químicos</w:t>
      </w:r>
    </w:p>
    <w:p>
      <w:pPr>
        <w:pStyle w:val="ListParagraph"/>
        <w:numPr>
          <w:ilvl w:val="0"/>
          <w:numId w:val="26"/>
        </w:numPr>
        <w:tabs>
          <w:tab w:pos="403" w:val="left" w:leader="none"/>
        </w:tabs>
        <w:spacing w:line="240" w:lineRule="auto" w:before="5" w:after="0"/>
        <w:ind w:left="102" w:right="0" w:firstLine="0"/>
        <w:jc w:val="left"/>
        <w:rPr>
          <w:sz w:val="24"/>
        </w:rPr>
      </w:pPr>
      <w:r>
        <w:rPr>
          <w:sz w:val="24"/>
        </w:rPr>
        <w:t>Fabricación de productos derivados del petróleo y del carbón</w:t>
      </w:r>
      <w:r>
        <w:rPr>
          <w:spacing w:val="-15"/>
          <w:sz w:val="24"/>
        </w:rPr>
        <w:t> </w:t>
      </w:r>
      <w:r>
        <w:rPr>
          <w:sz w:val="24"/>
        </w:rPr>
        <w:t>mineral</w:t>
      </w:r>
    </w:p>
    <w:p>
      <w:pPr>
        <w:pStyle w:val="Heading2"/>
      </w:pPr>
      <w:r>
        <w:rPr/>
        <w:t>Subsector 36 Productos minerales no metálicos, excepto derivados del petróleo y carbón</w:t>
      </w:r>
    </w:p>
    <w:p>
      <w:pPr>
        <w:pStyle w:val="ListParagraph"/>
        <w:numPr>
          <w:ilvl w:val="0"/>
          <w:numId w:val="26"/>
        </w:numPr>
        <w:tabs>
          <w:tab w:pos="403" w:val="left" w:leader="none"/>
        </w:tabs>
        <w:spacing w:line="240" w:lineRule="auto" w:before="115" w:after="0"/>
        <w:ind w:left="402" w:right="0" w:hanging="300"/>
        <w:jc w:val="left"/>
        <w:rPr>
          <w:sz w:val="24"/>
        </w:rPr>
      </w:pPr>
      <w:r>
        <w:rPr>
          <w:sz w:val="24"/>
        </w:rPr>
        <w:t>Fabricación de otros productos minerales no</w:t>
      </w:r>
      <w:r>
        <w:rPr>
          <w:spacing w:val="-10"/>
          <w:sz w:val="24"/>
        </w:rPr>
        <w:t> </w:t>
      </w:r>
      <w:r>
        <w:rPr>
          <w:sz w:val="24"/>
        </w:rPr>
        <w:t>metálicos</w:t>
      </w:r>
    </w:p>
    <w:p>
      <w:pPr>
        <w:pStyle w:val="Heading2"/>
      </w:pPr>
      <w:r>
        <w:rPr/>
        <w:t>Subsector 37 Industria metálica básica</w:t>
      </w:r>
    </w:p>
    <w:p>
      <w:pPr>
        <w:pStyle w:val="ListParagraph"/>
        <w:numPr>
          <w:ilvl w:val="0"/>
          <w:numId w:val="26"/>
        </w:numPr>
        <w:tabs>
          <w:tab w:pos="405" w:val="left" w:leader="none"/>
        </w:tabs>
        <w:spacing w:line="240" w:lineRule="auto" w:before="115" w:after="0"/>
        <w:ind w:left="404" w:right="0" w:hanging="302"/>
        <w:jc w:val="left"/>
        <w:rPr>
          <w:sz w:val="24"/>
        </w:rPr>
      </w:pPr>
      <w:r>
        <w:rPr>
          <w:sz w:val="24"/>
        </w:rPr>
        <w:t>Industrias metálicas</w:t>
      </w:r>
      <w:r>
        <w:rPr>
          <w:spacing w:val="-10"/>
          <w:sz w:val="24"/>
        </w:rPr>
        <w:t> </w:t>
      </w:r>
      <w:r>
        <w:rPr>
          <w:sz w:val="24"/>
        </w:rPr>
        <w:t>básicas</w:t>
      </w:r>
    </w:p>
    <w:p>
      <w:pPr>
        <w:pStyle w:val="Heading2"/>
      </w:pPr>
      <w:r>
        <w:rPr/>
        <w:t>Subsector 38 Productos metálicos, maquinaria y equipo, incluye instrumentos de precisión</w:t>
      </w:r>
    </w:p>
    <w:p>
      <w:pPr>
        <w:pStyle w:val="ListParagraph"/>
        <w:numPr>
          <w:ilvl w:val="0"/>
          <w:numId w:val="26"/>
        </w:numPr>
        <w:tabs>
          <w:tab w:pos="403" w:val="left" w:leader="none"/>
        </w:tabs>
        <w:spacing w:line="240" w:lineRule="auto" w:before="115" w:after="0"/>
        <w:ind w:left="402" w:right="0" w:hanging="300"/>
        <w:jc w:val="left"/>
        <w:rPr>
          <w:sz w:val="24"/>
        </w:rPr>
      </w:pPr>
      <w:r>
        <w:rPr>
          <w:sz w:val="24"/>
        </w:rPr>
        <w:t>Fabricación de productos</w:t>
      </w:r>
      <w:r>
        <w:rPr>
          <w:spacing w:val="-7"/>
          <w:sz w:val="24"/>
        </w:rPr>
        <w:t> </w:t>
      </w:r>
      <w:r>
        <w:rPr>
          <w:sz w:val="24"/>
        </w:rPr>
        <w:t>metálicos</w:t>
      </w:r>
    </w:p>
    <w:p>
      <w:pPr>
        <w:spacing w:after="0" w:line="240" w:lineRule="auto"/>
        <w:jc w:val="left"/>
        <w:rPr>
          <w:sz w:val="24"/>
        </w:rPr>
        <w:sectPr>
          <w:footerReference w:type="default" r:id="rId88"/>
          <w:pgSz w:w="12240" w:h="15840"/>
          <w:pgMar w:footer="943" w:header="0" w:top="1500" w:bottom="1140" w:left="1600" w:right="1580"/>
          <w:pgNumType w:start="190"/>
        </w:sectPr>
      </w:pPr>
    </w:p>
    <w:p>
      <w:pPr>
        <w:pStyle w:val="ListParagraph"/>
        <w:numPr>
          <w:ilvl w:val="0"/>
          <w:numId w:val="26"/>
        </w:numPr>
        <w:tabs>
          <w:tab w:pos="403" w:val="left" w:leader="none"/>
        </w:tabs>
        <w:spacing w:line="240" w:lineRule="auto" w:before="48" w:after="0"/>
        <w:ind w:left="402" w:right="0" w:hanging="300"/>
        <w:jc w:val="left"/>
        <w:rPr>
          <w:sz w:val="24"/>
        </w:rPr>
      </w:pPr>
      <w:r>
        <w:rPr>
          <w:sz w:val="24"/>
        </w:rPr>
        <w:t>Fabricación, ensamble y reparación de maquinaria y</w:t>
      </w:r>
      <w:r>
        <w:rPr>
          <w:spacing w:val="-15"/>
          <w:sz w:val="24"/>
        </w:rPr>
        <w:t> </w:t>
      </w:r>
      <w:r>
        <w:rPr>
          <w:sz w:val="24"/>
        </w:rPr>
        <w:t>equipo</w:t>
      </w:r>
    </w:p>
    <w:p>
      <w:pPr>
        <w:pStyle w:val="ListParagraph"/>
        <w:numPr>
          <w:ilvl w:val="0"/>
          <w:numId w:val="26"/>
        </w:numPr>
        <w:tabs>
          <w:tab w:pos="403" w:val="left" w:leader="none"/>
        </w:tabs>
        <w:spacing w:line="343" w:lineRule="auto" w:before="120" w:after="0"/>
        <w:ind w:left="102" w:right="615" w:firstLine="0"/>
        <w:jc w:val="left"/>
        <w:rPr>
          <w:sz w:val="24"/>
        </w:rPr>
      </w:pPr>
      <w:r>
        <w:rPr>
          <w:sz w:val="24"/>
        </w:rPr>
        <w:t>Fabricación de maquinaria, aparatos, accesorios y artículos eléctricos y</w:t>
      </w:r>
      <w:r>
        <w:rPr>
          <w:spacing w:val="-15"/>
          <w:sz w:val="24"/>
        </w:rPr>
        <w:t> </w:t>
      </w:r>
      <w:r>
        <w:rPr>
          <w:sz w:val="24"/>
        </w:rPr>
        <w:t>electrónicos 38 Construcción ensamble y reparación de equipo y material de</w:t>
      </w:r>
      <w:r>
        <w:rPr>
          <w:spacing w:val="-11"/>
          <w:sz w:val="24"/>
        </w:rPr>
        <w:t> </w:t>
      </w:r>
      <w:r>
        <w:rPr>
          <w:sz w:val="24"/>
        </w:rPr>
        <w:t>transporte</w:t>
      </w:r>
    </w:p>
    <w:p>
      <w:pPr>
        <w:pStyle w:val="Heading2"/>
        <w:spacing w:before="10"/>
      </w:pPr>
      <w:r>
        <w:rPr/>
        <w:t>Subsector 39 Otras industrias manufactureras</w:t>
      </w:r>
    </w:p>
    <w:p>
      <w:pPr>
        <w:pStyle w:val="BodyText"/>
        <w:spacing w:before="115"/>
        <w:ind w:left="102" w:right="121"/>
      </w:pPr>
      <w:r>
        <w:rPr/>
        <w:t>39 Otras industrias manufactureras.</w:t>
      </w:r>
    </w:p>
    <w:p>
      <w:pPr>
        <w:spacing w:after="0"/>
        <w:sectPr>
          <w:pgSz w:w="12240" w:h="15840"/>
          <w:pgMar w:header="0" w:footer="943" w:top="1360" w:bottom="1200" w:left="1600" w:right="1580"/>
        </w:sectPr>
      </w:pPr>
    </w:p>
    <w:p>
      <w:pPr>
        <w:pStyle w:val="Heading2"/>
        <w:spacing w:before="52"/>
      </w:pPr>
      <w:r>
        <w:rPr/>
        <w:t>CENSO INDUSTRIAL 1975</w:t>
      </w:r>
    </w:p>
    <w:p>
      <w:pPr>
        <w:pStyle w:val="BodyText"/>
        <w:rPr>
          <w:b/>
        </w:rPr>
      </w:pPr>
    </w:p>
    <w:p>
      <w:pPr>
        <w:pStyle w:val="BodyText"/>
        <w:spacing w:before="10"/>
        <w:rPr>
          <w:b/>
          <w:sz w:val="20"/>
        </w:rPr>
      </w:pPr>
    </w:p>
    <w:p>
      <w:pPr>
        <w:spacing w:before="0"/>
        <w:ind w:left="102" w:right="121" w:firstLine="0"/>
        <w:jc w:val="left"/>
        <w:rPr>
          <w:b/>
          <w:sz w:val="24"/>
        </w:rPr>
      </w:pPr>
      <w:r>
        <w:rPr>
          <w:b/>
          <w:sz w:val="24"/>
        </w:rPr>
        <w:t>Subsector 31 Alimentos, bebidas y tabaco</w:t>
      </w:r>
    </w:p>
    <w:p>
      <w:pPr>
        <w:pStyle w:val="BodyText"/>
        <w:spacing w:line="343" w:lineRule="auto" w:before="115"/>
        <w:ind w:left="102" w:right="6225"/>
      </w:pPr>
      <w:r>
        <w:rPr/>
        <w:t>20 Fabricación de alimentos 21 Elaboración de bebidas</w:t>
      </w:r>
    </w:p>
    <w:p>
      <w:pPr>
        <w:spacing w:line="343" w:lineRule="auto" w:before="5"/>
        <w:ind w:left="102" w:right="4071" w:firstLine="0"/>
        <w:jc w:val="left"/>
        <w:rPr>
          <w:sz w:val="24"/>
        </w:rPr>
      </w:pPr>
      <w:r>
        <w:rPr>
          <w:sz w:val="24"/>
        </w:rPr>
        <w:t>22 Beneficio y fabricación de productos de tabaco </w:t>
      </w:r>
      <w:r>
        <w:rPr>
          <w:b/>
          <w:sz w:val="24"/>
        </w:rPr>
        <w:t>Subsector 32 Textil, prendas de vestir y cuero </w:t>
      </w:r>
      <w:r>
        <w:rPr>
          <w:sz w:val="24"/>
        </w:rPr>
        <w:t>23 Industria textil</w:t>
      </w:r>
    </w:p>
    <w:p>
      <w:pPr>
        <w:pStyle w:val="ListParagraph"/>
        <w:numPr>
          <w:ilvl w:val="0"/>
          <w:numId w:val="27"/>
        </w:numPr>
        <w:tabs>
          <w:tab w:pos="403" w:val="left" w:leader="none"/>
        </w:tabs>
        <w:spacing w:line="240" w:lineRule="auto" w:before="5" w:after="0"/>
        <w:ind w:left="102" w:right="515" w:firstLine="0"/>
        <w:jc w:val="left"/>
        <w:rPr>
          <w:sz w:val="24"/>
        </w:rPr>
      </w:pPr>
      <w:r>
        <w:rPr>
          <w:sz w:val="24"/>
        </w:rPr>
        <w:t>Fabricación de prendas de vestir y otros artículos confeccionados con textiles y</w:t>
      </w:r>
      <w:r>
        <w:rPr>
          <w:spacing w:val="-16"/>
          <w:sz w:val="24"/>
        </w:rPr>
        <w:t> </w:t>
      </w:r>
      <w:r>
        <w:rPr>
          <w:sz w:val="24"/>
        </w:rPr>
        <w:t>otros materiales</w:t>
      </w:r>
    </w:p>
    <w:p>
      <w:pPr>
        <w:pStyle w:val="ListParagraph"/>
        <w:numPr>
          <w:ilvl w:val="0"/>
          <w:numId w:val="27"/>
        </w:numPr>
        <w:tabs>
          <w:tab w:pos="403" w:val="left" w:leader="none"/>
        </w:tabs>
        <w:spacing w:line="240" w:lineRule="auto" w:before="120" w:after="0"/>
        <w:ind w:left="402" w:right="0" w:hanging="300"/>
        <w:jc w:val="left"/>
        <w:rPr>
          <w:sz w:val="24"/>
        </w:rPr>
      </w:pPr>
      <w:r>
        <w:rPr>
          <w:sz w:val="24"/>
        </w:rPr>
        <w:t>Fabricación de calzado e industria de</w:t>
      </w:r>
      <w:r>
        <w:rPr>
          <w:spacing w:val="-8"/>
          <w:sz w:val="24"/>
        </w:rPr>
        <w:t> </w:t>
      </w:r>
      <w:r>
        <w:rPr>
          <w:sz w:val="24"/>
        </w:rPr>
        <w:t>cuero</w:t>
      </w:r>
    </w:p>
    <w:p>
      <w:pPr>
        <w:pStyle w:val="Heading2"/>
      </w:pPr>
      <w:r>
        <w:rPr/>
        <w:t>Subsector 33 Industria de madera, productos de madera, incluye muebles</w:t>
      </w:r>
    </w:p>
    <w:p>
      <w:pPr>
        <w:pStyle w:val="ListParagraph"/>
        <w:numPr>
          <w:ilvl w:val="0"/>
          <w:numId w:val="27"/>
        </w:numPr>
        <w:tabs>
          <w:tab w:pos="405" w:val="left" w:leader="none"/>
        </w:tabs>
        <w:spacing w:line="240" w:lineRule="auto" w:before="115" w:after="0"/>
        <w:ind w:left="404" w:right="0" w:hanging="302"/>
        <w:jc w:val="left"/>
        <w:rPr>
          <w:sz w:val="24"/>
        </w:rPr>
      </w:pPr>
      <w:r>
        <w:rPr>
          <w:sz w:val="24"/>
        </w:rPr>
        <w:t>Industria y productos de madera y corcho, excepto</w:t>
      </w:r>
      <w:r>
        <w:rPr>
          <w:spacing w:val="-13"/>
          <w:sz w:val="24"/>
        </w:rPr>
        <w:t> </w:t>
      </w:r>
      <w:r>
        <w:rPr>
          <w:sz w:val="24"/>
        </w:rPr>
        <w:t>muebles</w:t>
      </w:r>
    </w:p>
    <w:p>
      <w:pPr>
        <w:pStyle w:val="ListParagraph"/>
        <w:numPr>
          <w:ilvl w:val="0"/>
          <w:numId w:val="27"/>
        </w:numPr>
        <w:tabs>
          <w:tab w:pos="403" w:val="left" w:leader="none"/>
        </w:tabs>
        <w:spacing w:line="240" w:lineRule="auto" w:before="120" w:after="0"/>
        <w:ind w:left="102" w:right="813" w:firstLine="0"/>
        <w:jc w:val="left"/>
        <w:rPr>
          <w:sz w:val="24"/>
        </w:rPr>
      </w:pPr>
      <w:r>
        <w:rPr>
          <w:sz w:val="24"/>
        </w:rPr>
        <w:t>Fabricación y reparación de muebles y accesorios, excepto los de metal y</w:t>
      </w:r>
      <w:r>
        <w:rPr>
          <w:spacing w:val="-12"/>
          <w:sz w:val="24"/>
        </w:rPr>
        <w:t> </w:t>
      </w:r>
      <w:r>
        <w:rPr>
          <w:sz w:val="24"/>
        </w:rPr>
        <w:t>plástico moldeado</w:t>
      </w:r>
    </w:p>
    <w:p>
      <w:pPr>
        <w:pStyle w:val="Heading2"/>
      </w:pPr>
      <w:r>
        <w:rPr/>
        <w:t>Subsector 34 Papel, productos de papel, imprenta y editores</w:t>
      </w:r>
    </w:p>
    <w:p>
      <w:pPr>
        <w:pStyle w:val="ListParagraph"/>
        <w:numPr>
          <w:ilvl w:val="0"/>
          <w:numId w:val="27"/>
        </w:numPr>
        <w:tabs>
          <w:tab w:pos="405" w:val="left" w:leader="none"/>
        </w:tabs>
        <w:spacing w:line="240" w:lineRule="auto" w:before="115" w:after="0"/>
        <w:ind w:left="404" w:right="0" w:hanging="302"/>
        <w:jc w:val="left"/>
        <w:rPr>
          <w:sz w:val="24"/>
        </w:rPr>
      </w:pPr>
      <w:r>
        <w:rPr>
          <w:sz w:val="24"/>
        </w:rPr>
        <w:t>Industria de</w:t>
      </w:r>
      <w:r>
        <w:rPr>
          <w:spacing w:val="-7"/>
          <w:sz w:val="24"/>
        </w:rPr>
        <w:t> </w:t>
      </w:r>
      <w:r>
        <w:rPr>
          <w:sz w:val="24"/>
        </w:rPr>
        <w:t>papel</w:t>
      </w:r>
    </w:p>
    <w:p>
      <w:pPr>
        <w:pStyle w:val="ListParagraph"/>
        <w:numPr>
          <w:ilvl w:val="0"/>
          <w:numId w:val="27"/>
        </w:numPr>
        <w:tabs>
          <w:tab w:pos="405" w:val="left" w:leader="none"/>
        </w:tabs>
        <w:spacing w:line="240" w:lineRule="auto" w:before="120" w:after="0"/>
        <w:ind w:left="404" w:right="0" w:hanging="302"/>
        <w:jc w:val="left"/>
        <w:rPr>
          <w:sz w:val="24"/>
        </w:rPr>
      </w:pPr>
      <w:r>
        <w:rPr>
          <w:sz w:val="24"/>
        </w:rPr>
        <w:t>Industria editorial impresión y</w:t>
      </w:r>
      <w:r>
        <w:rPr>
          <w:spacing w:val="-12"/>
          <w:sz w:val="24"/>
        </w:rPr>
        <w:t> </w:t>
      </w:r>
      <w:r>
        <w:rPr>
          <w:sz w:val="24"/>
        </w:rPr>
        <w:t>conexas</w:t>
      </w:r>
    </w:p>
    <w:p>
      <w:pPr>
        <w:pStyle w:val="Heading2"/>
        <w:ind w:left="162"/>
      </w:pPr>
      <w:r>
        <w:rPr/>
        <w:t>Subsector 35 Sustancias químicas, productos de petróleo y carbón, hule y plástico</w:t>
      </w:r>
    </w:p>
    <w:p>
      <w:pPr>
        <w:pStyle w:val="ListParagraph"/>
        <w:numPr>
          <w:ilvl w:val="0"/>
          <w:numId w:val="27"/>
        </w:numPr>
        <w:tabs>
          <w:tab w:pos="405" w:val="left" w:leader="none"/>
        </w:tabs>
        <w:spacing w:line="240" w:lineRule="auto" w:before="115" w:after="0"/>
        <w:ind w:left="404" w:right="0" w:hanging="302"/>
        <w:jc w:val="left"/>
        <w:rPr>
          <w:sz w:val="24"/>
        </w:rPr>
      </w:pPr>
      <w:r>
        <w:rPr>
          <w:sz w:val="24"/>
        </w:rPr>
        <w:t>Industria</w:t>
      </w:r>
      <w:r>
        <w:rPr>
          <w:spacing w:val="-6"/>
          <w:sz w:val="24"/>
        </w:rPr>
        <w:t> </w:t>
      </w:r>
      <w:r>
        <w:rPr>
          <w:sz w:val="24"/>
        </w:rPr>
        <w:t>química</w:t>
      </w:r>
    </w:p>
    <w:p>
      <w:pPr>
        <w:pStyle w:val="ListParagraph"/>
        <w:numPr>
          <w:ilvl w:val="0"/>
          <w:numId w:val="27"/>
        </w:numPr>
        <w:tabs>
          <w:tab w:pos="403" w:val="left" w:leader="none"/>
        </w:tabs>
        <w:spacing w:line="343" w:lineRule="auto" w:before="120" w:after="0"/>
        <w:ind w:left="102" w:right="3373" w:firstLine="0"/>
        <w:jc w:val="left"/>
        <w:rPr>
          <w:sz w:val="24"/>
        </w:rPr>
      </w:pPr>
      <w:r>
        <w:rPr>
          <w:sz w:val="24"/>
        </w:rPr>
        <w:t>Refinación del petróleo y derivados del carbón</w:t>
      </w:r>
      <w:r>
        <w:rPr>
          <w:spacing w:val="-9"/>
          <w:sz w:val="24"/>
        </w:rPr>
        <w:t> </w:t>
      </w:r>
      <w:r>
        <w:rPr>
          <w:sz w:val="24"/>
        </w:rPr>
        <w:t>mineral 32 Fabricación de hule y</w:t>
      </w:r>
      <w:r>
        <w:rPr>
          <w:spacing w:val="-5"/>
          <w:sz w:val="24"/>
        </w:rPr>
        <w:t> </w:t>
      </w:r>
      <w:r>
        <w:rPr>
          <w:sz w:val="24"/>
        </w:rPr>
        <w:t>plástico</w:t>
      </w:r>
    </w:p>
    <w:p>
      <w:pPr>
        <w:pStyle w:val="Heading2"/>
        <w:spacing w:before="10"/>
      </w:pPr>
      <w:r>
        <w:rPr/>
        <w:t>Subsector 36 Productos minerales no metálicos, excepto derivados del petróleo y carbón</w:t>
      </w:r>
    </w:p>
    <w:p>
      <w:pPr>
        <w:pStyle w:val="ListParagraph"/>
        <w:numPr>
          <w:ilvl w:val="0"/>
          <w:numId w:val="28"/>
        </w:numPr>
        <w:tabs>
          <w:tab w:pos="403" w:val="left" w:leader="none"/>
        </w:tabs>
        <w:spacing w:line="240" w:lineRule="auto" w:before="115" w:after="0"/>
        <w:ind w:left="102" w:right="648" w:firstLine="0"/>
        <w:jc w:val="left"/>
        <w:rPr>
          <w:sz w:val="24"/>
        </w:rPr>
      </w:pPr>
      <w:r>
        <w:rPr>
          <w:sz w:val="24"/>
        </w:rPr>
        <w:t>Fabricación de productos minerales no metálicos, excepto del petróleo y del</w:t>
      </w:r>
      <w:r>
        <w:rPr>
          <w:spacing w:val="-14"/>
          <w:sz w:val="24"/>
        </w:rPr>
        <w:t> </w:t>
      </w:r>
      <w:r>
        <w:rPr>
          <w:sz w:val="24"/>
        </w:rPr>
        <w:t>carbón mineral</w:t>
      </w:r>
    </w:p>
    <w:p>
      <w:pPr>
        <w:pStyle w:val="Heading2"/>
      </w:pPr>
      <w:r>
        <w:rPr/>
        <w:t>Subsector 37 Industria metálica básica</w:t>
      </w:r>
    </w:p>
    <w:p>
      <w:pPr>
        <w:pStyle w:val="ListParagraph"/>
        <w:numPr>
          <w:ilvl w:val="0"/>
          <w:numId w:val="28"/>
        </w:numPr>
        <w:tabs>
          <w:tab w:pos="405" w:val="left" w:leader="none"/>
        </w:tabs>
        <w:spacing w:line="240" w:lineRule="auto" w:before="116" w:after="0"/>
        <w:ind w:left="404" w:right="0" w:hanging="302"/>
        <w:jc w:val="left"/>
        <w:rPr>
          <w:sz w:val="24"/>
        </w:rPr>
      </w:pPr>
      <w:r>
        <w:rPr>
          <w:sz w:val="24"/>
        </w:rPr>
        <w:t>Industrias metálicas</w:t>
      </w:r>
      <w:r>
        <w:rPr>
          <w:spacing w:val="-10"/>
          <w:sz w:val="24"/>
        </w:rPr>
        <w:t> </w:t>
      </w:r>
      <w:r>
        <w:rPr>
          <w:sz w:val="24"/>
        </w:rPr>
        <w:t>básicas</w:t>
      </w:r>
    </w:p>
    <w:p>
      <w:pPr>
        <w:pStyle w:val="Heading2"/>
      </w:pPr>
      <w:r>
        <w:rPr/>
        <w:t>Subsector 38 Productos metálicos, maquinaria y equipo, incluye instrumentos de precisión</w:t>
      </w:r>
    </w:p>
    <w:p>
      <w:pPr>
        <w:pStyle w:val="ListParagraph"/>
        <w:numPr>
          <w:ilvl w:val="0"/>
          <w:numId w:val="28"/>
        </w:numPr>
        <w:tabs>
          <w:tab w:pos="403" w:val="left" w:leader="none"/>
        </w:tabs>
        <w:spacing w:line="240" w:lineRule="auto" w:before="115" w:after="0"/>
        <w:ind w:left="402" w:right="0" w:hanging="300"/>
        <w:jc w:val="left"/>
        <w:rPr>
          <w:sz w:val="24"/>
        </w:rPr>
      </w:pPr>
      <w:r>
        <w:rPr>
          <w:sz w:val="24"/>
        </w:rPr>
        <w:t>Fabricación de productos</w:t>
      </w:r>
      <w:r>
        <w:rPr>
          <w:spacing w:val="-7"/>
          <w:sz w:val="24"/>
        </w:rPr>
        <w:t> </w:t>
      </w:r>
      <w:r>
        <w:rPr>
          <w:sz w:val="24"/>
        </w:rPr>
        <w:t>metálicos</w:t>
      </w:r>
    </w:p>
    <w:p>
      <w:pPr>
        <w:pStyle w:val="ListParagraph"/>
        <w:numPr>
          <w:ilvl w:val="0"/>
          <w:numId w:val="28"/>
        </w:numPr>
        <w:tabs>
          <w:tab w:pos="403" w:val="left" w:leader="none"/>
        </w:tabs>
        <w:spacing w:line="240" w:lineRule="auto" w:before="120" w:after="0"/>
        <w:ind w:left="402" w:right="0" w:hanging="300"/>
        <w:jc w:val="left"/>
        <w:rPr>
          <w:sz w:val="24"/>
        </w:rPr>
      </w:pPr>
      <w:r>
        <w:rPr>
          <w:sz w:val="24"/>
        </w:rPr>
        <w:t>Fabricación, ensamble y reparación de maquinaria, equipo y sus</w:t>
      </w:r>
      <w:r>
        <w:rPr>
          <w:spacing w:val="-14"/>
          <w:sz w:val="24"/>
        </w:rPr>
        <w:t> </w:t>
      </w:r>
      <w:r>
        <w:rPr>
          <w:sz w:val="24"/>
        </w:rPr>
        <w:t>partes</w:t>
      </w:r>
    </w:p>
    <w:p>
      <w:pPr>
        <w:pStyle w:val="ListParagraph"/>
        <w:numPr>
          <w:ilvl w:val="0"/>
          <w:numId w:val="28"/>
        </w:numPr>
        <w:tabs>
          <w:tab w:pos="403" w:val="left" w:leader="none"/>
        </w:tabs>
        <w:spacing w:line="240" w:lineRule="auto" w:before="120" w:after="0"/>
        <w:ind w:left="102" w:right="1072" w:firstLine="0"/>
        <w:jc w:val="left"/>
        <w:rPr>
          <w:sz w:val="24"/>
        </w:rPr>
      </w:pPr>
      <w:r>
        <w:rPr>
          <w:sz w:val="24"/>
        </w:rPr>
        <w:t>Fabricación y ensamble de maquinaria, equipo, aparatos, accesorios y artículos eléctricos y electrónicos y sus</w:t>
      </w:r>
      <w:r>
        <w:rPr>
          <w:spacing w:val="-9"/>
          <w:sz w:val="24"/>
        </w:rPr>
        <w:t> </w:t>
      </w:r>
      <w:r>
        <w:rPr>
          <w:sz w:val="24"/>
        </w:rPr>
        <w:t>partes</w:t>
      </w:r>
    </w:p>
    <w:p>
      <w:pPr>
        <w:spacing w:after="0" w:line="240" w:lineRule="auto"/>
        <w:jc w:val="left"/>
        <w:rPr>
          <w:sz w:val="24"/>
        </w:rPr>
        <w:sectPr>
          <w:pgSz w:w="12240" w:h="15840"/>
          <w:pgMar w:header="0" w:footer="943" w:top="1360" w:bottom="1200" w:left="1600" w:right="1580"/>
        </w:sectPr>
      </w:pPr>
    </w:p>
    <w:p>
      <w:pPr>
        <w:pStyle w:val="ListParagraph"/>
        <w:numPr>
          <w:ilvl w:val="0"/>
          <w:numId w:val="28"/>
        </w:numPr>
        <w:tabs>
          <w:tab w:pos="403" w:val="left" w:leader="none"/>
        </w:tabs>
        <w:spacing w:line="240" w:lineRule="auto" w:before="48" w:after="0"/>
        <w:ind w:left="402" w:right="0" w:hanging="300"/>
        <w:jc w:val="left"/>
        <w:rPr>
          <w:sz w:val="24"/>
        </w:rPr>
      </w:pPr>
      <w:r>
        <w:rPr>
          <w:sz w:val="24"/>
        </w:rPr>
        <w:t>Construcción, reconstrucción y ensamble de equipo de transporte y sus</w:t>
      </w:r>
      <w:r>
        <w:rPr>
          <w:spacing w:val="-14"/>
          <w:sz w:val="24"/>
        </w:rPr>
        <w:t> </w:t>
      </w:r>
      <w:r>
        <w:rPr>
          <w:sz w:val="24"/>
        </w:rPr>
        <w:t>partes</w:t>
      </w:r>
    </w:p>
    <w:p>
      <w:pPr>
        <w:pStyle w:val="Heading2"/>
      </w:pPr>
      <w:r>
        <w:rPr/>
        <w:t>Subsector 39 Otras industrias manufactureras</w:t>
      </w:r>
    </w:p>
    <w:p>
      <w:pPr>
        <w:pStyle w:val="ListParagraph"/>
        <w:numPr>
          <w:ilvl w:val="0"/>
          <w:numId w:val="28"/>
        </w:numPr>
        <w:tabs>
          <w:tab w:pos="403" w:val="left" w:leader="none"/>
        </w:tabs>
        <w:spacing w:line="240" w:lineRule="auto" w:before="115" w:after="0"/>
        <w:ind w:left="402" w:right="0" w:hanging="300"/>
        <w:jc w:val="left"/>
        <w:rPr>
          <w:sz w:val="24"/>
        </w:rPr>
      </w:pPr>
      <w:r>
        <w:rPr>
          <w:sz w:val="24"/>
        </w:rPr>
        <w:t>Otras industrias</w:t>
      </w:r>
      <w:r>
        <w:rPr>
          <w:spacing w:val="-7"/>
          <w:sz w:val="24"/>
        </w:rPr>
        <w:t> </w:t>
      </w:r>
      <w:r>
        <w:rPr>
          <w:sz w:val="24"/>
        </w:rPr>
        <w:t>manufactureras</w:t>
      </w:r>
    </w:p>
    <w:p>
      <w:pPr>
        <w:spacing w:after="0" w:line="240" w:lineRule="auto"/>
        <w:jc w:val="left"/>
        <w:rPr>
          <w:sz w:val="24"/>
        </w:rPr>
        <w:sectPr>
          <w:pgSz w:w="12240" w:h="15840"/>
          <w:pgMar w:header="0" w:footer="943" w:top="1360" w:bottom="1200" w:left="1600" w:right="1580"/>
        </w:sectPr>
      </w:pPr>
    </w:p>
    <w:p>
      <w:pPr>
        <w:pStyle w:val="Heading2"/>
        <w:spacing w:before="52"/>
      </w:pPr>
      <w:r>
        <w:rPr/>
        <w:t>CENSO INDUSTRIAL 1980</w:t>
      </w:r>
    </w:p>
    <w:p>
      <w:pPr>
        <w:pStyle w:val="BodyText"/>
        <w:rPr>
          <w:b/>
        </w:rPr>
      </w:pPr>
    </w:p>
    <w:p>
      <w:pPr>
        <w:pStyle w:val="BodyText"/>
        <w:spacing w:before="10"/>
        <w:rPr>
          <w:b/>
          <w:sz w:val="20"/>
        </w:rPr>
      </w:pPr>
    </w:p>
    <w:p>
      <w:pPr>
        <w:spacing w:before="0"/>
        <w:ind w:left="102" w:right="121" w:firstLine="0"/>
        <w:jc w:val="left"/>
        <w:rPr>
          <w:b/>
          <w:sz w:val="24"/>
        </w:rPr>
      </w:pPr>
      <w:r>
        <w:rPr>
          <w:b/>
          <w:sz w:val="24"/>
        </w:rPr>
        <w:t>Subsector 31 Alimentos, bebidas y tabaco</w:t>
      </w:r>
    </w:p>
    <w:p>
      <w:pPr>
        <w:pStyle w:val="BodyText"/>
        <w:spacing w:before="115"/>
        <w:ind w:left="102" w:right="121"/>
      </w:pPr>
      <w:r>
        <w:rPr/>
        <w:t>3111 Industria de la carne</w:t>
      </w:r>
    </w:p>
    <w:p>
      <w:pPr>
        <w:pStyle w:val="BodyText"/>
        <w:spacing w:line="343" w:lineRule="auto" w:before="120"/>
        <w:ind w:left="102" w:right="4747"/>
      </w:pPr>
      <w:r>
        <w:rPr/>
        <w:t>3112 Elaboración de productos lácteos 3113 Elaboración de conservas</w:t>
      </w:r>
      <w:r>
        <w:rPr>
          <w:spacing w:val="-8"/>
        </w:rPr>
        <w:t> </w:t>
      </w:r>
      <w:r>
        <w:rPr/>
        <w:t>alimenticias 3114 Molienda de</w:t>
      </w:r>
      <w:r>
        <w:rPr>
          <w:spacing w:val="-5"/>
        </w:rPr>
        <w:t> </w:t>
      </w:r>
      <w:r>
        <w:rPr/>
        <w:t>cereales</w:t>
      </w:r>
    </w:p>
    <w:p>
      <w:pPr>
        <w:pStyle w:val="BodyText"/>
        <w:spacing w:before="5"/>
        <w:ind w:left="102" w:right="121"/>
      </w:pPr>
      <w:r>
        <w:rPr/>
        <w:t>3115 Fabricación de productos de panadería</w:t>
      </w:r>
    </w:p>
    <w:p>
      <w:pPr>
        <w:pStyle w:val="BodyText"/>
        <w:spacing w:line="345" w:lineRule="auto" w:before="120"/>
        <w:ind w:left="102" w:right="3892"/>
      </w:pPr>
      <w:r>
        <w:rPr/>
        <w:t>3116 Molienda de nixtamal y fabricación de tortillas 3117 Fabricación de aceites y grasas comestibles 3118 Industria azucarera</w:t>
      </w:r>
    </w:p>
    <w:p>
      <w:pPr>
        <w:pStyle w:val="BodyText"/>
        <w:spacing w:line="343" w:lineRule="auto" w:before="3"/>
        <w:ind w:left="102" w:right="2913"/>
        <w:jc w:val="both"/>
      </w:pPr>
      <w:r>
        <w:rPr/>
        <w:t>3119 Fabricación de cocoa, chocolates y artículos de confitería 3121 Elaboración de otros productos para el consumo humano 3122 Elaboración de alimentos preparados para animales</w:t>
      </w:r>
    </w:p>
    <w:p>
      <w:pPr>
        <w:pStyle w:val="BodyText"/>
        <w:spacing w:before="5"/>
        <w:ind w:left="102" w:right="121"/>
      </w:pPr>
      <w:r>
        <w:rPr/>
        <w:t>3130 Industria de las bebidas</w:t>
      </w:r>
    </w:p>
    <w:p>
      <w:pPr>
        <w:spacing w:line="343" w:lineRule="auto" w:before="125"/>
        <w:ind w:left="102" w:right="4053" w:firstLine="0"/>
        <w:jc w:val="left"/>
        <w:rPr>
          <w:sz w:val="24"/>
        </w:rPr>
      </w:pPr>
      <w:r>
        <w:rPr>
          <w:b/>
          <w:sz w:val="24"/>
        </w:rPr>
        <w:t>Subsector 32 Textil, prendas de vestir y cuero </w:t>
      </w:r>
      <w:r>
        <w:rPr>
          <w:sz w:val="24"/>
        </w:rPr>
        <w:t>3211 Cordelería e industria textil de fibras duras 3212 Hilado, tejido y acabado de fibras blandas 3213 Confección de materiales textiles</w:t>
      </w:r>
    </w:p>
    <w:p>
      <w:pPr>
        <w:pStyle w:val="BodyText"/>
        <w:spacing w:line="343" w:lineRule="auto" w:before="5"/>
        <w:ind w:left="102" w:right="5319"/>
      </w:pPr>
      <w:r>
        <w:rPr/>
        <w:t>3214 Elaboración de tejido de punto 3220 Confección de prendas de vestir</w:t>
      </w:r>
    </w:p>
    <w:p>
      <w:pPr>
        <w:pStyle w:val="BodyText"/>
        <w:spacing w:line="343" w:lineRule="auto" w:before="5"/>
        <w:ind w:left="102" w:right="4053"/>
      </w:pPr>
      <w:r>
        <w:rPr/>
        <w:t>3230 Industria del cuero, pieles y sus productos 3240 Industria del calzado</w:t>
      </w:r>
    </w:p>
    <w:p>
      <w:pPr>
        <w:pStyle w:val="Heading2"/>
        <w:spacing w:before="10"/>
      </w:pPr>
      <w:r>
        <w:rPr/>
        <w:t>Subsector 33 Industria de madera, productos de madera, incluye muebles</w:t>
      </w:r>
    </w:p>
    <w:p>
      <w:pPr>
        <w:pStyle w:val="BodyText"/>
        <w:spacing w:before="115"/>
        <w:ind w:left="102" w:right="121"/>
      </w:pPr>
      <w:r>
        <w:rPr/>
        <w:t>3311 Fabricación de productos de aserradero y carpintería</w:t>
      </w:r>
    </w:p>
    <w:p>
      <w:pPr>
        <w:pStyle w:val="BodyText"/>
        <w:spacing w:line="345" w:lineRule="auto" w:before="120"/>
        <w:ind w:left="102" w:right="2413"/>
      </w:pPr>
      <w:r>
        <w:rPr/>
        <w:t>3312 Fabricación de envases y otros productos de madera y corcho 3320 Fabricación y reparación de muebles no metálicos</w:t>
      </w:r>
    </w:p>
    <w:p>
      <w:pPr>
        <w:pStyle w:val="Heading2"/>
        <w:spacing w:before="8"/>
      </w:pPr>
      <w:r>
        <w:rPr/>
        <w:t>Subsector 34 Papel, productos de papel, imprenta y editores</w:t>
      </w:r>
    </w:p>
    <w:p>
      <w:pPr>
        <w:pStyle w:val="BodyText"/>
        <w:spacing w:line="343" w:lineRule="auto" w:before="115"/>
        <w:ind w:left="102" w:right="4053"/>
      </w:pPr>
      <w:r>
        <w:rPr/>
        <w:t>3410 Manufactura de celulosa, papel y productos 3420 Imprentas editoriales y empresas conexas</w:t>
      </w:r>
    </w:p>
    <w:p>
      <w:pPr>
        <w:pStyle w:val="Heading2"/>
        <w:spacing w:before="10"/>
      </w:pPr>
      <w:r>
        <w:rPr/>
        <w:t>Subsector 35 Sustancias químicas, productos de petróleo y carbón, hule y plástico</w:t>
      </w:r>
    </w:p>
    <w:p>
      <w:pPr>
        <w:pStyle w:val="BodyText"/>
        <w:spacing w:line="343" w:lineRule="auto" w:before="115"/>
        <w:ind w:left="102" w:right="4053"/>
      </w:pPr>
      <w:r>
        <w:rPr/>
        <w:t>3512 Fabricación de sustancias químicas básicas 3521 Industria farmacéutica</w:t>
      </w:r>
    </w:p>
    <w:p>
      <w:pPr>
        <w:spacing w:after="0" w:line="343" w:lineRule="auto"/>
        <w:sectPr>
          <w:pgSz w:w="12240" w:h="15840"/>
          <w:pgMar w:header="0" w:footer="943" w:top="1360" w:bottom="1200" w:left="1600" w:right="1580"/>
        </w:sectPr>
      </w:pPr>
    </w:p>
    <w:p>
      <w:pPr>
        <w:pStyle w:val="BodyText"/>
        <w:spacing w:line="345" w:lineRule="auto" w:before="48"/>
        <w:ind w:left="102" w:right="4492"/>
      </w:pPr>
      <w:r>
        <w:rPr/>
        <w:t>3522 Fabricación de otras sustancias químicas 3540 Industria del coque</w:t>
      </w:r>
    </w:p>
    <w:p>
      <w:pPr>
        <w:pStyle w:val="BodyText"/>
        <w:spacing w:before="3"/>
        <w:ind w:left="102" w:right="121"/>
      </w:pPr>
      <w:r>
        <w:rPr/>
        <w:t>3550 Industria del hule</w:t>
      </w:r>
    </w:p>
    <w:p>
      <w:pPr>
        <w:pStyle w:val="BodyText"/>
        <w:spacing w:before="120"/>
        <w:ind w:left="102" w:right="121"/>
      </w:pPr>
      <w:r>
        <w:rPr/>
        <w:t>3560 Elaboración de productos de plástico</w:t>
      </w:r>
    </w:p>
    <w:p>
      <w:pPr>
        <w:pStyle w:val="Heading2"/>
      </w:pPr>
      <w:r>
        <w:rPr/>
        <w:t>Subsector 36 Productos minerales no metálicos, excepto derivados del petróleo y carbón</w:t>
      </w:r>
    </w:p>
    <w:p>
      <w:pPr>
        <w:pStyle w:val="BodyText"/>
        <w:spacing w:before="115"/>
        <w:ind w:left="102" w:right="121"/>
      </w:pPr>
      <w:r>
        <w:rPr/>
        <w:t>3611 Alfarería y cerámica</w:t>
      </w:r>
    </w:p>
    <w:p>
      <w:pPr>
        <w:pStyle w:val="BodyText"/>
        <w:spacing w:line="343" w:lineRule="auto" w:before="120"/>
        <w:ind w:left="102" w:right="3304"/>
      </w:pPr>
      <w:r>
        <w:rPr/>
        <w:t>3612 Fabricación de materiales de construcción y arcilla 3620 Fabricación de vidrio y productos de vidrio</w:t>
      </w:r>
    </w:p>
    <w:p>
      <w:pPr>
        <w:pStyle w:val="BodyText"/>
        <w:spacing w:before="6"/>
        <w:ind w:left="102" w:right="121"/>
      </w:pPr>
      <w:r>
        <w:rPr/>
        <w:t>3691 Fabricación de cemento, cal, yeso y otros productos minerales no metálicos</w:t>
      </w:r>
    </w:p>
    <w:p>
      <w:pPr>
        <w:spacing w:line="343" w:lineRule="auto" w:before="125"/>
        <w:ind w:left="102" w:right="4672" w:firstLine="0"/>
        <w:jc w:val="left"/>
        <w:rPr>
          <w:sz w:val="24"/>
        </w:rPr>
      </w:pPr>
      <w:r>
        <w:rPr>
          <w:b/>
          <w:sz w:val="24"/>
        </w:rPr>
        <w:t>Subsector 37 Industria metálica básica </w:t>
      </w:r>
      <w:r>
        <w:rPr>
          <w:sz w:val="24"/>
        </w:rPr>
        <w:t>3710 Industria básica del hierro y el acero 3720 Industria básica de metales no ferrosos</w:t>
      </w:r>
    </w:p>
    <w:p>
      <w:pPr>
        <w:pStyle w:val="Heading2"/>
        <w:spacing w:before="10"/>
      </w:pPr>
      <w:r>
        <w:rPr/>
        <w:t>Subsector 38 Productos metálicos, maquinaria y equipo, incluye instrumentos de precisión</w:t>
      </w:r>
    </w:p>
    <w:p>
      <w:pPr>
        <w:pStyle w:val="BodyText"/>
        <w:spacing w:before="115"/>
        <w:ind w:left="102" w:right="121"/>
      </w:pPr>
      <w:r>
        <w:rPr/>
        <w:t>3811 Fundición y moldeo de piezas metálicas, ferrosas y no ferrosas</w:t>
      </w:r>
    </w:p>
    <w:p>
      <w:pPr>
        <w:pStyle w:val="BodyText"/>
        <w:spacing w:before="120"/>
        <w:ind w:left="102" w:right="1053"/>
      </w:pPr>
      <w:r>
        <w:rPr/>
        <w:t>3812 Fabricación de productos de metal estructurado, calderas industriales y otros productos elaborados con chapas soldadas</w:t>
      </w:r>
    </w:p>
    <w:p>
      <w:pPr>
        <w:pStyle w:val="BodyText"/>
        <w:spacing w:before="120"/>
        <w:ind w:left="102" w:right="121"/>
      </w:pPr>
      <w:r>
        <w:rPr/>
        <w:t>3813 Fabricación y reparación de muebles metálicos</w:t>
      </w:r>
    </w:p>
    <w:p>
      <w:pPr>
        <w:pStyle w:val="BodyText"/>
        <w:spacing w:before="120"/>
        <w:ind w:left="102" w:right="121"/>
      </w:pPr>
      <w:r>
        <w:rPr/>
        <w:t>3814 Fabricación de otros productos metálicos terminados</w:t>
      </w:r>
    </w:p>
    <w:p>
      <w:pPr>
        <w:pStyle w:val="BodyText"/>
        <w:spacing w:before="120"/>
        <w:ind w:left="102" w:right="641"/>
      </w:pPr>
      <w:r>
        <w:rPr/>
        <w:t>3821 Fabricación y reparación de maquinaria y equipo para fines específicos con o sin motor eléctrico integrado</w:t>
      </w:r>
    </w:p>
    <w:p>
      <w:pPr>
        <w:pStyle w:val="BodyText"/>
        <w:spacing w:before="120"/>
        <w:ind w:left="102" w:right="121"/>
      </w:pPr>
      <w:r>
        <w:rPr/>
        <w:t>3822 Fabricación y reparación de maquinaria y equipo de usos generales con o sin motor eléctrico integrado</w:t>
      </w:r>
    </w:p>
    <w:p>
      <w:pPr>
        <w:pStyle w:val="BodyText"/>
        <w:spacing w:line="343" w:lineRule="auto" w:before="120"/>
        <w:ind w:left="102" w:right="1180"/>
      </w:pPr>
      <w:r>
        <w:rPr/>
        <w:t>3823 Fabricación de maquinaria de oficina, cálculo y procesamiento informativo 3831 Fabricación de maquinaria, equipo y accesorios y suministros eléctricos</w:t>
      </w:r>
    </w:p>
    <w:p>
      <w:pPr>
        <w:pStyle w:val="BodyText"/>
        <w:spacing w:line="345" w:lineRule="auto" w:before="5"/>
        <w:ind w:left="102" w:right="455"/>
      </w:pPr>
      <w:r>
        <w:rPr/>
        <w:t>3832 Fabricación de equipo electrónico de radio, televisión, comunicaciones y</w:t>
      </w:r>
      <w:r>
        <w:rPr>
          <w:spacing w:val="-13"/>
        </w:rPr>
        <w:t> </w:t>
      </w:r>
      <w:r>
        <w:rPr/>
        <w:t>científico 3833 Industria de aparatos y accesorios de uso doméstico, eléctricos y no eléctricos 3841 Industria</w:t>
      </w:r>
      <w:r>
        <w:rPr>
          <w:spacing w:val="-5"/>
        </w:rPr>
        <w:t> </w:t>
      </w:r>
      <w:r>
        <w:rPr/>
        <w:t>automotriz</w:t>
      </w:r>
    </w:p>
    <w:p>
      <w:pPr>
        <w:pStyle w:val="BodyText"/>
        <w:spacing w:before="3"/>
        <w:ind w:left="102" w:right="121"/>
      </w:pPr>
      <w:r>
        <w:rPr/>
        <w:t>3842 Fabricación de otros materiales de transporte</w:t>
      </w:r>
    </w:p>
    <w:p>
      <w:pPr>
        <w:pStyle w:val="BodyText"/>
        <w:spacing w:before="120"/>
        <w:ind w:left="102" w:right="121"/>
      </w:pPr>
      <w:r>
        <w:rPr/>
        <w:t>3850 Manufactura de instrumentos y equipo de precisión</w:t>
      </w:r>
    </w:p>
    <w:p>
      <w:pPr>
        <w:pStyle w:val="Heading2"/>
      </w:pPr>
      <w:r>
        <w:rPr/>
        <w:t>Subsector 39 Otras industrias manufactureras</w:t>
      </w:r>
    </w:p>
    <w:p>
      <w:pPr>
        <w:pStyle w:val="BodyText"/>
        <w:spacing w:before="115"/>
        <w:ind w:left="102" w:right="121"/>
      </w:pPr>
      <w:r>
        <w:rPr/>
        <w:t>3900 Otras industrias manufactureras</w:t>
      </w:r>
    </w:p>
    <w:p>
      <w:pPr>
        <w:spacing w:after="0"/>
        <w:sectPr>
          <w:pgSz w:w="12240" w:h="15840"/>
          <w:pgMar w:header="0" w:footer="943" w:top="1360" w:bottom="1200" w:left="1600" w:right="1580"/>
        </w:sectPr>
      </w:pPr>
    </w:p>
    <w:p>
      <w:pPr>
        <w:pStyle w:val="Heading2"/>
        <w:spacing w:before="52"/>
      </w:pPr>
      <w:r>
        <w:rPr/>
        <w:t>CENSO INDUSTRIAL 1985</w:t>
      </w:r>
    </w:p>
    <w:p>
      <w:pPr>
        <w:pStyle w:val="BodyText"/>
        <w:rPr>
          <w:b/>
        </w:rPr>
      </w:pPr>
    </w:p>
    <w:p>
      <w:pPr>
        <w:pStyle w:val="BodyText"/>
        <w:spacing w:before="10"/>
        <w:rPr>
          <w:b/>
          <w:sz w:val="20"/>
        </w:rPr>
      </w:pPr>
    </w:p>
    <w:p>
      <w:pPr>
        <w:spacing w:before="0"/>
        <w:ind w:left="102" w:right="121" w:firstLine="0"/>
        <w:jc w:val="left"/>
        <w:rPr>
          <w:b/>
          <w:sz w:val="24"/>
        </w:rPr>
      </w:pPr>
      <w:r>
        <w:rPr>
          <w:b/>
          <w:sz w:val="24"/>
        </w:rPr>
        <w:t>Subsector 31 Productos de alimentos bebidas y tabaco</w:t>
      </w:r>
    </w:p>
    <w:p>
      <w:pPr>
        <w:pStyle w:val="BodyText"/>
        <w:spacing w:before="115"/>
        <w:ind w:left="222" w:right="121"/>
      </w:pPr>
      <w:r>
        <w:rPr/>
        <w:t>3111 Industria de la carne</w:t>
      </w:r>
    </w:p>
    <w:p>
      <w:pPr>
        <w:pStyle w:val="BodyText"/>
        <w:spacing w:before="120"/>
        <w:ind w:left="222" w:right="121"/>
      </w:pPr>
      <w:r>
        <w:rPr/>
        <w:t>3112 Elaboración de productos lácteos</w:t>
      </w:r>
    </w:p>
    <w:p>
      <w:pPr>
        <w:pStyle w:val="BodyText"/>
        <w:spacing w:before="120"/>
        <w:ind w:left="243" w:right="189" w:hanging="22"/>
      </w:pPr>
      <w:r>
        <w:rPr/>
        <w:t>3113 Elaboración de conservas alimenticias, excepto las de carne y leche exclusivamente. Incluye concentrados para caldos.</w:t>
      </w:r>
    </w:p>
    <w:p>
      <w:pPr>
        <w:pStyle w:val="BodyText"/>
        <w:spacing w:line="343" w:lineRule="auto" w:before="120"/>
        <w:ind w:left="222" w:right="3586"/>
      </w:pPr>
      <w:r>
        <w:rPr/>
        <w:t>3114 Molienda de cereales y otros productos agrícolas 3115 Elaboración de productos de panadería</w:t>
      </w:r>
    </w:p>
    <w:p>
      <w:pPr>
        <w:pStyle w:val="BodyText"/>
        <w:spacing w:line="343" w:lineRule="auto" w:before="6"/>
        <w:ind w:left="222" w:right="3772"/>
      </w:pPr>
      <w:r>
        <w:rPr/>
        <w:t>3116 Molienda de nixtamal y fabricación de tortillas 3117 Fabricación de aceites y grasas comestibles</w:t>
      </w:r>
    </w:p>
    <w:p>
      <w:pPr>
        <w:pStyle w:val="BodyText"/>
        <w:spacing w:before="5"/>
        <w:ind w:left="222" w:right="121"/>
      </w:pPr>
      <w:r>
        <w:rPr/>
        <w:t>3119 Fabricación de cocoa, chocolate y artículos de confitería</w:t>
      </w:r>
    </w:p>
    <w:p>
      <w:pPr>
        <w:pStyle w:val="BodyText"/>
        <w:spacing w:line="343" w:lineRule="auto" w:before="120"/>
        <w:ind w:left="222" w:right="1586"/>
      </w:pPr>
      <w:r>
        <w:rPr/>
        <w:t>3121 Elaboración de otros productos alimenticios para el consumo humano 3130 Industria de las bebidas</w:t>
      </w:r>
    </w:p>
    <w:p>
      <w:pPr>
        <w:pStyle w:val="BodyText"/>
        <w:spacing w:before="5"/>
        <w:ind w:left="222" w:right="121"/>
      </w:pPr>
      <w:r>
        <w:rPr/>
        <w:t>3118 Industria azucarera</w:t>
      </w:r>
    </w:p>
    <w:p>
      <w:pPr>
        <w:pStyle w:val="BodyText"/>
        <w:spacing w:line="343" w:lineRule="auto" w:before="120"/>
        <w:ind w:left="222" w:right="3340"/>
      </w:pPr>
      <w:r>
        <w:rPr/>
        <w:t>3122 Elaboración de alimentos preparados para animales 3140 Industria del tabaco</w:t>
      </w:r>
    </w:p>
    <w:p>
      <w:pPr>
        <w:pStyle w:val="Heading2"/>
        <w:spacing w:before="10"/>
        <w:ind w:left="162"/>
      </w:pPr>
      <w:r>
        <w:rPr/>
        <w:t>Subsector 32 Textiles, prendas de vestir e industria del cuero</w:t>
      </w:r>
    </w:p>
    <w:p>
      <w:pPr>
        <w:pStyle w:val="BodyText"/>
        <w:spacing w:before="115"/>
        <w:ind w:left="222" w:right="121"/>
      </w:pPr>
      <w:r>
        <w:rPr/>
        <w:t>3211 Industria textil de fibras duras y cordelería de todo tipo</w:t>
      </w:r>
    </w:p>
    <w:p>
      <w:pPr>
        <w:pStyle w:val="BodyText"/>
        <w:spacing w:before="120"/>
        <w:ind w:left="222" w:right="121"/>
      </w:pPr>
      <w:r>
        <w:rPr/>
        <w:t>3212 Hilado, tejido y acabado de fibras blandas. Excepto de punto</w:t>
      </w:r>
    </w:p>
    <w:p>
      <w:pPr>
        <w:pStyle w:val="BodyText"/>
        <w:tabs>
          <w:tab w:pos="1212" w:val="left" w:leader="none"/>
        </w:tabs>
        <w:spacing w:before="120"/>
        <w:ind w:left="243" w:right="200" w:hanging="22"/>
      </w:pPr>
      <w:r>
        <w:rPr/>
        <w:t>3213 Confección con materiales textiles. Excepto prendas de vestir incluye fabricación de tapices</w:t>
        <w:tab/>
        <w:t>y alfombras de fibras</w:t>
      </w:r>
      <w:r>
        <w:rPr>
          <w:spacing w:val="-10"/>
        </w:rPr>
        <w:t> </w:t>
      </w:r>
      <w:r>
        <w:rPr/>
        <w:t>blandas</w:t>
      </w:r>
    </w:p>
    <w:p>
      <w:pPr>
        <w:pStyle w:val="BodyText"/>
        <w:spacing w:line="343" w:lineRule="auto" w:before="120"/>
        <w:ind w:left="222" w:right="5199"/>
      </w:pPr>
      <w:r>
        <w:rPr/>
        <w:t>3214 Fabricación de tejidos de punto 3220 Confección de prendas de vestir</w:t>
      </w:r>
    </w:p>
    <w:p>
      <w:pPr>
        <w:pStyle w:val="BodyText"/>
        <w:spacing w:before="5"/>
        <w:ind w:left="243" w:right="494" w:hanging="22"/>
      </w:pPr>
      <w:r>
        <w:rPr/>
        <w:t>3230 Industria del cuero, pieles y sus productos excepto calzado y prendas de vestir de cuero y pieles</w:t>
      </w:r>
    </w:p>
    <w:p>
      <w:pPr>
        <w:pStyle w:val="BodyText"/>
        <w:spacing w:before="120"/>
        <w:ind w:left="222" w:right="121"/>
      </w:pPr>
      <w:r>
        <w:rPr/>
        <w:t>3240 Industria del calzado excepto de hule y/o plástico</w:t>
      </w:r>
    </w:p>
    <w:p>
      <w:pPr>
        <w:pStyle w:val="Heading2"/>
        <w:ind w:left="162"/>
      </w:pPr>
      <w:r>
        <w:rPr/>
        <w:t>Subsector 33 Industria de madera y productos de madera. Incluye muebles</w:t>
      </w:r>
    </w:p>
    <w:p>
      <w:pPr>
        <w:pStyle w:val="BodyText"/>
        <w:spacing w:before="115"/>
        <w:ind w:left="222" w:right="121"/>
      </w:pPr>
      <w:r>
        <w:rPr/>
        <w:t>3311 Fabricación de productos de aserradero y carpintería excepto muebles</w:t>
      </w:r>
    </w:p>
    <w:p>
      <w:pPr>
        <w:spacing w:line="345" w:lineRule="auto" w:before="120"/>
        <w:ind w:left="162" w:right="285" w:firstLine="60"/>
        <w:jc w:val="left"/>
        <w:rPr>
          <w:b/>
          <w:sz w:val="24"/>
        </w:rPr>
      </w:pPr>
      <w:r>
        <w:rPr>
          <w:sz w:val="24"/>
        </w:rPr>
        <w:t>3312 Fabricación de envases y otros productos de madera y corcho excepto muebles 3320 Fabricación y reparación de muebles principalmente de madera incluye colchones </w:t>
      </w:r>
      <w:r>
        <w:rPr>
          <w:b/>
          <w:sz w:val="24"/>
        </w:rPr>
        <w:t>Subsector 34 Productos de papel, imprentas y editoriales</w:t>
      </w:r>
    </w:p>
    <w:p>
      <w:pPr>
        <w:pStyle w:val="BodyText"/>
        <w:spacing w:line="343" w:lineRule="auto"/>
        <w:ind w:left="222" w:right="3726"/>
      </w:pPr>
      <w:r>
        <w:rPr/>
        <w:t>3410 Manufactura de celulosa, papel y sus productos 3420 Imprentas, editoriales e industrias conexas</w:t>
      </w:r>
    </w:p>
    <w:p>
      <w:pPr>
        <w:spacing w:after="0" w:line="343" w:lineRule="auto"/>
        <w:sectPr>
          <w:pgSz w:w="12240" w:h="15840"/>
          <w:pgMar w:header="0" w:footer="943" w:top="1360" w:bottom="1200" w:left="1600" w:right="1580"/>
        </w:sectPr>
      </w:pPr>
    </w:p>
    <w:p>
      <w:pPr>
        <w:pStyle w:val="Heading2"/>
        <w:spacing w:before="52"/>
        <w:ind w:left="243" w:right="285" w:hanging="82"/>
      </w:pPr>
      <w:r>
        <w:rPr/>
        <w:t>Subsector 35 Sustancias químicas, productos derivados del petróleo y del carbón, de hule y de plástico</w:t>
      </w:r>
    </w:p>
    <w:p>
      <w:pPr>
        <w:pStyle w:val="BodyText"/>
        <w:spacing w:line="343" w:lineRule="auto" w:before="115"/>
        <w:ind w:left="222" w:right="688"/>
      </w:pPr>
      <w:r>
        <w:rPr/>
        <w:t>3512 Fabricación de sustancias químicas básicas excepto las petroquímicas básicas 3513 Industria de las fibras artificiales y/o dietéticas</w:t>
      </w:r>
    </w:p>
    <w:p>
      <w:pPr>
        <w:pStyle w:val="BodyText"/>
        <w:spacing w:before="5"/>
        <w:ind w:left="222" w:right="121"/>
      </w:pPr>
      <w:r>
        <w:rPr/>
        <w:t>3521 Industria farmacéutica</w:t>
      </w:r>
    </w:p>
    <w:p>
      <w:pPr>
        <w:pStyle w:val="BodyText"/>
        <w:spacing w:before="120"/>
        <w:ind w:left="222" w:right="121"/>
      </w:pPr>
      <w:r>
        <w:rPr/>
        <w:t>3522 Fabricación de otras sustancias y productos químicos</w:t>
      </w:r>
    </w:p>
    <w:p>
      <w:pPr>
        <w:pStyle w:val="BodyText"/>
        <w:spacing w:line="343" w:lineRule="auto" w:before="120"/>
        <w:ind w:left="222" w:right="688"/>
      </w:pPr>
      <w:r>
        <w:rPr/>
        <w:t>3540 Industria del coque incluye otros derivados del carbón mineral y del petróleo 3550 Industria del hule</w:t>
      </w:r>
    </w:p>
    <w:p>
      <w:pPr>
        <w:pStyle w:val="BodyText"/>
        <w:spacing w:before="5"/>
        <w:ind w:left="222" w:right="121"/>
      </w:pPr>
      <w:r>
        <w:rPr/>
        <w:t>3560 Elaboración de productos de plástico</w:t>
      </w:r>
    </w:p>
    <w:p>
      <w:pPr>
        <w:pStyle w:val="Heading2"/>
        <w:ind w:left="243" w:right="433" w:hanging="82"/>
      </w:pPr>
      <w:r>
        <w:rPr/>
        <w:t>Subsector 36 Productos minerales no metálicos excepto de derivados del petróleo y del carbón</w:t>
      </w:r>
    </w:p>
    <w:p>
      <w:pPr>
        <w:pStyle w:val="BodyText"/>
        <w:spacing w:line="343" w:lineRule="auto" w:before="115"/>
        <w:ind w:left="222" w:right="2895"/>
        <w:jc w:val="both"/>
      </w:pPr>
      <w:r>
        <w:rPr/>
        <w:t>3611 Alfarería y cerámica excepto materiales de construcción 3612 Fabricación de materiales de arcilla para la</w:t>
      </w:r>
      <w:r>
        <w:rPr>
          <w:spacing w:val="-13"/>
        </w:rPr>
        <w:t> </w:t>
      </w:r>
      <w:r>
        <w:rPr/>
        <w:t>construcción 3620 Fabricación de vidrio y productos de</w:t>
      </w:r>
      <w:r>
        <w:rPr>
          <w:spacing w:val="-10"/>
        </w:rPr>
        <w:t> </w:t>
      </w:r>
      <w:r>
        <w:rPr/>
        <w:t>vidrio</w:t>
      </w:r>
    </w:p>
    <w:p>
      <w:pPr>
        <w:pStyle w:val="BodyText"/>
        <w:spacing w:before="5"/>
        <w:ind w:left="102" w:right="1067" w:firstLine="120"/>
      </w:pPr>
      <w:r>
        <w:rPr/>
        <w:t>3691 Fabricación de cemento, cal, yeso y otros productos a base de minerales no metálicos</w:t>
      </w:r>
    </w:p>
    <w:p>
      <w:pPr>
        <w:pStyle w:val="Heading2"/>
        <w:ind w:left="162" w:right="0"/>
        <w:jc w:val="both"/>
      </w:pPr>
      <w:r>
        <w:rPr/>
        <w:t>Subsector 37 Industrias metálicas básicas</w:t>
      </w:r>
    </w:p>
    <w:p>
      <w:pPr>
        <w:pStyle w:val="BodyText"/>
        <w:spacing w:before="115"/>
        <w:ind w:left="222" w:right="121"/>
      </w:pPr>
      <w:r>
        <w:rPr/>
        <w:t>3710 Industria básica del hierro y acero</w:t>
      </w:r>
    </w:p>
    <w:p>
      <w:pPr>
        <w:pStyle w:val="BodyText"/>
        <w:spacing w:before="120"/>
        <w:ind w:left="102" w:right="688" w:firstLine="120"/>
      </w:pPr>
      <w:r>
        <w:rPr/>
        <w:t>3720 Industria básica de metales no ferrosos incluye tratamiento de combustibles nucleares</w:t>
      </w:r>
    </w:p>
    <w:p>
      <w:pPr>
        <w:pStyle w:val="Heading2"/>
        <w:ind w:left="243" w:right="905" w:hanging="82"/>
      </w:pPr>
      <w:r>
        <w:rPr/>
        <w:t>Subsector 38 Productos metálicos, maquinaria y equipo. Incluye instrumentos quirúrgicos y de precisión</w:t>
      </w:r>
    </w:p>
    <w:p>
      <w:pPr>
        <w:pStyle w:val="BodyText"/>
        <w:spacing w:before="115"/>
        <w:ind w:left="222" w:right="121"/>
      </w:pPr>
      <w:r>
        <w:rPr/>
        <w:t>3811 Fundición y moldeo de piezas metálicas, ferrosas y no ferrosas</w:t>
      </w:r>
    </w:p>
    <w:p>
      <w:pPr>
        <w:pStyle w:val="BodyText"/>
        <w:spacing w:before="120"/>
        <w:ind w:left="243" w:right="175" w:hanging="22"/>
      </w:pPr>
      <w:r>
        <w:rPr/>
        <w:t>3812 Fabricación de estructuras metálicas, tanques y calderas industriales incluso trabajos de herrería</w:t>
      </w:r>
    </w:p>
    <w:p>
      <w:pPr>
        <w:pStyle w:val="BodyText"/>
        <w:spacing w:before="120"/>
        <w:ind w:left="222" w:right="121"/>
      </w:pPr>
      <w:r>
        <w:rPr/>
        <w:t>3813 Fabricación y reparación de muebles metálicos</w:t>
      </w:r>
    </w:p>
    <w:p>
      <w:pPr>
        <w:pStyle w:val="BodyText"/>
        <w:spacing w:before="120"/>
        <w:ind w:left="222" w:right="121"/>
      </w:pPr>
      <w:r>
        <w:rPr/>
        <w:t>3814 Fabricación de otros productos metálicos excepto maquinaria y equipo</w:t>
      </w:r>
    </w:p>
    <w:p>
      <w:pPr>
        <w:pStyle w:val="BodyText"/>
        <w:spacing w:before="120"/>
        <w:ind w:left="243" w:right="522" w:hanging="22"/>
      </w:pPr>
      <w:r>
        <w:rPr/>
        <w:t>3821 Fabricación y reparación de maquinaria y equipo para fines específicos con o sin motor eléctrico integrado incluye maquinaria agrícola</w:t>
      </w:r>
    </w:p>
    <w:p>
      <w:pPr>
        <w:pStyle w:val="BodyText"/>
        <w:spacing w:before="120"/>
        <w:ind w:left="243" w:right="661" w:hanging="22"/>
      </w:pPr>
      <w:r>
        <w:rPr/>
        <w:t>3822 Fabricación y reparación de maquinaria y equipo para usos generales, con o sin motor eléctrico integrado incluye armamento</w:t>
      </w:r>
    </w:p>
    <w:p>
      <w:pPr>
        <w:pStyle w:val="BodyText"/>
        <w:spacing w:before="120"/>
        <w:ind w:left="222" w:right="121"/>
      </w:pPr>
      <w:r>
        <w:rPr/>
        <w:t>3823 Fabricación de máquinas de oficina cálculo y procesamiento informático</w:t>
      </w:r>
    </w:p>
    <w:p>
      <w:pPr>
        <w:pStyle w:val="BodyText"/>
        <w:spacing w:before="120"/>
        <w:ind w:left="243" w:right="1208" w:hanging="22"/>
      </w:pPr>
      <w:r>
        <w:rPr/>
        <w:t>3831 Fabricación de maquinaria, equipo y accesorios eléctricos, incluso para la generación de energía eléctrica</w:t>
      </w:r>
    </w:p>
    <w:p>
      <w:pPr>
        <w:pStyle w:val="BodyText"/>
        <w:spacing w:before="120"/>
        <w:ind w:left="102" w:right="600" w:firstLine="120"/>
      </w:pPr>
      <w:r>
        <w:rPr/>
        <w:t>3832 Fabricación de equipo electrónico de radio, televisión, comunicaciones y de uso médico</w:t>
      </w:r>
    </w:p>
    <w:p>
      <w:pPr>
        <w:spacing w:after="0"/>
        <w:sectPr>
          <w:pgSz w:w="12240" w:h="15840"/>
          <w:pgMar w:header="0" w:footer="943" w:top="1360" w:bottom="1200" w:left="1600" w:right="1580"/>
        </w:sectPr>
      </w:pPr>
    </w:p>
    <w:p>
      <w:pPr>
        <w:pStyle w:val="BodyText"/>
        <w:spacing w:before="48"/>
        <w:ind w:left="183" w:right="535" w:hanging="22"/>
      </w:pPr>
      <w:r>
        <w:rPr/>
        <w:t>3833 Fabricación de aparatos y accesorios de uso doméstico, eléctricos y no eléctricos excepto electrónicos</w:t>
      </w:r>
    </w:p>
    <w:p>
      <w:pPr>
        <w:pStyle w:val="BodyText"/>
        <w:spacing w:before="120"/>
        <w:ind w:left="162" w:right="535"/>
      </w:pPr>
      <w:r>
        <w:rPr/>
        <w:t>3841 Industria automotriz</w:t>
      </w:r>
    </w:p>
    <w:p>
      <w:pPr>
        <w:pStyle w:val="BodyText"/>
        <w:spacing w:before="120"/>
        <w:ind w:left="162"/>
      </w:pPr>
      <w:r>
        <w:rPr/>
        <w:t>3842 Fabricación de equipo de transporte y sus partes, excepto automóviles y camiones</w:t>
      </w:r>
    </w:p>
    <w:p>
      <w:pPr>
        <w:pStyle w:val="BodyText"/>
        <w:spacing w:before="120"/>
        <w:ind w:left="183" w:hanging="22"/>
      </w:pPr>
      <w:r>
        <w:rPr/>
        <w:t>3850 Fabricación de instrumentos y equipo de precisión, excepto los electrónicos, incluye instrumental quirúrgico</w:t>
      </w:r>
    </w:p>
    <w:p>
      <w:pPr>
        <w:pStyle w:val="Heading2"/>
        <w:ind w:right="535"/>
      </w:pPr>
      <w:r>
        <w:rPr/>
        <w:t>Subsector 39 Otras industrias manufactureras</w:t>
      </w:r>
    </w:p>
    <w:p>
      <w:pPr>
        <w:pStyle w:val="BodyText"/>
        <w:spacing w:before="115"/>
        <w:ind w:left="162" w:right="535"/>
      </w:pPr>
      <w:r>
        <w:rPr/>
        <w:t>3900 Otras industrias manufactureras</w:t>
      </w:r>
    </w:p>
    <w:p>
      <w:pPr>
        <w:spacing w:after="0"/>
        <w:sectPr>
          <w:pgSz w:w="12240" w:h="15840"/>
          <w:pgMar w:header="0" w:footer="943" w:top="1360" w:bottom="1200" w:left="1660" w:right="1580"/>
        </w:sectPr>
      </w:pPr>
    </w:p>
    <w:p>
      <w:pPr>
        <w:pStyle w:val="Heading2"/>
        <w:spacing w:before="52"/>
      </w:pPr>
      <w:r>
        <w:rPr/>
        <w:t>CENSO INDUSTRIAL 1988</w:t>
      </w:r>
    </w:p>
    <w:p>
      <w:pPr>
        <w:pStyle w:val="BodyText"/>
        <w:rPr>
          <w:b/>
        </w:rPr>
      </w:pPr>
    </w:p>
    <w:p>
      <w:pPr>
        <w:pStyle w:val="BodyText"/>
        <w:spacing w:before="10"/>
        <w:rPr>
          <w:b/>
          <w:sz w:val="20"/>
        </w:rPr>
      </w:pPr>
    </w:p>
    <w:p>
      <w:pPr>
        <w:spacing w:before="0"/>
        <w:ind w:left="102" w:right="121" w:firstLine="0"/>
        <w:jc w:val="left"/>
        <w:rPr>
          <w:b/>
          <w:sz w:val="24"/>
        </w:rPr>
      </w:pPr>
      <w:r>
        <w:rPr>
          <w:b/>
          <w:sz w:val="24"/>
        </w:rPr>
        <w:t>Subsector 31 Productos alimenticios, bebidas y tabaco</w:t>
      </w:r>
    </w:p>
    <w:p>
      <w:pPr>
        <w:pStyle w:val="BodyText"/>
        <w:spacing w:before="115"/>
        <w:ind w:left="222" w:right="121"/>
      </w:pPr>
      <w:r>
        <w:rPr/>
        <w:t>3111 Industria de la carne</w:t>
      </w:r>
    </w:p>
    <w:p>
      <w:pPr>
        <w:pStyle w:val="BodyText"/>
        <w:spacing w:before="120"/>
        <w:ind w:left="222" w:right="121"/>
      </w:pPr>
      <w:r>
        <w:rPr/>
        <w:t>3112 Elaboración de productos de lácteos</w:t>
      </w:r>
    </w:p>
    <w:p>
      <w:pPr>
        <w:pStyle w:val="BodyText"/>
        <w:spacing w:before="120"/>
        <w:ind w:left="243" w:right="442" w:hanging="22"/>
      </w:pPr>
      <w:r>
        <w:rPr/>
        <w:t>3113 Elaboración de conservas alimenticias excluye las carnes y leche exclusivamente. Incluye concentrados para caldos</w:t>
      </w:r>
    </w:p>
    <w:p>
      <w:pPr>
        <w:pStyle w:val="BodyText"/>
        <w:spacing w:line="343" w:lineRule="auto" w:before="120"/>
        <w:ind w:left="222" w:right="2413"/>
      </w:pPr>
      <w:r>
        <w:rPr/>
        <w:t>3114 Beneficio y molienda de cereales y otros productos agrícolas 3115 Elaboración de productos de panadería</w:t>
      </w:r>
    </w:p>
    <w:p>
      <w:pPr>
        <w:pStyle w:val="BodyText"/>
        <w:spacing w:line="343" w:lineRule="auto" w:before="6"/>
        <w:ind w:left="222" w:right="3652"/>
      </w:pPr>
      <w:r>
        <w:rPr/>
        <w:t>31116 Molienda de nixtamal y fabricación de tortillas 3117 Fabricación de aceites y grasas comestibles</w:t>
      </w:r>
    </w:p>
    <w:p>
      <w:pPr>
        <w:pStyle w:val="BodyText"/>
        <w:spacing w:before="5"/>
        <w:ind w:left="222" w:right="121"/>
      </w:pPr>
      <w:r>
        <w:rPr/>
        <w:t>3119 Fabricación de cocoa, chocolate y artículos de confitería</w:t>
      </w:r>
    </w:p>
    <w:p>
      <w:pPr>
        <w:pStyle w:val="BodyText"/>
        <w:spacing w:line="343" w:lineRule="auto" w:before="120"/>
        <w:ind w:left="222" w:right="1586"/>
      </w:pPr>
      <w:r>
        <w:rPr/>
        <w:t>3121 Elaboración de otros productos alimenticios para el consumo humano 3122 Elaboración de productos preparados para animales</w:t>
      </w:r>
    </w:p>
    <w:p>
      <w:pPr>
        <w:pStyle w:val="BodyText"/>
        <w:spacing w:line="343" w:lineRule="auto" w:before="5"/>
        <w:ind w:left="222" w:right="6018"/>
      </w:pPr>
      <w:r>
        <w:rPr/>
        <w:t>3130 Industria de las bebidas 3140 Industria del tabaco</w:t>
      </w:r>
    </w:p>
    <w:p>
      <w:pPr>
        <w:spacing w:line="343" w:lineRule="auto" w:before="10"/>
        <w:ind w:left="222" w:right="2509" w:hanging="60"/>
        <w:jc w:val="left"/>
        <w:rPr>
          <w:sz w:val="24"/>
        </w:rPr>
      </w:pPr>
      <w:r>
        <w:rPr>
          <w:b/>
          <w:sz w:val="24"/>
        </w:rPr>
        <w:t>Subsector 32 Textiles, prendas de vestir e industrias del cuero </w:t>
      </w:r>
      <w:r>
        <w:rPr>
          <w:sz w:val="24"/>
        </w:rPr>
        <w:t>3211 Industria textil de fibras duras y cordelería de todo tipo 3212 Hilado, tejido y acabado de fibras blandas, excluye de</w:t>
      </w:r>
      <w:r>
        <w:rPr>
          <w:spacing w:val="-12"/>
          <w:sz w:val="24"/>
        </w:rPr>
        <w:t> </w:t>
      </w:r>
      <w:r>
        <w:rPr>
          <w:sz w:val="24"/>
        </w:rPr>
        <w:t>punto</w:t>
      </w:r>
    </w:p>
    <w:p>
      <w:pPr>
        <w:pStyle w:val="BodyText"/>
        <w:spacing w:before="5"/>
        <w:ind w:left="243" w:right="121" w:hanging="22"/>
      </w:pPr>
      <w:r>
        <w:rPr/>
        <w:t>3213 Confección con materiales textiles incluye fabricación de tapices y alfombras de fibras blandas</w:t>
      </w:r>
    </w:p>
    <w:p>
      <w:pPr>
        <w:pStyle w:val="BodyText"/>
        <w:spacing w:line="343" w:lineRule="auto" w:before="120"/>
        <w:ind w:left="222" w:right="5199"/>
      </w:pPr>
      <w:r>
        <w:rPr/>
        <w:t>3214 Fabricación de tejidos de punto 3220 Confección de prendas de vestir</w:t>
      </w:r>
    </w:p>
    <w:p>
      <w:pPr>
        <w:pStyle w:val="BodyText"/>
        <w:spacing w:before="5"/>
        <w:ind w:left="102" w:right="117" w:firstLine="120"/>
        <w:jc w:val="both"/>
      </w:pPr>
      <w:r>
        <w:rPr/>
        <w:t>3230 Industria del cuero, pieles y sus productos, incluye los productos de materiales sucedáneos, excluye calzado y prendas de vestir de cuero piel y materiales sucedáneos  3240 Industria del calzado, excluyendo hule y/o</w:t>
      </w:r>
      <w:r>
        <w:rPr>
          <w:spacing w:val="-9"/>
        </w:rPr>
        <w:t> </w:t>
      </w:r>
      <w:r>
        <w:rPr/>
        <w:t>plástico</w:t>
      </w:r>
    </w:p>
    <w:p>
      <w:pPr>
        <w:pStyle w:val="Heading2"/>
        <w:ind w:left="162"/>
      </w:pPr>
      <w:r>
        <w:rPr/>
        <w:t>Subsector 33 Industria de la madera y productos de madera. Incluye muebles</w:t>
      </w:r>
    </w:p>
    <w:p>
      <w:pPr>
        <w:pStyle w:val="BodyText"/>
        <w:spacing w:before="116"/>
        <w:ind w:left="222" w:right="121"/>
      </w:pPr>
      <w:r>
        <w:rPr/>
        <w:t>3311 Fabricación de productos de aserradero y carpintería. Excluye muebles</w:t>
      </w:r>
    </w:p>
    <w:p>
      <w:pPr>
        <w:spacing w:line="345" w:lineRule="auto" w:before="120"/>
        <w:ind w:left="162" w:right="189" w:firstLine="60"/>
        <w:jc w:val="left"/>
        <w:rPr>
          <w:b/>
          <w:sz w:val="24"/>
        </w:rPr>
      </w:pPr>
      <w:r>
        <w:rPr>
          <w:sz w:val="24"/>
        </w:rPr>
        <w:t>3312 Fabricación de envases y otros productos de madera y corcho. Excluye muebles 3320 Fabricación y reparación de muebles principalmente de madera. Incluye colchones </w:t>
      </w:r>
      <w:r>
        <w:rPr>
          <w:b/>
          <w:sz w:val="24"/>
        </w:rPr>
        <w:t>Subsector 34 Papel y productos de papel, imprentas y editoriales</w:t>
      </w:r>
    </w:p>
    <w:p>
      <w:pPr>
        <w:pStyle w:val="BodyText"/>
        <w:spacing w:line="343" w:lineRule="auto"/>
        <w:ind w:left="222" w:right="3726"/>
      </w:pPr>
      <w:r>
        <w:rPr/>
        <w:t>3410 Manufactura de celulosa, papel y sus productos 3420 Imprentas, editoriales e industrias conexas</w:t>
      </w:r>
    </w:p>
    <w:p>
      <w:pPr>
        <w:spacing w:after="0" w:line="343" w:lineRule="auto"/>
        <w:sectPr>
          <w:pgSz w:w="12240" w:h="15840"/>
          <w:pgMar w:header="0" w:footer="943" w:top="1360" w:bottom="1200" w:left="1600" w:right="1580"/>
        </w:sectPr>
      </w:pPr>
    </w:p>
    <w:p>
      <w:pPr>
        <w:pStyle w:val="Heading2"/>
        <w:spacing w:before="52"/>
        <w:ind w:left="243" w:right="585" w:hanging="82"/>
      </w:pPr>
      <w:r>
        <w:rPr/>
        <w:t>Subsector 35 Sustancias químicas, productos derivados del petróleo y del carbón, hule y de plástico</w:t>
      </w:r>
    </w:p>
    <w:p>
      <w:pPr>
        <w:pStyle w:val="BodyText"/>
        <w:spacing w:line="343" w:lineRule="auto" w:before="115"/>
        <w:ind w:left="222" w:right="688"/>
      </w:pPr>
      <w:r>
        <w:rPr/>
        <w:t>3512 Fabricación de sustancias químicas básicas. Excluye las petroquímicas básicas 3513 Industria de las fibras artificiales y/o sintéticas</w:t>
      </w:r>
    </w:p>
    <w:p>
      <w:pPr>
        <w:pStyle w:val="BodyText"/>
        <w:spacing w:before="5"/>
        <w:ind w:left="222" w:right="121"/>
      </w:pPr>
      <w:r>
        <w:rPr/>
        <w:t>3521 Industria farmacéutica</w:t>
      </w:r>
    </w:p>
    <w:p>
      <w:pPr>
        <w:pStyle w:val="BodyText"/>
        <w:spacing w:before="120"/>
        <w:ind w:left="222" w:right="121"/>
      </w:pPr>
      <w:r>
        <w:rPr/>
        <w:t>3522 Fabricación de otras sustancias y productos químicos</w:t>
      </w:r>
    </w:p>
    <w:p>
      <w:pPr>
        <w:pStyle w:val="BodyText"/>
        <w:spacing w:line="343" w:lineRule="auto" w:before="120"/>
        <w:ind w:left="222" w:right="900"/>
      </w:pPr>
      <w:r>
        <w:rPr/>
        <w:t>3540 Industria del coque incluye otros derivados del carbón mineral y del petróleo 3550 Industria del hule</w:t>
      </w:r>
    </w:p>
    <w:p>
      <w:pPr>
        <w:pStyle w:val="BodyText"/>
        <w:spacing w:before="5"/>
        <w:ind w:left="222" w:right="121"/>
      </w:pPr>
      <w:r>
        <w:rPr/>
        <w:t>3560 Elaboración de productos de plástico</w:t>
      </w:r>
    </w:p>
    <w:p>
      <w:pPr>
        <w:pStyle w:val="Heading2"/>
        <w:ind w:left="243" w:hanging="82"/>
      </w:pPr>
      <w:r>
        <w:rPr/>
        <w:t>Subsector 36 Productos minerales no metálicos. Excluye los derivados del petróleo y del carbón</w:t>
      </w:r>
    </w:p>
    <w:p>
      <w:pPr>
        <w:pStyle w:val="BodyText"/>
        <w:spacing w:line="343" w:lineRule="auto" w:before="115"/>
        <w:ind w:left="222" w:right="2780"/>
      </w:pPr>
      <w:r>
        <w:rPr/>
        <w:t>3611 Alfarería y cerámica. Excluye materiales de construcción 3612 Fabricación de materiales de arcilla para la construcción 3620 Fabricación de vidrio y productos de vidrio</w:t>
      </w:r>
    </w:p>
    <w:p>
      <w:pPr>
        <w:pStyle w:val="BodyText"/>
        <w:spacing w:before="5"/>
        <w:ind w:left="102" w:right="121" w:firstLine="120"/>
      </w:pPr>
      <w:r>
        <w:rPr/>
        <w:t>3691 Fabricación de cemento, cal y yeso y otros productos a base de minerales no metálicos</w:t>
      </w:r>
    </w:p>
    <w:p>
      <w:pPr>
        <w:pStyle w:val="Heading2"/>
        <w:ind w:left="162"/>
      </w:pPr>
      <w:r>
        <w:rPr/>
        <w:t>Subsector 37 Industrias metálicas básicas</w:t>
      </w:r>
    </w:p>
    <w:p>
      <w:pPr>
        <w:pStyle w:val="BodyText"/>
        <w:spacing w:before="115"/>
        <w:ind w:left="222" w:right="121"/>
      </w:pPr>
      <w:r>
        <w:rPr/>
        <w:t>3710 Industrias básicas del hierro y del acero</w:t>
      </w:r>
    </w:p>
    <w:p>
      <w:pPr>
        <w:pStyle w:val="BodyText"/>
        <w:spacing w:before="120"/>
        <w:ind w:left="102" w:right="540" w:firstLine="120"/>
      </w:pPr>
      <w:r>
        <w:rPr/>
        <w:t>3720 Industrias básicas de metales no ferrosos, incluye el tratamiento de combustibles nucleares</w:t>
      </w:r>
    </w:p>
    <w:p>
      <w:pPr>
        <w:pStyle w:val="Heading2"/>
        <w:ind w:left="243" w:right="518" w:hanging="82"/>
      </w:pPr>
      <w:r>
        <w:rPr/>
        <w:t>Subsector 38 Productos metálicos, maquinaria y equipo. Incluyendo instrumentos quirúrgicos y de precisión</w:t>
      </w:r>
    </w:p>
    <w:p>
      <w:pPr>
        <w:pStyle w:val="BodyText"/>
        <w:spacing w:before="115"/>
        <w:ind w:left="222" w:right="121"/>
      </w:pPr>
      <w:r>
        <w:rPr/>
        <w:t>3811 Fundición y moldeo de piezas metálicas, ferrosas y no ferrosas</w:t>
      </w:r>
    </w:p>
    <w:p>
      <w:pPr>
        <w:pStyle w:val="BodyText"/>
        <w:spacing w:before="120"/>
        <w:ind w:left="243" w:right="115" w:hanging="22"/>
      </w:pPr>
      <w:r>
        <w:rPr/>
        <w:t>3812 Fabricación de estructuras metálicas, tanques y calderas industriales, incluso trabajos de herrería</w:t>
      </w:r>
    </w:p>
    <w:p>
      <w:pPr>
        <w:pStyle w:val="BodyText"/>
        <w:spacing w:before="120"/>
        <w:ind w:left="222" w:right="121"/>
      </w:pPr>
      <w:r>
        <w:rPr/>
        <w:t>3813 Fabricación y reparación de muebles metálicos</w:t>
      </w:r>
    </w:p>
    <w:p>
      <w:pPr>
        <w:pStyle w:val="BodyText"/>
        <w:spacing w:before="120"/>
        <w:ind w:left="222" w:right="121"/>
      </w:pPr>
      <w:r>
        <w:rPr/>
        <w:t>3814 Fabricación de otros productos metálicos. Excluye maquinaria y equipo</w:t>
      </w:r>
    </w:p>
    <w:p>
      <w:pPr>
        <w:pStyle w:val="BodyText"/>
        <w:spacing w:before="120"/>
        <w:ind w:left="243" w:right="121" w:hanging="22"/>
      </w:pPr>
      <w:r>
        <w:rPr/>
        <w:t>3821 Fabricación, reparación y/o ensamble de maquinaria y equipo para fines específicos, con o sin motor eléctrico integrado. Incluye maquinaria agrícola</w:t>
      </w:r>
    </w:p>
    <w:p>
      <w:pPr>
        <w:pStyle w:val="BodyText"/>
        <w:spacing w:before="120"/>
        <w:ind w:left="243" w:right="189" w:hanging="22"/>
      </w:pPr>
      <w:r>
        <w:rPr/>
        <w:t>3822 Fabricación, reparación y/o ensamble de maquinaria y equipo para usos generales con o sin motor eléctrico integrado. Incluyendo armamento</w:t>
      </w:r>
    </w:p>
    <w:p>
      <w:pPr>
        <w:pStyle w:val="BodyText"/>
        <w:spacing w:before="120"/>
        <w:ind w:left="102" w:right="121" w:firstLine="120"/>
      </w:pPr>
      <w:r>
        <w:rPr/>
        <w:t>3823 Fabricación y/o ensamble de máquinas de oficina, cálculo y procesamiento informático</w:t>
      </w:r>
    </w:p>
    <w:p>
      <w:pPr>
        <w:pStyle w:val="BodyText"/>
        <w:spacing w:before="120"/>
        <w:ind w:left="243" w:right="168" w:hanging="22"/>
      </w:pPr>
      <w:r>
        <w:rPr/>
        <w:t>3831 Fabricación y/o ensamble de maquinaria, equipo y accesorios eléctricos incluso para la generación de energía eléctrica</w:t>
      </w:r>
    </w:p>
    <w:p>
      <w:pPr>
        <w:spacing w:after="0"/>
        <w:sectPr>
          <w:footerReference w:type="default" r:id="rId89"/>
          <w:pgSz w:w="12240" w:h="15840"/>
          <w:pgMar w:footer="1003" w:header="0" w:top="1360" w:bottom="1200" w:left="1600" w:right="1580"/>
          <w:pgNumType w:start="200"/>
        </w:sectPr>
      </w:pPr>
    </w:p>
    <w:p>
      <w:pPr>
        <w:pStyle w:val="BodyText"/>
        <w:spacing w:before="48"/>
        <w:ind w:left="183" w:right="188" w:hanging="22"/>
      </w:pPr>
      <w:r>
        <w:rPr/>
        <w:t>3832 Fabricación y/o ensamble de equipo eléctrico de radio, televisión, comunicaciones y de uso médico</w:t>
      </w:r>
    </w:p>
    <w:p>
      <w:pPr>
        <w:pStyle w:val="BodyText"/>
        <w:spacing w:before="120"/>
        <w:ind w:left="183" w:right="241" w:hanging="22"/>
      </w:pPr>
      <w:r>
        <w:rPr/>
        <w:t>3833 Fabricación y/o ensamble de aparatos y accesorios de uso doméstico eléctricos y no eléctricos. Excluye los electrónicos</w:t>
      </w:r>
    </w:p>
    <w:p>
      <w:pPr>
        <w:pStyle w:val="BodyText"/>
        <w:spacing w:before="120"/>
        <w:ind w:left="162" w:right="535"/>
      </w:pPr>
      <w:r>
        <w:rPr/>
        <w:t>3841 Industria automotriz</w:t>
      </w:r>
    </w:p>
    <w:p>
      <w:pPr>
        <w:pStyle w:val="BodyText"/>
        <w:spacing w:before="120"/>
        <w:ind w:left="183" w:hanging="22"/>
      </w:pPr>
      <w:r>
        <w:rPr/>
        <w:t>3842 Fabricación, reparación y/o ensamble de equipos de transporte y sus partes. Excluye automóviles y camiones</w:t>
      </w:r>
    </w:p>
    <w:p>
      <w:pPr>
        <w:pStyle w:val="BodyText"/>
        <w:spacing w:before="120"/>
        <w:ind w:left="183" w:right="914" w:hanging="22"/>
      </w:pPr>
      <w:r>
        <w:rPr/>
        <w:t>3850 Fabricación, reparación y/o ensamble de instrumentos y equipo de precisión. Excluye electrónicos incluye instrumental quirúrgico</w:t>
      </w:r>
    </w:p>
    <w:p>
      <w:pPr>
        <w:pStyle w:val="Heading2"/>
        <w:ind w:right="535"/>
      </w:pPr>
      <w:r>
        <w:rPr/>
        <w:t>Subsector 39 Otras industrias manufactureras</w:t>
      </w:r>
    </w:p>
    <w:p>
      <w:pPr>
        <w:pStyle w:val="BodyText"/>
        <w:spacing w:before="116"/>
        <w:ind w:left="162" w:right="535"/>
      </w:pPr>
      <w:r>
        <w:rPr/>
        <w:t>3900 Otras industrias manufactureras</w:t>
      </w:r>
    </w:p>
    <w:p>
      <w:pPr>
        <w:spacing w:after="0"/>
        <w:sectPr>
          <w:pgSz w:w="12240" w:h="15840"/>
          <w:pgMar w:header="0" w:footer="1003" w:top="1360" w:bottom="1200" w:left="1660" w:right="1580"/>
        </w:sectPr>
      </w:pPr>
    </w:p>
    <w:p>
      <w:pPr>
        <w:pStyle w:val="Heading2"/>
        <w:spacing w:before="52"/>
      </w:pPr>
      <w:r>
        <w:rPr/>
        <w:t>CENSO INDUSTRIAL 1994</w:t>
      </w:r>
    </w:p>
    <w:p>
      <w:pPr>
        <w:pStyle w:val="BodyText"/>
        <w:rPr>
          <w:b/>
        </w:rPr>
      </w:pPr>
    </w:p>
    <w:p>
      <w:pPr>
        <w:pStyle w:val="BodyText"/>
        <w:spacing w:before="10"/>
        <w:rPr>
          <w:b/>
          <w:sz w:val="20"/>
        </w:rPr>
      </w:pPr>
    </w:p>
    <w:p>
      <w:pPr>
        <w:spacing w:before="0"/>
        <w:ind w:left="102" w:right="121" w:firstLine="0"/>
        <w:jc w:val="left"/>
        <w:rPr>
          <w:b/>
          <w:sz w:val="24"/>
        </w:rPr>
      </w:pPr>
      <w:r>
        <w:rPr>
          <w:b/>
          <w:sz w:val="24"/>
        </w:rPr>
        <w:t>Subsector 31 Productos alimenticios, bebidas y tabaco</w:t>
      </w:r>
    </w:p>
    <w:p>
      <w:pPr>
        <w:pStyle w:val="BodyText"/>
        <w:spacing w:before="115"/>
        <w:ind w:left="222" w:right="121"/>
      </w:pPr>
      <w:r>
        <w:rPr/>
        <w:t>3111 Industria de la carne</w:t>
      </w:r>
    </w:p>
    <w:p>
      <w:pPr>
        <w:pStyle w:val="BodyText"/>
        <w:spacing w:before="120"/>
        <w:ind w:left="222" w:right="121"/>
      </w:pPr>
      <w:r>
        <w:rPr/>
        <w:t>3112 Elaboración de productos de lácteos</w:t>
      </w:r>
    </w:p>
    <w:p>
      <w:pPr>
        <w:pStyle w:val="BodyText"/>
        <w:spacing w:before="120"/>
        <w:ind w:left="243" w:right="121" w:hanging="22"/>
      </w:pPr>
      <w:r>
        <w:rPr/>
        <w:t>3113 Elaboración de conservas alimenticias excluye las carnes y leche exclusivamente. Incluye concentrados para caldos</w:t>
      </w:r>
    </w:p>
    <w:p>
      <w:pPr>
        <w:pStyle w:val="BodyText"/>
        <w:spacing w:line="343" w:lineRule="auto" w:before="120"/>
        <w:ind w:left="222" w:right="2413"/>
      </w:pPr>
      <w:r>
        <w:rPr/>
        <w:t>3114 Beneficio y molienda de cereales y otros productos agrícolas 3115 Elaboración de productos de panadería</w:t>
      </w:r>
    </w:p>
    <w:p>
      <w:pPr>
        <w:pStyle w:val="BodyText"/>
        <w:spacing w:line="343" w:lineRule="auto" w:before="6"/>
        <w:ind w:left="222" w:right="3652"/>
      </w:pPr>
      <w:r>
        <w:rPr/>
        <w:t>31116 Molienda de nixtamal y fabricación de tortillas 3117 Fabricación de aceites y grasas comestibles</w:t>
      </w:r>
    </w:p>
    <w:p>
      <w:pPr>
        <w:pStyle w:val="BodyText"/>
        <w:spacing w:before="5"/>
        <w:ind w:left="222" w:right="121"/>
      </w:pPr>
      <w:r>
        <w:rPr/>
        <w:t>3119 Fabricación de  cocoa, chocolate y artículos de confitería</w:t>
      </w:r>
    </w:p>
    <w:p>
      <w:pPr>
        <w:pStyle w:val="BodyText"/>
        <w:spacing w:line="343" w:lineRule="auto" w:before="120"/>
        <w:ind w:left="222" w:right="1586"/>
      </w:pPr>
      <w:r>
        <w:rPr/>
        <w:t>3121 Elaboración de otros productos alimenticios para el consumo humano 3122 Elaboración de productos preparados para animales</w:t>
      </w:r>
    </w:p>
    <w:p>
      <w:pPr>
        <w:pStyle w:val="BodyText"/>
        <w:spacing w:line="343" w:lineRule="auto" w:before="5"/>
        <w:ind w:left="222" w:right="6018"/>
      </w:pPr>
      <w:r>
        <w:rPr/>
        <w:t>3130 Industria de las bebidas 3140 Industria del tabaco</w:t>
      </w:r>
    </w:p>
    <w:p>
      <w:pPr>
        <w:spacing w:line="343" w:lineRule="auto" w:before="10"/>
        <w:ind w:left="222" w:right="2509" w:hanging="60"/>
        <w:jc w:val="left"/>
        <w:rPr>
          <w:sz w:val="24"/>
        </w:rPr>
      </w:pPr>
      <w:r>
        <w:rPr>
          <w:b/>
          <w:sz w:val="24"/>
        </w:rPr>
        <w:t>Subsector 32 Textiles, prendas de vestir e industrias del cuero </w:t>
      </w:r>
      <w:r>
        <w:rPr>
          <w:sz w:val="24"/>
        </w:rPr>
        <w:t>3211 Industria textil de fibras duras y cordelería de todo tipo 3212 Hilado, tejido y acabado de fibras blandas, excluye de</w:t>
      </w:r>
      <w:r>
        <w:rPr>
          <w:spacing w:val="-12"/>
          <w:sz w:val="24"/>
        </w:rPr>
        <w:t> </w:t>
      </w:r>
      <w:r>
        <w:rPr>
          <w:sz w:val="24"/>
        </w:rPr>
        <w:t>punto</w:t>
      </w:r>
    </w:p>
    <w:p>
      <w:pPr>
        <w:pStyle w:val="BodyText"/>
        <w:spacing w:before="5"/>
        <w:ind w:left="243" w:right="121" w:hanging="22"/>
      </w:pPr>
      <w:r>
        <w:rPr/>
        <w:t>3213 Confección con materiales textiles incluye fabricación de tapices y alfombras de fibras blandas</w:t>
      </w:r>
    </w:p>
    <w:p>
      <w:pPr>
        <w:pStyle w:val="BodyText"/>
        <w:spacing w:line="343" w:lineRule="auto" w:before="120"/>
        <w:ind w:left="222" w:right="5199"/>
      </w:pPr>
      <w:r>
        <w:rPr/>
        <w:t>3214 Fabricación de tejidos de punto 3220 Confección de prendas de vestir</w:t>
      </w:r>
    </w:p>
    <w:p>
      <w:pPr>
        <w:pStyle w:val="BodyText"/>
        <w:spacing w:before="5"/>
        <w:ind w:left="222" w:right="461"/>
      </w:pPr>
      <w:r>
        <w:rPr/>
        <w:t>3230 Industria del cuero, pieles y sus productos, incluye los productos de materiales sucedáneos, excluye calzado y prendas de vestir de cuero, piel y materiales sucedáneos</w:t>
      </w:r>
    </w:p>
    <w:p>
      <w:pPr>
        <w:pStyle w:val="BodyText"/>
        <w:spacing w:before="120"/>
        <w:ind w:left="222" w:right="121"/>
      </w:pPr>
      <w:r>
        <w:rPr/>
        <w:t>3240 Industria del calzado, excluyendo hule y/o plástico</w:t>
      </w:r>
    </w:p>
    <w:p>
      <w:pPr>
        <w:pStyle w:val="Heading2"/>
        <w:ind w:left="162"/>
      </w:pPr>
      <w:r>
        <w:rPr/>
        <w:t>Subsector 33 Industria de la madera y productos de madera. Incluye muebles</w:t>
      </w:r>
    </w:p>
    <w:p>
      <w:pPr>
        <w:pStyle w:val="BodyText"/>
        <w:spacing w:before="116"/>
        <w:ind w:left="222" w:right="121"/>
      </w:pPr>
      <w:r>
        <w:rPr/>
        <w:t>3311 Fabricación de productos de aserradero y carpintería. Excluye muebles</w:t>
      </w:r>
    </w:p>
    <w:p>
      <w:pPr>
        <w:spacing w:line="345" w:lineRule="auto" w:before="120"/>
        <w:ind w:left="162" w:right="189" w:firstLine="60"/>
        <w:jc w:val="left"/>
        <w:rPr>
          <w:b/>
          <w:sz w:val="24"/>
        </w:rPr>
      </w:pPr>
      <w:r>
        <w:rPr>
          <w:sz w:val="24"/>
        </w:rPr>
        <w:t>3312 Fabricación de envases y otros productos de madera y corcho. Excluye muebles 3320 Fabricación y reparación de muebles principalmente de madera. Incluye colchones </w:t>
      </w:r>
      <w:r>
        <w:rPr>
          <w:b/>
          <w:sz w:val="24"/>
        </w:rPr>
        <w:t>Subsector 34 Papel y productos de papel, imprentas y editoriales</w:t>
      </w:r>
    </w:p>
    <w:p>
      <w:pPr>
        <w:pStyle w:val="BodyText"/>
        <w:spacing w:line="343" w:lineRule="auto"/>
        <w:ind w:left="222" w:right="3726"/>
      </w:pPr>
      <w:r>
        <w:rPr/>
        <w:t>3410 Manufactura de celulosa, papel y sus productos 3420 Imprentas, editoriales e industrias conexas</w:t>
      </w:r>
    </w:p>
    <w:p>
      <w:pPr>
        <w:spacing w:after="0" w:line="343" w:lineRule="auto"/>
        <w:sectPr>
          <w:pgSz w:w="12240" w:h="15840"/>
          <w:pgMar w:header="0" w:footer="1003" w:top="1360" w:bottom="1200" w:left="1600" w:right="1580"/>
        </w:sectPr>
      </w:pPr>
    </w:p>
    <w:p>
      <w:pPr>
        <w:pStyle w:val="Heading2"/>
        <w:spacing w:before="52"/>
        <w:ind w:left="243" w:right="585" w:hanging="82"/>
      </w:pPr>
      <w:r>
        <w:rPr/>
        <w:t>Subsector 35 Sustancias químicas, productos derivados del petróleo y del carbón, hule y de plástico</w:t>
      </w:r>
    </w:p>
    <w:p>
      <w:pPr>
        <w:pStyle w:val="BodyText"/>
        <w:spacing w:line="343" w:lineRule="auto" w:before="115"/>
        <w:ind w:left="222" w:right="688"/>
      </w:pPr>
      <w:r>
        <w:rPr/>
        <w:t>3512 Fabricación de sustancias químicas básicas. Excluye las petroquímicas básicas 3513 Industria de las fibras artificiales y/o sintéticas</w:t>
      </w:r>
    </w:p>
    <w:p>
      <w:pPr>
        <w:pStyle w:val="BodyText"/>
        <w:spacing w:before="5"/>
        <w:ind w:left="222" w:right="121"/>
      </w:pPr>
      <w:r>
        <w:rPr/>
        <w:t>3521 Industria farmacéutica</w:t>
      </w:r>
    </w:p>
    <w:p>
      <w:pPr>
        <w:pStyle w:val="BodyText"/>
        <w:spacing w:before="120"/>
        <w:ind w:left="222" w:right="121"/>
      </w:pPr>
      <w:r>
        <w:rPr/>
        <w:t>3522 Fabricación de otras sustancias y productos químicos</w:t>
      </w:r>
    </w:p>
    <w:p>
      <w:pPr>
        <w:pStyle w:val="BodyText"/>
        <w:spacing w:line="343" w:lineRule="auto" w:before="120"/>
        <w:ind w:left="222" w:right="688"/>
      </w:pPr>
      <w:r>
        <w:rPr/>
        <w:t>3540 Industria del coque incluye otros derivados del carbón mineral y del petróleo 3550 Industria del hule</w:t>
      </w:r>
    </w:p>
    <w:p>
      <w:pPr>
        <w:pStyle w:val="BodyText"/>
        <w:spacing w:before="5"/>
        <w:ind w:left="222" w:right="121"/>
      </w:pPr>
      <w:r>
        <w:rPr/>
        <w:t>3560 Elaboración de productos de plástico</w:t>
      </w:r>
    </w:p>
    <w:p>
      <w:pPr>
        <w:pStyle w:val="Heading2"/>
        <w:ind w:left="243" w:right="293" w:hanging="82"/>
      </w:pPr>
      <w:r>
        <w:rPr/>
        <w:t>Subsector 36 Productos minerales no metálicos. Excluye los derivados del petróleo y del carbón</w:t>
      </w:r>
    </w:p>
    <w:p>
      <w:pPr>
        <w:pStyle w:val="BodyText"/>
        <w:spacing w:line="343" w:lineRule="auto" w:before="115"/>
        <w:ind w:left="222" w:right="2509"/>
      </w:pPr>
      <w:r>
        <w:rPr/>
        <w:t>3611 Alfarería y cerámica. Excluye materiales de construcción 3612 Fabricación de materiales de arcilla para la construcción 3620 Fabricación de vidrio y productos de vidrio</w:t>
      </w:r>
    </w:p>
    <w:p>
      <w:pPr>
        <w:pStyle w:val="BodyText"/>
        <w:spacing w:before="5"/>
        <w:ind w:left="102" w:right="121" w:firstLine="120"/>
      </w:pPr>
      <w:r>
        <w:rPr/>
        <w:t>3691 Fabricación de cemento, cal y yeso y otros productos a base de minerales no metálicos</w:t>
      </w:r>
    </w:p>
    <w:p>
      <w:pPr>
        <w:pStyle w:val="Heading2"/>
        <w:ind w:left="162"/>
      </w:pPr>
      <w:r>
        <w:rPr/>
        <w:t>Subsector 37 Industrias metálicas básicas</w:t>
      </w:r>
    </w:p>
    <w:p>
      <w:pPr>
        <w:pStyle w:val="BodyText"/>
        <w:spacing w:before="115"/>
        <w:ind w:left="222" w:right="121"/>
      </w:pPr>
      <w:r>
        <w:rPr/>
        <w:t>3710 Industrias básicas del hierro y del acero</w:t>
      </w:r>
    </w:p>
    <w:p>
      <w:pPr>
        <w:pStyle w:val="BodyText"/>
        <w:spacing w:before="120"/>
        <w:ind w:left="102" w:right="540" w:firstLine="120"/>
      </w:pPr>
      <w:r>
        <w:rPr/>
        <w:t>3720 Industrias básicas de metales no ferrosos, incluye el tratamiento de combustibles nucleares</w:t>
      </w:r>
    </w:p>
    <w:p>
      <w:pPr>
        <w:pStyle w:val="Heading2"/>
        <w:ind w:left="243" w:right="518" w:hanging="82"/>
      </w:pPr>
      <w:r>
        <w:rPr/>
        <w:t>Subsector 38 Productos metálicos, maquinaria y equipo. Incluyendo instrumentos quirúrgicos y de precisión</w:t>
      </w:r>
    </w:p>
    <w:p>
      <w:pPr>
        <w:pStyle w:val="BodyText"/>
        <w:spacing w:before="115"/>
        <w:ind w:left="222" w:right="121"/>
      </w:pPr>
      <w:r>
        <w:rPr/>
        <w:t>3811 Fundición y moldeo de piezas metálicas, ferrosas y no ferrosas</w:t>
      </w:r>
    </w:p>
    <w:p>
      <w:pPr>
        <w:pStyle w:val="BodyText"/>
        <w:spacing w:before="120"/>
        <w:ind w:left="243" w:right="115" w:hanging="22"/>
      </w:pPr>
      <w:r>
        <w:rPr/>
        <w:t>3812 Fabricación de estructuras metálicas, tanques y calderas industriales, incluso trabajos de herrería</w:t>
      </w:r>
    </w:p>
    <w:p>
      <w:pPr>
        <w:pStyle w:val="BodyText"/>
        <w:spacing w:before="120"/>
        <w:ind w:left="222" w:right="121"/>
      </w:pPr>
      <w:r>
        <w:rPr/>
        <w:t>3813 Fabricación y reparación de muebles metálicos</w:t>
      </w:r>
    </w:p>
    <w:p>
      <w:pPr>
        <w:pStyle w:val="BodyText"/>
        <w:spacing w:before="120"/>
        <w:ind w:left="222" w:right="121"/>
      </w:pPr>
      <w:r>
        <w:rPr/>
        <w:t>3814 Fabricación de otros productos metálicos. Excluye maquinaria y equipo</w:t>
      </w:r>
    </w:p>
    <w:p>
      <w:pPr>
        <w:pStyle w:val="BodyText"/>
        <w:spacing w:before="120"/>
        <w:ind w:left="243" w:right="175" w:hanging="22"/>
      </w:pPr>
      <w:r>
        <w:rPr/>
        <w:t>3821 Fabricación, reparación y/o ensamble de maquinaria y equipo para fines específicos, con o sin motor eléctrico integrado. Incluye maquinaria agrícola</w:t>
      </w:r>
    </w:p>
    <w:p>
      <w:pPr>
        <w:pStyle w:val="BodyText"/>
        <w:spacing w:before="120"/>
        <w:ind w:left="243" w:right="189" w:hanging="22"/>
      </w:pPr>
      <w:r>
        <w:rPr/>
        <w:t>3822 Fabricación, reparación y/o ensamble de maquinaria y equipo para usos generales con o sin motor eléctrico integrado. Incluyendo armamento</w:t>
      </w:r>
    </w:p>
    <w:p>
      <w:pPr>
        <w:pStyle w:val="BodyText"/>
        <w:spacing w:before="120"/>
        <w:ind w:left="243" w:right="1081" w:hanging="22"/>
      </w:pPr>
      <w:r>
        <w:rPr/>
        <w:t>3823 Fabricación y/o ensamble de máquinas de oficina, cálculo y procesamiento informático</w:t>
      </w:r>
    </w:p>
    <w:p>
      <w:pPr>
        <w:pStyle w:val="BodyText"/>
        <w:spacing w:before="120"/>
        <w:ind w:left="243" w:right="168" w:hanging="22"/>
      </w:pPr>
      <w:r>
        <w:rPr/>
        <w:t>3831 Fabricación y/o ensamble de maquinaria, equipo y accesorios eléctricos incluso para la generación de energía eléctrica</w:t>
      </w:r>
    </w:p>
    <w:p>
      <w:pPr>
        <w:spacing w:after="0"/>
        <w:sectPr>
          <w:pgSz w:w="12240" w:h="15840"/>
          <w:pgMar w:header="0" w:footer="1003" w:top="1360" w:bottom="1200" w:left="1600" w:right="1580"/>
        </w:sectPr>
      </w:pPr>
    </w:p>
    <w:p>
      <w:pPr>
        <w:pStyle w:val="BodyText"/>
        <w:spacing w:before="48"/>
        <w:ind w:left="123" w:right="188" w:hanging="22"/>
      </w:pPr>
      <w:r>
        <w:rPr/>
        <w:t>3832 Fabricación y/o ensamble de equipo eléctrico de radio, televisión, comunicaciones y de uso médico</w:t>
      </w:r>
    </w:p>
    <w:p>
      <w:pPr>
        <w:pStyle w:val="BodyText"/>
        <w:spacing w:before="120"/>
        <w:ind w:left="123" w:right="181" w:hanging="22"/>
      </w:pPr>
      <w:r>
        <w:rPr/>
        <w:t>3833 Fabricación y/o ensamble de aparatos y accesorios de uso doméstico, eléctricos y no eléctricos. Excluye los electrónicos</w:t>
      </w:r>
    </w:p>
    <w:p>
      <w:pPr>
        <w:pStyle w:val="BodyText"/>
        <w:spacing w:before="120"/>
        <w:ind w:left="102" w:right="188"/>
      </w:pPr>
      <w:r>
        <w:rPr/>
        <w:t>3841 Industria automotriz</w:t>
      </w:r>
    </w:p>
    <w:p>
      <w:pPr>
        <w:pStyle w:val="BodyText"/>
        <w:spacing w:before="120"/>
        <w:ind w:left="123" w:right="195" w:hanging="22"/>
      </w:pPr>
      <w:r>
        <w:rPr/>
        <w:t>3842 Fabricación, reparación y/o ensamble de equipos de transporte y sus partes. Excluye automóviles y camiones</w:t>
      </w:r>
    </w:p>
    <w:p>
      <w:pPr>
        <w:pStyle w:val="BodyText"/>
        <w:spacing w:before="120"/>
        <w:ind w:left="123" w:right="188" w:hanging="22"/>
      </w:pPr>
      <w:r>
        <w:rPr/>
        <w:t>3850 Fabricación, reparación y/o ensamble de instrumentos y equipo de precisión. Excluye electrónicos incluye instrumental quirúrgico</w:t>
      </w:r>
    </w:p>
    <w:p>
      <w:pPr>
        <w:pStyle w:val="Heading2"/>
        <w:ind w:left="183" w:right="188"/>
      </w:pPr>
      <w:r>
        <w:rPr/>
        <w:t>Subsector 39 Otras industrias manufactureras</w:t>
      </w:r>
    </w:p>
    <w:p>
      <w:pPr>
        <w:pStyle w:val="BodyText"/>
        <w:spacing w:before="116"/>
        <w:ind w:left="102" w:right="188"/>
      </w:pPr>
      <w:r>
        <w:rPr/>
        <w:t>3900 Otras industrias manufactureras</w:t>
      </w:r>
    </w:p>
    <w:p>
      <w:pPr>
        <w:spacing w:after="0"/>
        <w:sectPr>
          <w:pgSz w:w="12240" w:h="15840"/>
          <w:pgMar w:header="0" w:footer="1003" w:top="1360" w:bottom="1200" w:left="1720" w:right="1580"/>
        </w:sectPr>
      </w:pPr>
    </w:p>
    <w:p>
      <w:pPr>
        <w:pStyle w:val="Heading2"/>
        <w:spacing w:before="52"/>
      </w:pPr>
      <w:r>
        <w:rPr/>
        <w:t>CENSO INDUSTRIAL 1999</w:t>
      </w:r>
    </w:p>
    <w:p>
      <w:pPr>
        <w:pStyle w:val="BodyText"/>
        <w:rPr>
          <w:b/>
        </w:rPr>
      </w:pPr>
    </w:p>
    <w:p>
      <w:pPr>
        <w:pStyle w:val="BodyText"/>
        <w:spacing w:before="10"/>
        <w:rPr>
          <w:b/>
          <w:sz w:val="20"/>
        </w:rPr>
      </w:pPr>
    </w:p>
    <w:p>
      <w:pPr>
        <w:spacing w:before="0"/>
        <w:ind w:left="102" w:right="121" w:firstLine="0"/>
        <w:jc w:val="left"/>
        <w:rPr>
          <w:b/>
          <w:sz w:val="24"/>
        </w:rPr>
      </w:pPr>
      <w:r>
        <w:rPr>
          <w:b/>
          <w:sz w:val="24"/>
        </w:rPr>
        <w:t>Subsector 31 Productos alimenticios, bebidas y tabaco</w:t>
      </w:r>
    </w:p>
    <w:p>
      <w:pPr>
        <w:pStyle w:val="BodyText"/>
        <w:spacing w:before="115"/>
        <w:ind w:left="102" w:right="121"/>
      </w:pPr>
      <w:r>
        <w:rPr/>
        <w:t>3111 Industria de la carne</w:t>
      </w:r>
    </w:p>
    <w:p>
      <w:pPr>
        <w:pStyle w:val="BodyText"/>
        <w:spacing w:before="120"/>
        <w:ind w:left="102" w:right="121"/>
      </w:pPr>
      <w:r>
        <w:rPr/>
        <w:t>3112 Elaboración de productos lácteos</w:t>
      </w:r>
    </w:p>
    <w:p>
      <w:pPr>
        <w:pStyle w:val="BodyText"/>
        <w:spacing w:before="120"/>
        <w:ind w:left="102" w:right="181"/>
      </w:pPr>
      <w:r>
        <w:rPr/>
        <w:t>3113 Elaboración de conservas alimenticias. Incluye concentrados para caldos. Excluye las de carne y leche</w:t>
      </w:r>
    </w:p>
    <w:p>
      <w:pPr>
        <w:pStyle w:val="BodyText"/>
        <w:spacing w:line="343" w:lineRule="auto" w:before="120"/>
        <w:ind w:left="102" w:right="2413"/>
      </w:pPr>
      <w:r>
        <w:rPr/>
        <w:t>3114 Beneficio y molienda de cereales y otros productos agrícolas 3115 Elaboración de productos de panadería</w:t>
      </w:r>
    </w:p>
    <w:p>
      <w:pPr>
        <w:pStyle w:val="BodyText"/>
        <w:spacing w:line="343" w:lineRule="auto" w:before="6"/>
        <w:ind w:left="102" w:right="3892"/>
      </w:pPr>
      <w:r>
        <w:rPr/>
        <w:t>3116 Molienda de nixtamal y fabricación de tortillas 3117 Fabricación de aceites y grasas comestibles</w:t>
      </w:r>
    </w:p>
    <w:p>
      <w:pPr>
        <w:pStyle w:val="BodyText"/>
        <w:spacing w:before="5"/>
        <w:ind w:left="102" w:right="121"/>
      </w:pPr>
      <w:r>
        <w:rPr/>
        <w:t>3119 Fabricación de cocoa, chocolate y artículos de confitería</w:t>
      </w:r>
    </w:p>
    <w:p>
      <w:pPr>
        <w:pStyle w:val="BodyText"/>
        <w:spacing w:line="343" w:lineRule="auto" w:before="120"/>
        <w:ind w:left="102" w:right="1706"/>
      </w:pPr>
      <w:r>
        <w:rPr/>
        <w:t>3121 Elaboración de otros productos alimenticios para el consumo humano 3122 Elaboración de alimentos preparados para animales</w:t>
      </w:r>
    </w:p>
    <w:p>
      <w:pPr>
        <w:pStyle w:val="BodyText"/>
        <w:spacing w:line="343" w:lineRule="auto" w:before="5"/>
        <w:ind w:left="102" w:right="6138"/>
      </w:pPr>
      <w:r>
        <w:rPr/>
        <w:t>3130 Industria de las bebidas 3140 Industria del tabaco</w:t>
      </w:r>
    </w:p>
    <w:p>
      <w:pPr>
        <w:pStyle w:val="Heading2"/>
        <w:spacing w:before="10"/>
      </w:pPr>
      <w:r>
        <w:rPr/>
        <w:t>Subsector 32 Textiles, prendas de vestir e industria del cuero</w:t>
      </w:r>
    </w:p>
    <w:p>
      <w:pPr>
        <w:pStyle w:val="BodyText"/>
        <w:spacing w:before="115"/>
        <w:ind w:left="102" w:right="121"/>
      </w:pPr>
      <w:r>
        <w:rPr/>
        <w:t>3211 Industria textil de fibras duras y cordelería de todo tipo</w:t>
      </w:r>
    </w:p>
    <w:p>
      <w:pPr>
        <w:pStyle w:val="BodyText"/>
        <w:spacing w:before="120"/>
        <w:ind w:left="102" w:right="121"/>
      </w:pPr>
      <w:r>
        <w:rPr/>
        <w:t>3212 Hilado, tejido y acabado de fibras blandas. Excluye de punto</w:t>
      </w:r>
    </w:p>
    <w:p>
      <w:pPr>
        <w:pStyle w:val="BodyText"/>
        <w:spacing w:before="120"/>
        <w:ind w:left="102" w:right="121"/>
      </w:pPr>
      <w:r>
        <w:rPr/>
        <w:t>3213 Confección con materiales textiles. Incluye la fabricación de tapices y alfombras de fibra</w:t>
      </w:r>
    </w:p>
    <w:p>
      <w:pPr>
        <w:pStyle w:val="BodyText"/>
        <w:spacing w:line="343" w:lineRule="auto" w:before="120"/>
        <w:ind w:left="102" w:right="5319"/>
      </w:pPr>
      <w:r>
        <w:rPr/>
        <w:t>3214 Fabricación de tejidos de punto 3220 Confección de prendas de vestir</w:t>
      </w:r>
    </w:p>
    <w:p>
      <w:pPr>
        <w:pStyle w:val="BodyText"/>
        <w:spacing w:before="5"/>
        <w:ind w:left="102" w:right="121"/>
      </w:pPr>
      <w:r>
        <w:rPr/>
        <w:t>3230 Industria del cuero, pieles y sus productos. Incluye los productos de materiales sucedáneos. Excluye calzado</w:t>
      </w:r>
    </w:p>
    <w:p>
      <w:pPr>
        <w:pStyle w:val="BodyText"/>
        <w:spacing w:before="120"/>
        <w:ind w:left="102" w:right="121"/>
      </w:pPr>
      <w:r>
        <w:rPr/>
        <w:t>3240 Industria del calzado. Excluye de hule y/o plástico</w:t>
      </w:r>
    </w:p>
    <w:p>
      <w:pPr>
        <w:pStyle w:val="Heading2"/>
      </w:pPr>
      <w:r>
        <w:rPr/>
        <w:t>Subsector 33 Industrias de la madera y productos de madera. Incluye muebles</w:t>
      </w:r>
    </w:p>
    <w:p>
      <w:pPr>
        <w:pStyle w:val="BodyText"/>
        <w:spacing w:before="116"/>
        <w:ind w:left="102" w:right="121"/>
      </w:pPr>
      <w:r>
        <w:rPr/>
        <w:t>3311 Fabricación de productos de aserradero y carpintería. Excluye muebles</w:t>
      </w:r>
    </w:p>
    <w:p>
      <w:pPr>
        <w:spacing w:line="345" w:lineRule="auto" w:before="120"/>
        <w:ind w:left="102" w:right="433" w:firstLine="0"/>
        <w:jc w:val="left"/>
        <w:rPr>
          <w:b/>
          <w:sz w:val="24"/>
        </w:rPr>
      </w:pPr>
      <w:r>
        <w:rPr>
          <w:sz w:val="24"/>
        </w:rPr>
        <w:t>3312 Fabricación de envases y otros productos de madera y corcho. Excluye muebles 3320 Fabricación y reparación de muebles principalmente de madera. Incluye colchones </w:t>
      </w:r>
      <w:r>
        <w:rPr>
          <w:b/>
          <w:sz w:val="24"/>
        </w:rPr>
        <w:t>Subsector 34 Papel y productos de papel, imprentas y editoriales</w:t>
      </w:r>
    </w:p>
    <w:p>
      <w:pPr>
        <w:pStyle w:val="BodyText"/>
        <w:spacing w:line="343" w:lineRule="auto"/>
        <w:ind w:left="102" w:right="3846"/>
      </w:pPr>
      <w:r>
        <w:rPr/>
        <w:t>3410 Manufactura de celulosa, papel y sus productos 3420 Imprentas, editoriales e industrias conexas</w:t>
      </w:r>
    </w:p>
    <w:p>
      <w:pPr>
        <w:spacing w:after="0" w:line="343" w:lineRule="auto"/>
        <w:sectPr>
          <w:pgSz w:w="12240" w:h="15840"/>
          <w:pgMar w:header="0" w:footer="1003" w:top="1360" w:bottom="1200" w:left="1600" w:right="1580"/>
        </w:sectPr>
      </w:pPr>
    </w:p>
    <w:p>
      <w:pPr>
        <w:pStyle w:val="Heading2"/>
        <w:spacing w:before="52"/>
        <w:ind w:right="404"/>
      </w:pPr>
      <w:r>
        <w:rPr/>
        <w:t>Subsector 35 Sustancias químicas, productos derivados del petróleo y del carbón de hule y de plástico</w:t>
      </w:r>
    </w:p>
    <w:p>
      <w:pPr>
        <w:pStyle w:val="BodyText"/>
        <w:spacing w:before="115"/>
        <w:ind w:left="102" w:right="121"/>
      </w:pPr>
      <w:r>
        <w:rPr/>
        <w:t>3511 Petroquímica básica</w:t>
      </w:r>
    </w:p>
    <w:p>
      <w:pPr>
        <w:pStyle w:val="BodyText"/>
        <w:spacing w:line="343" w:lineRule="auto" w:before="120"/>
        <w:ind w:left="102" w:right="688"/>
      </w:pPr>
      <w:r>
        <w:rPr/>
        <w:t>3512 Fabricación de sustancias químicas básicas. Excluye las petroquímicas básicas 3513 Industria de las fibras artificiales y/o sintéticas</w:t>
      </w:r>
    </w:p>
    <w:p>
      <w:pPr>
        <w:pStyle w:val="BodyText"/>
        <w:spacing w:before="5"/>
        <w:ind w:left="102" w:right="121"/>
      </w:pPr>
      <w:r>
        <w:rPr/>
        <w:t>3521 Industria farmacéutica</w:t>
      </w:r>
    </w:p>
    <w:p>
      <w:pPr>
        <w:pStyle w:val="BodyText"/>
        <w:spacing w:line="343" w:lineRule="auto" w:before="120"/>
        <w:ind w:left="102" w:right="3292"/>
      </w:pPr>
      <w:r>
        <w:rPr/>
        <w:t>3522 Fabricación de otras sustancias y productos químicos 3530 Refinación de petróleo</w:t>
      </w:r>
    </w:p>
    <w:p>
      <w:pPr>
        <w:pStyle w:val="BodyText"/>
        <w:spacing w:line="345" w:lineRule="auto" w:before="5"/>
        <w:ind w:left="102" w:right="688"/>
      </w:pPr>
      <w:r>
        <w:rPr/>
        <w:t>3540 Industria del coque. Incluye otros derivados del carbón mineral y del petróleo 3550 Industria del hule</w:t>
      </w:r>
    </w:p>
    <w:p>
      <w:pPr>
        <w:pStyle w:val="BodyText"/>
        <w:spacing w:before="3"/>
        <w:ind w:left="102" w:right="121"/>
      </w:pPr>
      <w:r>
        <w:rPr/>
        <w:t>3560 Elaboración de productos de plástico</w:t>
      </w:r>
    </w:p>
    <w:p>
      <w:pPr>
        <w:pStyle w:val="Heading2"/>
        <w:ind w:right="352"/>
      </w:pPr>
      <w:r>
        <w:rPr/>
        <w:t>Subsector 36 Productos minerales no metálicos. Excluye los derivados del petróleo y del carbón</w:t>
      </w:r>
    </w:p>
    <w:p>
      <w:pPr>
        <w:pStyle w:val="BodyText"/>
        <w:spacing w:line="343" w:lineRule="auto" w:before="115"/>
        <w:ind w:left="102" w:right="2780"/>
      </w:pPr>
      <w:r>
        <w:rPr/>
        <w:t>3611 Alfarería y cerámica. Excluye materiales de construcción 3612 Fabricación de materiales de arcilla para la construcción 3620 Fabricación de vidrio y productos de vidrio</w:t>
      </w:r>
    </w:p>
    <w:p>
      <w:pPr>
        <w:pStyle w:val="BodyText"/>
        <w:spacing w:before="5"/>
        <w:ind w:left="102" w:right="121"/>
      </w:pPr>
      <w:r>
        <w:rPr/>
        <w:t>3691 Fabricación de cemento, cal, yeso y otros productos a base de minerales no metálicos</w:t>
      </w:r>
    </w:p>
    <w:p>
      <w:pPr>
        <w:pStyle w:val="Heading2"/>
      </w:pPr>
      <w:r>
        <w:rPr/>
        <w:t>Subsector 37 Industrias metálicas básicas</w:t>
      </w:r>
    </w:p>
    <w:p>
      <w:pPr>
        <w:pStyle w:val="BodyText"/>
        <w:spacing w:before="115"/>
        <w:ind w:left="102" w:right="121"/>
      </w:pPr>
      <w:r>
        <w:rPr/>
        <w:t>3710 Industria básica del hierro y del acero</w:t>
      </w:r>
    </w:p>
    <w:p>
      <w:pPr>
        <w:pStyle w:val="BodyText"/>
        <w:spacing w:before="120"/>
        <w:ind w:left="102" w:right="121"/>
      </w:pPr>
      <w:r>
        <w:rPr/>
        <w:t>3720 Industrias básicas de metales no ferrosos. Incluye el tratamiento de combustibles nucleares</w:t>
      </w:r>
    </w:p>
    <w:p>
      <w:pPr>
        <w:pStyle w:val="Heading2"/>
      </w:pPr>
      <w:r>
        <w:rPr/>
        <w:t>Subsector 38 Productos metálicos, maquinaria y equipo. Incluye instrumentos quirúrgicos y de precisión</w:t>
      </w:r>
    </w:p>
    <w:p>
      <w:pPr>
        <w:pStyle w:val="BodyText"/>
        <w:spacing w:before="115"/>
        <w:ind w:left="102" w:right="121"/>
      </w:pPr>
      <w:r>
        <w:rPr/>
        <w:t>3811 Fundición y moldeo de piezas metálicas, ferrosas y no ferrosas</w:t>
      </w:r>
    </w:p>
    <w:p>
      <w:pPr>
        <w:pStyle w:val="BodyText"/>
        <w:spacing w:before="120"/>
        <w:ind w:left="102" w:right="234"/>
      </w:pPr>
      <w:r>
        <w:rPr/>
        <w:t>3812 Fabricación de estructuras metálicas, tanques y calderas industriales, incluso trabajos de herrería</w:t>
      </w:r>
    </w:p>
    <w:p>
      <w:pPr>
        <w:pStyle w:val="BodyText"/>
        <w:spacing w:before="120"/>
        <w:ind w:left="102" w:right="121"/>
      </w:pPr>
      <w:r>
        <w:rPr/>
        <w:t>3813 Fabricación y reparación de muebles metálicos</w:t>
      </w:r>
    </w:p>
    <w:p>
      <w:pPr>
        <w:pStyle w:val="BodyText"/>
        <w:spacing w:before="120"/>
        <w:ind w:left="102" w:right="121"/>
      </w:pPr>
      <w:r>
        <w:rPr/>
        <w:t>3814 Fabricación de otros productos metálicos. Excluye maquinaria y equipo</w:t>
      </w:r>
    </w:p>
    <w:p>
      <w:pPr>
        <w:pStyle w:val="BodyText"/>
        <w:spacing w:before="120"/>
        <w:ind w:left="102" w:right="121"/>
      </w:pPr>
      <w:r>
        <w:rPr/>
        <w:t>3821 Fabricación, reparación y/o ensamble de maquinaria y equipo para fines específicos, con o sin motor eléctrico integrado.</w:t>
      </w:r>
    </w:p>
    <w:p>
      <w:pPr>
        <w:pStyle w:val="BodyText"/>
        <w:spacing w:before="120"/>
        <w:ind w:left="102" w:right="189"/>
      </w:pPr>
      <w:r>
        <w:rPr/>
        <w:t>3822 Fabricación, reparación y/o ensamble de maquinaria y equipo para usos generales, con o sin motor eléctrico integrado.</w:t>
      </w:r>
    </w:p>
    <w:p>
      <w:pPr>
        <w:pStyle w:val="BodyText"/>
        <w:spacing w:before="120"/>
        <w:ind w:left="102" w:right="121"/>
      </w:pPr>
      <w:r>
        <w:rPr/>
        <w:t>3823 Fabricación y/o ensamble de máquinas de oficina, cálculo y procesamiento informático</w:t>
      </w:r>
    </w:p>
    <w:p>
      <w:pPr>
        <w:spacing w:after="0"/>
        <w:sectPr>
          <w:pgSz w:w="12240" w:h="15840"/>
          <w:pgMar w:header="0" w:footer="1003" w:top="1360" w:bottom="1200" w:left="1600" w:right="1580"/>
        </w:sectPr>
      </w:pPr>
    </w:p>
    <w:p>
      <w:pPr>
        <w:pStyle w:val="BodyText"/>
        <w:spacing w:before="48"/>
        <w:ind w:left="102" w:right="201"/>
      </w:pPr>
      <w:r>
        <w:rPr/>
        <w:t>3831 Fabricación y/o ensamble de maquinaria, equipo y accesorios eléctricos. Incluye para la generación de energía</w:t>
      </w:r>
    </w:p>
    <w:p>
      <w:pPr>
        <w:pStyle w:val="BodyText"/>
        <w:spacing w:before="120"/>
        <w:ind w:left="102" w:right="189"/>
      </w:pPr>
      <w:r>
        <w:rPr/>
        <w:t>3832 Fabricación y/o ensamble de equipo electrónico de radio, televisión, comunicaciones y de uso médico</w:t>
      </w:r>
    </w:p>
    <w:p>
      <w:pPr>
        <w:pStyle w:val="BodyText"/>
        <w:spacing w:before="120"/>
        <w:ind w:left="102" w:right="121"/>
      </w:pPr>
      <w:r>
        <w:rPr/>
        <w:t>3833 Fabricación y/o ensamble de aparatos y accesorios de uso doméstico. Excluye los electrónicos</w:t>
      </w:r>
    </w:p>
    <w:p>
      <w:pPr>
        <w:pStyle w:val="BodyText"/>
        <w:spacing w:before="120"/>
        <w:ind w:left="102" w:right="121"/>
      </w:pPr>
      <w:r>
        <w:rPr/>
        <w:t>3841 Industria automotriz</w:t>
      </w:r>
    </w:p>
    <w:p>
      <w:pPr>
        <w:pStyle w:val="BodyText"/>
        <w:spacing w:before="120"/>
        <w:ind w:left="102" w:right="121"/>
      </w:pPr>
      <w:r>
        <w:rPr/>
        <w:t>3842 Fabricación, reparación y/o ensamble de equipo de transporte y sus partes. Excluye automóviles y camiones</w:t>
      </w:r>
    </w:p>
    <w:p>
      <w:pPr>
        <w:pStyle w:val="BodyText"/>
        <w:spacing w:before="120"/>
        <w:ind w:left="102" w:right="253"/>
      </w:pPr>
      <w:r>
        <w:rPr/>
        <w:t>3850 Fabricación, reparación y/o ensamble de instrumentos y equipo de precisión. Incluye instrumental quirúrgico</w:t>
      </w:r>
    </w:p>
    <w:p>
      <w:pPr>
        <w:pStyle w:val="Heading2"/>
      </w:pPr>
      <w:r>
        <w:rPr/>
        <w:t>Subsector 39 Otras industrias manufactureras</w:t>
      </w:r>
    </w:p>
    <w:p>
      <w:pPr>
        <w:pStyle w:val="BodyText"/>
        <w:spacing w:before="115"/>
        <w:ind w:left="102" w:right="121"/>
      </w:pPr>
      <w:r>
        <w:rPr/>
        <w:t>3900 Otras industrias manufactureras</w:t>
      </w:r>
    </w:p>
    <w:p>
      <w:pPr>
        <w:spacing w:after="0"/>
        <w:sectPr>
          <w:pgSz w:w="12240" w:h="15840"/>
          <w:pgMar w:header="0" w:footer="1003" w:top="1360" w:bottom="1200" w:left="1600" w:right="1580"/>
        </w:sectPr>
      </w:pPr>
    </w:p>
    <w:p>
      <w:pPr>
        <w:pStyle w:val="Heading2"/>
        <w:spacing w:before="52"/>
      </w:pPr>
      <w:r>
        <w:rPr/>
        <w:t>CENSO INDUSTRIAL 2004</w:t>
      </w:r>
    </w:p>
    <w:p>
      <w:pPr>
        <w:pStyle w:val="BodyText"/>
        <w:rPr>
          <w:b/>
        </w:rPr>
      </w:pPr>
    </w:p>
    <w:p>
      <w:pPr>
        <w:pStyle w:val="BodyText"/>
        <w:spacing w:before="1"/>
        <w:rPr>
          <w:b/>
          <w:sz w:val="21"/>
        </w:rPr>
      </w:pPr>
    </w:p>
    <w:p>
      <w:pPr>
        <w:spacing w:before="0"/>
        <w:ind w:left="102" w:right="121" w:firstLine="0"/>
        <w:jc w:val="left"/>
        <w:rPr>
          <w:b/>
          <w:sz w:val="24"/>
        </w:rPr>
      </w:pPr>
      <w:r>
        <w:rPr>
          <w:b/>
          <w:sz w:val="24"/>
        </w:rPr>
        <w:t>Subsector 31 Productos alimenticios, bebidas y tabaco</w:t>
      </w:r>
    </w:p>
    <w:p>
      <w:pPr>
        <w:pStyle w:val="BodyText"/>
        <w:spacing w:before="156"/>
        <w:ind w:left="222" w:right="121"/>
      </w:pPr>
      <w:r>
        <w:rPr/>
        <w:t>3111 Elaboración de alimentos para animales</w:t>
      </w:r>
    </w:p>
    <w:p>
      <w:pPr>
        <w:pStyle w:val="BodyText"/>
        <w:spacing w:before="120"/>
        <w:ind w:left="222" w:right="121"/>
      </w:pPr>
      <w:r>
        <w:rPr/>
        <w:t>3112 Molienda de granos y de semillas oleaginosas</w:t>
      </w:r>
    </w:p>
    <w:p>
      <w:pPr>
        <w:pStyle w:val="BodyText"/>
        <w:spacing w:line="343" w:lineRule="auto" w:before="120"/>
        <w:ind w:left="222" w:right="2980"/>
      </w:pPr>
      <w:r>
        <w:rPr/>
        <w:t>3113 Elaboración de azúcar, chocolates, dulces y similares 3114 Conservación de frutas, verduras y guisos</w:t>
      </w:r>
    </w:p>
    <w:p>
      <w:pPr>
        <w:pStyle w:val="BodyText"/>
        <w:spacing w:line="345" w:lineRule="auto" w:before="5"/>
        <w:ind w:left="222" w:right="3573"/>
      </w:pPr>
      <w:r>
        <w:rPr/>
        <w:t>3117 Preparación y envasado de pescados y mariscos 3118 Elaboración de productos de panadería y tortillas 3119 Otras industrias alimentarias</w:t>
      </w:r>
    </w:p>
    <w:p>
      <w:pPr>
        <w:pStyle w:val="BodyText"/>
        <w:spacing w:line="343" w:lineRule="auto" w:before="3"/>
        <w:ind w:left="222" w:right="6018"/>
      </w:pPr>
      <w:r>
        <w:rPr/>
        <w:t>3121 Industria de las bebidas 3122 Industria del tabaco</w:t>
      </w:r>
    </w:p>
    <w:p>
      <w:pPr>
        <w:spacing w:line="343" w:lineRule="auto" w:before="10"/>
        <w:ind w:left="222" w:right="2413" w:hanging="120"/>
        <w:jc w:val="left"/>
        <w:rPr>
          <w:sz w:val="24"/>
        </w:rPr>
      </w:pPr>
      <w:r>
        <w:rPr>
          <w:b/>
          <w:sz w:val="24"/>
        </w:rPr>
        <w:t>Subsector 32 Textiles, prendas de vestir e industria del cuero </w:t>
      </w:r>
      <w:r>
        <w:rPr>
          <w:sz w:val="24"/>
        </w:rPr>
        <w:t>3131 Preparación e hilado de fibras textiles y fabricación de hilos 3132 Fabricación de telas</w:t>
      </w:r>
    </w:p>
    <w:p>
      <w:pPr>
        <w:pStyle w:val="BodyText"/>
        <w:spacing w:before="5"/>
        <w:ind w:left="222" w:right="121"/>
      </w:pPr>
      <w:r>
        <w:rPr/>
        <w:t>3133 Acabado y recubrimiento de textiles</w:t>
      </w:r>
    </w:p>
    <w:p>
      <w:pPr>
        <w:pStyle w:val="BodyText"/>
        <w:spacing w:before="120"/>
        <w:ind w:left="222" w:right="121"/>
      </w:pPr>
      <w:r>
        <w:rPr/>
        <w:t>3141 Confección de alfombras, blancos y similares</w:t>
      </w:r>
    </w:p>
    <w:p>
      <w:pPr>
        <w:pStyle w:val="BodyText"/>
        <w:spacing w:line="343" w:lineRule="auto" w:before="120"/>
        <w:ind w:left="222" w:right="1877"/>
      </w:pPr>
      <w:r>
        <w:rPr/>
        <w:t>3149 Confección de otros productos textiles, excepto prendas de vestir 3151 Tejido de prendas de vestir de punto</w:t>
      </w:r>
    </w:p>
    <w:p>
      <w:pPr>
        <w:pStyle w:val="BodyText"/>
        <w:spacing w:line="343" w:lineRule="auto" w:before="5"/>
        <w:ind w:left="222" w:right="4946"/>
      </w:pPr>
      <w:r>
        <w:rPr/>
        <w:t>3152 Confección de prendas de vestir 3159 Confección de accesorios de vestir 3161 Curtido y acabado de cuero y piel 3162 Fabricación de calzado</w:t>
      </w:r>
    </w:p>
    <w:p>
      <w:pPr>
        <w:spacing w:line="343" w:lineRule="auto" w:before="5"/>
        <w:ind w:left="102" w:right="688" w:firstLine="120"/>
        <w:jc w:val="left"/>
        <w:rPr>
          <w:sz w:val="24"/>
        </w:rPr>
      </w:pPr>
      <w:r>
        <w:rPr>
          <w:sz w:val="24"/>
        </w:rPr>
        <w:t>3169 Fabricación de otros productos de cuero, piel y materiales sucedáneos </w:t>
      </w:r>
      <w:r>
        <w:rPr>
          <w:b/>
          <w:sz w:val="24"/>
        </w:rPr>
        <w:t>Subsector 33 Industrias de la madera y productos de madera. Incluye muebles </w:t>
      </w:r>
      <w:r>
        <w:rPr>
          <w:sz w:val="24"/>
        </w:rPr>
        <w:t>3211 Aserrado y conservación de la madera</w:t>
      </w:r>
    </w:p>
    <w:p>
      <w:pPr>
        <w:pStyle w:val="BodyText"/>
        <w:spacing w:line="343" w:lineRule="auto" w:before="6"/>
        <w:ind w:left="222" w:right="3304"/>
      </w:pPr>
      <w:r>
        <w:rPr/>
        <w:t>3212 Fabricación de laminados y aglutinados de madera 3219 Fabricación de otros productos de madera</w:t>
      </w:r>
    </w:p>
    <w:p>
      <w:pPr>
        <w:pStyle w:val="Heading2"/>
        <w:spacing w:before="10"/>
      </w:pPr>
      <w:r>
        <w:rPr/>
        <w:t>Subsector 34  Papel, productos de papel, imprentas y editoriales</w:t>
      </w:r>
    </w:p>
    <w:p>
      <w:pPr>
        <w:pStyle w:val="BodyText"/>
        <w:spacing w:line="343" w:lineRule="auto" w:before="115"/>
        <w:ind w:left="222" w:right="4146"/>
      </w:pPr>
      <w:r>
        <w:rPr/>
        <w:t>3221 Fabricación de celulosa, papel y cartón 3222 Fabricación de productos de papel y cartón 3231 Impresión e industrias conexas</w:t>
      </w:r>
    </w:p>
    <w:p>
      <w:pPr>
        <w:spacing w:after="0" w:line="343" w:lineRule="auto"/>
        <w:sectPr>
          <w:pgSz w:w="12240" w:h="15840"/>
          <w:pgMar w:header="0" w:footer="1003" w:top="1360" w:bottom="1200" w:left="1600" w:right="1580"/>
        </w:sectPr>
      </w:pPr>
    </w:p>
    <w:p>
      <w:pPr>
        <w:pStyle w:val="Heading2"/>
        <w:spacing w:before="52"/>
      </w:pPr>
      <w:r>
        <w:rPr/>
        <w:t>Subsector 35 Sustancias químicas, productos derivados del petróleo y del carbón de hule y de plástico</w:t>
      </w:r>
    </w:p>
    <w:p>
      <w:pPr>
        <w:pStyle w:val="BodyText"/>
        <w:spacing w:line="343" w:lineRule="auto" w:before="115"/>
        <w:ind w:left="222" w:right="2413"/>
      </w:pPr>
      <w:r>
        <w:rPr/>
        <w:t>3241 Fabricación de productos derivados del petróleo y del carbón 3251 Fabricación de productos químicos básicos</w:t>
      </w:r>
    </w:p>
    <w:p>
      <w:pPr>
        <w:pStyle w:val="BodyText"/>
        <w:spacing w:before="5"/>
        <w:ind w:left="222"/>
        <w:jc w:val="both"/>
      </w:pPr>
      <w:r>
        <w:rPr/>
        <w:t>3252 Fabricación de hules, resinas y fibras químicas</w:t>
      </w:r>
    </w:p>
    <w:p>
      <w:pPr>
        <w:pStyle w:val="BodyText"/>
        <w:spacing w:line="343" w:lineRule="auto" w:before="120"/>
        <w:ind w:left="222" w:right="2413"/>
      </w:pPr>
      <w:r>
        <w:rPr/>
        <w:t>3253 Fabricación de fertilizantes, pesticidas y otros agroquímicos 3254 Fabricación de productos farmacéuticos</w:t>
      </w:r>
    </w:p>
    <w:p>
      <w:pPr>
        <w:pStyle w:val="BodyText"/>
        <w:spacing w:line="345" w:lineRule="auto" w:before="5"/>
        <w:ind w:left="222" w:right="2194"/>
        <w:jc w:val="both"/>
      </w:pPr>
      <w:r>
        <w:rPr/>
        <w:t>3255 Fabricación de pinturas, recubrimientos, adhesivos y selladores 3256 Fabricación de jabones, limpiadores y preparaciones de</w:t>
      </w:r>
      <w:r>
        <w:rPr>
          <w:spacing w:val="-10"/>
        </w:rPr>
        <w:t> </w:t>
      </w:r>
      <w:r>
        <w:rPr/>
        <w:t>tocador 3259 Fabricación de otros productos</w:t>
      </w:r>
      <w:r>
        <w:rPr>
          <w:spacing w:val="-7"/>
        </w:rPr>
        <w:t> </w:t>
      </w:r>
      <w:r>
        <w:rPr/>
        <w:t>químicos</w:t>
      </w:r>
    </w:p>
    <w:p>
      <w:pPr>
        <w:pStyle w:val="BodyText"/>
        <w:spacing w:line="343" w:lineRule="auto" w:before="3"/>
        <w:ind w:left="222" w:right="4759"/>
      </w:pPr>
      <w:r>
        <w:rPr/>
        <w:t>3261 Fabricación de productos de plástico 3262 Fabricación de productos de hule</w:t>
      </w:r>
    </w:p>
    <w:p>
      <w:pPr>
        <w:pStyle w:val="Heading2"/>
        <w:spacing w:before="10"/>
        <w:ind w:right="189"/>
      </w:pPr>
      <w:r>
        <w:rPr/>
        <w:t>Subsector 36 Productos minerales no metálicos, excluye los derivados del petróleo y del carbón</w:t>
      </w:r>
    </w:p>
    <w:p>
      <w:pPr>
        <w:pStyle w:val="BodyText"/>
        <w:spacing w:line="343" w:lineRule="auto" w:before="115"/>
        <w:ind w:left="222" w:right="1586"/>
      </w:pPr>
      <w:r>
        <w:rPr/>
        <w:t>3271 Fabricación de productos a base de arcillas y minerales refractarios 3272 Fabricación de vidrio y productos de vidrio</w:t>
      </w:r>
    </w:p>
    <w:p>
      <w:pPr>
        <w:pStyle w:val="BodyText"/>
        <w:spacing w:line="343" w:lineRule="auto" w:before="5"/>
        <w:ind w:left="222" w:right="3626"/>
      </w:pPr>
      <w:r>
        <w:rPr/>
        <w:t>3273 Fabricación de cemento y productos de concreto 3274 Fabricación de cal, yeso y productos de yeso</w:t>
      </w:r>
    </w:p>
    <w:p>
      <w:pPr>
        <w:pStyle w:val="BodyText"/>
        <w:spacing w:before="6"/>
        <w:ind w:left="222"/>
        <w:jc w:val="both"/>
      </w:pPr>
      <w:r>
        <w:rPr/>
        <w:t>3279 Fabricación de otros productos a base de minerales no metálicos</w:t>
      </w:r>
    </w:p>
    <w:p>
      <w:pPr>
        <w:pStyle w:val="Heading2"/>
      </w:pPr>
      <w:r>
        <w:rPr/>
        <w:t>Subsector 37 Industrias metálicas básicas</w:t>
      </w:r>
    </w:p>
    <w:p>
      <w:pPr>
        <w:pStyle w:val="BodyText"/>
        <w:spacing w:before="115"/>
        <w:ind w:left="222"/>
        <w:jc w:val="both"/>
      </w:pPr>
      <w:r>
        <w:rPr/>
        <w:t>3311 Industria básica del hierro y del acero</w:t>
      </w:r>
    </w:p>
    <w:p>
      <w:pPr>
        <w:pStyle w:val="BodyText"/>
        <w:spacing w:line="343" w:lineRule="auto" w:before="120"/>
        <w:ind w:left="222" w:right="2020"/>
      </w:pPr>
      <w:r>
        <w:rPr/>
        <w:t>3312 Fabricación de productos de hierro y acero de material comprado 3313 Industria del aluminio</w:t>
      </w:r>
    </w:p>
    <w:p>
      <w:pPr>
        <w:pStyle w:val="BodyText"/>
        <w:spacing w:line="343" w:lineRule="auto" w:before="5"/>
        <w:ind w:left="222" w:right="3339"/>
      </w:pPr>
      <w:r>
        <w:rPr/>
        <w:t>3314 Industrias de metales no ferrosos, excepto aluminio 3315 Moldeo por fundición de piezas metálicas</w:t>
      </w:r>
    </w:p>
    <w:p>
      <w:pPr>
        <w:pStyle w:val="Heading2"/>
        <w:spacing w:before="10"/>
      </w:pPr>
      <w:r>
        <w:rPr/>
        <w:t>Subsector 38 Fabricación de productos metálicos, maquinaria y equipo. Incluye instrumentos quirúrgicos y de precisión</w:t>
      </w:r>
    </w:p>
    <w:p>
      <w:pPr>
        <w:pStyle w:val="BodyText"/>
        <w:spacing w:before="116"/>
        <w:ind w:left="222"/>
        <w:jc w:val="both"/>
      </w:pPr>
      <w:r>
        <w:rPr/>
        <w:t>3321 Fabricación de productos metálicos forjados y troquelados</w:t>
      </w:r>
    </w:p>
    <w:p>
      <w:pPr>
        <w:pStyle w:val="BodyText"/>
        <w:spacing w:line="343" w:lineRule="auto" w:before="120"/>
        <w:ind w:left="222" w:right="189"/>
      </w:pPr>
      <w:r>
        <w:rPr/>
        <w:t>3322 Fabricación de herramientas de mano sin motor y utensilios de cocina metálicos 3323 Fabricación de estructuras metálicas y productos de herrería</w:t>
      </w:r>
    </w:p>
    <w:p>
      <w:pPr>
        <w:pStyle w:val="BodyText"/>
        <w:spacing w:line="343" w:lineRule="auto" w:before="5"/>
        <w:ind w:left="222" w:right="3193"/>
      </w:pPr>
      <w:r>
        <w:rPr/>
        <w:t>3324 Fabricación de calderas, tanques y envases metálicos 3325 Fabricación de herrajes y cerraduras</w:t>
      </w:r>
    </w:p>
    <w:p>
      <w:pPr>
        <w:pStyle w:val="BodyText"/>
        <w:spacing w:line="343" w:lineRule="auto" w:before="5"/>
        <w:ind w:left="222" w:right="2806"/>
      </w:pPr>
      <w:r>
        <w:rPr/>
        <w:t>3326 Fabricación de alambre, productos de alambre y resortes 3327 Maquinado de piezas metálicas y fabricación de tornillos</w:t>
      </w:r>
    </w:p>
    <w:p>
      <w:pPr>
        <w:spacing w:after="0" w:line="343" w:lineRule="auto"/>
        <w:sectPr>
          <w:pgSz w:w="12240" w:h="15840"/>
          <w:pgMar w:header="0" w:footer="1003" w:top="1360" w:bottom="1200" w:left="1600" w:right="1580"/>
        </w:sectPr>
      </w:pPr>
    </w:p>
    <w:p>
      <w:pPr>
        <w:pStyle w:val="BodyText"/>
        <w:spacing w:line="345" w:lineRule="auto" w:before="48"/>
        <w:ind w:left="222" w:right="4332"/>
      </w:pPr>
      <w:r>
        <w:rPr/>
        <w:t>3328 Recubrimientos y terminados metálicos 3329 Fabricación de otros productos metálicos</w:t>
      </w:r>
    </w:p>
    <w:p>
      <w:pPr>
        <w:pStyle w:val="BodyText"/>
        <w:spacing w:before="3"/>
        <w:ind w:left="102" w:right="728" w:firstLine="120"/>
      </w:pPr>
      <w:r>
        <w:rPr/>
        <w:t>3331 Fabricación de maquinaria y equipo para las actividades agropecuarias, para la construcción y para la industria extractiva</w:t>
      </w:r>
    </w:p>
    <w:p>
      <w:pPr>
        <w:pStyle w:val="BodyText"/>
        <w:spacing w:before="120"/>
        <w:ind w:left="102" w:right="394" w:firstLine="120"/>
      </w:pPr>
      <w:r>
        <w:rPr/>
        <w:t>3332 Fabricación de maquinaria y equipo para las industrias manufactureras, excepto la metalmecánica</w:t>
      </w:r>
    </w:p>
    <w:p>
      <w:pPr>
        <w:pStyle w:val="BodyText"/>
        <w:spacing w:before="120"/>
        <w:ind w:left="222" w:right="121"/>
      </w:pPr>
      <w:r>
        <w:rPr/>
        <w:t>3333 Fabricación de maquinaria y equipo para el comercio y los servicios</w:t>
      </w:r>
    </w:p>
    <w:p>
      <w:pPr>
        <w:pStyle w:val="BodyText"/>
        <w:spacing w:before="120"/>
        <w:ind w:left="102" w:right="121" w:firstLine="120"/>
      </w:pPr>
      <w:r>
        <w:rPr/>
        <w:t>3334 Fabricación de sistemas de aire acondicionado, calefacción y de refrigeración industrial y comercial</w:t>
      </w:r>
    </w:p>
    <w:p>
      <w:pPr>
        <w:pStyle w:val="BodyText"/>
        <w:spacing w:line="345" w:lineRule="auto" w:before="120"/>
        <w:ind w:left="222" w:right="1294"/>
      </w:pPr>
      <w:r>
        <w:rPr/>
        <w:t>3335 Fabricación de maquinaria y equipo para la industria metalmecánica 3336 Fabricación de motores de combustión interna, turbinas y transmisiones 3339 Fabricación de otra maquinaria y equipo para la industria en general 3342 Fabricación de equipo de comunicación</w:t>
      </w:r>
    </w:p>
    <w:p>
      <w:pPr>
        <w:pStyle w:val="BodyText"/>
        <w:spacing w:line="343" w:lineRule="auto" w:before="3"/>
        <w:ind w:left="222" w:right="4053"/>
      </w:pPr>
      <w:r>
        <w:rPr/>
        <w:t>3343 Fabricación de equipo de audio y de video 3344 Fabricación de componentes electrónicos</w:t>
      </w:r>
    </w:p>
    <w:p>
      <w:pPr>
        <w:pStyle w:val="BodyText"/>
        <w:spacing w:line="343" w:lineRule="auto" w:before="5"/>
        <w:ind w:left="222" w:right="980"/>
      </w:pPr>
      <w:r>
        <w:rPr/>
        <w:t>3345 Fabricación de instrumentos de navegación, medición, médicos y de control 3346 Fabricación y reproducción de medios magnéticos y ópticos</w:t>
      </w:r>
    </w:p>
    <w:p>
      <w:pPr>
        <w:pStyle w:val="BodyText"/>
        <w:spacing w:before="5"/>
        <w:ind w:left="222" w:right="121"/>
      </w:pPr>
      <w:r>
        <w:rPr/>
        <w:t>3351 Fabricación de accesorios de iluminación</w:t>
      </w:r>
    </w:p>
    <w:p>
      <w:pPr>
        <w:pStyle w:val="BodyText"/>
        <w:spacing w:before="120"/>
        <w:ind w:left="222" w:right="121"/>
      </w:pPr>
      <w:r>
        <w:rPr/>
        <w:t>3352 Fabricación de aparatos eléctricos de uso doméstico</w:t>
      </w:r>
    </w:p>
    <w:p>
      <w:pPr>
        <w:pStyle w:val="BodyText"/>
        <w:spacing w:line="343" w:lineRule="auto" w:before="120"/>
        <w:ind w:left="222" w:right="1434"/>
      </w:pPr>
      <w:r>
        <w:rPr/>
        <w:t>3353 Fabricación de equipo de generación y distribución de energía eléctrica 3359 Fabricación de otros equipos y accesorios eléctricos</w:t>
      </w:r>
    </w:p>
    <w:p>
      <w:pPr>
        <w:pStyle w:val="BodyText"/>
        <w:spacing w:line="343" w:lineRule="auto" w:before="5"/>
        <w:ind w:left="222" w:right="4479"/>
      </w:pPr>
      <w:r>
        <w:rPr/>
        <w:t>3361 Fabricación de automóviles y camiones 3362 Fabricación de carrocerías y remolques</w:t>
      </w:r>
    </w:p>
    <w:p>
      <w:pPr>
        <w:pStyle w:val="BodyText"/>
        <w:spacing w:line="343" w:lineRule="auto" w:before="5"/>
        <w:ind w:left="222" w:right="3304"/>
      </w:pPr>
      <w:r>
        <w:rPr/>
        <w:t>3363 Fabricación de partes para vehículos automotores 3365 Fabricación de equipo ferroviario</w:t>
      </w:r>
    </w:p>
    <w:p>
      <w:pPr>
        <w:pStyle w:val="BodyText"/>
        <w:spacing w:before="5"/>
        <w:ind w:left="222" w:right="121"/>
      </w:pPr>
      <w:r>
        <w:rPr/>
        <w:t>3366 Fabricación de embarcaciones</w:t>
      </w:r>
    </w:p>
    <w:p>
      <w:pPr>
        <w:pStyle w:val="BodyText"/>
        <w:spacing w:before="120"/>
        <w:ind w:left="222" w:right="121"/>
      </w:pPr>
      <w:r>
        <w:rPr/>
        <w:t>3369 Fabricación de otro equipo de transporte</w:t>
      </w:r>
    </w:p>
    <w:p>
      <w:pPr>
        <w:pStyle w:val="BodyText"/>
        <w:spacing w:line="343" w:lineRule="auto" w:before="120"/>
        <w:ind w:left="222" w:right="2960"/>
      </w:pPr>
      <w:r>
        <w:rPr/>
        <w:t>3371 Fabricación de muebles, excepto de oficina y estantería 3372 Fabricación de muebles de oficina y estantería</w:t>
      </w:r>
    </w:p>
    <w:p>
      <w:pPr>
        <w:pStyle w:val="BodyText"/>
        <w:spacing w:before="5"/>
        <w:ind w:left="222" w:right="121"/>
      </w:pPr>
      <w:r>
        <w:rPr/>
        <w:t>3379 Fabricación de productos relacionados con los muebles</w:t>
      </w:r>
    </w:p>
    <w:p>
      <w:pPr>
        <w:pStyle w:val="Heading2"/>
        <w:ind w:left="0" w:right="4111"/>
        <w:jc w:val="center"/>
      </w:pPr>
      <w:r>
        <w:rPr/>
        <w:t>Subsector 39 Otras industrias manufactureras</w:t>
      </w:r>
    </w:p>
    <w:p>
      <w:pPr>
        <w:pStyle w:val="BodyText"/>
        <w:spacing w:line="343" w:lineRule="auto" w:before="115"/>
        <w:ind w:left="222" w:right="1014"/>
      </w:pPr>
      <w:r>
        <w:rPr/>
        <w:t>3391 Fabricación de equipo y material para uso médico, dental y para laboratorio 3399 Otras industrias manufactureras.</w:t>
      </w:r>
    </w:p>
    <w:p>
      <w:pPr>
        <w:spacing w:after="0" w:line="343" w:lineRule="auto"/>
        <w:sectPr>
          <w:footerReference w:type="default" r:id="rId90"/>
          <w:pgSz w:w="12240" w:h="15840"/>
          <w:pgMar w:footer="1003" w:header="0" w:top="1360" w:bottom="1200" w:left="1600" w:right="1580"/>
          <w:pgNumType w:start="210"/>
        </w:sectPr>
      </w:pPr>
    </w:p>
    <w:p>
      <w:pPr>
        <w:pStyle w:val="Heading2"/>
        <w:spacing w:before="52"/>
      </w:pPr>
      <w:r>
        <w:rPr/>
        <w:t>CENSO INDUSTRIAL 2009</w:t>
      </w:r>
    </w:p>
    <w:p>
      <w:pPr>
        <w:pStyle w:val="BodyText"/>
        <w:rPr>
          <w:b/>
        </w:rPr>
      </w:pPr>
    </w:p>
    <w:p>
      <w:pPr>
        <w:pStyle w:val="BodyText"/>
        <w:spacing w:before="1"/>
        <w:rPr>
          <w:b/>
          <w:sz w:val="21"/>
        </w:rPr>
      </w:pPr>
    </w:p>
    <w:p>
      <w:pPr>
        <w:spacing w:before="0"/>
        <w:ind w:left="102" w:right="121" w:firstLine="0"/>
        <w:jc w:val="left"/>
        <w:rPr>
          <w:b/>
          <w:sz w:val="24"/>
        </w:rPr>
      </w:pPr>
      <w:r>
        <w:rPr>
          <w:b/>
          <w:sz w:val="24"/>
        </w:rPr>
        <w:t>Subsector 31 Productos alimenticios, bebidas y tabaco</w:t>
      </w:r>
    </w:p>
    <w:p>
      <w:pPr>
        <w:pStyle w:val="ListParagraph"/>
        <w:numPr>
          <w:ilvl w:val="0"/>
          <w:numId w:val="29"/>
        </w:numPr>
        <w:tabs>
          <w:tab w:pos="525" w:val="left" w:leader="none"/>
        </w:tabs>
        <w:spacing w:line="240" w:lineRule="auto" w:before="156" w:after="0"/>
        <w:ind w:left="102" w:right="0" w:firstLine="0"/>
        <w:jc w:val="left"/>
        <w:rPr>
          <w:sz w:val="24"/>
        </w:rPr>
      </w:pPr>
      <w:r>
        <w:rPr>
          <w:sz w:val="24"/>
        </w:rPr>
        <w:t>Industria</w:t>
      </w:r>
      <w:r>
        <w:rPr>
          <w:spacing w:val="-8"/>
          <w:sz w:val="24"/>
        </w:rPr>
        <w:t> </w:t>
      </w:r>
      <w:r>
        <w:rPr>
          <w:sz w:val="24"/>
        </w:rPr>
        <w:t>alimentaria</w:t>
      </w:r>
    </w:p>
    <w:p>
      <w:pPr>
        <w:pStyle w:val="BodyText"/>
        <w:spacing w:before="120"/>
        <w:ind w:left="102" w:right="121"/>
      </w:pPr>
      <w:r>
        <w:rPr/>
        <w:t>3111 Elaboración de alimentos para animales</w:t>
      </w:r>
    </w:p>
    <w:p>
      <w:pPr>
        <w:pStyle w:val="BodyText"/>
        <w:spacing w:line="343" w:lineRule="auto" w:before="120"/>
        <w:ind w:left="102" w:right="1877"/>
      </w:pPr>
      <w:r>
        <w:rPr/>
        <w:t>3112 Molienda de granos y de semillas y obtención de aceites y grasas 3113 Elaboración de azúcares, chocolates, dulces y similares</w:t>
      </w:r>
    </w:p>
    <w:p>
      <w:pPr>
        <w:pStyle w:val="BodyText"/>
        <w:spacing w:line="343" w:lineRule="auto" w:before="5"/>
        <w:ind w:left="102" w:right="2780"/>
      </w:pPr>
      <w:r>
        <w:rPr/>
        <w:t>3114 Conservación de frutas, verduras y alimentos preparados 3115 Elaboración de productos lácteos</w:t>
      </w:r>
    </w:p>
    <w:p>
      <w:pPr>
        <w:pStyle w:val="BodyText"/>
        <w:spacing w:before="6"/>
        <w:ind w:left="102" w:right="754"/>
      </w:pPr>
      <w:r>
        <w:rPr/>
        <w:t>3116 Matanza, empacado y procesamiento de carne de ganado, aves y otros animales comestibles</w:t>
      </w:r>
    </w:p>
    <w:p>
      <w:pPr>
        <w:pStyle w:val="BodyText"/>
        <w:spacing w:line="343" w:lineRule="auto" w:before="120"/>
        <w:ind w:left="102" w:right="3693"/>
      </w:pPr>
      <w:r>
        <w:rPr/>
        <w:t>3117 Preparación y envasado de pescados y mariscos 3118 Elaboración de productos de panadería y tortillas 3119 Otras industrias alimentarias</w:t>
      </w:r>
    </w:p>
    <w:p>
      <w:pPr>
        <w:pStyle w:val="ListParagraph"/>
        <w:numPr>
          <w:ilvl w:val="0"/>
          <w:numId w:val="29"/>
        </w:numPr>
        <w:tabs>
          <w:tab w:pos="525" w:val="left" w:leader="none"/>
        </w:tabs>
        <w:spacing w:line="343" w:lineRule="auto" w:before="5" w:after="0"/>
        <w:ind w:left="102" w:right="5062" w:firstLine="0"/>
        <w:jc w:val="left"/>
        <w:rPr>
          <w:sz w:val="24"/>
        </w:rPr>
      </w:pPr>
      <w:r>
        <w:rPr>
          <w:sz w:val="24"/>
        </w:rPr>
        <w:t>Industria de las bebidas y del</w:t>
      </w:r>
      <w:r>
        <w:rPr>
          <w:spacing w:val="-13"/>
          <w:sz w:val="24"/>
        </w:rPr>
        <w:t> </w:t>
      </w:r>
      <w:r>
        <w:rPr>
          <w:sz w:val="24"/>
        </w:rPr>
        <w:t>tabaco 3121 Industria de las</w:t>
      </w:r>
      <w:r>
        <w:rPr>
          <w:spacing w:val="-6"/>
          <w:sz w:val="24"/>
        </w:rPr>
        <w:t> </w:t>
      </w:r>
      <w:r>
        <w:rPr>
          <w:sz w:val="24"/>
        </w:rPr>
        <w:t>bebidas</w:t>
      </w:r>
    </w:p>
    <w:p>
      <w:pPr>
        <w:pStyle w:val="Heading2"/>
        <w:spacing w:before="10"/>
      </w:pPr>
      <w:r>
        <w:rPr/>
        <w:t>Subsector 32 Textiles, prendas de vestir e industria del cuero</w:t>
      </w:r>
    </w:p>
    <w:p>
      <w:pPr>
        <w:pStyle w:val="ListParagraph"/>
        <w:numPr>
          <w:ilvl w:val="0"/>
          <w:numId w:val="29"/>
        </w:numPr>
        <w:tabs>
          <w:tab w:pos="523" w:val="left" w:leader="none"/>
        </w:tabs>
        <w:spacing w:line="240" w:lineRule="auto" w:before="115" w:after="0"/>
        <w:ind w:left="522" w:right="0" w:hanging="420"/>
        <w:jc w:val="left"/>
        <w:rPr>
          <w:sz w:val="24"/>
        </w:rPr>
      </w:pPr>
      <w:r>
        <w:rPr>
          <w:sz w:val="24"/>
        </w:rPr>
        <w:t>Fabricación de insumos textiles y acabado de</w:t>
      </w:r>
      <w:r>
        <w:rPr>
          <w:spacing w:val="-10"/>
          <w:sz w:val="24"/>
        </w:rPr>
        <w:t> </w:t>
      </w:r>
      <w:r>
        <w:rPr>
          <w:sz w:val="24"/>
        </w:rPr>
        <w:t>textiles</w:t>
      </w:r>
    </w:p>
    <w:p>
      <w:pPr>
        <w:pStyle w:val="BodyText"/>
        <w:spacing w:line="343" w:lineRule="auto" w:before="118"/>
        <w:ind w:left="102" w:right="2413"/>
      </w:pPr>
      <w:r>
        <w:rPr/>
        <w:t>3131 Preparación e hilado de fibras textiles, y fabricación de hilos 3132 Fabricación de telas</w:t>
      </w:r>
    </w:p>
    <w:p>
      <w:pPr>
        <w:pStyle w:val="BodyText"/>
        <w:spacing w:line="343" w:lineRule="auto" w:before="5"/>
        <w:ind w:left="102" w:right="2299"/>
      </w:pPr>
      <w:r>
        <w:rPr/>
        <w:t>3133 Acabado de productos textiles y fabricación de telas</w:t>
      </w:r>
      <w:r>
        <w:rPr>
          <w:spacing w:val="-12"/>
        </w:rPr>
        <w:t> </w:t>
      </w:r>
      <w:r>
        <w:rPr/>
        <w:t>recubiertas 314 Fabricación de productos textiles, excepto prendas de vestir 3141 Confección de alfombras, blancos y</w:t>
      </w:r>
      <w:r>
        <w:rPr>
          <w:spacing w:val="-10"/>
        </w:rPr>
        <w:t> </w:t>
      </w:r>
      <w:r>
        <w:rPr/>
        <w:t>similares</w:t>
      </w:r>
    </w:p>
    <w:p>
      <w:pPr>
        <w:pStyle w:val="BodyText"/>
        <w:spacing w:line="343" w:lineRule="auto" w:before="5"/>
        <w:ind w:left="102" w:right="2126"/>
      </w:pPr>
      <w:r>
        <w:rPr/>
        <w:t>3149 Fabricación de otros productos textiles, excepto prendas de vestir 315 Fabricación de prendas de vestir</w:t>
      </w:r>
    </w:p>
    <w:p>
      <w:pPr>
        <w:pStyle w:val="BodyText"/>
        <w:spacing w:line="345" w:lineRule="auto" w:before="5"/>
        <w:ind w:left="102" w:right="4053"/>
      </w:pPr>
      <w:r>
        <w:rPr/>
        <w:t>3151 Fabricación de prendas de vestir de punto 3152 Confección de prendas de vestir</w:t>
      </w:r>
    </w:p>
    <w:p>
      <w:pPr>
        <w:pStyle w:val="BodyText"/>
        <w:spacing w:before="3"/>
        <w:ind w:left="102" w:right="460"/>
      </w:pPr>
      <w:r>
        <w:rPr/>
        <w:t>3159 Confección de accesorios de vestir y otras prendas de vestir no clasificados en otra parte</w:t>
      </w:r>
    </w:p>
    <w:p>
      <w:pPr>
        <w:pStyle w:val="BodyText"/>
        <w:spacing w:before="120"/>
        <w:ind w:left="102" w:right="1067"/>
      </w:pPr>
      <w:r>
        <w:rPr/>
        <w:t>316 Curtido y acabado de cuero y piel, y fabricación de productos de cuero, piel y materiales sucedáneos</w:t>
      </w:r>
    </w:p>
    <w:p>
      <w:pPr>
        <w:pStyle w:val="BodyText"/>
        <w:spacing w:line="343" w:lineRule="auto" w:before="120"/>
        <w:ind w:left="102" w:right="4757"/>
      </w:pPr>
      <w:r>
        <w:rPr/>
        <w:t>3161 Curtido y acabado de cuero y piel 3162 Fabricación de calzado</w:t>
      </w:r>
    </w:p>
    <w:p>
      <w:pPr>
        <w:spacing w:after="0" w:line="343" w:lineRule="auto"/>
        <w:sectPr>
          <w:pgSz w:w="12240" w:h="15840"/>
          <w:pgMar w:header="0" w:footer="1003" w:top="1360" w:bottom="1200" w:left="1600" w:right="1580"/>
        </w:sectPr>
      </w:pPr>
    </w:p>
    <w:p>
      <w:pPr>
        <w:spacing w:line="345" w:lineRule="auto" w:before="48"/>
        <w:ind w:left="102" w:right="905" w:firstLine="0"/>
        <w:jc w:val="left"/>
        <w:rPr>
          <w:sz w:val="24"/>
        </w:rPr>
      </w:pPr>
      <w:r>
        <w:rPr>
          <w:sz w:val="24"/>
        </w:rPr>
        <w:t>3169 Fabricación de otros productos de cuero, piel y materiales sucedáneos </w:t>
      </w:r>
      <w:r>
        <w:rPr>
          <w:b/>
          <w:sz w:val="24"/>
        </w:rPr>
        <w:t>Subsector 33 Industrias de la madera y productos de madera. Incluye muebles </w:t>
      </w:r>
      <w:r>
        <w:rPr>
          <w:sz w:val="24"/>
        </w:rPr>
        <w:t>321 Industria de la madera</w:t>
      </w:r>
    </w:p>
    <w:p>
      <w:pPr>
        <w:pStyle w:val="BodyText"/>
        <w:spacing w:before="3"/>
        <w:ind w:left="102" w:right="121"/>
      </w:pPr>
      <w:r>
        <w:rPr/>
        <w:t>3211 Aserrado y conservación de la madera</w:t>
      </w:r>
    </w:p>
    <w:p>
      <w:pPr>
        <w:pStyle w:val="BodyText"/>
        <w:spacing w:line="343" w:lineRule="auto" w:before="120"/>
        <w:ind w:left="102" w:right="3304"/>
      </w:pPr>
      <w:r>
        <w:rPr/>
        <w:t>3212 Fabricación de laminados y aglutinados de madera 3219 Fabricación de otros productos de madera</w:t>
      </w:r>
    </w:p>
    <w:p>
      <w:pPr>
        <w:pStyle w:val="Heading2"/>
        <w:spacing w:before="10"/>
      </w:pPr>
      <w:r>
        <w:rPr/>
        <w:t>Subsector 34  Papel, productos de papel, imprentas y editoriales</w:t>
      </w:r>
    </w:p>
    <w:p>
      <w:pPr>
        <w:pStyle w:val="BodyText"/>
        <w:spacing w:before="115"/>
        <w:ind w:left="102" w:right="121"/>
      </w:pPr>
      <w:r>
        <w:rPr/>
        <w:t>322 Industria del papel</w:t>
      </w:r>
    </w:p>
    <w:p>
      <w:pPr>
        <w:pStyle w:val="BodyText"/>
        <w:spacing w:before="120"/>
        <w:ind w:left="102" w:right="121"/>
      </w:pPr>
      <w:r>
        <w:rPr/>
        <w:t>3221 Fabricación de pulpa, papel y cartón</w:t>
      </w:r>
    </w:p>
    <w:p>
      <w:pPr>
        <w:pStyle w:val="BodyText"/>
        <w:spacing w:line="343" w:lineRule="auto" w:before="120"/>
        <w:ind w:left="102" w:right="4053"/>
      </w:pPr>
      <w:r>
        <w:rPr/>
        <w:t>3222 Fabricación de productos de cartón y papel 323 Impresión e industrias conexas</w:t>
      </w:r>
    </w:p>
    <w:p>
      <w:pPr>
        <w:pStyle w:val="BodyText"/>
        <w:spacing w:before="5"/>
        <w:ind w:left="102" w:right="121"/>
      </w:pPr>
      <w:r>
        <w:rPr/>
        <w:t>3231 Impresión e industrias conexas</w:t>
      </w:r>
    </w:p>
    <w:p>
      <w:pPr>
        <w:pStyle w:val="Heading2"/>
      </w:pPr>
      <w:r>
        <w:rPr/>
        <w:t>Subsector 35 Sustancias químicas, productos derivados del petróleo y del carbón de hule y de plástico</w:t>
      </w:r>
    </w:p>
    <w:p>
      <w:pPr>
        <w:pStyle w:val="BodyText"/>
        <w:spacing w:line="343" w:lineRule="auto" w:before="115"/>
        <w:ind w:left="102" w:right="2533"/>
      </w:pPr>
      <w:r>
        <w:rPr/>
        <w:t>324 Fabricación de productos derivados del petróleo y del carbón 3241 Fabricación de productos derivados del petróleo y del carbón 325 Industria química</w:t>
      </w:r>
    </w:p>
    <w:p>
      <w:pPr>
        <w:pStyle w:val="BodyText"/>
        <w:spacing w:before="5"/>
        <w:ind w:left="102" w:right="121"/>
      </w:pPr>
      <w:r>
        <w:rPr/>
        <w:t>3251 Fabricación de productos químicos básicos</w:t>
      </w:r>
    </w:p>
    <w:p>
      <w:pPr>
        <w:pStyle w:val="BodyText"/>
        <w:spacing w:line="343" w:lineRule="auto" w:before="120"/>
        <w:ind w:left="102" w:right="2633"/>
      </w:pPr>
      <w:r>
        <w:rPr/>
        <w:t>3252 Fabricación de resinas y hules sintéticos, y fibras químicas 3253 Fabricación de fertilizantes, pesticidas y otros agroquímicos 3254 Fabricación de productos farmacéuticos</w:t>
      </w:r>
    </w:p>
    <w:p>
      <w:pPr>
        <w:pStyle w:val="BodyText"/>
        <w:spacing w:before="5"/>
        <w:ind w:left="102" w:right="121"/>
      </w:pPr>
      <w:r>
        <w:rPr/>
        <w:t>3255 Fabricación de pinturas, recubrimientos y adhesivos</w:t>
      </w:r>
    </w:p>
    <w:p>
      <w:pPr>
        <w:pStyle w:val="BodyText"/>
        <w:spacing w:line="343" w:lineRule="auto" w:before="120"/>
        <w:ind w:left="102" w:right="1877"/>
      </w:pPr>
      <w:r>
        <w:rPr/>
        <w:t>3256 Fabricación de jabones, limpiadores y preparaciones de tocador 3259 Fabricación de otros productos químicos</w:t>
      </w:r>
    </w:p>
    <w:p>
      <w:pPr>
        <w:pStyle w:val="Heading2"/>
        <w:spacing w:before="10"/>
        <w:ind w:right="189"/>
      </w:pPr>
      <w:r>
        <w:rPr/>
        <w:t>Subsector 36 Productos minerales no metálicos, excluye los derivados del petróleo y del carbón</w:t>
      </w:r>
    </w:p>
    <w:p>
      <w:pPr>
        <w:pStyle w:val="ListParagraph"/>
        <w:numPr>
          <w:ilvl w:val="0"/>
          <w:numId w:val="30"/>
        </w:numPr>
        <w:tabs>
          <w:tab w:pos="525" w:val="left" w:leader="none"/>
        </w:tabs>
        <w:spacing w:line="240" w:lineRule="auto" w:before="115" w:after="0"/>
        <w:ind w:left="524" w:right="0" w:hanging="422"/>
        <w:jc w:val="left"/>
        <w:rPr>
          <w:sz w:val="24"/>
        </w:rPr>
      </w:pPr>
      <w:r>
        <w:rPr>
          <w:sz w:val="24"/>
        </w:rPr>
        <w:t>Industria del plástico y del</w:t>
      </w:r>
      <w:r>
        <w:rPr>
          <w:spacing w:val="-11"/>
          <w:sz w:val="24"/>
        </w:rPr>
        <w:t> </w:t>
      </w:r>
      <w:r>
        <w:rPr>
          <w:sz w:val="24"/>
        </w:rPr>
        <w:t>hule</w:t>
      </w:r>
    </w:p>
    <w:p>
      <w:pPr>
        <w:pStyle w:val="BodyText"/>
        <w:spacing w:line="343" w:lineRule="auto" w:before="120"/>
        <w:ind w:left="102" w:right="4879"/>
      </w:pPr>
      <w:r>
        <w:rPr/>
        <w:t>3261 Fabricación de productos de plástico 3262 Fabricación de productos de hule</w:t>
      </w:r>
    </w:p>
    <w:p>
      <w:pPr>
        <w:pStyle w:val="ListParagraph"/>
        <w:numPr>
          <w:ilvl w:val="0"/>
          <w:numId w:val="30"/>
        </w:numPr>
        <w:tabs>
          <w:tab w:pos="523" w:val="left" w:leader="none"/>
        </w:tabs>
        <w:spacing w:line="240" w:lineRule="auto" w:before="5" w:after="0"/>
        <w:ind w:left="522" w:right="0" w:hanging="420"/>
        <w:jc w:val="left"/>
        <w:rPr>
          <w:sz w:val="24"/>
        </w:rPr>
      </w:pPr>
      <w:r>
        <w:rPr>
          <w:sz w:val="24"/>
        </w:rPr>
        <w:t>Fabricación de productos a base de minerales no</w:t>
      </w:r>
      <w:r>
        <w:rPr>
          <w:spacing w:val="-12"/>
          <w:sz w:val="24"/>
        </w:rPr>
        <w:t> </w:t>
      </w:r>
      <w:r>
        <w:rPr>
          <w:sz w:val="24"/>
        </w:rPr>
        <w:t>metálicos</w:t>
      </w:r>
    </w:p>
    <w:p>
      <w:pPr>
        <w:pStyle w:val="BodyText"/>
        <w:spacing w:line="343" w:lineRule="auto" w:before="120"/>
        <w:ind w:left="102" w:right="1877"/>
      </w:pPr>
      <w:r>
        <w:rPr/>
        <w:t>3271 Fabricación de productos a base de arcillas y minerales refractarios 3272 Fabricación de vidrio y productos de vidrio</w:t>
      </w:r>
    </w:p>
    <w:p>
      <w:pPr>
        <w:pStyle w:val="BodyText"/>
        <w:spacing w:before="5"/>
        <w:ind w:left="102" w:right="121"/>
      </w:pPr>
      <w:r>
        <w:rPr/>
        <w:t>3273 Fabricación de cemento y productos de concreto</w:t>
      </w:r>
    </w:p>
    <w:p>
      <w:pPr>
        <w:spacing w:after="0"/>
        <w:sectPr>
          <w:pgSz w:w="12240" w:h="15840"/>
          <w:pgMar w:header="0" w:footer="1003" w:top="1360" w:bottom="1200" w:left="1600" w:right="1580"/>
        </w:sectPr>
      </w:pPr>
    </w:p>
    <w:p>
      <w:pPr>
        <w:pStyle w:val="BodyText"/>
        <w:spacing w:before="48"/>
        <w:ind w:left="102" w:right="121"/>
      </w:pPr>
      <w:r>
        <w:rPr/>
        <w:t>3274 Fabricación de cal, yeso y productos de yeso</w:t>
      </w:r>
    </w:p>
    <w:p>
      <w:pPr>
        <w:pStyle w:val="BodyText"/>
        <w:spacing w:before="120"/>
        <w:ind w:left="102" w:right="121"/>
      </w:pPr>
      <w:r>
        <w:rPr/>
        <w:t>3279 Fabricación de otros productos a base de minerales no metálicos</w:t>
      </w:r>
    </w:p>
    <w:p>
      <w:pPr>
        <w:pStyle w:val="Heading2"/>
      </w:pPr>
      <w:r>
        <w:rPr/>
        <w:t>Subsector 37 Industrias metálicas básicas</w:t>
      </w:r>
    </w:p>
    <w:p>
      <w:pPr>
        <w:pStyle w:val="ListParagraph"/>
        <w:numPr>
          <w:ilvl w:val="0"/>
          <w:numId w:val="31"/>
        </w:numPr>
        <w:tabs>
          <w:tab w:pos="525" w:val="left" w:leader="none"/>
        </w:tabs>
        <w:spacing w:line="240" w:lineRule="auto" w:before="115" w:after="0"/>
        <w:ind w:left="524" w:right="0" w:hanging="422"/>
        <w:jc w:val="left"/>
        <w:rPr>
          <w:sz w:val="24"/>
        </w:rPr>
      </w:pPr>
      <w:r>
        <w:rPr>
          <w:sz w:val="24"/>
        </w:rPr>
        <w:t>Industrias metálicas</w:t>
      </w:r>
      <w:r>
        <w:rPr>
          <w:spacing w:val="-10"/>
          <w:sz w:val="24"/>
        </w:rPr>
        <w:t> </w:t>
      </w:r>
      <w:r>
        <w:rPr>
          <w:sz w:val="24"/>
        </w:rPr>
        <w:t>básicas</w:t>
      </w:r>
    </w:p>
    <w:p>
      <w:pPr>
        <w:pStyle w:val="BodyText"/>
        <w:spacing w:line="343" w:lineRule="auto" w:before="120"/>
        <w:ind w:left="102" w:right="4312"/>
      </w:pPr>
      <w:r>
        <w:rPr/>
        <w:t>3311 Industria básica del hierro y del acero 3312 Fabricación de productos de hierro y</w:t>
      </w:r>
      <w:r>
        <w:rPr>
          <w:spacing w:val="-9"/>
        </w:rPr>
        <w:t> </w:t>
      </w:r>
      <w:r>
        <w:rPr/>
        <w:t>acero 3313 Industria básica del</w:t>
      </w:r>
      <w:r>
        <w:rPr>
          <w:spacing w:val="-5"/>
        </w:rPr>
        <w:t> </w:t>
      </w:r>
      <w:r>
        <w:rPr/>
        <w:t>aluminio</w:t>
      </w:r>
    </w:p>
    <w:p>
      <w:pPr>
        <w:pStyle w:val="BodyText"/>
        <w:spacing w:line="343" w:lineRule="auto" w:before="5"/>
        <w:ind w:left="102" w:right="3459"/>
      </w:pPr>
      <w:r>
        <w:rPr/>
        <w:t>3314 Industrias de metales no ferrosos, excepto aluminio 3315 Moldeo por fundición de piezas metálicas</w:t>
      </w:r>
    </w:p>
    <w:p>
      <w:pPr>
        <w:pStyle w:val="Heading2"/>
        <w:spacing w:before="11"/>
      </w:pPr>
      <w:r>
        <w:rPr/>
        <w:t>Subsector 38 Fabricación de productos metálicos, maquinaria y equipo. Incluye instrumentos quirúrgicos y de precisión</w:t>
      </w:r>
    </w:p>
    <w:p>
      <w:pPr>
        <w:pStyle w:val="ListParagraph"/>
        <w:numPr>
          <w:ilvl w:val="0"/>
          <w:numId w:val="31"/>
        </w:numPr>
        <w:tabs>
          <w:tab w:pos="523" w:val="left" w:leader="none"/>
        </w:tabs>
        <w:spacing w:line="240" w:lineRule="auto" w:before="115" w:after="0"/>
        <w:ind w:left="522" w:right="0" w:hanging="420"/>
        <w:jc w:val="left"/>
        <w:rPr>
          <w:sz w:val="24"/>
        </w:rPr>
      </w:pPr>
      <w:r>
        <w:rPr>
          <w:sz w:val="24"/>
        </w:rPr>
        <w:t>Fabricación de productos</w:t>
      </w:r>
      <w:r>
        <w:rPr>
          <w:spacing w:val="-6"/>
          <w:sz w:val="24"/>
        </w:rPr>
        <w:t> </w:t>
      </w:r>
      <w:r>
        <w:rPr>
          <w:sz w:val="24"/>
        </w:rPr>
        <w:t>metálicos</w:t>
      </w:r>
    </w:p>
    <w:p>
      <w:pPr>
        <w:pStyle w:val="BodyText"/>
        <w:spacing w:before="120"/>
        <w:ind w:left="102" w:right="121"/>
      </w:pPr>
      <w:r>
        <w:rPr/>
        <w:t>3321 Fabricación de productos metálicos forjados y troquelados</w:t>
      </w:r>
    </w:p>
    <w:p>
      <w:pPr>
        <w:pStyle w:val="BodyText"/>
        <w:spacing w:line="343" w:lineRule="auto" w:before="120"/>
        <w:ind w:left="102" w:right="688"/>
      </w:pPr>
      <w:r>
        <w:rPr/>
        <w:t>3322 Fabricación de herramientas de mano sin motor y utensilios de cocina metálicos 3323 Fabricación de estructuras metálicas y productos de herrería</w:t>
      </w:r>
    </w:p>
    <w:p>
      <w:pPr>
        <w:pStyle w:val="BodyText"/>
        <w:spacing w:line="343" w:lineRule="auto" w:before="5"/>
        <w:ind w:left="102" w:right="3313"/>
      </w:pPr>
      <w:r>
        <w:rPr/>
        <w:t>3324 Fabricación de calderas, tanques y envases metálicos 3325 Fabricación de herrajes y cerraduras</w:t>
      </w:r>
    </w:p>
    <w:p>
      <w:pPr>
        <w:pStyle w:val="BodyText"/>
        <w:spacing w:line="345" w:lineRule="auto" w:before="5"/>
        <w:ind w:left="102" w:right="2946"/>
        <w:jc w:val="both"/>
      </w:pPr>
      <w:r>
        <w:rPr/>
        <w:t>3326 Fabricación de alambre, productos de alambre y resortes 3327 Maquinado de piezas metálicas y fabricación de tornillos 3328 Recubrimientos y terminados metálicos</w:t>
      </w:r>
    </w:p>
    <w:p>
      <w:pPr>
        <w:pStyle w:val="BodyText"/>
        <w:spacing w:line="343" w:lineRule="auto" w:before="3"/>
        <w:ind w:left="102" w:right="4452"/>
      </w:pPr>
      <w:r>
        <w:rPr/>
        <w:t>3329 Fabricación de otros productos metálicos 333 Fabricación de maquinaria y equipo</w:t>
      </w:r>
    </w:p>
    <w:p>
      <w:pPr>
        <w:pStyle w:val="BodyText"/>
        <w:spacing w:before="5"/>
        <w:ind w:left="102" w:right="121"/>
      </w:pPr>
      <w:r>
        <w:rPr/>
        <w:t>3331 Fabricación de maquinaria y equipo agropecuario, para la construcción y para la industria extractiva</w:t>
      </w:r>
    </w:p>
    <w:p>
      <w:pPr>
        <w:pStyle w:val="BodyText"/>
        <w:spacing w:before="120"/>
        <w:ind w:left="102" w:right="514"/>
      </w:pPr>
      <w:r>
        <w:rPr/>
        <w:t>3332 Fabricación de maquinaria y equipo para las industrias manufactureras, excepto la metalmecánica</w:t>
      </w:r>
    </w:p>
    <w:p>
      <w:pPr>
        <w:pStyle w:val="BodyText"/>
        <w:spacing w:before="120"/>
        <w:ind w:left="102" w:right="121"/>
      </w:pPr>
      <w:r>
        <w:rPr/>
        <w:t>3333 Fabricación de maquinaria y equipo para el comercio y los servicios</w:t>
      </w:r>
    </w:p>
    <w:p>
      <w:pPr>
        <w:pStyle w:val="BodyText"/>
        <w:spacing w:before="120"/>
        <w:ind w:left="102" w:right="688"/>
      </w:pPr>
      <w:r>
        <w:rPr/>
        <w:t>3334 Fabricación de equipo de aire acondicionado, calefacción, y de refrigeración industrial y comercial</w:t>
      </w:r>
    </w:p>
    <w:p>
      <w:pPr>
        <w:pStyle w:val="BodyText"/>
        <w:spacing w:line="343" w:lineRule="auto" w:before="120"/>
        <w:ind w:left="102" w:right="1434"/>
      </w:pPr>
      <w:r>
        <w:rPr/>
        <w:t>3335 Fabricación de maquinaria y equipo para la industria metalmecánica 3336 Fabricación de motores de combustión interna, turbinas y transmisiones 3339 Fabricación de otra maquinaria y equipo para la industria en general</w:t>
      </w:r>
    </w:p>
    <w:p>
      <w:pPr>
        <w:pStyle w:val="ListParagraph"/>
        <w:numPr>
          <w:ilvl w:val="0"/>
          <w:numId w:val="32"/>
        </w:numPr>
        <w:tabs>
          <w:tab w:pos="523" w:val="left" w:leader="none"/>
        </w:tabs>
        <w:spacing w:line="240" w:lineRule="auto" w:before="5" w:after="0"/>
        <w:ind w:left="102" w:right="463" w:firstLine="0"/>
        <w:jc w:val="left"/>
        <w:rPr>
          <w:sz w:val="24"/>
        </w:rPr>
      </w:pPr>
      <w:r>
        <w:rPr>
          <w:sz w:val="24"/>
        </w:rPr>
        <w:t>Fabricación de equipo de computación, comunicación, medición y de otros equipos, componentes y accesorios</w:t>
      </w:r>
      <w:r>
        <w:rPr>
          <w:spacing w:val="-8"/>
          <w:sz w:val="24"/>
        </w:rPr>
        <w:t> </w:t>
      </w:r>
      <w:r>
        <w:rPr>
          <w:sz w:val="24"/>
        </w:rPr>
        <w:t>electrónicos</w:t>
      </w:r>
    </w:p>
    <w:p>
      <w:pPr>
        <w:spacing w:after="0" w:line="240" w:lineRule="auto"/>
        <w:jc w:val="left"/>
        <w:rPr>
          <w:sz w:val="24"/>
        </w:rPr>
        <w:sectPr>
          <w:pgSz w:w="12240" w:h="15840"/>
          <w:pgMar w:header="0" w:footer="1003" w:top="1360" w:bottom="1200" w:left="1600" w:right="1580"/>
        </w:sectPr>
      </w:pPr>
    </w:p>
    <w:p>
      <w:pPr>
        <w:pStyle w:val="BodyText"/>
        <w:spacing w:line="345" w:lineRule="auto" w:before="48"/>
        <w:ind w:left="102" w:right="3686"/>
      </w:pPr>
      <w:r>
        <w:rPr/>
        <w:t>3341 Fabricación de computadoras y equipo periférico 3342 Fabricación de equipo de comunicación</w:t>
      </w:r>
    </w:p>
    <w:p>
      <w:pPr>
        <w:pStyle w:val="BodyText"/>
        <w:spacing w:line="343" w:lineRule="auto" w:before="3"/>
        <w:ind w:left="102" w:right="4053"/>
      </w:pPr>
      <w:r>
        <w:rPr/>
        <w:t>3343 Fabricación de equipo de audio y de video 3344 Fabricación de componentes electrónicos</w:t>
      </w:r>
    </w:p>
    <w:p>
      <w:pPr>
        <w:pStyle w:val="BodyText"/>
        <w:spacing w:before="5"/>
        <w:ind w:left="102" w:right="706"/>
      </w:pPr>
      <w:r>
        <w:rPr/>
        <w:t>3345 Fabricación de instrumentos de medición, control, navegación, y equipo médico electrónico</w:t>
      </w:r>
    </w:p>
    <w:p>
      <w:pPr>
        <w:pStyle w:val="BodyText"/>
        <w:spacing w:before="120"/>
        <w:ind w:left="102" w:right="121"/>
      </w:pPr>
      <w:r>
        <w:rPr/>
        <w:t>3346 Fabricación y reproducción de medios magnéticos y ópticos</w:t>
      </w:r>
    </w:p>
    <w:p>
      <w:pPr>
        <w:pStyle w:val="ListParagraph"/>
        <w:numPr>
          <w:ilvl w:val="0"/>
          <w:numId w:val="32"/>
        </w:numPr>
        <w:tabs>
          <w:tab w:pos="523" w:val="left" w:leader="none"/>
        </w:tabs>
        <w:spacing w:line="240" w:lineRule="auto" w:before="120" w:after="0"/>
        <w:ind w:left="102" w:right="817" w:firstLine="0"/>
        <w:jc w:val="left"/>
        <w:rPr>
          <w:sz w:val="24"/>
        </w:rPr>
      </w:pPr>
      <w:r>
        <w:rPr>
          <w:sz w:val="24"/>
        </w:rPr>
        <w:t>Fabricación de accesorios, aparatos eléctricos y equipo de generación de</w:t>
      </w:r>
      <w:r>
        <w:rPr>
          <w:spacing w:val="-20"/>
          <w:sz w:val="24"/>
        </w:rPr>
        <w:t> </w:t>
      </w:r>
      <w:r>
        <w:rPr>
          <w:sz w:val="24"/>
        </w:rPr>
        <w:t>energía eléctrica</w:t>
      </w:r>
    </w:p>
    <w:p>
      <w:pPr>
        <w:pStyle w:val="BodyText"/>
        <w:spacing w:before="120"/>
        <w:ind w:left="102" w:right="121"/>
      </w:pPr>
      <w:r>
        <w:rPr/>
        <w:t>3351 Fabricación de accesorios de iluminación</w:t>
      </w:r>
    </w:p>
    <w:p>
      <w:pPr>
        <w:pStyle w:val="BodyText"/>
        <w:spacing w:before="120"/>
        <w:ind w:left="102" w:right="121"/>
      </w:pPr>
      <w:r>
        <w:rPr/>
        <w:t>3352 Fabricación de aparatos eléctricos de uso doméstico</w:t>
      </w:r>
    </w:p>
    <w:p>
      <w:pPr>
        <w:pStyle w:val="BodyText"/>
        <w:spacing w:line="343" w:lineRule="auto" w:before="120"/>
        <w:ind w:left="102" w:right="1554"/>
      </w:pPr>
      <w:r>
        <w:rPr/>
        <w:t>3353 Fabricación de equipo de generación y distribución de energía eléctrica 3359 Fabricación de otros equipos y accesorios eléctricos</w:t>
      </w:r>
    </w:p>
    <w:p>
      <w:pPr>
        <w:pStyle w:val="ListParagraph"/>
        <w:numPr>
          <w:ilvl w:val="0"/>
          <w:numId w:val="32"/>
        </w:numPr>
        <w:tabs>
          <w:tab w:pos="523" w:val="left" w:leader="none"/>
        </w:tabs>
        <w:spacing w:line="343" w:lineRule="auto" w:before="5" w:after="0"/>
        <w:ind w:left="102" w:right="4620" w:firstLine="0"/>
        <w:jc w:val="left"/>
        <w:rPr>
          <w:sz w:val="24"/>
        </w:rPr>
      </w:pPr>
      <w:r>
        <w:rPr>
          <w:sz w:val="24"/>
        </w:rPr>
        <w:t>Fabricación de equipo de transporte 3361 Fabricación de automóviles y</w:t>
      </w:r>
      <w:r>
        <w:rPr>
          <w:spacing w:val="-11"/>
          <w:sz w:val="24"/>
        </w:rPr>
        <w:t> </w:t>
      </w:r>
      <w:r>
        <w:rPr>
          <w:sz w:val="24"/>
        </w:rPr>
        <w:t>camiones 3362 Fabricación de carrocerías y</w:t>
      </w:r>
      <w:r>
        <w:rPr>
          <w:spacing w:val="-12"/>
          <w:sz w:val="24"/>
        </w:rPr>
        <w:t> </w:t>
      </w:r>
      <w:r>
        <w:rPr>
          <w:sz w:val="24"/>
        </w:rPr>
        <w:t>remolques</w:t>
      </w:r>
    </w:p>
    <w:p>
      <w:pPr>
        <w:pStyle w:val="BodyText"/>
        <w:spacing w:line="343" w:lineRule="auto" w:before="5"/>
        <w:ind w:left="102" w:right="3646"/>
      </w:pPr>
      <w:r>
        <w:rPr/>
        <w:t>3363 Fabricación de partes para vehículos automotores 3365 Fabricación de equipo ferroviario</w:t>
      </w:r>
    </w:p>
    <w:p>
      <w:pPr>
        <w:pStyle w:val="BodyText"/>
        <w:spacing w:before="6"/>
        <w:ind w:left="102" w:right="121"/>
      </w:pPr>
      <w:r>
        <w:rPr/>
        <w:t>3369 Fabricación de otro equipo de transporte</w:t>
      </w:r>
    </w:p>
    <w:p>
      <w:pPr>
        <w:pStyle w:val="ListParagraph"/>
        <w:numPr>
          <w:ilvl w:val="0"/>
          <w:numId w:val="32"/>
        </w:numPr>
        <w:tabs>
          <w:tab w:pos="523" w:val="left" w:leader="none"/>
        </w:tabs>
        <w:spacing w:line="240" w:lineRule="auto" w:before="120" w:after="0"/>
        <w:ind w:left="522" w:right="0" w:hanging="420"/>
        <w:jc w:val="left"/>
        <w:rPr>
          <w:sz w:val="24"/>
        </w:rPr>
      </w:pPr>
      <w:r>
        <w:rPr>
          <w:sz w:val="24"/>
        </w:rPr>
        <w:t>Fabricación de muebles, colchones y</w:t>
      </w:r>
      <w:r>
        <w:rPr>
          <w:spacing w:val="-8"/>
          <w:sz w:val="24"/>
        </w:rPr>
        <w:t> </w:t>
      </w:r>
      <w:r>
        <w:rPr>
          <w:sz w:val="24"/>
        </w:rPr>
        <w:t>persianas</w:t>
      </w:r>
    </w:p>
    <w:p>
      <w:pPr>
        <w:pStyle w:val="BodyText"/>
        <w:spacing w:line="343" w:lineRule="auto" w:before="120"/>
        <w:ind w:left="102" w:right="2980"/>
      </w:pPr>
      <w:r>
        <w:rPr/>
        <w:t>3371 Fabricación de muebles, excepto de oficina y estantería 3372 Fabricación de muebles de oficina y estantería</w:t>
      </w:r>
    </w:p>
    <w:p>
      <w:pPr>
        <w:pStyle w:val="BodyText"/>
        <w:spacing w:before="5"/>
        <w:ind w:left="102" w:right="121"/>
      </w:pPr>
      <w:r>
        <w:rPr/>
        <w:t>3379 Fabricación de colchones, persianas y cortineros</w:t>
      </w:r>
    </w:p>
    <w:p>
      <w:pPr>
        <w:pStyle w:val="Heading2"/>
      </w:pPr>
      <w:r>
        <w:rPr/>
        <w:t>Subsector 39 Otras industrias manufactureras</w:t>
      </w:r>
    </w:p>
    <w:p>
      <w:pPr>
        <w:pStyle w:val="BodyText"/>
        <w:spacing w:before="115"/>
        <w:ind w:left="102" w:right="121"/>
      </w:pPr>
      <w:r>
        <w:rPr/>
        <w:t>339 Otras industrias manufactureras</w:t>
      </w:r>
    </w:p>
    <w:p>
      <w:pPr>
        <w:pStyle w:val="BodyText"/>
        <w:spacing w:before="120"/>
        <w:ind w:left="102" w:right="367"/>
      </w:pPr>
      <w:r>
        <w:rPr/>
        <w:t>3391 Fabricación de equipo no electrónico y material desechable de uso médico, dental y para laboratorio, y artículos oftálmicos</w:t>
      </w:r>
    </w:p>
    <w:p>
      <w:pPr>
        <w:pStyle w:val="BodyText"/>
        <w:spacing w:before="120"/>
        <w:ind w:left="102" w:right="121"/>
      </w:pPr>
      <w:r>
        <w:rPr/>
        <w:t>3399 Otras industrias manufactureras</w:t>
      </w:r>
    </w:p>
    <w:p>
      <w:pPr>
        <w:spacing w:after="0"/>
        <w:sectPr>
          <w:pgSz w:w="12240" w:h="15840"/>
          <w:pgMar w:header="0" w:footer="1003" w:top="1360" w:bottom="1200" w:left="1600" w:right="1580"/>
        </w:sectPr>
      </w:pPr>
    </w:p>
    <w:p>
      <w:pPr>
        <w:pStyle w:val="Heading2"/>
        <w:spacing w:before="54"/>
        <w:ind w:left="3165" w:right="4643"/>
        <w:jc w:val="center"/>
        <w:rPr>
          <w:rFonts w:ascii="Arial"/>
        </w:rPr>
      </w:pPr>
      <w:r>
        <w:rPr/>
        <w:pict>
          <v:group style="position:absolute;margin-left:86.730324pt;margin-top:394.829224pt;width:201.55pt;height:172.95pt;mso-position-horizontal-relative:page;mso-position-vertical-relative:page;z-index:5824" coordorigin="1735,7897" coordsize="4031,3459">
            <v:rect style="position:absolute;left:1735;top:7897;width:4030;height:3455" filled="true" fillcolor="#eaf1f3" stroked="false">
              <v:fill type="solid"/>
            </v:rect>
            <v:shape style="position:absolute;left:1738;top:7902;width:4021;height:3449" type="#_x0000_t75" stroked="false">
              <v:imagedata r:id="rId91" o:title=""/>
            </v:shape>
            <v:rect style="position:absolute;left:1738;top:7902;width:4021;height:3449" filled="false" stroked="true" strokeweight=".269212pt" strokecolor="#eaf1f3"/>
            <v:shape style="position:absolute;left:2135;top:8023;width:3523;height:2860" type="#_x0000_t75" stroked="false">
              <v:imagedata r:id="rId92" o:title=""/>
            </v:shape>
            <v:rect style="position:absolute;left:2135;top:8023;width:3523;height:2860" filled="false" stroked="true" strokeweight=".270381pt" strokecolor="#ffffff"/>
            <v:shape style="position:absolute;left:855;top:10657;width:6932;height:4206" coordorigin="855,10657" coordsize="6932,4206" path="m2135,10808l5658,10808m2135,10178l5658,10178m2135,9548l5658,9548m2135,8918l5658,8918m2135,8288l5658,8288e" filled="false" stroked="true" strokeweight=".53178pt" strokecolor="#eaf1f3">
              <v:path arrowok="t"/>
            </v:shape>
            <v:shape style="position:absolute;left:2467;top:8239;width:44;height:52" type="#_x0000_t75" stroked="false">
              <v:imagedata r:id="rId93" o:title=""/>
            </v:shape>
            <v:shape style="position:absolute;left:2467;top:8239;width:44;height:52" coordorigin="2467,8239" coordsize="44,52" path="m2467,8265l2467,8279,2477,8290,2489,8290,2501,8290,2511,8279,2511,8265,2511,8250,2501,8239,2489,8239,2477,8239,2467,8250,2467,8265xe" filled="false" stroked="true" strokeweight=".524765pt" strokecolor="#1a466e">
              <v:path arrowok="t"/>
            </v:shape>
            <v:shape style="position:absolute;left:2665;top:9899;width:41;height:49" type="#_x0000_t75" stroked="false">
              <v:imagedata r:id="rId94" o:title=""/>
            </v:shape>
            <v:shape style="position:absolute;left:2665;top:9899;width:42;height:50" coordorigin="2665,9899" coordsize="42,50" path="m2665,9922l2665,9936,2674,9948,2684,9948,2696,9948,2706,9936,2706,9922,2706,9910,2696,9899,2684,9899,2674,9899,2665,9910,2665,9922xe" filled="false" stroked="true" strokeweight=".524460pt" strokecolor="#1a466e">
              <v:path arrowok="t"/>
            </v:shape>
            <v:shape style="position:absolute;left:2765;top:9798;width:41;height:49" type="#_x0000_t75" stroked="false">
              <v:imagedata r:id="rId95" o:title=""/>
            </v:shape>
            <v:shape style="position:absolute;left:2765;top:9798;width:42;height:49" coordorigin="2765,9798" coordsize="42,49" path="m2765,9821l2765,9835,2775,9847,2784,9847,2796,9847,2806,9835,2806,9821,2806,9810,2796,9798,2784,9798,2775,9798,2765,9810,2765,9821xe" filled="false" stroked="true" strokeweight=".524647pt" strokecolor="#1a466e">
              <v:path arrowok="t"/>
            </v:shape>
            <v:shape style="position:absolute;left:2816;top:9830;width:42;height:49" type="#_x0000_t75" stroked="false">
              <v:imagedata r:id="rId96" o:title=""/>
            </v:shape>
            <v:shape style="position:absolute;left:2816;top:9830;width:42;height:49" coordorigin="2816,9830" coordsize="42,49" path="m2816,9853l2816,9867,2826,9879,2836,9879,2848,9879,2858,9867,2858,9853,2858,9841,2848,9830,2836,9830,2826,9830,2816,9841,2816,9853xe" filled="false" stroked="true" strokeweight=".524751pt" strokecolor="#1a466e">
              <v:path arrowok="t"/>
            </v:shape>
            <v:shape style="position:absolute;left:2818;top:9499;width:42;height:49" type="#_x0000_t75" stroked="false">
              <v:imagedata r:id="rId96" o:title=""/>
            </v:shape>
            <v:shape style="position:absolute;left:2818;top:9499;width:42;height:49" coordorigin="2818,9499" coordsize="42,49" path="m2818,9522l2818,9536,2828,9548,2838,9548,2850,9548,2860,9536,2860,9522,2860,9511,2850,9499,2838,9499,2828,9499,2818,9511,2818,9522xe" filled="false" stroked="true" strokeweight=".524856pt" strokecolor="#1a466e">
              <v:path arrowok="t"/>
            </v:shape>
            <v:shape style="position:absolute;left:2828;top:10037;width:44;height:49" type="#_x0000_t75" stroked="false">
              <v:imagedata r:id="rId96" o:title=""/>
            </v:shape>
            <v:shape style="position:absolute;left:2828;top:10037;width:44;height:49" coordorigin="2828,10037" coordsize="44,49" path="m2828,10060l2828,10074,2838,10086,2850,10086,2862,10086,2872,10074,2872,10060,2872,10048,2862,10037,2850,10037,2838,10037,2828,10048,2828,10060xe" filled="false" stroked="true" strokeweight=".527304pt" strokecolor="#1a466e">
              <v:path arrowok="t"/>
            </v:shape>
            <v:shape style="position:absolute;left:2845;top:9366;width:44;height:49" type="#_x0000_t75" stroked="false">
              <v:imagedata r:id="rId96" o:title=""/>
            </v:shape>
            <v:shape style="position:absolute;left:2845;top:9366;width:44;height:49" coordorigin="2845,9366" coordsize="44,49" path="m2845,9389l2845,9404,2855,9415,2867,9415,2880,9415,2889,9404,2889,9389,2889,9378,2880,9366,2867,9366,2855,9366,2845,9378,2845,9389xe" filled="false" stroked="true" strokeweight=".527098pt" strokecolor="#1a466e">
              <v:path arrowok="t"/>
            </v:shape>
            <v:shape style="position:absolute;left:2848;top:8072;width:44;height:49" type="#_x0000_t75" stroked="false">
              <v:imagedata r:id="rId96" o:title=""/>
            </v:shape>
            <v:shape style="position:absolute;left:2848;top:8072;width:44;height:50" coordorigin="2848,8072" coordsize="44,50" path="m2848,8095l2848,8109,2858,8121,2870,8121,2882,8121,2892,8109,2892,8095,2892,8083,2882,8072,2870,8072,2858,8072,2848,8083,2848,8095xe" filled="false" stroked="true" strokeweight=".526887pt" strokecolor="#1a466e">
              <v:path arrowok="t"/>
            </v:shape>
            <v:shape style="position:absolute;left:2872;top:9769;width:44;height:52" type="#_x0000_t75" stroked="false">
              <v:imagedata r:id="rId95" o:title=""/>
            </v:shape>
            <v:shape style="position:absolute;left:2872;top:9769;width:44;height:52" coordorigin="2872,9769" coordsize="44,52" path="m2872,9795l2872,9810,2882,9821,2894,9821,2906,9821,2916,9810,2916,9795,2916,9781,2906,9769,2894,9769,2882,9769,2872,9781,2872,9795xe" filled="false" stroked="true" strokeweight=".524746pt" strokecolor="#1a466e">
              <v:path arrowok="t"/>
            </v:shape>
            <v:shape style="position:absolute;left:2887;top:9461;width:44;height:52" type="#_x0000_t75" stroked="false">
              <v:imagedata r:id="rId96" o:title=""/>
            </v:shape>
            <v:shape style="position:absolute;left:2887;top:9461;width:44;height:52" coordorigin="2887,9461" coordsize="44,52" path="m2887,9488l2887,9502,2897,9513,2909,9513,2921,9513,2931,9502,2931,9488,2931,9473,2921,9461,2909,9461,2897,9461,2887,9473,2887,9488xe" filled="false" stroked="true" strokeweight=".524549pt" strokecolor="#1a466e">
              <v:path arrowok="t"/>
            </v:shape>
            <v:shape style="position:absolute;left:2892;top:10192;width:41;height:52" type="#_x0000_t75" stroked="false">
              <v:imagedata r:id="rId96" o:title=""/>
            </v:shape>
            <v:shape style="position:absolute;left:2892;top:10192;width:42;height:52" coordorigin="2892,10192" coordsize="42,52" path="m2892,10218l2892,10233,2901,10244,2911,10244,2923,10244,2933,10233,2933,10218,2933,10204,2923,10192,2911,10192,2901,10192,2892,10204,2892,10218xe" filled="false" stroked="true" strokeweight=".522279pt" strokecolor="#1a466e">
              <v:path arrowok="t"/>
            </v:shape>
            <v:shape style="position:absolute;left:2894;top:9781;width:41;height:52" type="#_x0000_t75" stroked="false">
              <v:imagedata r:id="rId95" o:title=""/>
            </v:shape>
            <v:shape style="position:absolute;left:2894;top:9781;width:42;height:52" coordorigin="2894,9781" coordsize="42,52" path="m2894,9807l2894,9821,2904,9833,2914,9833,2926,9833,2936,9821,2936,9807,2936,9792,2926,9781,2914,9781,2904,9781,2894,9792,2894,9807xe" filled="false" stroked="true" strokeweight=".522337pt" strokecolor="#1a466e">
              <v:path arrowok="t"/>
            </v:shape>
            <v:shape style="position:absolute;left:2904;top:9677;width:41;height:52" type="#_x0000_t75" stroked="false">
              <v:imagedata r:id="rId97" o:title=""/>
            </v:shape>
            <v:shape style="position:absolute;left:2904;top:9677;width:42;height:52" coordorigin="2904,9677" coordsize="42,52" path="m2904,9703l2904,9718,2914,9729,2923,9729,2936,9729,2945,9718,2945,9703,2945,9689,2936,9677,2923,9677,2914,9677,2904,9689,2904,9703xe" filled="false" stroked="true" strokeweight=".522049pt" strokecolor="#1a466e">
              <v:path arrowok="t"/>
            </v:shape>
            <v:shape style="position:absolute;left:2904;top:9542;width:41;height:52" type="#_x0000_t75" stroked="false">
              <v:imagedata r:id="rId95" o:title=""/>
            </v:shape>
            <v:shape style="position:absolute;left:2904;top:9542;width:42;height:52" coordorigin="2904,9542" coordsize="42,52" path="m2904,9568l2904,9582,2914,9594,2923,9594,2936,9594,2945,9582,2945,9568,2945,9554,2936,9542,2923,9542,2914,9542,2904,9554,2904,9568xe" filled="false" stroked="true" strokeweight=".522241pt" strokecolor="#1a466e">
              <v:path arrowok="t"/>
            </v:shape>
            <v:shape style="position:absolute;left:2952;top:9461;width:41;height:52" type="#_x0000_t75" stroked="false">
              <v:imagedata r:id="rId96" o:title=""/>
            </v:shape>
            <v:shape style="position:absolute;left:2952;top:9461;width:42;height:52" coordorigin="2952,9461" coordsize="42,52" path="m2952,9488l2952,9502,2962,9513,2972,9513,2984,9513,2994,9502,2994,9488,2994,9473,2984,9461,2972,9461,2962,9461,2952,9473,2952,9488xe" filled="false" stroked="true" strokeweight=".522145pt" strokecolor="#1a466e">
              <v:path arrowok="t"/>
            </v:shape>
            <v:shape style="position:absolute;left:2960;top:9485;width:44;height:49" type="#_x0000_t75" stroked="false">
              <v:imagedata r:id="rId98" o:title=""/>
            </v:shape>
            <v:shape style="position:absolute;left:2960;top:9485;width:44;height:49" coordorigin="2960,9485" coordsize="44,49" path="m2960,9508l2960,9522,2970,9533,2982,9533,2994,9533,3004,9522,3004,9508,3004,9496,2994,9485,2982,9485,2970,9485,2960,9496,2960,9508xe" filled="false" stroked="true" strokeweight=".527204pt" strokecolor="#1a466e">
              <v:path arrowok="t"/>
            </v:shape>
            <v:shape style="position:absolute;left:2967;top:9482;width:44;height:49" type="#_x0000_t75" stroked="false">
              <v:imagedata r:id="rId99" o:title=""/>
            </v:shape>
            <v:shape style="position:absolute;left:2967;top:9482;width:44;height:49" coordorigin="2967,9482" coordsize="44,49" path="m2967,9505l2967,9519,2977,9531,2989,9531,3001,9531,3011,9519,3011,9505,3011,9493,3001,9482,2989,9482,2977,9482,2967,9493,2967,9505xe" filled="false" stroked="true" strokeweight=".527204pt" strokecolor="#1a466e">
              <v:path arrowok="t"/>
            </v:shape>
            <v:shape style="position:absolute;left:2967;top:9447;width:44;height:52" type="#_x0000_t75" stroked="false">
              <v:imagedata r:id="rId99" o:title=""/>
            </v:shape>
            <v:shape style="position:absolute;left:2967;top:9447;width:44;height:52" coordorigin="2967,9447" coordsize="44,52" path="m2967,9473l2967,9488,2977,9499,2989,9499,3001,9499,3011,9488,3011,9473,3011,9459,3001,9447,2989,9447,2977,9447,2967,9459,2967,9473xe" filled="false" stroked="true" strokeweight=".524451pt" strokecolor="#1a466e">
              <v:path arrowok="t"/>
            </v:shape>
            <v:shape style="position:absolute;left:2967;top:9654;width:44;height:52" type="#_x0000_t75" stroked="false">
              <v:imagedata r:id="rId100" o:title=""/>
            </v:shape>
            <v:shape style="position:absolute;left:2967;top:9654;width:44;height:52" coordorigin="2967,9654" coordsize="44,52" path="m2967,9680l2967,9695,2977,9706,2989,9706,3001,9706,3011,9695,3011,9680,3011,9666,3001,9654,2989,9654,2977,9654,2967,9666,2967,9680xe" filled="false" stroked="true" strokeweight=".524451pt" strokecolor="#1a466e">
              <v:path arrowok="t"/>
            </v:shape>
            <v:shape style="position:absolute;left:2967;top:9482;width:44;height:49" type="#_x0000_t75" stroked="false">
              <v:imagedata r:id="rId99" o:title=""/>
            </v:shape>
            <v:shape style="position:absolute;left:2967;top:9482;width:44;height:49" coordorigin="2967,9482" coordsize="44,49" path="m2967,9505l2967,9519,2977,9531,2989,9531,3001,9531,3011,9519,3011,9505,3011,9493,3001,9482,2989,9482,2977,9482,2967,9493,2967,9505xe" filled="false" stroked="true" strokeweight=".527204pt" strokecolor="#1a466e">
              <v:path arrowok="t"/>
            </v:shape>
            <v:shape style="position:absolute;left:2977;top:9654;width:44;height:52" type="#_x0000_t75" stroked="false">
              <v:imagedata r:id="rId101" o:title=""/>
            </v:shape>
            <v:shape style="position:absolute;left:2977;top:9654;width:44;height:52" coordorigin="2977,9654" coordsize="44,52" path="m2977,9680l2977,9695,2987,9706,2999,9706,3011,9706,3021,9695,3021,9680,3021,9666,3011,9654,2999,9654,2987,9654,2977,9666,2977,9680xe" filled="false" stroked="true" strokeweight=".524451pt" strokecolor="#1a466e">
              <v:path arrowok="t"/>
            </v:shape>
            <v:shape style="position:absolute;left:2977;top:9479;width:44;height:49" type="#_x0000_t75" stroked="false">
              <v:imagedata r:id="rId102" o:title=""/>
            </v:shape>
            <v:shape style="position:absolute;left:2977;top:9479;width:44;height:49" coordorigin="2977,9479" coordsize="44,49" path="m2977,9502l2977,9516,2987,9528,2999,9528,3011,9528,3021,9516,3021,9502,3021,9490,3011,9479,2999,9479,2987,9479,2977,9490,2977,9502xe" filled="false" stroked="true" strokeweight=".527204pt" strokecolor="#1a466e">
              <v:path arrowok="t"/>
            </v:shape>
            <v:shape style="position:absolute;left:2977;top:9344;width:44;height:52" type="#_x0000_t75" stroked="false">
              <v:imagedata r:id="rId103" o:title=""/>
            </v:shape>
            <v:shape style="position:absolute;left:2977;top:9344;width:44;height:52" coordorigin="2977,9344" coordsize="44,52" path="m2977,9369l2977,9384,2987,9395,2999,9395,3011,9395,3021,9384,3021,9369,3021,9355,3011,9344,2999,9344,2987,9344,2977,9355,2977,9369xe" filled="false" stroked="true" strokeweight=".524746pt" strokecolor="#1a466e">
              <v:path arrowok="t"/>
            </v:shape>
            <v:shape style="position:absolute;left:2979;top:9637;width:44;height:52" type="#_x0000_t75" stroked="false">
              <v:imagedata r:id="rId104" o:title=""/>
            </v:shape>
            <v:shape style="position:absolute;left:2979;top:9637;width:44;height:52" coordorigin="2979,9637" coordsize="44,52" path="m2979,9663l2979,9677,2989,9689,3001,9689,3013,9689,3023,9677,3023,9663,3023,9648,3013,9637,3001,9637,2989,9637,2979,9648,2979,9663xe" filled="false" stroked="true" strokeweight=".524647pt" strokecolor="#1a466e">
              <v:path arrowok="t"/>
            </v:shape>
            <v:shape style="position:absolute;left:2987;top:9614;width:44;height:49" type="#_x0000_t75" stroked="false">
              <v:imagedata r:id="rId105" o:title=""/>
            </v:shape>
            <v:shape style="position:absolute;left:2987;top:9614;width:44;height:49" coordorigin="2987,9614" coordsize="44,49" path="m2987,9637l2987,9651,2996,9663,3009,9663,3021,9663,3031,9651,3031,9637,3031,9625,3021,9614,3009,9614,2996,9614,2987,9625,2987,9637xe" filled="false" stroked="true" strokeweight=".527204pt" strokecolor="#1a466e">
              <v:path arrowok="t"/>
            </v:shape>
            <v:shape style="position:absolute;left:2989;top:9548;width:44;height:52" type="#_x0000_t75" stroked="false">
              <v:imagedata r:id="rId106" o:title=""/>
            </v:shape>
            <v:shape style="position:absolute;left:2989;top:9548;width:44;height:52" coordorigin="2989,9548" coordsize="44,52" path="m2989,9574l2989,9588,2999,9600,3011,9600,3023,9600,3033,9588,3033,9574,3033,9559,3023,9548,3011,9548,2999,9548,2989,9559,2989,9574xe" filled="false" stroked="true" strokeweight=".524647pt" strokecolor="#1a466e">
              <v:path arrowok="t"/>
            </v:shape>
            <v:shape style="position:absolute;left:2996;top:9677;width:44;height:52" type="#_x0000_t75" stroked="false">
              <v:imagedata r:id="rId107" o:title=""/>
            </v:shape>
            <v:shape style="position:absolute;left:2996;top:9677;width:44;height:52" coordorigin="2996,9677" coordsize="44,52" path="m2996,9703l2996,9718,3006,9729,3018,9729,3031,9729,3040,9718,3040,9703,3040,9689,3031,9677,3018,9677,3006,9677,2996,9689,2996,9703xe" filled="false" stroked="true" strokeweight=".524451pt" strokecolor="#1a466e">
              <v:path arrowok="t"/>
            </v:shape>
            <v:shape style="position:absolute;left:2996;top:10097;width:44;height:52" type="#_x0000_t75" stroked="false">
              <v:imagedata r:id="rId108" o:title=""/>
            </v:shape>
            <v:shape style="position:absolute;left:2996;top:10097;width:44;height:52" coordorigin="2996,10097" coordsize="44,52" path="m2996,10123l2996,10137,3006,10149,3018,10149,3031,10149,3040,10137,3040,10123,3040,10109,3031,10097,3018,10097,3006,10097,2996,10109,2996,10123xe" filled="false" stroked="true" strokeweight=".524451pt" strokecolor="#1a466e">
              <v:path arrowok="t"/>
            </v:shape>
            <v:shape style="position:absolute;left:3006;top:9533;width:44;height:52" type="#_x0000_t75" stroked="false">
              <v:imagedata r:id="rId109" o:title=""/>
            </v:shape>
            <v:shape style="position:absolute;left:3006;top:9533;width:44;height:52" coordorigin="3006,9533" coordsize="44,52" path="m3006,9559l3006,9574,3016,9585,3028,9585,3040,9585,3050,9574,3050,9559,3050,9545,3040,9533,3028,9533,3016,9533,3006,9545,3006,9559xe" filled="false" stroked="true" strokeweight=".524647pt" strokecolor="#1a466e">
              <v:path arrowok="t"/>
            </v:shape>
            <v:shape style="position:absolute;left:3009;top:9375;width:44;height:49" type="#_x0000_t75" stroked="false">
              <v:imagedata r:id="rId110" o:title=""/>
            </v:shape>
            <v:shape style="position:absolute;left:3009;top:9375;width:44;height:49" coordorigin="3009,9375" coordsize="44,49" path="m3009,9398l3009,9413,3018,9424,3031,9424,3043,9424,3053,9413,3053,9398,3053,9387,3043,9375,3031,9375,3018,9375,3009,9387,3009,9398xe" filled="false" stroked="true" strokeweight=".527098pt" strokecolor="#1a466e">
              <v:path arrowok="t"/>
            </v:shape>
            <v:shape style="position:absolute;left:3009;top:9030;width:44;height:52" type="#_x0000_t75" stroked="false">
              <v:imagedata r:id="rId96" o:title=""/>
            </v:shape>
            <v:shape style="position:absolute;left:3009;top:9030;width:44;height:52" coordorigin="3009,9030" coordsize="44,52" path="m3009,9056l3009,9070,3018,9082,3031,9082,3043,9082,3053,9070,3053,9056,3053,9042,3043,9030,3031,9030,3018,9030,3009,9042,3009,9056xe" filled="false" stroked="true" strokeweight=".524746pt" strokecolor="#1a466e">
              <v:path arrowok="t"/>
            </v:shape>
            <v:shape style="position:absolute;left:3016;top:9418;width:41;height:52" type="#_x0000_t75" stroked="false">
              <v:imagedata r:id="rId111" o:title=""/>
            </v:shape>
            <v:shape style="position:absolute;left:3016;top:9418;width:42;height:52" coordorigin="3016,9418" coordsize="42,52" path="m3016,9444l3016,9459,3026,9470,3035,9470,3048,9470,3057,9459,3057,9444,3057,9430,3048,9418,3035,9418,3026,9418,3016,9430,3016,9444xe" filled="false" stroked="true" strokeweight=".522049pt" strokecolor="#1a466e">
              <v:path arrowok="t"/>
            </v:shape>
            <v:shape style="position:absolute;left:3018;top:9683;width:41;height:49" type="#_x0000_t75" stroked="false">
              <v:imagedata r:id="rId96" o:title=""/>
            </v:shape>
            <v:shape style="position:absolute;left:3018;top:9683;width:42;height:50" coordorigin="3018,9683" coordsize="42,50" path="m3018,9706l3018,9720,3028,9732,3038,9732,3050,9732,3060,9720,3060,9706,3060,9695,3050,9683,3038,9683,3028,9683,3018,9695,3018,9706xe" filled="false" stroked="true" strokeweight=".524439pt" strokecolor="#1a466e">
              <v:path arrowok="t"/>
            </v:shape>
            <v:shape style="position:absolute;left:3018;top:9810;width:41;height:49" type="#_x0000_t75" stroked="false">
              <v:imagedata r:id="rId96" o:title=""/>
            </v:shape>
            <v:shape style="position:absolute;left:3018;top:9810;width:42;height:49" coordorigin="3018,9810" coordsize="42,49" path="m3018,9833l3018,9847,3028,9858,3038,9858,3050,9858,3060,9847,3060,9833,3060,9821,3050,9810,3038,9810,3028,9810,3018,9821,3018,9833xe" filled="false" stroked="true" strokeweight=".524647pt" strokecolor="#1a466e">
              <v:path arrowok="t"/>
            </v:shape>
            <v:shape style="position:absolute;left:3021;top:9876;width:41;height:52" type="#_x0000_t75" stroked="false">
              <v:imagedata r:id="rId96" o:title=""/>
            </v:shape>
            <v:shape style="position:absolute;left:3021;top:9876;width:42;height:52" coordorigin="3021,9876" coordsize="42,52" path="m3021,9902l3021,9916,3031,9928,3040,9928,3053,9928,3062,9916,3062,9902,3062,9887,3053,9876,3040,9876,3031,9876,3021,9887,3021,9902xe" filled="false" stroked="true" strokeweight=".522049pt" strokecolor="#1a466e">
              <v:path arrowok="t"/>
            </v:shape>
            <v:shape style="position:absolute;left:3023;top:9723;width:41;height:49" type="#_x0000_t75" stroked="false">
              <v:imagedata r:id="rId96" o:title=""/>
            </v:shape>
            <v:shape style="position:absolute;left:3023;top:9723;width:42;height:49" coordorigin="3023,9723" coordsize="42,49" path="m3023,9746l3023,9761,3033,9772,3043,9772,3055,9772,3065,9761,3065,9746,3065,9735,3055,9723,3043,9723,3033,9723,3023,9735,3023,9746xe" filled="false" stroked="true" strokeweight=".524647pt" strokecolor="#1a466e">
              <v:path arrowok="t"/>
            </v:shape>
            <v:shape style="position:absolute;left:3026;top:9485;width:41;height:49" type="#_x0000_t75" stroked="false">
              <v:imagedata r:id="rId96" o:title=""/>
            </v:shape>
            <v:shape style="position:absolute;left:3026;top:9485;width:42;height:49" coordorigin="3026,9485" coordsize="42,49" path="m3026,9508l3026,9522,3035,9533,3045,9533,3057,9533,3067,9522,3067,9508,3067,9496,3057,9485,3045,9485,3035,9485,3026,9496,3026,9508xe" filled="false" stroked="true" strokeweight=".524751pt" strokecolor="#1a466e">
              <v:path arrowok="t"/>
            </v:shape>
            <v:shape style="position:absolute;left:3031;top:9539;width:41;height:52" type="#_x0000_t75" stroked="false">
              <v:imagedata r:id="rId96" o:title=""/>
            </v:shape>
            <v:shape style="position:absolute;left:3031;top:9539;width:42;height:52" coordorigin="3031,9539" coordsize="42,52" path="m3031,9565l3031,9579,3040,9591,3050,9591,3062,9591,3072,9579,3072,9565,3072,9551,3062,9539,3050,9539,3040,9539,3031,9551,3031,9565xe" filled="false" stroked="true" strokeweight=".522241pt" strokecolor="#1a466e">
              <v:path arrowok="t"/>
            </v:shape>
            <v:shape style="position:absolute;left:3035;top:9410;width:41;height:49" type="#_x0000_t75" stroked="false">
              <v:imagedata r:id="rId112" o:title=""/>
            </v:shape>
            <v:shape style="position:absolute;left:3035;top:9410;width:42;height:49" coordorigin="3035,9410" coordsize="42,49" path="m3035,9433l3035,9447,3045,9459,3055,9459,3067,9459,3077,9447,3077,9433,3077,9421,3067,9410,3055,9410,3045,9410,3035,9421,3035,9433xe" filled="false" stroked="true" strokeweight=".524647pt" strokecolor="#1a466e">
              <v:path arrowok="t"/>
            </v:shape>
            <v:shape style="position:absolute;left:3035;top:9355;width:41;height:52" type="#_x0000_t75" stroked="false">
              <v:imagedata r:id="rId109" o:title=""/>
            </v:shape>
            <v:shape style="position:absolute;left:3035;top:9355;width:42;height:52" coordorigin="3035,9355" coordsize="42,52" path="m3035,9381l3035,9395,3045,9407,3055,9407,3067,9407,3077,9395,3077,9381,3077,9366,3067,9355,3055,9355,3045,9355,3035,9366,3035,9381xe" filled="false" stroked="true" strokeweight=".522241pt" strokecolor="#1a466e">
              <v:path arrowok="t"/>
            </v:shape>
            <v:shape style="position:absolute;left:3040;top:9594;width:41;height:49" type="#_x0000_t75" stroked="false">
              <v:imagedata r:id="rId96" o:title=""/>
            </v:shape>
            <v:shape style="position:absolute;left:3040;top:9594;width:42;height:49" coordorigin="3040,9594" coordsize="42,49" path="m3040,9617l3040,9631,3050,9643,3060,9643,3072,9643,3082,9631,3082,9617,3082,9605,3072,9594,3060,9594,3050,9594,3040,9605,3040,9617xe" filled="false" stroked="true" strokeweight=".524751pt" strokecolor="#1a466e">
              <v:path arrowok="t"/>
            </v:shape>
            <v:shape style="position:absolute;left:3043;top:9004;width:41;height:52" type="#_x0000_t75" stroked="false">
              <v:imagedata r:id="rId109" o:title=""/>
            </v:shape>
            <v:shape style="position:absolute;left:3043;top:9004;width:42;height:52" coordorigin="3043,9004" coordsize="42,52" path="m3043,9030l3043,9044,3053,9056,3062,9056,3074,9056,3084,9044,3084,9030,3084,9015,3074,9004,3062,9004,3053,9004,3043,9015,3043,9030xe" filled="false" stroked="true" strokeweight=".522049pt" strokecolor="#1a466e">
              <v:path arrowok="t"/>
            </v:shape>
            <v:shape style="position:absolute;left:3045;top:9364;width:41;height:49" type="#_x0000_t75" stroked="false">
              <v:imagedata r:id="rId96" o:title=""/>
            </v:shape>
            <v:shape style="position:absolute;left:3045;top:9364;width:42;height:49" coordorigin="3045,9364" coordsize="42,49" path="m3045,9387l3045,9401,3055,9413,3065,9413,3077,9413,3087,9401,3087,9387,3087,9375,3077,9364,3065,9364,3055,9364,3045,9375,3045,9387xe" filled="false" stroked="true" strokeweight=".524647pt" strokecolor="#1a466e">
              <v:path arrowok="t"/>
            </v:shape>
            <v:shape style="position:absolute;left:3045;top:9542;width:41;height:52" type="#_x0000_t75" stroked="false">
              <v:imagedata r:id="rId96" o:title=""/>
            </v:shape>
            <v:shape style="position:absolute;left:3045;top:9542;width:42;height:52" coordorigin="3045,9542" coordsize="42,52" path="m3045,9568l3045,9582,3055,9594,3065,9594,3077,9594,3087,9582,3087,9568,3087,9554,3077,9542,3065,9542,3055,9542,3045,9554,3045,9568xe" filled="false" stroked="true" strokeweight=".522241pt" strokecolor="#1a466e">
              <v:path arrowok="t"/>
            </v:shape>
            <v:shape style="position:absolute;left:3053;top:9197;width:41;height:52" type="#_x0000_t75" stroked="false">
              <v:imagedata r:id="rId96" o:title=""/>
            </v:shape>
            <v:shape style="position:absolute;left:3053;top:9197;width:42;height:52" coordorigin="3053,9197" coordsize="42,52" path="m3053,9223l3053,9237,3062,9249,3072,9249,3084,9249,3094,9237,3094,9223,3094,9208,3084,9197,3072,9197,3062,9197,3053,9208,3053,9223xe" filled="false" stroked="true" strokeweight=".522049pt" strokecolor="#1a466e">
              <v:path arrowok="t"/>
            </v:shape>
            <v:shape style="position:absolute;left:3055;top:9513;width:41;height:49" type="#_x0000_t75" stroked="false">
              <v:imagedata r:id="rId95" o:title=""/>
            </v:shape>
            <v:shape style="position:absolute;left:3055;top:9513;width:42;height:49" coordorigin="3055,9513" coordsize="42,49" path="m3055,9536l3055,9551,3065,9562,3074,9562,3087,9562,3096,9551,3096,9536,3096,9525,3087,9513,3074,9513,3065,9513,3055,9525,3055,9536xe" filled="false" stroked="true" strokeweight=".524647pt" strokecolor="#1a466e">
              <v:path arrowok="t"/>
            </v:shape>
            <v:shape style="position:absolute;left:3065;top:9738;width:41;height:52" type="#_x0000_t75" stroked="false">
              <v:imagedata r:id="rId95" o:title=""/>
            </v:shape>
            <v:shape style="position:absolute;left:3065;top:9738;width:42;height:52" coordorigin="3065,9738" coordsize="42,52" path="m3065,9764l3065,9778,3074,9790,3084,9790,3096,9790,3106,9778,3106,9764,3106,9749,3096,9738,3084,9738,3074,9738,3065,9749,3065,9764xe" filled="false" stroked="true" strokeweight=".522241pt" strokecolor="#1a466e">
              <v:path arrowok="t"/>
            </v:shape>
            <v:shape style="position:absolute;left:3070;top:9485;width:41;height:49" type="#_x0000_t75" stroked="false">
              <v:imagedata r:id="rId96" o:title=""/>
            </v:shape>
            <v:shape style="position:absolute;left:3070;top:9485;width:42;height:49" coordorigin="3070,9485" coordsize="42,49" path="m3070,9508l3070,9522,3079,9533,3089,9533,3101,9533,3111,9522,3111,9508,3111,9496,3101,9485,3089,9485,3079,9485,3070,9496,3070,9508xe" filled="false" stroked="true" strokeweight=".524751pt" strokecolor="#1a466e">
              <v:path arrowok="t"/>
            </v:shape>
            <v:shape style="position:absolute;left:3070;top:9485;width:41;height:49" type="#_x0000_t75" stroked="false">
              <v:imagedata r:id="rId96" o:title=""/>
            </v:shape>
            <v:shape style="position:absolute;left:3070;top:9485;width:42;height:49" coordorigin="3070,9485" coordsize="42,49" path="m3070,9508l3070,9522,3079,9533,3089,9533,3101,9533,3111,9522,3111,9508,3111,9496,3101,9485,3089,9485,3079,9485,3070,9496,3070,9508xe" filled="false" stroked="true" strokeweight=".524751pt" strokecolor="#1a466e">
              <v:path arrowok="t"/>
            </v:shape>
            <v:shape style="position:absolute;left:3077;top:9697;width:41;height:49" type="#_x0000_t75" stroked="false">
              <v:imagedata r:id="rId96" o:title=""/>
            </v:shape>
            <v:shape style="position:absolute;left:3077;top:9697;width:42;height:49" coordorigin="3077,9697" coordsize="42,49" path="m3077,9720l3077,9735,3087,9746,3096,9746,3109,9746,3118,9735,3118,9720,3118,9709,3109,9697,3096,9697,3087,9697,3077,9709,3077,9720xe" filled="false" stroked="true" strokeweight=".524647pt" strokecolor="#1a466e">
              <v:path arrowok="t"/>
            </v:shape>
            <v:shape style="position:absolute;left:3084;top:9605;width:44;height:49" type="#_x0000_t75" stroked="false">
              <v:imagedata r:id="rId113" o:title=""/>
            </v:shape>
            <v:shape style="position:absolute;left:3084;top:9605;width:44;height:49" coordorigin="3084,9605" coordsize="44,49" path="m3084,9628l3084,9643,3094,9654,3106,9654,3118,9654,3128,9643,3128,9628,3128,9617,3118,9605,3106,9605,3094,9605,3084,9617,3084,9628xe" filled="false" stroked="true" strokeweight=".527204pt" strokecolor="#1a466e">
              <v:path arrowok="t"/>
            </v:shape>
            <v:shape style="position:absolute;left:3092;top:9574;width:44;height:52" type="#_x0000_t75" stroked="false">
              <v:imagedata r:id="rId114" o:title=""/>
            </v:shape>
            <v:shape style="position:absolute;left:3092;top:9574;width:44;height:52" coordorigin="3092,9574" coordsize="44,52" path="m3092,9600l3092,9614,3101,9625,3113,9625,3126,9625,3135,9614,3135,9600,3135,9585,3126,9574,3113,9574,3101,9574,3092,9585,3092,9600xe" filled="false" stroked="true" strokeweight=".524647pt" strokecolor="#1a466e">
              <v:path arrowok="t"/>
            </v:shape>
            <v:shape style="position:absolute;left:3094;top:9191;width:44;height:49" type="#_x0000_t75" stroked="false">
              <v:imagedata r:id="rId115" o:title=""/>
            </v:shape>
            <v:shape style="position:absolute;left:3094;top:9191;width:44;height:49" coordorigin="3094,9191" coordsize="44,49" path="m3094,9214l3094,9228,3104,9240,3116,9240,3128,9240,3138,9228,3138,9214,3138,9202,3128,9191,3116,9191,3104,9191,3094,9202,3094,9214xe" filled="false" stroked="true" strokeweight=".527098pt" strokecolor="#1a466e">
              <v:path arrowok="t"/>
            </v:shape>
            <v:shape style="position:absolute;left:3096;top:9424;width:44;height:52" type="#_x0000_t75" stroked="false">
              <v:imagedata r:id="rId116" o:title=""/>
            </v:shape>
            <v:shape style="position:absolute;left:3096;top:9424;width:44;height:52" coordorigin="3096,9424" coordsize="44,52" path="m3096,9450l3096,9464,3106,9476,3118,9476,3131,9476,3140,9464,3140,9450,3140,9436,3131,9424,3118,9424,3106,9424,3096,9436,3096,9450xe" filled="false" stroked="true" strokeweight=".524451pt" strokecolor="#1a466e">
              <v:path arrowok="t"/>
            </v:shape>
            <v:shape style="position:absolute;left:3099;top:9252;width:44;height:49" type="#_x0000_t75" stroked="false">
              <v:imagedata r:id="rId96" o:title=""/>
            </v:shape>
            <v:shape style="position:absolute;left:3099;top:9252;width:44;height:49" coordorigin="3099,9252" coordsize="44,49" path="m3099,9275l3099,9289,3109,9300,3121,9300,3133,9300,3143,9289,3143,9275,3143,9263,3133,9252,3121,9252,3109,9252,3099,9263,3099,9275xe" filled="false" stroked="true" strokeweight=".527098pt" strokecolor="#1a466e">
              <v:path arrowok="t"/>
            </v:shape>
            <v:shape style="position:absolute;left:3106;top:9640;width:44;height:52" type="#_x0000_t75" stroked="false">
              <v:imagedata r:id="rId96" o:title=""/>
            </v:shape>
            <v:shape style="position:absolute;left:3106;top:9640;width:44;height:52" coordorigin="3106,9640" coordsize="44,52" path="m3106,9666l3106,9680,3116,9691,3128,9691,3140,9691,3150,9680,3150,9666,3150,9651,3140,9640,3128,9640,3116,9640,3106,9651,3106,9666xe" filled="false" stroked="true" strokeweight=".524647pt" strokecolor="#1a466e">
              <v:path arrowok="t"/>
            </v:shape>
            <v:shape style="position:absolute;left:3109;top:10002;width:44;height:52" type="#_x0000_t75" stroked="false">
              <v:imagedata r:id="rId96" o:title=""/>
            </v:shape>
            <v:shape style="position:absolute;left:3109;top:10002;width:44;height:52" coordorigin="3109,10002" coordsize="44,52" path="m3109,10028l3109,10043,3118,10054,3131,10054,3143,10054,3153,10043,3153,10028,3153,10014,3143,10002,3131,10002,3118,10002,3109,10014,3109,10028xe" filled="false" stroked="true" strokeweight=".524647pt" strokecolor="#1a466e">
              <v:path arrowok="t"/>
            </v:shape>
            <v:shape style="position:absolute;left:3140;top:9410;width:42;height:49" type="#_x0000_t75" stroked="false">
              <v:imagedata r:id="rId112" o:title=""/>
            </v:shape>
            <v:shape style="position:absolute;left:3140;top:9410;width:42;height:49" coordorigin="3140,9410" coordsize="42,49" path="m3140,9433l3140,9447,3150,9459,3160,9459,3172,9459,3182,9447,3182,9433,3182,9421,3172,9410,3160,9410,3150,9410,3140,9421,3140,9433xe" filled="false" stroked="true" strokeweight=".524751pt" strokecolor="#1a466e">
              <v:path arrowok="t"/>
            </v:shape>
            <v:shape style="position:absolute;left:3165;top:8895;width:41;height:52" type="#_x0000_t75" stroked="false">
              <v:imagedata r:id="rId117" o:title=""/>
            </v:shape>
            <v:shape style="position:absolute;left:3165;top:8895;width:42;height:52" coordorigin="3165,8895" coordsize="42,52" path="m3165,8921l3165,8935,3175,8946,3184,8946,3197,8946,3206,8935,3206,8921,3206,8906,3197,8895,3184,8895,3175,8895,3165,8906,3165,8921xe" filled="false" stroked="true" strokeweight=".522241pt" strokecolor="#1a466e">
              <v:path arrowok="t"/>
            </v:shape>
            <v:shape style="position:absolute;left:3187;top:9470;width:41;height:49" type="#_x0000_t75" stroked="false">
              <v:imagedata r:id="rId96" o:title=""/>
            </v:shape>
            <v:shape style="position:absolute;left:3187;top:9470;width:42;height:49" coordorigin="3187,9470" coordsize="42,49" path="m3187,9493l3187,9508,3197,9519,3206,9519,3218,9519,3228,9508,3228,9493,3228,9482,3218,9470,3206,9470,3197,9470,3187,9482,3187,9493xe" filled="false" stroked="true" strokeweight=".524751pt" strokecolor="#1a466e">
              <v:path arrowok="t"/>
            </v:shape>
            <v:shape style="position:absolute;left:3189;top:9574;width:41;height:52" type="#_x0000_t75" stroked="false">
              <v:imagedata r:id="rId109" o:title=""/>
            </v:shape>
            <v:shape style="position:absolute;left:3189;top:9574;width:42;height:52" coordorigin="3189,9574" coordsize="42,52" path="m3189,9600l3189,9614,3199,9625,3209,9625,3221,9625,3231,9614,3231,9600,3231,9585,3221,9574,3209,9574,3199,9574,3189,9585,3189,9600xe" filled="false" stroked="true" strokeweight=".522241pt" strokecolor="#1a466e">
              <v:path arrowok="t"/>
            </v:shape>
            <v:shape style="position:absolute;left:3189;top:9358;width:41;height:52" type="#_x0000_t75" stroked="false">
              <v:imagedata r:id="rId96" o:title=""/>
            </v:shape>
            <v:shape style="position:absolute;left:3189;top:9358;width:42;height:52" coordorigin="3189,9358" coordsize="42,52" path="m3189,9384l3189,9398,3199,9410,3209,9410,3221,9410,3231,9398,3231,9384,3231,9369,3221,9358,3209,9358,3199,9358,3189,9369,3189,9384xe" filled="false" stroked="true" strokeweight=".522241pt" strokecolor="#1a466e">
              <v:path arrowok="t"/>
            </v:shape>
            <v:shape style="position:absolute;left:3204;top:9415;width:41;height:52" type="#_x0000_t75" stroked="false">
              <v:imagedata r:id="rId118" o:title=""/>
            </v:shape>
            <v:shape style="position:absolute;left:3204;top:9415;width:42;height:52" coordorigin="3204,9415" coordsize="42,52" path="m3204,9441l3204,9456,3214,9467,3223,9467,3236,9467,3245,9456,3245,9441,3245,9427,3236,9415,3223,9415,3214,9415,3204,9427,3204,9441xe" filled="false" stroked="true" strokeweight=".522337pt" strokecolor="#1a466e">
              <v:path arrowok="t"/>
            </v:shape>
            <v:shape style="position:absolute;left:3209;top:9640;width:44;height:52" type="#_x0000_t75" stroked="false">
              <v:imagedata r:id="rId119" o:title=""/>
            </v:shape>
            <v:shape style="position:absolute;left:3209;top:9640;width:44;height:52" coordorigin="3209,9640" coordsize="44,52" path="m3209,9666l3209,9680,3218,9691,3231,9691,3243,9691,3253,9680,3253,9666,3253,9651,3243,9640,3231,9640,3218,9640,3209,9651,3209,9666xe" filled="false" stroked="true" strokeweight=".524647pt" strokecolor="#1a466e">
              <v:path arrowok="t"/>
            </v:shape>
            <v:shape style="position:absolute;left:3272;top:8745;width:41;height:49" type="#_x0000_t75" stroked="false">
              <v:imagedata r:id="rId110" o:title=""/>
            </v:shape>
            <v:shape style="position:absolute;left:3272;top:8745;width:42;height:50" coordorigin="3272,8745" coordsize="42,50" path="m3272,8768l3272,8782,3282,8794,3292,8794,3304,8794,3314,8782,3314,8768,3314,8757,3304,8745,3292,8745,3282,8745,3272,8757,3272,8768xe" filled="false" stroked="true" strokeweight=".524439pt" strokecolor="#1a466e">
              <v:path arrowok="t"/>
            </v:shape>
            <v:shape style="position:absolute;left:3336;top:10040;width:44;height:49" type="#_x0000_t75" stroked="false">
              <v:imagedata r:id="rId96" o:title=""/>
            </v:shape>
            <v:shape style="position:absolute;left:3336;top:10040;width:44;height:49" coordorigin="3336,10040" coordsize="44,49" path="m3336,10063l3336,10077,3345,10089,3358,10089,3370,10089,3379,10077,3379,10063,3379,10051,3370,10040,3358,10040,3345,10040,3336,10051,3336,10063xe" filled="false" stroked="true" strokeweight=".527204pt" strokecolor="#1a466e">
              <v:path arrowok="t"/>
            </v:shape>
            <v:shape style="position:absolute;left:3475;top:9177;width:44;height:49" type="#_x0000_t75" stroked="false">
              <v:imagedata r:id="rId120" o:title=""/>
            </v:shape>
            <v:shape style="position:absolute;left:3475;top:9177;width:44;height:49" coordorigin="3475,9177" coordsize="44,49" path="m3475,9200l3475,9214,3484,9225,3497,9225,3509,9225,3519,9214,3519,9200,3519,9188,3509,9177,3497,9177,3484,9177,3475,9188,3475,9200xe" filled="false" stroked="true" strokeweight=".527204pt" strokecolor="#1a466e">
              <v:path arrowok="t"/>
            </v:shape>
            <v:shape style="position:absolute;left:3550;top:9148;width:41;height:49" type="#_x0000_t75" stroked="false">
              <v:imagedata r:id="rId121" o:title=""/>
            </v:shape>
            <v:shape style="position:absolute;left:3550;top:9148;width:42;height:49" coordorigin="3550,9148" coordsize="42,49" path="m3550,9171l3550,9185,3560,9197,3570,9197,3582,9197,3592,9185,3592,9171,3592,9159,3582,9148,3570,9148,3560,9148,3550,9159,3550,9171xe" filled="false" stroked="true" strokeweight=".524751pt" strokecolor="#1a466e">
              <v:path arrowok="t"/>
            </v:shape>
            <v:shape style="position:absolute;left:4002;top:9096;width:44;height:52" type="#_x0000_t75" stroked="false">
              <v:imagedata r:id="rId95" o:title=""/>
            </v:shape>
            <v:shape style="position:absolute;left:4002;top:9096;width:44;height:52" coordorigin="4002,9096" coordsize="44,52" path="m4002,9122l4002,9136,4011,9148,4024,9148,4036,9148,4046,9136,4046,9122,4046,9108,4036,9096,4024,9096,4011,9096,4002,9108,4002,9122xe" filled="false" stroked="true" strokeweight=".524647pt" strokecolor="#1a466e">
              <v:path arrowok="t"/>
            </v:shape>
            <v:shape style="position:absolute;left:5482;top:10460;width:44;height:49" type="#_x0000_t75" stroked="false">
              <v:imagedata r:id="rId122" o:title=""/>
            </v:shape>
            <v:shape style="position:absolute;left:5482;top:10460;width:44;height:49" coordorigin="5482,10460" coordsize="44,49" path="m5482,10483l5482,10497,5492,10509,5504,10509,5517,10509,5526,10497,5526,10483,5526,10471,5517,10460,5504,10460,5492,10460,5482,10471,5482,10483xe" filled="false" stroked="true" strokeweight=".527251pt" strokecolor="#1a466e">
              <v:path arrowok="t"/>
            </v:shape>
            <v:shape style="position:absolute;left:773;top:10215;width:7014;height:4855" coordorigin="773,10215" coordsize="7014,4855" path="m2135,10883l2135,8023m2135,10808l2094,10808m2135,10178l2094,10178m2135,9548l2094,9548m2135,8918l2094,8918m2135,8288l2094,8288m2135,10883l5658,10883m2199,10883l2199,10932m3048,10883l3048,10932m3897,10883l3897,10932m4746,10883l4746,10932m5595,10883l5595,10932e" filled="false" stroked="true" strokeweight=".26589pt" strokecolor="#000000">
              <v:path arrowok="t"/>
            </v:shape>
            <v:shape style="position:absolute;left:2096;top:10966;width:206;height:121" type="#_x0000_t202" filled="false" stroked="false">
              <v:textbox inset="0,0,0,0">
                <w:txbxContent>
                  <w:p>
                    <w:pPr>
                      <w:spacing w:line="121" w:lineRule="exact" w:before="0"/>
                      <w:ind w:left="0" w:right="-19" w:firstLine="0"/>
                      <w:jc w:val="left"/>
                      <w:rPr>
                        <w:rFonts w:ascii="Arial"/>
                        <w:sz w:val="12"/>
                      </w:rPr>
                    </w:pPr>
                    <w:r>
                      <w:rPr>
                        <w:rFonts w:ascii="Arial"/>
                        <w:w w:val="85"/>
                        <w:sz w:val="12"/>
                      </w:rPr>
                      <w:t>-100</w:t>
                    </w:r>
                  </w:p>
                </w:txbxContent>
              </v:textbox>
              <w10:wrap type="none"/>
            </v:shape>
            <v:shape style="position:absolute;left:3018;top:10966;width:57;height:121" type="#_x0000_t202" filled="false" stroked="false">
              <v:textbox inset="0,0,0,0">
                <w:txbxContent>
                  <w:p>
                    <w:pPr>
                      <w:spacing w:line="121" w:lineRule="exact" w:before="0"/>
                      <w:ind w:left="0" w:right="0" w:firstLine="0"/>
                      <w:jc w:val="left"/>
                      <w:rPr>
                        <w:rFonts w:ascii="Arial"/>
                        <w:sz w:val="12"/>
                      </w:rPr>
                    </w:pPr>
                    <w:r>
                      <w:rPr>
                        <w:rFonts w:ascii="Arial"/>
                        <w:w w:val="85"/>
                        <w:sz w:val="12"/>
                      </w:rPr>
                      <w:t>0</w:t>
                    </w:r>
                  </w:p>
                </w:txbxContent>
              </v:textbox>
              <w10:wrap type="none"/>
            </v:shape>
            <v:shape style="position:absolute;left:3755;top:10966;width:282;height:239" type="#_x0000_t202" filled="false" stroked="false">
              <v:textbox inset="0,0,0,0">
                <w:txbxContent>
                  <w:p>
                    <w:pPr>
                      <w:spacing w:line="113" w:lineRule="exact" w:before="0"/>
                      <w:ind w:left="55" w:right="-16" w:firstLine="0"/>
                      <w:jc w:val="left"/>
                      <w:rPr>
                        <w:rFonts w:ascii="Arial"/>
                        <w:sz w:val="12"/>
                      </w:rPr>
                    </w:pPr>
                    <w:r>
                      <w:rPr>
                        <w:rFonts w:ascii="Arial"/>
                        <w:w w:val="95"/>
                        <w:sz w:val="12"/>
                      </w:rPr>
                      <w:t>100</w:t>
                    </w:r>
                  </w:p>
                  <w:p>
                    <w:pPr>
                      <w:spacing w:line="125" w:lineRule="exact" w:before="0"/>
                      <w:ind w:left="0" w:right="-16" w:firstLine="0"/>
                      <w:jc w:val="left"/>
                      <w:rPr>
                        <w:rFonts w:ascii="Arial"/>
                        <w:sz w:val="12"/>
                      </w:rPr>
                    </w:pPr>
                    <w:r>
                      <w:rPr>
                        <w:rFonts w:ascii="Arial"/>
                        <w:w w:val="85"/>
                        <w:sz w:val="12"/>
                      </w:rPr>
                      <w:t>va_38</w:t>
                    </w:r>
                  </w:p>
                </w:txbxContent>
              </v:textbox>
              <w10:wrap type="none"/>
            </v:shape>
            <v:shape style="position:absolute;left:4660;top:10966;width:172;height:121" type="#_x0000_t202" filled="false" stroked="false">
              <v:textbox inset="0,0,0,0">
                <w:txbxContent>
                  <w:p>
                    <w:pPr>
                      <w:spacing w:line="121" w:lineRule="exact" w:before="0"/>
                      <w:ind w:left="0" w:right="-19" w:firstLine="0"/>
                      <w:jc w:val="left"/>
                      <w:rPr>
                        <w:rFonts w:ascii="Arial"/>
                        <w:sz w:val="12"/>
                      </w:rPr>
                    </w:pPr>
                    <w:r>
                      <w:rPr>
                        <w:rFonts w:ascii="Arial"/>
                        <w:w w:val="85"/>
                        <w:sz w:val="12"/>
                      </w:rPr>
                      <w:t>200</w:t>
                    </w:r>
                  </w:p>
                </w:txbxContent>
              </v:textbox>
              <w10:wrap type="none"/>
            </v:shape>
            <v:shape style="position:absolute;left:5509;top:10966;width:172;height:121" type="#_x0000_t202" filled="false" stroked="false">
              <v:textbox inset="0,0,0,0">
                <w:txbxContent>
                  <w:p>
                    <w:pPr>
                      <w:spacing w:line="121" w:lineRule="exact" w:before="0"/>
                      <w:ind w:left="0" w:right="-19" w:firstLine="0"/>
                      <w:jc w:val="left"/>
                      <w:rPr>
                        <w:rFonts w:ascii="Arial"/>
                        <w:sz w:val="12"/>
                      </w:rPr>
                    </w:pPr>
                    <w:r>
                      <w:rPr>
                        <w:rFonts w:ascii="Arial"/>
                        <w:w w:val="85"/>
                        <w:sz w:val="12"/>
                      </w:rPr>
                      <w:t>300</w:t>
                    </w:r>
                  </w:p>
                </w:txbxContent>
              </v:textbox>
              <w10:wrap type="none"/>
            </v:shape>
            <w10:wrap type="none"/>
          </v:group>
        </w:pict>
      </w:r>
      <w:r>
        <w:rPr/>
        <w:pict>
          <v:group style="position:absolute;margin-left:298.848297pt;margin-top:394.833466pt;width:191.45pt;height:172.9pt;mso-position-horizontal-relative:page;mso-position-vertical-relative:page;z-index:6016" coordorigin="5977,7897" coordsize="3829,3458">
            <v:rect style="position:absolute;left:5978;top:7897;width:3828;height:3455" filled="true" fillcolor="#eaf1f3" stroked="false">
              <v:fill type="solid"/>
            </v:rect>
            <v:shape style="position:absolute;left:5980;top:7902;width:3818;height:3449" type="#_x0000_t75" stroked="false">
              <v:imagedata r:id="rId123" o:title=""/>
            </v:shape>
            <v:rect style="position:absolute;left:5980;top:7902;width:3818;height:3449" filled="false" stroked="true" strokeweight=".262578pt" strokecolor="#eaf1f3"/>
            <v:shape style="position:absolute;left:6358;top:8023;width:3346;height:2859" type="#_x0000_t75" stroked="false">
              <v:imagedata r:id="rId124" o:title=""/>
            </v:shape>
            <v:rect style="position:absolute;left:6358;top:8023;width:3346;height:2859" filled="false" stroked="true" strokeweight=".264098pt" strokecolor="#ffffff"/>
            <v:shape style="position:absolute;left:855;top:10340;width:6932;height:4341" coordorigin="855,10340" coordsize="6932,4341" path="m6358,10698l9703,10698m6358,10048l9703,10048m6358,9398l9703,9398m6358,8748l9703,8748m6358,8098l9703,8098e" filled="false" stroked="true" strokeweight=".519485pt" strokecolor="#eaf1f3">
              <v:path arrowok="t"/>
            </v:shape>
            <v:shape style="position:absolute;left:6517;top:10742;width:39;height:52" type="#_x0000_t75" stroked="false">
              <v:imagedata r:id="rId96" o:title=""/>
            </v:shape>
            <v:shape style="position:absolute;left:6517;top:10742;width:40;height:52" coordorigin="6517,10742" coordsize="40,52" path="m6517,10767l6517,10782,6527,10793,6536,10793,6548,10793,6557,10782,6557,10767,6557,10753,6548,10742,6536,10742,6527,10742,6517,10753,6517,10767xe" filled="false" stroked="true" strokeweight=".504634pt" strokecolor="#1a466e">
              <v:path arrowok="t"/>
            </v:shape>
            <v:shape style="position:absolute;left:6568;top:10782;width:42;height:49" type="#_x0000_t75" stroked="false">
              <v:imagedata r:id="rId96" o:title=""/>
            </v:shape>
            <v:shape style="position:absolute;left:6568;top:10782;width:42;height:50" coordorigin="6568,10782" coordsize="42,50" path="m6568,10805l6568,10819,6578,10831,6589,10831,6601,10831,6610,10819,6610,10805,6610,10793,6601,10782,6589,10782,6578,10782,6568,10793,6568,10805xe" filled="false" stroked="true" strokeweight=".510432pt" strokecolor="#1a466e">
              <v:path arrowok="t"/>
            </v:shape>
            <v:shape style="position:absolute;left:6786;top:10123;width:42;height:49" type="#_x0000_t75" stroked="false">
              <v:imagedata r:id="rId96" o:title=""/>
            </v:shape>
            <v:shape style="position:absolute;left:6786;top:10123;width:42;height:50" coordorigin="6786,10123" coordsize="42,50" path="m6786,10146l6786,10161,6796,10172,6807,10172,6819,10172,6828,10161,6828,10146,6828,10134,6819,10123,6807,10123,6796,10123,6786,10134,6786,10146xe" filled="false" stroked="true" strokeweight=".510418pt" strokecolor="#1a466e">
              <v:path arrowok="t"/>
            </v:shape>
            <v:shape style="position:absolute;left:7018;top:9119;width:42;height:52" type="#_x0000_t75" stroked="false">
              <v:imagedata r:id="rId96" o:title=""/>
            </v:shape>
            <v:shape style="position:absolute;left:7018;top:9119;width:42;height:52" coordorigin="7018,9119" coordsize="42,52" path="m7018,9145l7018,9159,7027,9171,7039,9171,7051,9171,7060,9159,7060,9145,7060,9131,7051,9119,7039,9119,7027,9119,7018,9131,7018,9145xe" filled="false" stroked="true" strokeweight=".507696pt" strokecolor="#1a466e">
              <v:path arrowok="t"/>
            </v:shape>
            <v:shape style="position:absolute;left:7296;top:10520;width:42;height:52" type="#_x0000_t75" stroked="false">
              <v:imagedata r:id="rId96" o:title=""/>
            </v:shape>
            <v:shape style="position:absolute;left:7296;top:10520;width:42;height:52" coordorigin="7296,10520" coordsize="42,52" path="m7296,10546l7296,10560,7305,10572,7317,10572,7328,10572,7338,10560,7338,10546,7338,10532,7328,10520,7317,10520,7305,10520,7296,10532,7296,10546xe" filled="false" stroked="true" strokeweight=".507758pt" strokecolor="#1a466e">
              <v:path arrowok="t"/>
            </v:shape>
            <v:shape style="position:absolute;left:7321;top:9965;width:39;height:52" type="#_x0000_t75" stroked="false">
              <v:imagedata r:id="rId109" o:title=""/>
            </v:shape>
            <v:shape style="position:absolute;left:7321;top:9965;width:40;height:52" coordorigin="7321,9965" coordsize="40,52" path="m7321,9991l7321,10005,7331,10017,7340,10017,7352,10017,7361,10005,7361,9991,7361,9976,7352,9965,7340,9965,7331,9965,7321,9976,7321,9991xe" filled="false" stroked="true" strokeweight=".504687pt" strokecolor="#1a466e">
              <v:path arrowok="t"/>
            </v:shape>
            <v:shape style="position:absolute;left:7349;top:10402;width:39;height:52" type="#_x0000_t75" stroked="false">
              <v:imagedata r:id="rId125" o:title=""/>
            </v:shape>
            <v:shape style="position:absolute;left:7349;top:10402;width:40;height:52" coordorigin="7349,10402" coordsize="40,52" path="m7349,10428l7349,10442,7359,10454,7368,10454,7379,10454,7389,10442,7389,10428,7389,10414,7379,10402,7368,10402,7359,10402,7349,10414,7349,10428xe" filled="false" stroked="true" strokeweight=".504608pt" strokecolor="#1a466e">
              <v:path arrowok="t"/>
            </v:shape>
            <v:shape style="position:absolute;left:7363;top:10134;width:39;height:49" type="#_x0000_t75" stroked="false">
              <v:imagedata r:id="rId96" o:title=""/>
            </v:shape>
            <v:shape style="position:absolute;left:7363;top:10134;width:40;height:50" coordorigin="7363,10134" coordsize="40,50" path="m7363,10158l7363,10172,7372,10184,7382,10184,7393,10184,7403,10172,7403,10158,7403,10146,7393,10134,7382,10134,7372,10134,7363,10146,7363,10158xe" filled="false" stroked="true" strokeweight=".507312pt" strokecolor="#1a466e">
              <v:path arrowok="t"/>
            </v:shape>
            <v:shape style="position:absolute;left:7375;top:10066;width:42;height:52" type="#_x0000_t75" stroked="false">
              <v:imagedata r:id="rId95" o:title=""/>
            </v:shape>
            <v:shape style="position:absolute;left:7375;top:10066;width:42;height:52" coordorigin="7375,10066" coordsize="42,52" path="m7375,10091l7375,10106,7384,10117,7396,10117,7407,10117,7416,10106,7416,10091,7416,10077,7407,10066,7396,10066,7384,10066,7375,10077,7375,10091xe" filled="false" stroked="true" strokeweight=".507697pt" strokecolor="#1a466e">
              <v:path arrowok="t"/>
            </v:shape>
            <v:shape style="position:absolute;left:7379;top:10158;width:42;height:49" type="#_x0000_t75" stroked="false">
              <v:imagedata r:id="rId112" o:title=""/>
            </v:shape>
            <v:shape style="position:absolute;left:7379;top:10158;width:42;height:49" coordorigin="7379,10158" coordsize="42,49" path="m7379,10181l7379,10195,7389,10207,7400,10207,7412,10207,7421,10195,7421,10181,7421,10169,7412,10158,7400,10158,7389,10158,7379,10169,7379,10181xe" filled="false" stroked="true" strokeweight=".510673pt" strokecolor="#1a466e">
              <v:path arrowok="t"/>
            </v:shape>
            <v:shape style="position:absolute;left:7382;top:10181;width:42;height:52" type="#_x0000_t75" stroked="false">
              <v:imagedata r:id="rId126" o:title=""/>
            </v:shape>
            <v:shape style="position:absolute;left:7382;top:10181;width:42;height:52" coordorigin="7382,10181" coordsize="42,52" path="m7382,10207l7382,10221,7391,10232,7403,10232,7414,10232,7423,10221,7423,10207,7423,10192,7414,10181,7403,10181,7391,10181,7382,10192,7382,10207xe" filled="false" stroked="true" strokeweight=".50761pt" strokecolor="#1a466e">
              <v:path arrowok="t"/>
            </v:shape>
            <v:shape style="position:absolute;left:7396;top:10267;width:42;height:49" type="#_x0000_t75" stroked="false">
              <v:imagedata r:id="rId96" o:title=""/>
            </v:shape>
            <v:shape style="position:absolute;left:7396;top:10267;width:42;height:49" coordorigin="7396,10267" coordsize="42,49" path="m7396,10290l7396,10304,7405,10316,7416,10316,7428,10316,7437,10304,7437,10290,7437,10278,7428,10267,7416,10267,7405,10267,7396,10278,7396,10290xe" filled="false" stroked="true" strokeweight=".510713pt" strokecolor="#1a466e">
              <v:path arrowok="t"/>
            </v:shape>
            <v:shape style="position:absolute;left:7421;top:9827;width:42;height:49" type="#_x0000_t75" stroked="false">
              <v:imagedata r:id="rId96" o:title=""/>
            </v:shape>
            <v:shape style="position:absolute;left:7421;top:9827;width:42;height:49" coordorigin="7421,9827" coordsize="42,49" path="m7421,9850l7421,9864,7430,9876,7442,9876,7454,9876,7463,9864,7463,9850,7463,9838,7454,9827,7442,9827,7430,9827,7421,9838,7421,9850xe" filled="false" stroked="true" strokeweight=".51066pt" strokecolor="#1a466e">
              <v:path arrowok="t"/>
            </v:shape>
            <v:shape style="position:absolute;left:7433;top:10123;width:39;height:49" type="#_x0000_t75" stroked="false">
              <v:imagedata r:id="rId96" o:title=""/>
            </v:shape>
            <v:shape style="position:absolute;left:7433;top:10123;width:40;height:50" coordorigin="7433,10123" coordsize="40,50" path="m7433,10146l7433,10161,7442,10172,7451,10172,7463,10172,7472,10161,7472,10146,7472,10134,7463,10123,7451,10123,7442,10123,7433,10134,7433,10146xe" filled="false" stroked="true" strokeweight=".507312pt" strokecolor="#1a466e">
              <v:path arrowok="t"/>
            </v:shape>
            <v:shape style="position:absolute;left:7474;top:9959;width:39;height:52" type="#_x0000_t75" stroked="false">
              <v:imagedata r:id="rId127" o:title=""/>
            </v:shape>
            <v:shape style="position:absolute;left:7474;top:9959;width:40;height:52" coordorigin="7474,9959" coordsize="40,52" path="m7474,9985l7474,9999,7484,10011,7493,10011,7505,10011,7514,9999,7514,9985,7514,9971,7505,9959,7493,9959,7484,9959,7474,9971,7474,9985xe" filled="false" stroked="true" strokeweight=".50468pt" strokecolor="#1a466e">
              <v:path arrowok="t"/>
            </v:shape>
            <v:shape style="position:absolute;left:7479;top:10066;width:39;height:52" type="#_x0000_t75" stroked="false">
              <v:imagedata r:id="rId128" o:title=""/>
            </v:shape>
            <v:shape style="position:absolute;left:7479;top:10066;width:40;height:52" coordorigin="7479,10066" coordsize="40,52" path="m7479,10091l7479,10106,7488,10117,7498,10117,7509,10117,7518,10106,7518,10091,7518,10077,7509,10066,7498,10066,7488,10066,7479,10077,7479,10091xe" filled="false" stroked="true" strokeweight=".50468pt" strokecolor="#1a466e">
              <v:path arrowok="t"/>
            </v:shape>
            <v:shape style="position:absolute;left:7507;top:9272;width:42;height:49" type="#_x0000_t75" stroked="false">
              <v:imagedata r:id="rId96" o:title=""/>
            </v:shape>
            <v:shape style="position:absolute;left:7507;top:9272;width:42;height:49" coordorigin="7507,9272" coordsize="42,49" path="m7507,9295l7507,9309,7516,9321,7528,9321,7539,9321,7549,9309,7549,9295,7549,9283,7539,9272,7528,9272,7516,9272,7507,9283,7507,9295xe" filled="false" stroked="true" strokeweight=".510786pt" strokecolor="#1a466e">
              <v:path arrowok="t"/>
            </v:shape>
            <v:shape style="position:absolute;left:7511;top:10500;width:42;height:52" type="#_x0000_t75" stroked="false">
              <v:imagedata r:id="rId96" o:title=""/>
            </v:shape>
            <v:shape style="position:absolute;left:7511;top:10500;width:42;height:52" coordorigin="7511,10500" coordsize="42,52" path="m7511,10526l7511,10540,7521,10552,7532,10552,7544,10552,7553,10540,7553,10526,7553,10511,7544,10500,7532,10500,7521,10500,7511,10511,7511,10526xe" filled="false" stroked="true" strokeweight=".507746pt" strokecolor="#1a466e">
              <v:path arrowok="t"/>
            </v:shape>
            <v:shape style="position:absolute;left:7514;top:9246;width:42;height:52" type="#_x0000_t75" stroked="false">
              <v:imagedata r:id="rId95" o:title=""/>
            </v:shape>
            <v:shape style="position:absolute;left:7514;top:9246;width:42;height:52" coordorigin="7514,9246" coordsize="42,52" path="m7514,9272l7514,9286,7523,9298,7535,9298,7546,9298,7556,9286,7556,9272,7556,9257,7546,9246,7535,9246,7523,9246,7514,9257,7514,9272xe" filled="false" stroked="true" strokeweight=".507696pt" strokecolor="#1a466e">
              <v:path arrowok="t"/>
            </v:shape>
            <v:shape style="position:absolute;left:7528;top:10186;width:42;height:52" type="#_x0000_t75" stroked="false">
              <v:imagedata r:id="rId129" o:title=""/>
            </v:shape>
            <v:shape style="position:absolute;left:7528;top:10186;width:42;height:52" coordorigin="7528,10186" coordsize="42,52" path="m7528,10212l7528,10227,7537,10238,7549,10238,7560,10238,7569,10227,7569,10212,7569,10198,7560,10186,7549,10186,7537,10186,7528,10198,7528,10212xe" filled="false" stroked="true" strokeweight=".507746pt" strokecolor="#1a466e">
              <v:path arrowok="t"/>
            </v:shape>
            <v:shape style="position:absolute;left:7546;top:10310;width:42;height:52" type="#_x0000_t75" stroked="false">
              <v:imagedata r:id="rId96" o:title=""/>
            </v:shape>
            <v:shape style="position:absolute;left:7546;top:10310;width:42;height:52" coordorigin="7546,10310" coordsize="42,52" path="m7546,10336l7546,10350,7556,10362,7567,10362,7579,10362,7588,10350,7588,10336,7588,10321,7579,10310,7567,10310,7556,10310,7546,10321,7546,10336xe" filled="false" stroked="true" strokeweight=".507622pt" strokecolor="#1a466e">
              <v:path arrowok="t"/>
            </v:shape>
            <v:shape style="position:absolute;left:7593;top:9997;width:39;height:52" type="#_x0000_t75" stroked="false">
              <v:imagedata r:id="rId96" o:title=""/>
            </v:shape>
            <v:shape style="position:absolute;left:7593;top:9997;width:40;height:52" coordorigin="7593,9997" coordsize="40,52" path="m7593,10022l7593,10037,7602,10048,7611,10048,7623,10048,7632,10037,7632,10022,7632,10008,7623,9997,7611,9997,7602,9997,7593,10008,7593,10022xe" filled="false" stroked="true" strokeweight=".50456pt" strokecolor="#1a466e">
              <v:path arrowok="t"/>
            </v:shape>
            <v:shape style="position:absolute;left:7602;top:10068;width:39;height:52" type="#_x0000_t75" stroked="false">
              <v:imagedata r:id="rId96" o:title=""/>
            </v:shape>
            <v:shape style="position:absolute;left:7602;top:10068;width:40;height:52" coordorigin="7602,10068" coordsize="40,52" path="m7602,10094l7602,10109,7611,10120,7620,10120,7632,10120,7641,10109,7641,10094,7641,10080,7632,10068,7620,10068,7611,10068,7602,10080,7602,10094xe" filled="false" stroked="true" strokeweight=".50468pt" strokecolor="#1a466e">
              <v:path arrowok="t"/>
            </v:shape>
            <v:shape style="position:absolute;left:7627;top:9939;width:42;height:49" type="#_x0000_t75" stroked="false">
              <v:imagedata r:id="rId130" o:title=""/>
            </v:shape>
            <v:shape style="position:absolute;left:7627;top:9939;width:42;height:49" coordorigin="7627,9939" coordsize="42,49" path="m7627,9962l7627,9976,7637,9988,7648,9988,7660,9988,7669,9976,7669,9962,7669,9951,7660,9939,7648,9939,7637,9939,7627,9951,7627,9962xe" filled="false" stroked="true" strokeweight=".510794pt" strokecolor="#1a466e">
              <v:path arrowok="t"/>
            </v:shape>
            <v:shape style="position:absolute;left:7634;top:10434;width:42;height:52" type="#_x0000_t75" stroked="false">
              <v:imagedata r:id="rId131" o:title=""/>
            </v:shape>
            <v:shape style="position:absolute;left:7634;top:10434;width:42;height:52" coordorigin="7634,10434" coordsize="42,52" path="m7634,10460l7634,10474,7644,10486,7655,10486,7667,10486,7676,10474,7676,10460,7676,10445,7667,10434,7655,10434,7644,10434,7634,10445,7634,10460xe" filled="false" stroked="true" strokeweight=".507635pt" strokecolor="#1a466e">
              <v:path arrowok="t"/>
            </v:shape>
            <v:shape style="position:absolute;left:7674;top:10117;width:39;height:49" type="#_x0000_t75" stroked="false">
              <v:imagedata r:id="rId96" o:title=""/>
            </v:shape>
            <v:shape style="position:absolute;left:7674;top:10117;width:40;height:50" coordorigin="7674,10117" coordsize="40,50" path="m7674,10140l7674,10155,7683,10166,7692,10166,7704,10166,7713,10155,7713,10140,7713,10129,7704,10117,7692,10117,7683,10117,7674,10129,7674,10140xe" filled="false" stroked="true" strokeweight=".507312pt" strokecolor="#1a466e">
              <v:path arrowok="t"/>
            </v:shape>
            <v:shape style="position:absolute;left:7685;top:9959;width:39;height:52" type="#_x0000_t75" stroked="false">
              <v:imagedata r:id="rId132" o:title=""/>
            </v:shape>
            <v:shape style="position:absolute;left:7685;top:9959;width:40;height:52" coordorigin="7685,9959" coordsize="40,52" path="m7685,9985l7685,9999,7695,10011,7704,10011,7715,10011,7725,9999,7725,9985,7725,9971,7715,9959,7704,9959,7695,9959,7685,9971,7685,9985xe" filled="false" stroked="true" strokeweight=".50468pt" strokecolor="#1a466e">
              <v:path arrowok="t"/>
            </v:shape>
            <v:shape style="position:absolute;left:7699;top:10086;width:39;height:52" type="#_x0000_t75" stroked="false">
              <v:imagedata r:id="rId96" o:title=""/>
            </v:shape>
            <v:shape style="position:absolute;left:7699;top:10086;width:40;height:52" coordorigin="7699,10086" coordsize="40,52" path="m7699,10111l7699,10126,7708,10137,7718,10137,7729,10137,7739,10126,7739,10111,7739,10097,7729,10086,7718,10086,7708,10086,7699,10097,7699,10111xe" filled="false" stroked="true" strokeweight=".50456pt" strokecolor="#1a466e">
              <v:path arrowok="t"/>
            </v:shape>
            <v:shape style="position:absolute;left:7702;top:10189;width:39;height:52" type="#_x0000_t75" stroked="false">
              <v:imagedata r:id="rId133" o:title=""/>
            </v:shape>
            <v:shape style="position:absolute;left:7702;top:10189;width:40;height:52" coordorigin="7702,10189" coordsize="40,52" path="m7702,10215l7702,10230,7711,10241,7720,10241,7732,10241,7741,10230,7741,10215,7741,10201,7732,10189,7720,10189,7711,10189,7702,10201,7702,10215xe" filled="false" stroked="true" strokeweight=".504608pt" strokecolor="#1a466e">
              <v:path arrowok="t"/>
            </v:shape>
            <v:shape style="position:absolute;left:7704;top:9994;width:39;height:52" type="#_x0000_t75" stroked="false">
              <v:imagedata r:id="rId134" o:title=""/>
            </v:shape>
            <v:shape style="position:absolute;left:7704;top:9994;width:40;height:52" coordorigin="7704,9994" coordsize="40,52" path="m7704,10020l7704,10034,7713,10045,7722,10045,7734,10045,7743,10034,7743,10020,7743,10005,7734,9994,7722,9994,7713,9994,7704,10005,7704,10020xe" filled="false" stroked="true" strokeweight=".50456pt" strokecolor="#1a466e">
              <v:path arrowok="t"/>
            </v:shape>
            <v:shape style="position:absolute;left:7704;top:10051;width:39;height:49" type="#_x0000_t75" stroked="false">
              <v:imagedata r:id="rId135" o:title=""/>
            </v:shape>
            <v:shape style="position:absolute;left:7704;top:10051;width:40;height:49" coordorigin="7704,10051" coordsize="40,49" path="m7704,10074l7704,10088,7713,10100,7722,10100,7734,10100,7743,10088,7743,10074,7743,10063,7734,10051,7722,10051,7713,10051,7704,10063,7704,10074xe" filled="false" stroked="true" strokeweight=".507704pt" strokecolor="#1a466e">
              <v:path arrowok="t"/>
            </v:shape>
            <v:shape style="position:absolute;left:7725;top:9982;width:39;height:52" type="#_x0000_t75" stroked="false">
              <v:imagedata r:id="rId136" o:title=""/>
            </v:shape>
            <v:shape style="position:absolute;left:7725;top:9982;width:40;height:52" coordorigin="7725,9982" coordsize="40,52" path="m7725,10008l7725,10022,7734,10034,7743,10034,7755,10034,7764,10022,7764,10008,7764,9994,7755,9982,7743,9982,7734,9982,7725,9994,7725,10008xe" filled="false" stroked="true" strokeweight=".50456pt" strokecolor="#1a466e">
              <v:path arrowok="t"/>
            </v:shape>
            <v:shape style="position:absolute;left:7732;top:9798;width:42;height:49" type="#_x0000_t75" stroked="false">
              <v:imagedata r:id="rId137" o:title=""/>
            </v:shape>
            <v:shape style="position:absolute;left:7732;top:9798;width:42;height:49" coordorigin="7732,9798" coordsize="42,49" path="m7732,9821l7732,9835,7741,9847,7753,9847,7764,9847,7773,9835,7773,9821,7773,9809,7764,9798,7753,9798,7741,9798,7732,9809,7732,9821xe" filled="false" stroked="true" strokeweight=".510786pt" strokecolor="#1a466e">
              <v:path arrowok="t"/>
            </v:shape>
            <v:shape style="position:absolute;left:7736;top:9769;width:42;height:52" type="#_x0000_t75" stroked="false">
              <v:imagedata r:id="rId138" o:title=""/>
            </v:shape>
            <v:shape style="position:absolute;left:7736;top:9769;width:42;height:52" coordorigin="7736,9769" coordsize="42,52" path="m7736,9795l7736,9809,7746,9821,7757,9821,7769,9821,7778,9809,7778,9795,7778,9781,7769,9769,7757,9769,7746,9769,7736,9781,7736,9795xe" filled="false" stroked="true" strokeweight=".507820pt" strokecolor="#1a466e">
              <v:path arrowok="t"/>
            </v:shape>
            <v:shape style="position:absolute;left:7753;top:8443;width:42;height:52" type="#_x0000_t75" stroked="false">
              <v:imagedata r:id="rId139" o:title=""/>
            </v:shape>
            <v:shape style="position:absolute;left:7753;top:8443;width:42;height:52" coordorigin="7753,8443" coordsize="42,52" path="m7753,8469l7753,8483,7762,8495,7773,8495,7785,8495,7794,8483,7794,8469,7794,8455,7785,8443,7773,8443,7762,8443,7753,8455,7753,8469xe" filled="false" stroked="true" strokeweight=".507696pt" strokecolor="#1a466e">
              <v:path arrowok="t"/>
            </v:shape>
            <v:shape style="position:absolute;left:7764;top:10002;width:42;height:52" type="#_x0000_t75" stroked="false">
              <v:imagedata r:id="rId95" o:title=""/>
            </v:shape>
            <v:shape style="position:absolute;left:7764;top:10002;width:42;height:52" coordorigin="7764,10002" coordsize="42,52" path="m7764,10028l7764,10043,7773,10054,7785,10054,7797,10054,7806,10043,7806,10028,7806,10014,7797,10002,7785,10002,7773,10002,7764,10014,7764,10028xe" filled="false" stroked="true" strokeweight=".507696pt" strokecolor="#1a466e">
              <v:path arrowok="t"/>
            </v:shape>
            <v:shape style="position:absolute;left:7806;top:9815;width:39;height:49" type="#_x0000_t75" stroked="false">
              <v:imagedata r:id="rId110" o:title=""/>
            </v:shape>
            <v:shape style="position:absolute;left:7806;top:9815;width:40;height:49" coordorigin="7806,9815" coordsize="40,49" path="m7806,9838l7806,9853,7815,9864,7824,9864,7836,9864,7845,9853,7845,9838,7845,9827,7836,9815,7824,9815,7815,9815,7806,9827,7806,9838xe" filled="false" stroked="true" strokeweight=".507573pt" strokecolor="#1a466e">
              <v:path arrowok="t"/>
            </v:shape>
            <v:shape style="position:absolute;left:7806;top:9772;width:39;height:52" type="#_x0000_t75" stroked="false">
              <v:imagedata r:id="rId96" o:title=""/>
            </v:shape>
            <v:shape style="position:absolute;left:7806;top:9772;width:40;height:52" coordorigin="7806,9772" coordsize="40,52" path="m7806,9798l7806,9812,7815,9824,7824,9824,7836,9824,7845,9812,7845,9798,7845,9784,7836,9772,7824,9772,7815,9772,7806,9784,7806,9798xe" filled="false" stroked="true" strokeweight=".50468pt" strokecolor="#1a466e">
              <v:path arrowok="t"/>
            </v:shape>
            <v:shape style="position:absolute;left:7806;top:10178;width:39;height:52" type="#_x0000_t75" stroked="false">
              <v:imagedata r:id="rId140" o:title=""/>
            </v:shape>
            <v:shape style="position:absolute;left:7806;top:10178;width:40;height:52" coordorigin="7806,10178" coordsize="40,52" path="m7806,10204l7806,10218,7815,10230,7824,10230,7836,10230,7845,10218,7845,10204,7845,10189,7836,10178,7824,10178,7815,10178,7806,10189,7806,10204xe" filled="false" stroked="true" strokeweight=".504596pt" strokecolor="#1a466e">
              <v:path arrowok="t"/>
            </v:shape>
            <v:shape style="position:absolute;left:7827;top:9864;width:39;height:52" type="#_x0000_t75" stroked="false">
              <v:imagedata r:id="rId109" o:title=""/>
            </v:shape>
            <v:shape style="position:absolute;left:7827;top:9864;width:40;height:52" coordorigin="7827,9864" coordsize="40,52" path="m7827,9890l7827,9904,7836,9916,7845,9916,7857,9916,7866,9904,7866,9890,7866,9876,7857,9864,7845,9864,7836,9864,7827,9876,7827,9890xe" filled="false" stroked="true" strokeweight=".50456pt" strokecolor="#1a466e">
              <v:path arrowok="t"/>
            </v:shape>
            <v:shape style="position:absolute;left:7836;top:9919;width:39;height:49" type="#_x0000_t75" stroked="false">
              <v:imagedata r:id="rId141" o:title=""/>
            </v:shape>
            <v:shape style="position:absolute;left:7836;top:9919;width:40;height:50" coordorigin="7836,9919" coordsize="40,50" path="m7836,9942l7836,9956,7845,9968,7855,9968,7866,9968,7875,9956,7875,9942,7875,9930,7866,9919,7855,9919,7845,9919,7836,9930,7836,9942xe" filled="false" stroked="true" strokeweight=".507312pt" strokecolor="#1a466e">
              <v:path arrowok="t"/>
            </v:shape>
            <v:shape style="position:absolute;left:7875;top:9847;width:42;height:52" type="#_x0000_t75" stroked="false">
              <v:imagedata r:id="rId96" o:title=""/>
            </v:shape>
            <v:shape style="position:absolute;left:7875;top:9847;width:42;height:52" coordorigin="7875,9847" coordsize="42,52" path="m7875,9873l7875,9887,7885,9899,7896,9899,7908,9899,7917,9887,7917,9873,7917,9858,7908,9847,7896,9847,7885,9847,7875,9858,7875,9873xe" filled="false" stroked="true" strokeweight=".507325pt" strokecolor="#1a466e">
              <v:path arrowok="t"/>
            </v:shape>
            <v:shape style="position:absolute;left:7878;top:10137;width:42;height:49" type="#_x0000_t75" stroked="false">
              <v:imagedata r:id="rId96" o:title=""/>
            </v:shape>
            <v:shape style="position:absolute;left:7878;top:10137;width:42;height:50" coordorigin="7878,10137" coordsize="42,50" path="m7878,10161l7878,10175,7887,10186,7898,10186,7910,10186,7919,10175,7919,10161,7919,10149,7910,10137,7898,10137,7887,10137,7878,10149,7878,10161xe" filled="false" stroked="true" strokeweight=".510141pt" strokecolor="#1a466e">
              <v:path arrowok="t"/>
            </v:shape>
            <v:shape style="position:absolute;left:7882;top:10080;width:42;height:52" type="#_x0000_t75" stroked="false">
              <v:imagedata r:id="rId96" o:title=""/>
            </v:shape>
            <v:shape style="position:absolute;left:7882;top:10080;width:42;height:52" coordorigin="7882,10080" coordsize="42,52" path="m7882,10106l7882,10120,7892,10132,7903,10132,7915,10132,7924,10120,7924,10106,7924,10091,7915,10080,7903,10080,7892,10080,7882,10091,7882,10106xe" filled="false" stroked="true" strokeweight=".507449pt" strokecolor="#1a466e">
              <v:path arrowok="t"/>
            </v:shape>
            <v:shape style="position:absolute;left:7979;top:9999;width:42;height:52" type="#_x0000_t75" stroked="false">
              <v:imagedata r:id="rId142" o:title=""/>
            </v:shape>
            <v:shape style="position:absolute;left:7979;top:9999;width:42;height:52" coordorigin="7979,9999" coordsize="42,52" path="m7979,10025l7979,10040,7989,10051,8000,10051,8012,10051,8021,10040,8021,10025,8021,10011,8012,9999,8000,9999,7989,9999,7979,10011,7979,10025xe" filled="false" stroked="true" strokeweight=".507573pt" strokecolor="#1a466e">
              <v:path arrowok="t"/>
            </v:shape>
            <v:shape style="position:absolute;left:8037;top:9372;width:39;height:49" type="#_x0000_t75" stroked="false">
              <v:imagedata r:id="rId96" o:title=""/>
            </v:shape>
            <v:shape style="position:absolute;left:8037;top:9372;width:40;height:49" coordorigin="8037,9372" coordsize="40,49" path="m8037,9395l8037,9410,8047,9421,8056,9421,8067,9421,8077,9410,8077,9395,8077,9384,8067,9372,8056,9372,8047,9372,8037,9384,8037,9395xe" filled="false" stroked="true" strokeweight=".507704pt" strokecolor="#1a466e">
              <v:path arrowok="t"/>
            </v:shape>
            <v:shape style="position:absolute;left:8040;top:9781;width:39;height:52" type="#_x0000_t75" stroked="false">
              <v:imagedata r:id="rId96" o:title=""/>
            </v:shape>
            <v:shape style="position:absolute;left:8040;top:9781;width:40;height:52" coordorigin="8040,9781" coordsize="40,52" path="m8040,9807l8040,9821,8049,9832,8058,9832,8070,9832,8079,9821,8079,9807,8079,9792,8070,9781,8058,9781,8049,9781,8040,9792,8040,9807xe" filled="false" stroked="true" strokeweight=".504808pt" strokecolor="#1a466e">
              <v:path arrowok="t"/>
            </v:shape>
            <v:shape style="position:absolute;left:8040;top:9718;width:39;height:49" type="#_x0000_t75" stroked="false">
              <v:imagedata r:id="rId96" o:title=""/>
            </v:shape>
            <v:shape style="position:absolute;left:8040;top:9718;width:40;height:49" coordorigin="8040,9718" coordsize="40,49" path="m8040,9741l8040,9755,8049,9766,8058,9766,8070,9766,8079,9755,8079,9741,8079,9729,8070,9718,8058,9718,8049,9718,8040,9729,8040,9741xe" filled="false" stroked="true" strokeweight=".507704pt" strokecolor="#1a466e">
              <v:path arrowok="t"/>
            </v:shape>
            <v:shape style="position:absolute;left:8042;top:9974;width:39;height:52" type="#_x0000_t75" stroked="false">
              <v:imagedata r:id="rId109" o:title=""/>
            </v:shape>
            <v:shape style="position:absolute;left:8042;top:9974;width:40;height:52" coordorigin="8042,9974" coordsize="40,52" path="m8042,9999l8042,10014,8051,10025,8061,10025,8072,10025,8081,10014,8081,9999,8081,9985,8072,9974,8061,9974,8051,9974,8042,9985,8042,9999xe" filled="false" stroked="true" strokeweight=".504687pt" strokecolor="#1a466e">
              <v:path arrowok="t"/>
            </v:shape>
            <v:shape style="position:absolute;left:8051;top:9539;width:39;height:52" type="#_x0000_t75" stroked="false">
              <v:imagedata r:id="rId96" o:title=""/>
            </v:shape>
            <v:shape style="position:absolute;left:8051;top:9539;width:40;height:52" coordorigin="8051,9539" coordsize="40,52" path="m8051,9565l8051,9579,8061,9591,8070,9591,8081,9591,8091,9579,8091,9565,8091,9551,8081,9539,8070,9539,8061,9539,8051,9551,8051,9565xe" filled="false" stroked="true" strokeweight=".504687pt" strokecolor="#1a466e">
              <v:path arrowok="t"/>
            </v:shape>
            <v:shape style="position:absolute;left:8084;top:9985;width:39;height:52" type="#_x0000_t75" stroked="false">
              <v:imagedata r:id="rId96" o:title=""/>
            </v:shape>
            <v:shape style="position:absolute;left:8084;top:9985;width:40;height:52" coordorigin="8084,9985" coordsize="40,52" path="m8084,10011l8084,10025,8093,10037,8102,10037,8114,10037,8123,10025,8123,10011,8123,9997,8114,9985,8102,9985,8093,9985,8084,9997,8084,10011xe" filled="false" stroked="true" strokeweight=".50456pt" strokecolor="#1a466e">
              <v:path arrowok="t"/>
            </v:shape>
            <v:shape style="position:absolute;left:8084;top:10031;width:39;height:49" type="#_x0000_t75" stroked="false">
              <v:imagedata r:id="rId96" o:title=""/>
            </v:shape>
            <v:shape style="position:absolute;left:8084;top:10031;width:40;height:49" coordorigin="8084,10031" coordsize="40,49" path="m8084,10054l8084,10068,8093,10080,8102,10080,8114,10080,8123,10068,8123,10054,8123,10043,8114,10031,8102,10031,8093,10031,8084,10043,8084,10054xe" filled="false" stroked="true" strokeweight=".507573pt" strokecolor="#1a466e">
              <v:path arrowok="t"/>
            </v:shape>
            <v:shape style="position:absolute;left:8095;top:9548;width:42;height:52" type="#_x0000_t75" stroked="false">
              <v:imagedata r:id="rId96" o:title=""/>
            </v:shape>
            <v:shape style="position:absolute;left:8095;top:9548;width:42;height:52" coordorigin="8095,9548" coordsize="42,52" path="m8095,9574l8095,9588,8105,9600,8116,9600,8128,9600,8137,9588,8137,9574,8137,9559,8128,9548,8116,9548,8105,9548,8095,9559,8095,9574xe" filled="false" stroked="true" strokeweight=".507573pt" strokecolor="#1a466e">
              <v:path arrowok="t"/>
            </v:shape>
            <v:shape style="position:absolute;left:8130;top:9752;width:42;height:52" type="#_x0000_t75" stroked="false">
              <v:imagedata r:id="rId96" o:title=""/>
            </v:shape>
            <v:shape style="position:absolute;left:8130;top:9752;width:42;height:52" coordorigin="8130,9752" coordsize="42,52" path="m8130,9778l8130,9792,8139,9804,8151,9804,8163,9804,8172,9792,8172,9778,8172,9764,8163,9752,8151,9752,8139,9752,8130,9764,8130,9778xe" filled="false" stroked="true" strokeweight=".507697pt" strokecolor="#1a466e">
              <v:path arrowok="t"/>
            </v:shape>
            <v:shape style="position:absolute;left:8160;top:9519;width:39;height:49" type="#_x0000_t75" stroked="false">
              <v:imagedata r:id="rId96" o:title=""/>
            </v:shape>
            <v:shape style="position:absolute;left:8160;top:9519;width:40;height:49" coordorigin="8160,9519" coordsize="40,49" path="m8160,9542l8160,9556,8170,9568,8179,9568,8190,9568,8200,9556,8200,9542,8200,9531,8190,9519,8179,9519,8170,9519,8160,9531,8160,9542xe" filled="false" stroked="true" strokeweight=".507573pt" strokecolor="#1a466e">
              <v:path arrowok="t"/>
            </v:shape>
            <v:shape style="position:absolute;left:8193;top:10276;width:39;height:52" type="#_x0000_t75" stroked="false">
              <v:imagedata r:id="rId96" o:title=""/>
            </v:shape>
            <v:shape style="position:absolute;left:8193;top:10276;width:40;height:52" coordorigin="8193,10276" coordsize="40,52" path="m8193,10301l8193,10316,8202,10327,8211,10327,8223,10327,8232,10316,8232,10301,8232,10287,8223,10276,8211,10276,8202,10276,8193,10287,8193,10301xe" filled="false" stroked="true" strokeweight=".504608pt" strokecolor="#1a466e">
              <v:path arrowok="t"/>
            </v:shape>
            <v:shape style="position:absolute;left:8202;top:10091;width:39;height:52" type="#_x0000_t75" stroked="false">
              <v:imagedata r:id="rId143" o:title=""/>
            </v:shape>
            <v:shape style="position:absolute;left:8202;top:10091;width:40;height:52" coordorigin="8202,10091" coordsize="40,52" path="m8202,10117l8202,10132,8211,10143,8220,10143,8232,10143,8241,10132,8241,10117,8241,10103,8232,10091,8220,10091,8211,10091,8202,10103,8202,10117xe" filled="false" stroked="true" strokeweight=".50456pt" strokecolor="#1a466e">
              <v:path arrowok="t"/>
            </v:shape>
            <v:shape style="position:absolute;left:8260;top:9959;width:42;height:52" type="#_x0000_t75" stroked="false">
              <v:imagedata r:id="rId96" o:title=""/>
            </v:shape>
            <v:shape style="position:absolute;left:8260;top:9959;width:42;height:52" coordorigin="8260,9959" coordsize="42,52" path="m8260,9985l8260,9999,8269,10011,8281,10011,8292,10011,8302,9999,8302,9985,8302,9971,8292,9959,8281,9959,8269,9959,8260,9971,8260,9985xe" filled="false" stroked="true" strokeweight=".507820pt" strokecolor="#1a466e">
              <v:path arrowok="t"/>
            </v:shape>
            <v:shape style="position:absolute;left:8304;top:9674;width:39;height:52" type="#_x0000_t75" stroked="false">
              <v:imagedata r:id="rId144" o:title=""/>
            </v:shape>
            <v:shape style="position:absolute;left:8304;top:9674;width:40;height:52" coordorigin="8304,9674" coordsize="40,52" path="m8304,9700l8304,9715,8313,9726,8323,9726,8334,9726,8343,9715,8343,9700,8343,9686,8334,9674,8323,9674,8313,9674,8304,9686,8304,9700xe" filled="false" stroked="true" strokeweight=".50432pt" strokecolor="#1a466e">
              <v:path arrowok="t"/>
            </v:shape>
            <v:shape style="position:absolute;left:8353;top:9531;width:42;height:52" type="#_x0000_t75" stroked="false">
              <v:imagedata r:id="rId96" o:title=""/>
            </v:shape>
            <v:shape style="position:absolute;left:8353;top:9531;width:42;height:52" coordorigin="8353,9531" coordsize="42,52" path="m8353,9556l8353,9571,8362,9582,8373,9582,8385,9582,8394,9571,8394,9556,8394,9542,8385,9531,8373,9531,8362,9531,8353,9542,8353,9556xe" filled="false" stroked="true" strokeweight=".507573pt" strokecolor="#1a466e">
              <v:path arrowok="t"/>
            </v:shape>
            <v:shape style="position:absolute;left:8373;top:9729;width:42;height:49" type="#_x0000_t75" stroked="false">
              <v:imagedata r:id="rId95" o:title=""/>
            </v:shape>
            <v:shape style="position:absolute;left:8373;top:9729;width:42;height:49" coordorigin="8373,9729" coordsize="42,49" path="m8373,9752l8373,9766,8383,9778,8394,9778,8406,9778,8415,9766,8415,9752,8415,9741,8406,9729,8394,9729,8383,9729,8373,9741,8373,9752xe" filled="false" stroked="true" strokeweight=".51066pt" strokecolor="#1a466e">
              <v:path arrowok="t"/>
            </v:shape>
            <v:shape style="position:absolute;left:8499;top:9458;width:42;height:52" type="#_x0000_t75" stroked="false">
              <v:imagedata r:id="rId96" o:title=""/>
            </v:shape>
            <v:shape style="position:absolute;left:8499;top:9458;width:42;height:52" coordorigin="8499,9458" coordsize="42,52" path="m8499,9485l8499,9499,8508,9510,8520,9510,8531,9510,8540,9499,8540,9485,8540,9470,8531,9458,8520,9458,8508,9458,8499,9470,8499,9485xe" filled="false" stroked="true" strokeweight=".507450pt" strokecolor="#1a466e">
              <v:path arrowok="t"/>
            </v:shape>
            <v:shape style="position:absolute;left:8670;top:10278;width:39;height:52" type="#_x0000_t75" stroked="false">
              <v:imagedata r:id="rId96" o:title=""/>
            </v:shape>
            <v:shape style="position:absolute;left:8670;top:10278;width:40;height:52" coordorigin="8670,10278" coordsize="40,52" path="m8670,10304l8670,10319,8679,10330,8688,10330,8700,10330,8709,10319,8709,10304,8709,10290,8700,10278,8688,10278,8679,10278,8670,10290,8670,10304xe" filled="false" stroked="true" strokeweight=".504620pt" strokecolor="#1a466e">
              <v:path arrowok="t"/>
            </v:shape>
            <v:shape style="position:absolute;left:9045;top:9159;width:39;height:49" type="#_x0000_t75" stroked="false">
              <v:imagedata r:id="rId145" o:title=""/>
            </v:shape>
            <v:shape style="position:absolute;left:9045;top:9159;width:40;height:49" coordorigin="9045,9159" coordsize="40,49" path="m9045,9182l9045,9197,9055,9208,9064,9208,9076,9208,9085,9197,9085,9182,9085,9171,9076,9159,9064,9159,9055,9159,9045,9171,9045,9182xe" filled="false" stroked="true" strokeweight=".507704pt" strokecolor="#1a466e">
              <v:path arrowok="t"/>
            </v:shape>
            <v:shape style="position:absolute;left:9231;top:9531;width:39;height:52" type="#_x0000_t75" stroked="false">
              <v:imagedata r:id="rId146" o:title=""/>
            </v:shape>
            <v:shape style="position:absolute;left:9231;top:9531;width:40;height:52" coordorigin="9231,9531" coordsize="40,52" path="m9231,9556l9231,9571,9240,9582,9249,9582,9261,9582,9270,9571,9270,9556,9270,9542,9261,9531,9249,9531,9240,9531,9231,9542,9231,9556xe" filled="false" stroked="true" strokeweight=".504687pt" strokecolor="#1a466e">
              <v:path arrowok="t"/>
            </v:shape>
            <v:shape style="position:absolute;left:9520;top:9855;width:39;height:52" type="#_x0000_t75" stroked="false">
              <v:imagedata r:id="rId96" o:title=""/>
            </v:shape>
            <v:shape style="position:absolute;left:9520;top:9855;width:40;height:52" coordorigin="9520,9855" coordsize="40,52" path="m9520,9881l9520,9896,9529,9907,9539,9907,9550,9907,9560,9896,9560,9881,9560,9867,9550,9855,9539,9855,9529,9855,9520,9867,9520,9881xe" filled="false" stroked="true" strokeweight=".50456pt" strokecolor="#1a466e">
              <v:path arrowok="t"/>
            </v:shape>
            <v:shape style="position:absolute;left:773;top:10215;width:7014;height:4855" coordorigin="773,10215" coordsize="7014,4855" path="m6358,10883l6358,8023m6358,10698l6318,10698m6358,10048l6318,10048m6358,9398l6318,9398m6358,8748l6318,8748m6358,8098l6318,8098m6358,10883l9703,10883m6418,10883l6418,10931m7062,10883l7062,10931m7708,10883l7708,10931m8353,10883l8353,10931m8997,10883l8997,10931m9643,10883l9643,10931e" filled="false" stroked="true" strokeweight=".259742pt" strokecolor="#000000">
              <v:path arrowok="t"/>
            </v:shape>
            <v:shape style="position:absolute;left:6348;top:10966;width:143;height:121" type="#_x0000_t202" filled="false" stroked="false">
              <v:textbox inset="0,0,0,0">
                <w:txbxContent>
                  <w:p>
                    <w:pPr>
                      <w:spacing w:line="121" w:lineRule="exact" w:before="0"/>
                      <w:ind w:left="0" w:right="-16" w:firstLine="0"/>
                      <w:jc w:val="left"/>
                      <w:rPr>
                        <w:rFonts w:ascii="Arial"/>
                        <w:sz w:val="12"/>
                      </w:rPr>
                    </w:pPr>
                    <w:r>
                      <w:rPr>
                        <w:rFonts w:ascii="Arial"/>
                        <w:w w:val="80"/>
                        <w:sz w:val="12"/>
                      </w:rPr>
                      <w:t>-40</w:t>
                    </w:r>
                  </w:p>
                </w:txbxContent>
              </v:textbox>
              <w10:wrap type="none"/>
            </v:shape>
            <v:shape style="position:absolute;left:6993;top:10966;width:143;height:121" type="#_x0000_t202" filled="false" stroked="false">
              <v:textbox inset="0,0,0,0">
                <w:txbxContent>
                  <w:p>
                    <w:pPr>
                      <w:spacing w:line="121" w:lineRule="exact" w:before="0"/>
                      <w:ind w:left="0" w:right="-16" w:firstLine="0"/>
                      <w:jc w:val="left"/>
                      <w:rPr>
                        <w:rFonts w:ascii="Arial"/>
                        <w:sz w:val="12"/>
                      </w:rPr>
                    </w:pPr>
                    <w:r>
                      <w:rPr>
                        <w:rFonts w:ascii="Arial"/>
                        <w:w w:val="80"/>
                        <w:sz w:val="12"/>
                      </w:rPr>
                      <w:t>-20</w:t>
                    </w:r>
                  </w:p>
                </w:txbxContent>
              </v:textbox>
              <w10:wrap type="none"/>
            </v:shape>
            <v:shape style="position:absolute;left:7681;top:10966;width:55;height:121" type="#_x0000_t202" filled="false" stroked="false">
              <v:textbox inset="0,0,0,0">
                <w:txbxContent>
                  <w:p>
                    <w:pPr>
                      <w:spacing w:line="121" w:lineRule="exact" w:before="0"/>
                      <w:ind w:left="0" w:right="0" w:firstLine="0"/>
                      <w:jc w:val="left"/>
                      <w:rPr>
                        <w:rFonts w:ascii="Arial"/>
                        <w:sz w:val="12"/>
                      </w:rPr>
                    </w:pPr>
                    <w:r>
                      <w:rPr>
                        <w:rFonts w:ascii="Arial"/>
                        <w:w w:val="81"/>
                        <w:sz w:val="12"/>
                      </w:rPr>
                      <w:t>0</w:t>
                    </w:r>
                  </w:p>
                </w:txbxContent>
              </v:textbox>
              <w10:wrap type="none"/>
            </v:shape>
            <v:shape style="position:absolute;left:8299;top:10966;width:112;height:121" type="#_x0000_t202" filled="false" stroked="false">
              <v:textbox inset="0,0,0,0">
                <w:txbxContent>
                  <w:p>
                    <w:pPr>
                      <w:spacing w:line="121" w:lineRule="exact" w:before="0"/>
                      <w:ind w:left="0" w:right="-15" w:firstLine="0"/>
                      <w:jc w:val="left"/>
                      <w:rPr>
                        <w:rFonts w:ascii="Arial"/>
                        <w:sz w:val="12"/>
                      </w:rPr>
                    </w:pPr>
                    <w:r>
                      <w:rPr>
                        <w:rFonts w:ascii="Arial"/>
                        <w:w w:val="80"/>
                        <w:sz w:val="12"/>
                      </w:rPr>
                      <w:t>20</w:t>
                    </w:r>
                  </w:p>
                </w:txbxContent>
              </v:textbox>
              <w10:wrap type="none"/>
            </v:shape>
            <v:shape style="position:absolute;left:8943;top:10966;width:112;height:121" type="#_x0000_t202" filled="false" stroked="false">
              <v:textbox inset="0,0,0,0">
                <w:txbxContent>
                  <w:p>
                    <w:pPr>
                      <w:spacing w:line="121" w:lineRule="exact" w:before="0"/>
                      <w:ind w:left="0" w:right="-15" w:firstLine="0"/>
                      <w:jc w:val="left"/>
                      <w:rPr>
                        <w:rFonts w:ascii="Arial"/>
                        <w:sz w:val="12"/>
                      </w:rPr>
                    </w:pPr>
                    <w:r>
                      <w:rPr>
                        <w:rFonts w:ascii="Arial"/>
                        <w:w w:val="80"/>
                        <w:sz w:val="12"/>
                      </w:rPr>
                      <w:t>40</w:t>
                    </w:r>
                  </w:p>
                </w:txbxContent>
              </v:textbox>
              <w10:wrap type="none"/>
            </v:shape>
            <v:shape style="position:absolute;left:9590;top:10966;width:112;height:121" type="#_x0000_t202" filled="false" stroked="false">
              <v:textbox inset="0,0,0,0">
                <w:txbxContent>
                  <w:p>
                    <w:pPr>
                      <w:spacing w:line="121" w:lineRule="exact" w:before="0"/>
                      <w:ind w:left="0" w:right="-15" w:firstLine="0"/>
                      <w:jc w:val="left"/>
                      <w:rPr>
                        <w:rFonts w:ascii="Arial"/>
                        <w:sz w:val="12"/>
                      </w:rPr>
                    </w:pPr>
                    <w:r>
                      <w:rPr>
                        <w:rFonts w:ascii="Arial"/>
                        <w:w w:val="80"/>
                        <w:sz w:val="12"/>
                      </w:rPr>
                      <w:t>60</w:t>
                    </w:r>
                  </w:p>
                </w:txbxContent>
              </v:textbox>
              <w10:wrap type="none"/>
            </v:shape>
            <v:shape style="position:absolute;left:7896;top:11084;width:268;height:121" type="#_x0000_t202" filled="false" stroked="false">
              <v:textbox inset="0,0,0,0">
                <w:txbxContent>
                  <w:p>
                    <w:pPr>
                      <w:spacing w:line="121" w:lineRule="exact" w:before="0"/>
                      <w:ind w:left="0" w:right="-14" w:firstLine="0"/>
                      <w:jc w:val="left"/>
                      <w:rPr>
                        <w:rFonts w:ascii="Arial"/>
                        <w:sz w:val="12"/>
                      </w:rPr>
                    </w:pPr>
                    <w:r>
                      <w:rPr>
                        <w:rFonts w:ascii="Arial"/>
                        <w:w w:val="80"/>
                        <w:sz w:val="12"/>
                      </w:rPr>
                      <w:t>va_35</w:t>
                    </w:r>
                  </w:p>
                </w:txbxContent>
              </v:textbox>
              <w10:wrap type="none"/>
            </v:shape>
            <w10:wrap type="none"/>
          </v:group>
        </w:pict>
      </w:r>
      <w:r>
        <w:rPr/>
        <w:pict>
          <v:shape style="position:absolute;margin-left:89.049034pt;margin-top:535.028687pt;width:7.15pt;height:10.7pt;mso-position-horizontal-relative:page;mso-position-vertical-relative:page;z-index:6184" type="#_x0000_t202" filled="false" stroked="false">
            <v:textbox inset="0,0,0,0" style="layout-flow:vertical;mso-layout-flow-alt:bottom-to-top">
              <w:txbxContent>
                <w:p>
                  <w:pPr>
                    <w:spacing w:before="9"/>
                    <w:ind w:left="20" w:right="-71" w:firstLine="0"/>
                    <w:jc w:val="left"/>
                    <w:rPr>
                      <w:rFonts w:ascii="Arial"/>
                      <w:sz w:val="10"/>
                    </w:rPr>
                  </w:pPr>
                  <w:r>
                    <w:rPr>
                      <w:rFonts w:ascii="Arial"/>
                      <w:w w:val="120"/>
                      <w:sz w:val="10"/>
                    </w:rPr>
                    <w:t>-</w:t>
                  </w:r>
                  <w:r>
                    <w:rPr>
                      <w:rFonts w:ascii="Arial"/>
                      <w:spacing w:val="-1"/>
                      <w:w w:val="120"/>
                      <w:sz w:val="10"/>
                    </w:rPr>
                    <w:t>4</w:t>
                  </w:r>
                  <w:r>
                    <w:rPr>
                      <w:rFonts w:ascii="Arial"/>
                      <w:w w:val="120"/>
                      <w:sz w:val="10"/>
                    </w:rPr>
                    <w:t>0</w:t>
                  </w:r>
                </w:p>
              </w:txbxContent>
            </v:textbox>
            <w10:wrap type="none"/>
          </v:shape>
        </w:pict>
      </w:r>
      <w:r>
        <w:rPr/>
        <w:pict>
          <v:shape style="position:absolute;margin-left:89.049034pt;margin-top:503.523712pt;width:7.15pt;height:10.7pt;mso-position-horizontal-relative:page;mso-position-vertical-relative:page;z-index:6208" type="#_x0000_t202" filled="false" stroked="false">
            <v:textbox inset="0,0,0,0" style="layout-flow:vertical;mso-layout-flow-alt:bottom-to-top">
              <w:txbxContent>
                <w:p>
                  <w:pPr>
                    <w:spacing w:before="9"/>
                    <w:ind w:left="20" w:right="-71" w:firstLine="0"/>
                    <w:jc w:val="left"/>
                    <w:rPr>
                      <w:rFonts w:ascii="Arial"/>
                      <w:sz w:val="10"/>
                    </w:rPr>
                  </w:pPr>
                  <w:r>
                    <w:rPr>
                      <w:rFonts w:ascii="Arial"/>
                      <w:w w:val="120"/>
                      <w:sz w:val="10"/>
                    </w:rPr>
                    <w:t>-</w:t>
                  </w:r>
                  <w:r>
                    <w:rPr>
                      <w:rFonts w:ascii="Arial"/>
                      <w:spacing w:val="-1"/>
                      <w:w w:val="120"/>
                      <w:sz w:val="10"/>
                    </w:rPr>
                    <w:t>2</w:t>
                  </w:r>
                  <w:r>
                    <w:rPr>
                      <w:rFonts w:ascii="Arial"/>
                      <w:w w:val="120"/>
                      <w:sz w:val="10"/>
                    </w:rPr>
                    <w:t>0</w:t>
                  </w:r>
                </w:p>
              </w:txbxContent>
            </v:textbox>
            <w10:wrap type="none"/>
          </v:shape>
        </w:pict>
      </w:r>
      <w:r>
        <w:rPr/>
        <w:pict>
          <v:shape style="position:absolute;margin-left:89.03936pt;margin-top:327.721954pt;width:7.15pt;height:11.4pt;mso-position-horizontal-relative:page;mso-position-vertical-relative:page;z-index:6232" type="#_x0000_t202" filled="false" stroked="false">
            <v:textbox inset="0,0,0,0" style="layout-flow:vertical;mso-layout-flow-alt:bottom-to-top">
              <w:txbxContent>
                <w:p>
                  <w:pPr>
                    <w:spacing w:before="9"/>
                    <w:ind w:left="20" w:right="-84" w:firstLine="0"/>
                    <w:jc w:val="left"/>
                    <w:rPr>
                      <w:rFonts w:ascii="Arial"/>
                      <w:sz w:val="10"/>
                    </w:rPr>
                  </w:pPr>
                  <w:r>
                    <w:rPr>
                      <w:rFonts w:ascii="Arial"/>
                      <w:w w:val="130"/>
                      <w:sz w:val="10"/>
                    </w:rPr>
                    <w:t>-</w:t>
                  </w:r>
                  <w:r>
                    <w:rPr>
                      <w:rFonts w:ascii="Arial"/>
                      <w:spacing w:val="-2"/>
                      <w:w w:val="130"/>
                      <w:sz w:val="10"/>
                    </w:rPr>
                    <w:t>4</w:t>
                  </w:r>
                  <w:r>
                    <w:rPr>
                      <w:rFonts w:ascii="Arial"/>
                      <w:w w:val="130"/>
                      <w:sz w:val="10"/>
                    </w:rPr>
                    <w:t>0</w:t>
                  </w:r>
                </w:p>
              </w:txbxContent>
            </v:textbox>
            <w10:wrap type="none"/>
          </v:shape>
        </w:pict>
      </w:r>
      <w:r>
        <w:rPr/>
        <w:pict>
          <v:shape style="position:absolute;margin-left:89.03936pt;margin-top:293.718872pt;width:7.15pt;height:11.4pt;mso-position-horizontal-relative:page;mso-position-vertical-relative:page;z-index:6256" type="#_x0000_t202" filled="false" stroked="false">
            <v:textbox inset="0,0,0,0" style="layout-flow:vertical;mso-layout-flow-alt:bottom-to-top">
              <w:txbxContent>
                <w:p>
                  <w:pPr>
                    <w:spacing w:before="9"/>
                    <w:ind w:left="20" w:right="-84" w:firstLine="0"/>
                    <w:jc w:val="left"/>
                    <w:rPr>
                      <w:rFonts w:ascii="Arial"/>
                      <w:sz w:val="10"/>
                    </w:rPr>
                  </w:pPr>
                  <w:r>
                    <w:rPr>
                      <w:rFonts w:ascii="Arial"/>
                      <w:w w:val="130"/>
                      <w:sz w:val="10"/>
                    </w:rPr>
                    <w:t>-</w:t>
                  </w:r>
                  <w:r>
                    <w:rPr>
                      <w:rFonts w:ascii="Arial"/>
                      <w:spacing w:val="-2"/>
                      <w:w w:val="130"/>
                      <w:sz w:val="10"/>
                    </w:rPr>
                    <w:t>2</w:t>
                  </w:r>
                  <w:r>
                    <w:rPr>
                      <w:rFonts w:ascii="Arial"/>
                      <w:w w:val="130"/>
                      <w:sz w:val="10"/>
                    </w:rPr>
                    <w:t>0</w:t>
                  </w:r>
                </w:p>
              </w:txbxContent>
            </v:textbox>
            <w10:wrap type="none"/>
          </v:shape>
        </w:pict>
      </w:r>
      <w:r>
        <w:rPr/>
        <w:pict>
          <v:shape style="position:absolute;margin-left:93.319923pt;margin-top:441.574524pt;width:7.15pt;height:8.65pt;mso-position-horizontal-relative:page;mso-position-vertical-relative:page;z-index:6280" type="#_x0000_t202" filled="false" stroked="false">
            <v:textbox inset="0,0,0,0" style="layout-flow:vertical;mso-layout-flow-alt:bottom-to-top">
              <w:txbxContent>
                <w:p>
                  <w:pPr>
                    <w:spacing w:before="9"/>
                    <w:ind w:left="20" w:right="-30" w:firstLine="0"/>
                    <w:jc w:val="left"/>
                    <w:rPr>
                      <w:rFonts w:ascii="Arial"/>
                      <w:sz w:val="10"/>
                    </w:rPr>
                  </w:pPr>
                  <w:r>
                    <w:rPr>
                      <w:rFonts w:ascii="Arial"/>
                      <w:spacing w:val="-1"/>
                      <w:w w:val="120"/>
                      <w:sz w:val="10"/>
                    </w:rPr>
                    <w:t>20</w:t>
                  </w:r>
                </w:p>
              </w:txbxContent>
            </v:textbox>
            <w10:wrap type="none"/>
          </v:shape>
        </w:pict>
      </w:r>
      <w:r>
        <w:rPr/>
        <w:pict>
          <v:shape style="position:absolute;margin-left:93.319923pt;margin-top:410.080963pt;width:7.15pt;height:8.65pt;mso-position-horizontal-relative:page;mso-position-vertical-relative:page;z-index:6304" type="#_x0000_t202" filled="false" stroked="false">
            <v:textbox inset="0,0,0,0" style="layout-flow:vertical;mso-layout-flow-alt:bottom-to-top">
              <w:txbxContent>
                <w:p>
                  <w:pPr>
                    <w:spacing w:before="9"/>
                    <w:ind w:left="20" w:right="-30" w:firstLine="0"/>
                    <w:jc w:val="left"/>
                    <w:rPr>
                      <w:rFonts w:ascii="Arial"/>
                      <w:sz w:val="10"/>
                    </w:rPr>
                  </w:pPr>
                  <w:r>
                    <w:rPr>
                      <w:rFonts w:ascii="Arial"/>
                      <w:spacing w:val="-1"/>
                      <w:w w:val="120"/>
                      <w:sz w:val="10"/>
                    </w:rPr>
                    <w:t>40</w:t>
                  </w:r>
                </w:p>
              </w:txbxContent>
            </v:textbox>
            <w10:wrap type="none"/>
          </v:shape>
        </w:pict>
      </w:r>
      <w:r>
        <w:rPr/>
        <w:pict>
          <v:shape style="position:absolute;margin-left:97.590309pt;margin-top:474.61264pt;width:7.15pt;height:5.4pt;mso-position-horizontal-relative:page;mso-position-vertical-relative:page;z-index:6376" type="#_x0000_t202" filled="false" stroked="false">
            <v:textbox inset="0,0,0,0" style="layout-flow:vertical;mso-layout-flow-alt:bottom-to-top">
              <w:txbxContent>
                <w:p>
                  <w:pPr>
                    <w:spacing w:before="9"/>
                    <w:ind w:left="20" w:right="0" w:firstLine="0"/>
                    <w:jc w:val="left"/>
                    <w:rPr>
                      <w:rFonts w:ascii="Arial"/>
                      <w:sz w:val="10"/>
                    </w:rPr>
                  </w:pPr>
                  <w:r>
                    <w:rPr>
                      <w:rFonts w:ascii="Arial"/>
                      <w:w w:val="120"/>
                      <w:sz w:val="10"/>
                    </w:rPr>
                    <w:t>0</w:t>
                  </w:r>
                </w:p>
              </w:txbxContent>
            </v:textbox>
            <w10:wrap type="none"/>
          </v:shape>
        </w:pict>
      </w:r>
      <w:r>
        <w:rPr/>
        <w:pict>
          <v:shape style="position:absolute;margin-left:97.564117pt;margin-top:262.515381pt;width:7.15pt;height:5.65pt;mso-position-horizontal-relative:page;mso-position-vertical-relative:page;z-index:6400" type="#_x0000_t202" filled="false" stroked="false">
            <v:textbox inset="0,0,0,0" style="layout-flow:vertical;mso-layout-flow-alt:bottom-to-top">
              <w:txbxContent>
                <w:p>
                  <w:pPr>
                    <w:spacing w:before="9"/>
                    <w:ind w:left="20" w:right="0" w:firstLine="0"/>
                    <w:jc w:val="left"/>
                    <w:rPr>
                      <w:rFonts w:ascii="Arial"/>
                      <w:sz w:val="10"/>
                    </w:rPr>
                  </w:pPr>
                  <w:r>
                    <w:rPr>
                      <w:rFonts w:ascii="Arial"/>
                      <w:w w:val="130"/>
                      <w:sz w:val="10"/>
                    </w:rPr>
                    <w:t>0</w:t>
                  </w:r>
                </w:p>
              </w:txbxContent>
            </v:textbox>
            <w10:wrap type="none"/>
          </v:shape>
        </w:pict>
      </w:r>
      <w:r>
        <w:rPr/>
        <w:pict>
          <v:shape style="position:absolute;margin-left:301.00766pt;margin-top:529.548218pt;width:6.9pt;height:10.7pt;mso-position-horizontal-relative:page;mso-position-vertical-relative:page;z-index:6424" type="#_x0000_t202" filled="false" stroked="false">
            <v:textbox inset="0,0,0,0" style="layout-flow:vertical;mso-layout-flow-alt:bottom-to-top">
              <w:txbxContent>
                <w:p>
                  <w:pPr>
                    <w:spacing w:before="14"/>
                    <w:ind w:left="20" w:right="-76" w:firstLine="0"/>
                    <w:jc w:val="left"/>
                    <w:rPr>
                      <w:rFonts w:ascii="Arial"/>
                      <w:sz w:val="9"/>
                    </w:rPr>
                  </w:pPr>
                  <w:r>
                    <w:rPr>
                      <w:rFonts w:ascii="Arial"/>
                      <w:w w:val="134"/>
                      <w:sz w:val="9"/>
                    </w:rPr>
                    <w:t>-</w:t>
                  </w:r>
                  <w:r>
                    <w:rPr>
                      <w:rFonts w:ascii="Arial"/>
                      <w:spacing w:val="-1"/>
                      <w:w w:val="134"/>
                      <w:sz w:val="9"/>
                    </w:rPr>
                    <w:t>2</w:t>
                  </w:r>
                  <w:r>
                    <w:rPr>
                      <w:rFonts w:ascii="Arial"/>
                      <w:w w:val="134"/>
                      <w:sz w:val="9"/>
                    </w:rPr>
                    <w:t>0</w:t>
                  </w:r>
                </w:p>
              </w:txbxContent>
            </v:textbox>
            <w10:wrap type="none"/>
          </v:shape>
        </w:pict>
      </w:r>
      <w:r>
        <w:rPr/>
        <w:pict>
          <v:shape style="position:absolute;margin-left:300.660156pt;margin-top:465.588593pt;width:11.3pt;height:11.25pt;mso-position-horizontal-relative:page;mso-position-vertical-relative:page;z-index:6448" type="#_x0000_t202" filled="false" stroked="false">
            <v:textbox inset="0,0,0,0" style="layout-flow:vertical;mso-layout-flow-alt:bottom-to-top">
              <w:txbxContent>
                <w:p>
                  <w:pPr>
                    <w:spacing w:line="88" w:lineRule="exact" w:before="28"/>
                    <w:ind w:left="72" w:right="1" w:hanging="52"/>
                    <w:jc w:val="left"/>
                    <w:rPr>
                      <w:rFonts w:ascii="Arial"/>
                      <w:sz w:val="9"/>
                    </w:rPr>
                  </w:pPr>
                  <w:r>
                    <w:rPr>
                      <w:rFonts w:ascii="Arial"/>
                      <w:w w:val="134"/>
                      <w:sz w:val="9"/>
                    </w:rPr>
                    <w:t>va </w:t>
                  </w:r>
                  <w:r>
                    <w:rPr>
                      <w:rFonts w:ascii="Arial"/>
                      <w:spacing w:val="-1"/>
                      <w:w w:val="134"/>
                      <w:sz w:val="9"/>
                    </w:rPr>
                    <w:t>20</w:t>
                  </w:r>
                </w:p>
              </w:txbxContent>
            </v:textbox>
            <w10:wrap type="none"/>
          </v:shape>
        </w:pict>
      </w:r>
      <w:r>
        <w:rPr/>
        <w:pict>
          <v:shape style="position:absolute;margin-left:302.125671pt;margin-top:327.766479pt;width:6.85pt;height:11.4pt;mso-position-horizontal-relative:page;mso-position-vertical-relative:page;z-index:6472" type="#_x0000_t202" filled="false" stroked="false">
            <v:textbox inset="0,0,0,0" style="layout-flow:vertical;mso-layout-flow-alt:bottom-to-top">
              <w:txbxContent>
                <w:p>
                  <w:pPr>
                    <w:spacing w:before="14"/>
                    <w:ind w:left="20" w:right="-90" w:firstLine="0"/>
                    <w:jc w:val="left"/>
                    <w:rPr>
                      <w:rFonts w:ascii="Arial"/>
                      <w:sz w:val="9"/>
                    </w:rPr>
                  </w:pPr>
                  <w:r>
                    <w:rPr>
                      <w:rFonts w:ascii="Arial"/>
                      <w:w w:val="144"/>
                      <w:sz w:val="9"/>
                    </w:rPr>
                    <w:t>-</w:t>
                  </w:r>
                  <w:r>
                    <w:rPr>
                      <w:rFonts w:ascii="Arial"/>
                      <w:spacing w:val="-2"/>
                      <w:w w:val="144"/>
                      <w:sz w:val="9"/>
                    </w:rPr>
                    <w:t>4</w:t>
                  </w:r>
                  <w:r>
                    <w:rPr>
                      <w:rFonts w:ascii="Arial"/>
                      <w:w w:val="144"/>
                      <w:sz w:val="9"/>
                    </w:rPr>
                    <w:t>0</w:t>
                  </w:r>
                </w:p>
              </w:txbxContent>
            </v:textbox>
            <w10:wrap type="none"/>
          </v:shape>
        </w:pict>
      </w:r>
      <w:r>
        <w:rPr/>
        <w:pict>
          <v:shape style="position:absolute;margin-left:302.125671pt;margin-top:293.75827pt;width:6.85pt;height:11.4pt;mso-position-horizontal-relative:page;mso-position-vertical-relative:page;z-index:6496" type="#_x0000_t202" filled="false" stroked="false">
            <v:textbox inset="0,0,0,0" style="layout-flow:vertical;mso-layout-flow-alt:bottom-to-top">
              <w:txbxContent>
                <w:p>
                  <w:pPr>
                    <w:spacing w:before="14"/>
                    <w:ind w:left="20" w:right="-90" w:firstLine="0"/>
                    <w:jc w:val="left"/>
                    <w:rPr>
                      <w:rFonts w:ascii="Arial"/>
                      <w:sz w:val="9"/>
                    </w:rPr>
                  </w:pPr>
                  <w:r>
                    <w:rPr>
                      <w:rFonts w:ascii="Arial"/>
                      <w:w w:val="144"/>
                      <w:sz w:val="9"/>
                    </w:rPr>
                    <w:t>-</w:t>
                  </w:r>
                  <w:r>
                    <w:rPr>
                      <w:rFonts w:ascii="Arial"/>
                      <w:spacing w:val="-2"/>
                      <w:w w:val="144"/>
                      <w:sz w:val="9"/>
                    </w:rPr>
                    <w:t>2</w:t>
                  </w:r>
                  <w:r>
                    <w:rPr>
                      <w:rFonts w:ascii="Arial"/>
                      <w:w w:val="144"/>
                      <w:sz w:val="9"/>
                    </w:rPr>
                    <w:t>0</w:t>
                  </w:r>
                </w:p>
              </w:txbxContent>
            </v:textbox>
            <w10:wrap type="none"/>
          </v:shape>
        </w:pict>
      </w:r>
      <w:r>
        <w:rPr/>
        <w:pict>
          <v:shape style="position:absolute;margin-left:305.063782pt;margin-top:433.096985pt;width:6.9pt;height:8.65pt;mso-position-horizontal-relative:page;mso-position-vertical-relative:page;z-index:6520" type="#_x0000_t202" filled="false" stroked="false">
            <v:textbox inset="0,0,0,0" style="layout-flow:vertical;mso-layout-flow-alt:bottom-to-top">
              <w:txbxContent>
                <w:p>
                  <w:pPr>
                    <w:spacing w:before="14"/>
                    <w:ind w:left="20" w:right="-35" w:firstLine="0"/>
                    <w:jc w:val="left"/>
                    <w:rPr>
                      <w:rFonts w:ascii="Arial"/>
                      <w:sz w:val="9"/>
                    </w:rPr>
                  </w:pPr>
                  <w:r>
                    <w:rPr>
                      <w:rFonts w:ascii="Arial"/>
                      <w:spacing w:val="-1"/>
                      <w:w w:val="134"/>
                      <w:sz w:val="9"/>
                    </w:rPr>
                    <w:t>40</w:t>
                  </w:r>
                </w:p>
              </w:txbxContent>
            </v:textbox>
            <w10:wrap type="none"/>
          </v:shape>
        </w:pict>
      </w:r>
      <w:r>
        <w:rPr/>
        <w:pict>
          <v:shape style="position:absolute;margin-left:304.947937pt;margin-top:400.587433pt;width:6.9pt;height:8.65pt;mso-position-horizontal-relative:page;mso-position-vertical-relative:page;z-index:6544" type="#_x0000_t202" filled="false" stroked="false">
            <v:textbox inset="0,0,0,0" style="layout-flow:vertical;mso-layout-flow-alt:bottom-to-top">
              <w:txbxContent>
                <w:p>
                  <w:pPr>
                    <w:spacing w:before="14"/>
                    <w:ind w:left="20" w:right="-35" w:firstLine="0"/>
                    <w:jc w:val="left"/>
                    <w:rPr>
                      <w:rFonts w:ascii="Arial"/>
                      <w:sz w:val="9"/>
                    </w:rPr>
                  </w:pPr>
                  <w:r>
                    <w:rPr>
                      <w:rFonts w:ascii="Arial"/>
                      <w:spacing w:val="-1"/>
                      <w:w w:val="134"/>
                      <w:sz w:val="9"/>
                    </w:rPr>
                    <w:t>60</w:t>
                  </w:r>
                </w:p>
              </w:txbxContent>
            </v:textbox>
            <w10:wrap type="none"/>
          </v:shape>
        </w:pict>
      </w:r>
      <w:r>
        <w:rPr/>
        <w:pict>
          <v:shape style="position:absolute;margin-left:309.119415pt;margin-top:499.636566pt;width:6.9pt;height:5.4pt;mso-position-horizontal-relative:page;mso-position-vertical-relative:page;z-index:6616" type="#_x0000_t202" filled="false" stroked="false">
            <v:textbox inset="0,0,0,0" style="layout-flow:vertical;mso-layout-flow-alt:bottom-to-top">
              <w:txbxContent>
                <w:p>
                  <w:pPr>
                    <w:spacing w:before="14"/>
                    <w:ind w:left="20" w:right="0" w:firstLine="0"/>
                    <w:jc w:val="left"/>
                    <w:rPr>
                      <w:rFonts w:ascii="Arial"/>
                      <w:sz w:val="9"/>
                    </w:rPr>
                  </w:pPr>
                  <w:r>
                    <w:rPr>
                      <w:rFonts w:ascii="Arial"/>
                      <w:w w:val="134"/>
                      <w:sz w:val="9"/>
                    </w:rPr>
                    <w:t>0</w:t>
                  </w:r>
                </w:p>
              </w:txbxContent>
            </v:textbox>
            <w10:wrap type="none"/>
          </v:shape>
        </w:pict>
      </w:r>
      <w:r>
        <w:rPr/>
        <w:pict>
          <v:shape style="position:absolute;margin-left:310.19989pt;margin-top:262.550049pt;width:6.85pt;height:5.65pt;mso-position-horizontal-relative:page;mso-position-vertical-relative:page;z-index:6640" type="#_x0000_t202" filled="false" stroked="false">
            <v:textbox inset="0,0,0,0" style="layout-flow:vertical;mso-layout-flow-alt:bottom-to-top">
              <w:txbxContent>
                <w:p>
                  <w:pPr>
                    <w:spacing w:before="14"/>
                    <w:ind w:left="20" w:right="0" w:firstLine="0"/>
                    <w:jc w:val="left"/>
                    <w:rPr>
                      <w:rFonts w:ascii="Arial"/>
                      <w:sz w:val="9"/>
                    </w:rPr>
                  </w:pPr>
                  <w:r>
                    <w:rPr>
                      <w:rFonts w:ascii="Arial"/>
                      <w:w w:val="144"/>
                      <w:sz w:val="9"/>
                    </w:rPr>
                    <w:t>0</w:t>
                  </w:r>
                </w:p>
              </w:txbxContent>
            </v:textbox>
            <w10:wrap type="none"/>
          </v:shape>
        </w:pict>
      </w:r>
      <w:r>
        <w:rPr>
          <w:rFonts w:ascii="Arial"/>
        </w:rPr>
        <w:t>ANEXO 3</w:t>
      </w:r>
    </w:p>
    <w:p>
      <w:pPr>
        <w:pStyle w:val="BodyText"/>
        <w:spacing w:before="1"/>
        <w:rPr>
          <w:rFonts w:ascii="Arial"/>
          <w:b/>
          <w:sz w:val="21"/>
        </w:rPr>
      </w:pPr>
    </w:p>
    <w:p>
      <w:pPr>
        <w:pStyle w:val="Heading2"/>
        <w:spacing w:line="451" w:lineRule="auto" w:before="0"/>
        <w:ind w:left="3166" w:right="4643"/>
        <w:jc w:val="center"/>
        <w:rPr>
          <w:rFonts w:ascii="Arial" w:hAnsi="Arial"/>
        </w:rPr>
      </w:pPr>
      <w:r>
        <w:rPr/>
        <w:pict>
          <v:group style="position:absolute;margin-left:299.980225pt;margin-top:79.703766pt;width:190.55pt;height:186.65pt;mso-position-horizontal-relative:page;mso-position-vertical-relative:paragraph;z-index:5680" coordorigin="6000,1594" coordsize="3811,3733">
            <v:rect style="position:absolute;left:6000;top:1594;width:3810;height:3730" filled="true" fillcolor="#eaf1f3" stroked="false">
              <v:fill type="solid"/>
            </v:rect>
            <v:shape style="position:absolute;left:6003;top:1600;width:3801;height:3723" type="#_x0000_t75" stroked="false">
              <v:imagedata r:id="rId147" o:title=""/>
            </v:shape>
            <v:rect style="position:absolute;left:6003;top:1600;width:3801;height:3723" filled="false" stroked="true" strokeweight=".27147pt" strokecolor="#eaf1f3"/>
            <v:shape style="position:absolute;left:6379;top:1731;width:3330;height:3087" type="#_x0000_t75" stroked="false">
              <v:imagedata r:id="rId148" o:title=""/>
            </v:shape>
            <v:rect style="position:absolute;left:6379;top:1731;width:3330;height:3087" filled="false" stroked="true" strokeweight=".273672pt" strokecolor="#ffffff"/>
            <v:shape style="position:absolute;left:855;top:8724;width:6932;height:4206" coordorigin="855,8724" coordsize="6932,4206" path="m6379,4737l9709,4737m6379,4057l9709,4057m6379,3376l9709,3376m6379,2696l9709,2696m6379,2016l9709,2016e" filled="false" stroked="true" strokeweight=".541298pt" strokecolor="#eaf1f3">
              <v:path arrowok="t"/>
            </v:shape>
            <v:shape style="position:absolute;left:6538;top:4072;width:39;height:56" type="#_x0000_t75" stroked="false">
              <v:imagedata r:id="rId96" o:title=""/>
            </v:shape>
            <v:shape style="position:absolute;left:6538;top:4072;width:40;height:56" coordorigin="6538,4072" coordsize="40,56" path="m6538,4100l6538,4116,6547,4128,6556,4128,6568,4128,6577,4116,6577,4100,6577,4085,6568,4072,6556,4072,6547,4072,6538,4085,6538,4100xe" filled="false" stroked="true" strokeweight=".514197pt" strokecolor="#1a466e">
              <v:path arrowok="t"/>
            </v:shape>
            <v:shape style="position:absolute;left:6588;top:3969;width:42;height:56" type="#_x0000_t75" stroked="false">
              <v:imagedata r:id="rId149" o:title=""/>
            </v:shape>
            <v:shape style="position:absolute;left:6588;top:3969;width:42;height:57" coordorigin="6588,3969" coordsize="42,57" path="m6588,3997l6588,4013,6598,4026,6609,4026,6621,4026,6630,4013,6630,3997,6630,3982,6621,3969,6609,3969,6598,3969,6588,3982,6588,3997xe" filled="false" stroked="true" strokeweight=".517907pt" strokecolor="#1a466e">
              <v:path arrowok="t"/>
            </v:shape>
            <v:shape style="position:absolute;left:6805;top:3516;width:42;height:56" type="#_x0000_t75" stroked="false">
              <v:imagedata r:id="rId150" o:title=""/>
            </v:shape>
            <v:shape style="position:absolute;left:6805;top:3516;width:42;height:57" coordorigin="6805,3516" coordsize="42,57" path="m6805,3544l6805,3560,6814,3572,6826,3572,6838,3572,6847,3560,6847,3544,6847,3528,6838,3516,6826,3516,6814,3516,6805,3528,6805,3544xe" filled="false" stroked="true" strokeweight=".517907pt" strokecolor="#1a466e">
              <v:path arrowok="t"/>
            </v:shape>
            <v:shape style="position:absolute;left:7036;top:2889;width:42;height:56" type="#_x0000_t75" stroked="false">
              <v:imagedata r:id="rId109" o:title=""/>
            </v:shape>
            <v:shape style="position:absolute;left:7036;top:2889;width:42;height:56" coordorigin="7036,2889" coordsize="42,56" path="m7036,2917l7036,2932,7045,2945,7057,2945,7068,2945,7077,2932,7077,2917,7077,2901,7068,2889,7057,2889,7045,2889,7036,2901,7036,2917xe" filled="false" stroked="true" strokeweight=".518380pt" strokecolor="#1a466e">
              <v:path arrowok="t"/>
            </v:shape>
            <v:shape style="position:absolute;left:7312;top:3904;width:42;height:53" type="#_x0000_t75" stroked="false">
              <v:imagedata r:id="rId96" o:title=""/>
            </v:shape>
            <v:shape style="position:absolute;left:7312;top:3904;width:42;height:53" coordorigin="7312,3904" coordsize="42,53" path="m7312,3929l7312,3945,7322,3957,7333,3957,7345,3957,7354,3945,7354,3929,7354,3917,7345,3904,7333,3904,7322,3904,7312,3917,7312,3929xe" filled="false" stroked="true" strokeweight=".522822pt" strokecolor="#1a466e">
              <v:path arrowok="t"/>
            </v:shape>
            <v:shape style="position:absolute;left:7338;top:3476;width:39;height:56" type="#_x0000_t75" stroked="false">
              <v:imagedata r:id="rId151" o:title=""/>
            </v:shape>
            <v:shape style="position:absolute;left:7338;top:3476;width:40;height:56" coordorigin="7338,3476" coordsize="40,56" path="m7338,3504l7338,3519,7347,3532,7356,3532,7368,3532,7377,3519,7377,3504,7377,3488,7368,3476,7356,3476,7347,3476,7338,3488,7338,3504xe" filled="false" stroked="true" strokeweight=".51427pt" strokecolor="#1a466e">
              <v:path arrowok="t"/>
            </v:shape>
            <v:shape style="position:absolute;left:7366;top:3628;width:39;height:56" type="#_x0000_t75" stroked="false">
              <v:imagedata r:id="rId152" o:title=""/>
            </v:shape>
            <v:shape style="position:absolute;left:7366;top:3628;width:40;height:56" coordorigin="7366,3628" coordsize="40,56" path="m7366,3656l7366,3671,7375,3684,7384,3684,7396,3684,7405,3671,7405,3656,7405,3641,7396,3628,7384,3628,7375,3628,7366,3641,7366,3656xe" filled="false" stroked="true" strokeweight=".514261pt" strokecolor="#1a466e">
              <v:path arrowok="t"/>
            </v:shape>
            <v:shape style="position:absolute;left:7379;top:3908;width:39;height:53" type="#_x0000_t75" stroked="false">
              <v:imagedata r:id="rId96" o:title=""/>
            </v:shape>
            <v:shape style="position:absolute;left:7379;top:3908;width:40;height:53" coordorigin="7379,3908" coordsize="40,53" path="m7379,3932l7379,3948,7389,3960,7398,3960,7409,3960,7419,3948,7419,3932,7419,3920,7409,3908,7398,3908,7389,3908,7379,3920,7379,3932xe" filled="false" stroked="true" strokeweight=".51839pt" strokecolor="#1a466e">
              <v:path arrowok="t"/>
            </v:shape>
            <v:shape style="position:absolute;left:7391;top:3522;width:42;height:53" type="#_x0000_t75" stroked="false">
              <v:imagedata r:id="rId96" o:title=""/>
            </v:shape>
            <v:shape style="position:absolute;left:7391;top:3522;width:42;height:54" coordorigin="7391,3522" coordsize="42,54" path="m7391,3547l7391,3563,7400,3575,7412,3575,7423,3575,7432,3563,7432,3547,7432,3535,7423,3522,7412,3522,7400,3522,7391,3535,7391,3547xe" filled="false" stroked="true" strokeweight=".522094pt" strokecolor="#1a466e">
              <v:path arrowok="t"/>
            </v:shape>
            <v:shape style="position:absolute;left:7396;top:3448;width:42;height:53" type="#_x0000_t75" stroked="false">
              <v:imagedata r:id="rId96" o:title=""/>
            </v:shape>
            <v:shape style="position:absolute;left:7396;top:3448;width:42;height:53" coordorigin="7396,3448" coordsize="42,53" path="m7396,3473l7396,3488,7405,3501,7416,3501,7428,3501,7437,3488,7437,3473,7437,3460,7428,3448,7416,3448,7405,3448,7396,3460,7396,3473xe" filled="false" stroked="true" strokeweight=".522647pt" strokecolor="#1a466e">
              <v:path arrowok="t"/>
            </v:shape>
            <v:shape style="position:absolute;left:7398;top:3367;width:42;height:56" type="#_x0000_t75" stroked="false">
              <v:imagedata r:id="rId109" o:title=""/>
            </v:shape>
            <v:shape style="position:absolute;left:7398;top:3367;width:42;height:56" coordorigin="7398,3367" coordsize="42,56" path="m7398,3395l7398,3411,7407,3423,7419,3423,7430,3423,7439,3411,7439,3395,7439,3380,7430,3367,7419,3367,7407,3367,7398,3380,7398,3395xe" filled="false" stroked="true" strokeweight=".518211pt" strokecolor="#1a466e">
              <v:path arrowok="t"/>
            </v:shape>
            <v:shape style="position:absolute;left:7412;top:3491;width:42;height:56" type="#_x0000_t75" stroked="false">
              <v:imagedata r:id="rId153" o:title=""/>
            </v:shape>
            <v:shape style="position:absolute;left:7412;top:3491;width:42;height:57" coordorigin="7412,3491" coordsize="42,57" path="m7412,3519l7412,3535,7421,3547,7432,3547,7444,3547,7453,3535,7453,3519,7453,3504,7444,3491,7432,3491,7421,3491,7412,3504,7412,3519xe" filled="false" stroked="true" strokeweight=".517873pt" strokecolor="#1a466e">
              <v:path arrowok="t"/>
            </v:shape>
            <v:shape style="position:absolute;left:7437;top:3168;width:42;height:56" type="#_x0000_t75" stroked="false">
              <v:imagedata r:id="rId109" o:title=""/>
            </v:shape>
            <v:shape style="position:absolute;left:7437;top:3168;width:42;height:56" coordorigin="7437,3168" coordsize="42,56" path="m7437,3196l7437,3212,7446,3224,7458,3224,7469,3224,7479,3212,7479,3196,7479,3181,7469,3168,7458,3168,7446,3168,7437,3181,7437,3196xe" filled="false" stroked="true" strokeweight=".518211pt" strokecolor="#1a466e">
              <v:path arrowok="t"/>
            </v:shape>
            <v:shape style="position:absolute;left:7449;top:3339;width:39;height:53" type="#_x0000_t75" stroked="false">
              <v:imagedata r:id="rId96" o:title=""/>
            </v:shape>
            <v:shape style="position:absolute;left:7449;top:3339;width:40;height:53" coordorigin="7449,3339" coordsize="40,53" path="m7449,3364l7449,3380,7458,3392,7467,3392,7479,3392,7488,3380,7488,3364,7488,3352,7479,3339,7467,3339,7458,3339,7449,3352,7449,3364xe" filled="false" stroked="true" strokeweight=".518211pt" strokecolor="#1a466e">
              <v:path arrowok="t"/>
            </v:shape>
            <v:shape style="position:absolute;left:7490;top:3439;width:39;height:53" type="#_x0000_t75" stroked="false">
              <v:imagedata r:id="rId154" o:title=""/>
            </v:shape>
            <v:shape style="position:absolute;left:7490;top:3439;width:40;height:53" coordorigin="7490,3439" coordsize="40,53" path="m7490,3463l7490,3479,7499,3491,7509,3491,7520,3491,7529,3479,7529,3463,7529,3451,7520,3439,7509,3439,7499,3439,7490,3451,7490,3463xe" filled="false" stroked="true" strokeweight=".51839pt" strokecolor="#1a466e">
              <v:path arrowok="t"/>
            </v:shape>
            <v:shape style="position:absolute;left:7495;top:3305;width:39;height:53" type="#_x0000_t75" stroked="false">
              <v:imagedata r:id="rId96" o:title=""/>
            </v:shape>
            <v:shape style="position:absolute;left:7495;top:3305;width:40;height:53" coordorigin="7495,3305" coordsize="40,53" path="m7495,3330l7495,3345,7504,3358,7513,3358,7525,3358,7534,3345,7534,3330,7534,3318,7525,3305,7513,3305,7504,3305,7495,3318,7495,3330xe" filled="false" stroked="true" strokeweight=".51839pt" strokecolor="#1a466e">
              <v:path arrowok="t"/>
            </v:shape>
            <v:shape style="position:absolute;left:7522;top:1963;width:42;height:56" type="#_x0000_t75" stroked="false">
              <v:imagedata r:id="rId96" o:title=""/>
            </v:shape>
            <v:shape style="position:absolute;left:7522;top:1963;width:42;height:56" coordorigin="7522,1963" coordsize="42,56" path="m7522,1991l7522,2007,7532,2019,7543,2019,7555,2019,7564,2007,7564,1991,7564,1976,7555,1963,7543,1963,7532,1963,7522,1976,7522,1991xe" filled="false" stroked="true" strokeweight=".518550pt" strokecolor="#1a466e">
              <v:path arrowok="t"/>
            </v:shape>
            <v:shape style="position:absolute;left:7527;top:3647;width:42;height:53" type="#_x0000_t75" stroked="false">
              <v:imagedata r:id="rId96" o:title=""/>
            </v:shape>
            <v:shape style="position:absolute;left:7527;top:3647;width:42;height:53" coordorigin="7527,3647" coordsize="42,53" path="m7527,3671l7527,3687,7536,3699,7548,3699,7559,3699,7569,3687,7569,3671,7569,3659,7559,3647,7548,3647,7536,3647,7527,3659,7527,3671xe" filled="false" stroked="true" strokeweight=".522637pt" strokecolor="#1a466e">
              <v:path arrowok="t"/>
            </v:shape>
            <v:shape style="position:absolute;left:7529;top:2976;width:42;height:53" type="#_x0000_t75" stroked="false">
              <v:imagedata r:id="rId155" o:title=""/>
            </v:shape>
            <v:shape style="position:absolute;left:7529;top:2976;width:42;height:53" coordorigin="7529,2976" coordsize="42,53" path="m7529,3001l7529,3016,7539,3029,7550,3029,7562,3029,7571,3016,7571,3001,7571,2988,7562,2976,7550,2976,7539,2976,7529,2988,7529,3001xe" filled="false" stroked="true" strokeweight=".522822pt" strokecolor="#1a466e">
              <v:path arrowok="t"/>
            </v:shape>
            <v:shape style="position:absolute;left:7543;top:3566;width:42;height:53" type="#_x0000_t75" stroked="false">
              <v:imagedata r:id="rId96" o:title=""/>
            </v:shape>
            <v:shape style="position:absolute;left:7543;top:3566;width:42;height:53" coordorigin="7543,3566" coordsize="42,53" path="m7543,3591l7543,3606,7552,3619,7564,3619,7576,3619,7585,3606,7585,3591,7585,3578,7576,3566,7564,3566,7552,3566,7543,3578,7543,3591xe" filled="false" stroked="true" strokeweight=".522637pt" strokecolor="#1a466e">
              <v:path arrowok="t"/>
            </v:shape>
            <v:shape style="position:absolute;left:7562;top:3616;width:42;height:56" type="#_x0000_t75" stroked="false">
              <v:imagedata r:id="rId96" o:title=""/>
            </v:shape>
            <v:shape style="position:absolute;left:7562;top:3616;width:42;height:56" coordorigin="7562,3616" coordsize="42,56" path="m7562,3644l7562,3659,7571,3671,7582,3671,7594,3671,7603,3659,7603,3644,7603,3628,7594,3616,7582,3616,7571,3616,7562,3628,7562,3644xe" filled="false" stroked="true" strokeweight=".518380pt" strokecolor="#1a466e">
              <v:path arrowok="t"/>
            </v:shape>
            <v:shape style="position:absolute;left:7608;top:3308;width:39;height:53" type="#_x0000_t75" stroked="false">
              <v:imagedata r:id="rId96" o:title=""/>
            </v:shape>
            <v:shape style="position:absolute;left:7608;top:3308;width:40;height:53" coordorigin="7608,3308" coordsize="40,53" path="m7608,3333l7608,3349,7617,3361,7626,3361,7638,3361,7647,3349,7647,3333,7647,3321,7638,3308,7626,3308,7617,3308,7608,3321,7608,3333xe" filled="false" stroked="true" strokeweight=".51839pt" strokecolor="#1a466e">
              <v:path arrowok="t"/>
            </v:shape>
            <v:shape style="position:absolute;left:7617;top:3582;width:39;height:56" type="#_x0000_t75" stroked="false">
              <v:imagedata r:id="rId109" o:title=""/>
            </v:shape>
            <v:shape style="position:absolute;left:7617;top:3582;width:40;height:56" coordorigin="7617,3582" coordsize="40,56" path="m7617,3609l7617,3625,7626,3637,7635,3637,7647,3637,7656,3625,7656,3609,7656,3594,7647,3582,7635,3582,7626,3582,7617,3594,7617,3609xe" filled="false" stroked="true" strokeweight=".514097pt" strokecolor="#1a466e">
              <v:path arrowok="t"/>
            </v:shape>
            <v:shape style="position:absolute;left:7642;top:3305;width:42;height:53" type="#_x0000_t75" stroked="false">
              <v:imagedata r:id="rId96" o:title=""/>
            </v:shape>
            <v:shape style="position:absolute;left:7642;top:3305;width:42;height:53" coordorigin="7642,3305" coordsize="42,53" path="m7642,3330l7642,3345,7652,3358,7663,3358,7675,3358,7684,3345,7684,3330,7684,3318,7675,3305,7663,3305,7652,3305,7642,3318,7642,3330xe" filled="false" stroked="true" strokeweight=".522647pt" strokecolor="#1a466e">
              <v:path arrowok="t"/>
            </v:shape>
            <v:shape style="position:absolute;left:7649;top:3681;width:42;height:53" type="#_x0000_t75" stroked="false">
              <v:imagedata r:id="rId109" o:title=""/>
            </v:shape>
            <v:shape style="position:absolute;left:7649;top:3681;width:42;height:53" coordorigin="7649,3681" coordsize="42,53" path="m7649,3706l7649,3721,7659,3734,7670,3734,7682,3734,7691,3721,7691,3706,7691,3693,7682,3681,7670,3681,7659,3681,7649,3693,7649,3706xe" filled="false" stroked="true" strokeweight=".522462pt" strokecolor="#1a466e">
              <v:path arrowok="t"/>
            </v:shape>
            <v:shape style="position:absolute;left:7689;top:3370;width:39;height:56" type="#_x0000_t75" stroked="false">
              <v:imagedata r:id="rId109" o:title=""/>
            </v:shape>
            <v:shape style="position:absolute;left:7689;top:3370;width:40;height:56" coordorigin="7689,3370" coordsize="40,56" path="m7689,3398l7689,3414,7698,3426,7707,3426,7719,3426,7728,3414,7728,3398,7728,3383,7719,3370,7707,3370,7698,3370,7689,3383,7689,3398xe" filled="false" stroked="true" strokeweight=".514097pt" strokecolor="#1a466e">
              <v:path arrowok="t"/>
            </v:shape>
            <v:shape style="position:absolute;left:7700;top:3283;width:39;height:56" type="#_x0000_t75" stroked="false">
              <v:imagedata r:id="rId96" o:title=""/>
            </v:shape>
            <v:shape style="position:absolute;left:7700;top:3283;width:40;height:56" coordorigin="7700,3283" coordsize="40,56" path="m7700,3311l7700,3327,7709,3339,7719,3339,7730,3339,7739,3327,7739,3311,7739,3296,7730,3283,7719,3283,7709,3283,7700,3296,7700,3311xe" filled="false" stroked="true" strokeweight=".513934pt" strokecolor="#1a466e">
              <v:path arrowok="t"/>
            </v:shape>
            <v:shape style="position:absolute;left:7714;top:3237;width:39;height:56" type="#_x0000_t75" stroked="false">
              <v:imagedata r:id="rId156" o:title=""/>
            </v:shape>
            <v:shape style="position:absolute;left:7714;top:3237;width:40;height:57" coordorigin="7714,3237" coordsize="40,57" path="m7714,3265l7714,3280,7723,3293,7732,3293,7744,3293,7753,3280,7753,3265,7753,3249,7744,3237,7732,3237,7723,3237,7714,3249,7714,3265xe" filled="false" stroked="true" strokeweight=".513771pt" strokecolor="#1a466e">
              <v:path arrowok="t"/>
            </v:shape>
            <v:shape style="position:absolute;left:7716;top:3426;width:39;height:53" type="#_x0000_t75" stroked="false">
              <v:imagedata r:id="rId157" o:title=""/>
            </v:shape>
            <v:shape style="position:absolute;left:7716;top:3426;width:40;height:53" coordorigin="7716,3426" coordsize="40,53" path="m7716,3451l7716,3466,7725,3479,7735,3479,7746,3479,7755,3466,7755,3451,7755,3439,7746,3426,7735,3426,7725,3426,7716,3439,7716,3451xe" filled="false" stroked="true" strokeweight=".51839pt" strokecolor="#1a466e">
              <v:path arrowok="t"/>
            </v:shape>
            <v:shape style="position:absolute;left:7719;top:3308;width:39;height:53" type="#_x0000_t75" stroked="false">
              <v:imagedata r:id="rId158" o:title=""/>
            </v:shape>
            <v:shape style="position:absolute;left:7719;top:3308;width:40;height:53" coordorigin="7719,3308" coordsize="40,53" path="m7719,3333l7719,3349,7728,3361,7737,3361,7748,3361,7758,3349,7758,3333,7758,3321,7748,3308,7737,3308,7728,3308,7719,3321,7719,3333xe" filled="false" stroked="true" strokeweight=".51839pt" strokecolor="#1a466e">
              <v:path arrowok="t"/>
            </v:shape>
            <v:shape style="position:absolute;left:7719;top:3283;width:39;height:56" type="#_x0000_t75" stroked="false">
              <v:imagedata r:id="rId158" o:title=""/>
            </v:shape>
            <v:shape style="position:absolute;left:7719;top:3283;width:40;height:56" coordorigin="7719,3283" coordsize="40,56" path="m7719,3311l7719,3327,7728,3339,7737,3339,7748,3339,7758,3327,7758,3311,7758,3296,7748,3283,7737,3283,7728,3283,7719,3296,7719,3311xe" filled="false" stroked="true" strokeweight=".513934pt" strokecolor="#1a466e">
              <v:path arrowok="t"/>
            </v:shape>
            <v:shape style="position:absolute;left:7739;top:3302;width:39;height:53" type="#_x0000_t75" stroked="false">
              <v:imagedata r:id="rId159" o:title=""/>
            </v:shape>
            <v:shape style="position:absolute;left:7739;top:3302;width:40;height:53" coordorigin="7739,3302" coordsize="40,53" path="m7739,3327l7739,3342,7748,3355,7758,3355,7769,3355,7778,3342,7778,3327,7778,3315,7769,3302,7758,3302,7748,3302,7739,3315,7739,3327xe" filled="false" stroked="true" strokeweight=".51839pt" strokecolor="#1a466e">
              <v:path arrowok="t"/>
            </v:shape>
            <v:shape style="position:absolute;left:7746;top:3057;width:42;height:53" type="#_x0000_t75" stroked="false">
              <v:imagedata r:id="rId96" o:title=""/>
            </v:shape>
            <v:shape style="position:absolute;left:7746;top:3057;width:42;height:53" coordorigin="7746,3057" coordsize="42,53" path="m7746,3082l7746,3097,7755,3109,7767,3109,7778,3109,7788,3097,7788,3082,7788,3069,7778,3057,7767,3057,7755,3057,7746,3069,7746,3082xe" filled="false" stroked="true" strokeweight=".522637pt" strokecolor="#1a466e">
              <v:path arrowok="t"/>
            </v:shape>
            <v:shape style="position:absolute;left:7751;top:3227;width:42;height:53" type="#_x0000_t75" stroked="false">
              <v:imagedata r:id="rId160" o:title=""/>
            </v:shape>
            <v:shape style="position:absolute;left:7751;top:3227;width:42;height:53" coordorigin="7751,3227" coordsize="42,53" path="m7751,3252l7751,3268,7760,3280,7772,3280,7783,3280,7792,3268,7792,3252,7792,3240,7783,3227,7772,3227,7760,3227,7751,3240,7751,3252xe" filled="false" stroked="true" strokeweight=".522637pt" strokecolor="#1a466e">
              <v:path arrowok="t"/>
            </v:shape>
            <v:shape style="position:absolute;left:7767;top:1783;width:42;height:53" type="#_x0000_t75" stroked="false">
              <v:imagedata r:id="rId96" o:title=""/>
            </v:shape>
            <v:shape style="position:absolute;left:7767;top:1783;width:42;height:54" coordorigin="7767,1783" coordsize="42,54" path="m7767,1808l7767,1824,7776,1836,7788,1836,7799,1836,7809,1824,7809,1808,7809,1796,7799,1783,7788,1783,7776,1783,7767,1796,7767,1808xe" filled="false" stroked="true" strokeweight=".522268pt" strokecolor="#1a466e">
              <v:path arrowok="t"/>
            </v:shape>
            <v:shape style="position:absolute;left:7778;top:3190;width:42;height:53" type="#_x0000_t75" stroked="false">
              <v:imagedata r:id="rId109" o:title=""/>
            </v:shape>
            <v:shape style="position:absolute;left:7778;top:3190;width:42;height:53" coordorigin="7778,3190" coordsize="42,53" path="m7778,3215l7778,3230,7788,3243,7799,3243,7811,3243,7820,3230,7820,3215,7820,3203,7811,3190,7799,3190,7788,3190,7778,3203,7778,3215xe" filled="false" stroked="true" strokeweight=".522637pt" strokecolor="#1a466e">
              <v:path arrowok="t"/>
            </v:shape>
            <v:shape style="position:absolute;left:7820;top:3178;width:39;height:53" type="#_x0000_t75" stroked="false">
              <v:imagedata r:id="rId96" o:title=""/>
            </v:shape>
            <v:shape style="position:absolute;left:7820;top:3178;width:40;height:53" coordorigin="7820,3178" coordsize="40,53" path="m7820,3203l7820,3218,7829,3230,7839,3230,7850,3230,7859,3218,7859,3203,7859,3190,7850,3178,7839,3178,7829,3178,7820,3190,7820,3203xe" filled="false" stroked="true" strokeweight=".518211pt" strokecolor="#1a466e">
              <v:path arrowok="t"/>
            </v:shape>
            <v:shape style="position:absolute;left:7820;top:3404;width:39;height:56" type="#_x0000_t75" stroked="false">
              <v:imagedata r:id="rId96" o:title=""/>
            </v:shape>
            <v:shape style="position:absolute;left:7820;top:3404;width:40;height:56" coordorigin="7820,3404" coordsize="40,56" path="m7820,3432l7820,3448,7829,3460,7839,3460,7850,3460,7859,3448,7859,3432,7859,3417,7850,3404,7839,3404,7829,3404,7820,3417,7820,3432xe" filled="false" stroked="true" strokeweight=".514097pt" strokecolor="#1a466e">
              <v:path arrowok="t"/>
            </v:shape>
            <v:shape style="position:absolute;left:7820;top:3659;width:39;height:53" type="#_x0000_t75" stroked="false">
              <v:imagedata r:id="rId96" o:title=""/>
            </v:shape>
            <v:shape style="position:absolute;left:7820;top:3659;width:40;height:53" coordorigin="7820,3659" coordsize="40,53" path="m7820,3684l7820,3699,7829,3712,7839,3712,7850,3712,7859,3699,7859,3684,7859,3671,7850,3659,7839,3659,7829,3659,7820,3671,7820,3684xe" filled="false" stroked="true" strokeweight=".518211pt" strokecolor="#1a466e">
              <v:path arrowok="t"/>
            </v:shape>
            <v:shape style="position:absolute;left:7841;top:3308;width:39;height:53" type="#_x0000_t75" stroked="false">
              <v:imagedata r:id="rId96" o:title=""/>
            </v:shape>
            <v:shape style="position:absolute;left:7841;top:3308;width:40;height:53" coordorigin="7841,3308" coordsize="40,53" path="m7841,3333l7841,3349,7850,3361,7859,3361,7871,3361,7880,3349,7880,3333,7880,3321,7871,3308,7859,3308,7850,3308,7841,3321,7841,3333xe" filled="false" stroked="true" strokeweight=".51839pt" strokecolor="#1a466e">
              <v:path arrowok="t"/>
            </v:shape>
            <v:shape style="position:absolute;left:7850;top:3476;width:39;height:56" type="#_x0000_t75" stroked="false">
              <v:imagedata r:id="rId151" o:title=""/>
            </v:shape>
            <v:shape style="position:absolute;left:7850;top:3476;width:40;height:56" coordorigin="7850,3476" coordsize="40,56" path="m7850,3504l7850,3519,7859,3532,7868,3532,7880,3532,7889,3519,7889,3504,7889,3488,7880,3476,7868,3476,7859,3476,7850,3488,7850,3504xe" filled="false" stroked="true" strokeweight=".514097pt" strokecolor="#1a466e">
              <v:path arrowok="t"/>
            </v:shape>
            <v:shape style="position:absolute;left:7889;top:3361;width:41;height:56" type="#_x0000_t75" stroked="false">
              <v:imagedata r:id="rId109" o:title=""/>
            </v:shape>
            <v:shape style="position:absolute;left:7889;top:3361;width:42;height:56" coordorigin="7889,3361" coordsize="42,56" path="m7889,3389l7889,3404,7898,3417,7910,3417,7921,3417,7931,3404,7931,3389,7931,3373,7921,3361,7910,3361,7898,3361,7889,3373,7889,3389xe" filled="false" stroked="true" strokeweight=".517871pt" strokecolor="#1a466e">
              <v:path arrowok="t"/>
            </v:shape>
            <v:shape style="position:absolute;left:7892;top:3376;width:41;height:56" type="#_x0000_t75" stroked="false">
              <v:imagedata r:id="rId109" o:title=""/>
            </v:shape>
            <v:shape style="position:absolute;left:7892;top:3376;width:42;height:56" coordorigin="7892,3376" coordsize="42,56" path="m7892,3404l7892,3420,7901,3432,7912,3432,7924,3432,7933,3420,7933,3404,7933,3389,7924,3376,7912,3376,7901,3376,7892,3389,7892,3404xe" filled="false" stroked="true" strokeweight=".517871pt" strokecolor="#1a466e">
              <v:path arrowok="t"/>
            </v:shape>
            <v:shape style="position:absolute;left:7896;top:3491;width:41;height:56" type="#_x0000_t75" stroked="false">
              <v:imagedata r:id="rId153" o:title=""/>
            </v:shape>
            <v:shape style="position:absolute;left:7896;top:3491;width:42;height:57" coordorigin="7896,3491" coordsize="42,57" path="m7896,3519l7896,3535,7905,3547,7917,3547,7928,3547,7937,3535,7937,3519,7937,3504,7928,3491,7917,3491,7905,3491,7896,3504,7896,3519xe" filled="false" stroked="true" strokeweight=".517534pt" strokecolor="#1a466e">
              <v:path arrowok="t"/>
            </v:shape>
            <v:shape style="position:absolute;left:7993;top:3308;width:42;height:53" type="#_x0000_t75" stroked="false">
              <v:imagedata r:id="rId96" o:title=""/>
            </v:shape>
            <v:shape style="position:absolute;left:7993;top:3308;width:42;height:53" coordorigin="7993,3308" coordsize="42,53" path="m7993,3333l7993,3349,8002,3361,8014,3361,8025,3361,8034,3349,8034,3333,8034,3321,8025,3308,8014,3308,8002,3308,7993,3321,7993,3333xe" filled="false" stroked="true" strokeweight=".522647pt" strokecolor="#1a466e">
              <v:path arrowok="t"/>
            </v:shape>
            <v:shape style="position:absolute;left:8050;top:2510;width:39;height:53" type="#_x0000_t75" stroked="false">
              <v:imagedata r:id="rId161" o:title=""/>
            </v:shape>
            <v:shape style="position:absolute;left:8050;top:2510;width:40;height:54" coordorigin="8050,2510" coordsize="40,54" path="m8050,2535l8050,2550,8060,2563,8069,2563,8080,2563,8090,2550,8090,2535,8090,2522,8080,2510,8069,2510,8060,2510,8050,2522,8050,2535xe" filled="false" stroked="true" strokeweight=".518032pt" strokecolor="#1a466e">
              <v:path arrowok="t"/>
            </v:shape>
            <v:shape style="position:absolute;left:8053;top:3243;width:39;height:56" type="#_x0000_t75" stroked="false">
              <v:imagedata r:id="rId162" o:title=""/>
            </v:shape>
            <v:shape style="position:absolute;left:8053;top:3243;width:40;height:57" coordorigin="8053,3243" coordsize="40,57" path="m8053,3271l8053,3286,8062,3299,8071,3299,8083,3299,8092,3286,8092,3271,8092,3255,8083,3243,8071,3243,8062,3243,8053,3255,8053,3271xe" filled="false" stroked="true" strokeweight=".513944pt" strokecolor="#1a466e">
              <v:path arrowok="t"/>
            </v:shape>
            <v:shape style="position:absolute;left:8053;top:3404;width:39;height:56" type="#_x0000_t75" stroked="false">
              <v:imagedata r:id="rId96" o:title=""/>
            </v:shape>
            <v:shape style="position:absolute;left:8053;top:3404;width:40;height:56" coordorigin="8053,3404" coordsize="40,56" path="m8053,3432l8053,3448,8062,3460,8071,3460,8083,3460,8092,3448,8092,3432,8092,3417,8083,3404,8071,3404,8062,3404,8053,3417,8053,3432xe" filled="false" stroked="true" strokeweight=".51427pt" strokecolor="#1a466e">
              <v:path arrowok="t"/>
            </v:shape>
            <v:shape style="position:absolute;left:8055;top:3171;width:39;height:56" type="#_x0000_t75" stroked="false">
              <v:imagedata r:id="rId152" o:title=""/>
            </v:shape>
            <v:shape style="position:absolute;left:8055;top:3171;width:40;height:56" coordorigin="8055,3171" coordsize="40,56" path="m8055,3199l8055,3215,8064,3227,8074,3227,8085,3227,8094,3215,8094,3199,8094,3184,8085,3171,8074,3171,8064,3171,8055,3184,8055,3199xe" filled="false" stroked="true" strokeweight=".51427pt" strokecolor="#1a466e">
              <v:path arrowok="t"/>
            </v:shape>
            <v:shape style="position:absolute;left:8064;top:2818;width:39;height:56" type="#_x0000_t75" stroked="false">
              <v:imagedata r:id="rId109" o:title=""/>
            </v:shape>
            <v:shape style="position:absolute;left:8064;top:2818;width:40;height:56" coordorigin="8064,2818" coordsize="40,56" path="m8064,2846l8064,2861,8074,2873,8083,2873,8094,2873,8104,2861,8104,2846,8104,2830,8094,2818,8083,2818,8074,2818,8064,2830,8064,2846xe" filled="false" stroked="true" strokeweight=".514434pt" strokecolor="#1a466e">
              <v:path arrowok="t"/>
            </v:shape>
            <v:shape style="position:absolute;left:8097;top:3293;width:39;height:53" type="#_x0000_t75" stroked="false">
              <v:imagedata r:id="rId96" o:title=""/>
            </v:shape>
            <v:shape style="position:absolute;left:8097;top:3293;width:40;height:53" coordorigin="8097,3293" coordsize="40,53" path="m8097,3318l8097,3333,8106,3345,8115,3345,8127,3345,8136,3333,8136,3318,8136,3305,8127,3293,8115,3293,8106,3293,8097,3305,8097,3318xe" filled="false" stroked="true" strokeweight=".51839pt" strokecolor="#1a466e">
              <v:path arrowok="t"/>
            </v:shape>
            <v:shape style="position:absolute;left:8097;top:3730;width:39;height:56" type="#_x0000_t75" stroked="false">
              <v:imagedata r:id="rId163" o:title=""/>
            </v:shape>
            <v:shape style="position:absolute;left:8097;top:3730;width:40;height:57" coordorigin="8097,3730" coordsize="40,57" path="m8097,3758l8097,3774,8106,3787,8115,3787,8127,3787,8136,3774,8136,3758,8136,3743,8127,3730,8115,3730,8106,3730,8097,3743,8097,3758xe" filled="false" stroked="true" strokeweight=".513771pt" strokecolor="#1a466e">
              <v:path arrowok="t"/>
            </v:shape>
            <v:shape style="position:absolute;left:8108;top:3234;width:42;height:56" type="#_x0000_t75" stroked="false">
              <v:imagedata r:id="rId164" o:title=""/>
            </v:shape>
            <v:shape style="position:absolute;left:8108;top:3234;width:42;height:56" coordorigin="8108,3234" coordsize="42,56" path="m8108,3261l8108,3277,8117,3289,8129,3289,8141,3289,8150,3277,8150,3261,8150,3246,8141,3234,8129,3234,8117,3234,8108,3246,8108,3261xe" filled="false" stroked="true" strokeweight=".518380pt" strokecolor="#1a466e">
              <v:path arrowok="t"/>
            </v:shape>
            <v:shape style="position:absolute;left:8143;top:2997;width:42;height:56" type="#_x0000_t75" stroked="false">
              <v:imagedata r:id="rId165" o:title=""/>
            </v:shape>
            <v:shape style="position:absolute;left:8143;top:2997;width:42;height:57" coordorigin="8143,2997" coordsize="42,57" path="m8143,3025l8143,3041,8152,3054,8164,3054,8175,3054,8184,3041,8184,3025,8184,3010,8175,2997,8164,2997,8152,2997,8143,3010,8143,3025xe" filled="false" stroked="true" strokeweight=".517873pt" strokecolor="#1a466e">
              <v:path arrowok="t"/>
            </v:shape>
            <v:shape style="position:absolute;left:8173;top:2671;width:39;height:56" type="#_x0000_t75" stroked="false">
              <v:imagedata r:id="rId109" o:title=""/>
            </v:shape>
            <v:shape style="position:absolute;left:8173;top:2671;width:40;height:56" coordorigin="8173,2671" coordsize="40,56" path="m8173,2699l8173,2715,8182,2727,8191,2727,8203,2727,8212,2715,8212,2699,8212,2684,8203,2671,8191,2671,8182,2671,8173,2684,8173,2699xe" filled="false" stroked="true" strokeweight=".514097pt" strokecolor="#1a466e">
              <v:path arrowok="t"/>
            </v:shape>
            <v:shape style="position:absolute;left:8205;top:3867;width:39;height:56" type="#_x0000_t75" stroked="false">
              <v:imagedata r:id="rId166" o:title=""/>
            </v:shape>
            <v:shape style="position:absolute;left:8205;top:3867;width:40;height:56" coordorigin="8205,3867" coordsize="40,56" path="m8205,3895l8205,3911,8214,3923,8224,3923,8235,3923,8244,3911,8244,3895,8244,3880,8235,3867,8224,3867,8214,3867,8205,3880,8205,3895xe" filled="false" stroked="true" strokeweight=".514097pt" strokecolor="#1a466e">
              <v:path arrowok="t"/>
            </v:shape>
            <v:shape style="position:absolute;left:8214;top:3516;width:39;height:56" type="#_x0000_t75" stroked="false">
              <v:imagedata r:id="rId167" o:title=""/>
            </v:shape>
            <v:shape style="position:absolute;left:8214;top:3516;width:40;height:57" coordorigin="8214,3516" coordsize="40,57" path="m8214,3544l8214,3560,8224,3572,8233,3572,8244,3572,8253,3560,8253,3544,8253,3528,8244,3516,8233,3516,8224,3516,8214,3528,8214,3544xe" filled="false" stroked="true" strokeweight=".513771pt" strokecolor="#1a466e">
              <v:path arrowok="t"/>
            </v:shape>
            <v:shape style="position:absolute;left:8272;top:3473;width:42;height:56" type="#_x0000_t75" stroked="false">
              <v:imagedata r:id="rId168" o:title=""/>
            </v:shape>
            <v:shape style="position:absolute;left:8272;top:3473;width:42;height:56" coordorigin="8272,3473" coordsize="42,56" path="m8272,3501l8272,3516,8281,3528,8293,3528,8304,3528,8314,3516,8314,3501,8314,3485,8304,3473,8293,3473,8281,3473,8272,3485,8272,3501xe" filled="false" stroked="true" strokeweight=".518380pt" strokecolor="#1a466e">
              <v:path arrowok="t"/>
            </v:shape>
            <v:shape style="position:absolute;left:8316;top:3156;width:39;height:56" type="#_x0000_t75" stroked="false">
              <v:imagedata r:id="rId96" o:title=""/>
            </v:shape>
            <v:shape style="position:absolute;left:8316;top:3156;width:40;height:56" coordorigin="8316,3156" coordsize="40,56" path="m8316,3184l8316,3199,8325,3212,8334,3212,8346,3212,8355,3199,8355,3184,8355,3168,8346,3156,8334,3156,8325,3156,8316,3168,8316,3184xe" filled="false" stroked="true" strokeweight=".514261pt" strokecolor="#1a466e">
              <v:path arrowok="t"/>
            </v:shape>
            <v:shape style="position:absolute;left:8364;top:2991;width:42;height:53" type="#_x0000_t75" stroked="false">
              <v:imagedata r:id="rId169" o:title=""/>
            </v:shape>
            <v:shape style="position:absolute;left:8364;top:2991;width:42;height:53" coordorigin="8364,2991" coordsize="42,53" path="m8364,3016l8364,3032,8373,3044,8385,3044,8397,3044,8406,3032,8406,3016,8406,3004,8397,2991,8385,2991,8373,2991,8364,3004,8364,3016xe" filled="false" stroked="true" strokeweight=".522462pt" strokecolor="#1a466e">
              <v:path arrowok="t"/>
            </v:shape>
            <v:shape style="position:absolute;left:8385;top:3227;width:42;height:53" type="#_x0000_t75" stroked="false">
              <v:imagedata r:id="rId160" o:title=""/>
            </v:shape>
            <v:shape style="position:absolute;left:8385;top:3227;width:42;height:53" coordorigin="8385,3227" coordsize="42,53" path="m8385,3252l8385,3268,8394,3280,8406,3280,8417,3280,8427,3268,8427,3252,8427,3240,8417,3227,8406,3227,8394,3227,8385,3240,8385,3252xe" filled="false" stroked="true" strokeweight=".522462pt" strokecolor="#1a466e">
              <v:path arrowok="t"/>
            </v:shape>
            <v:shape style="position:absolute;left:8510;top:2789;width:42;height:56" type="#_x0000_t75" stroked="false">
              <v:imagedata r:id="rId109" o:title=""/>
            </v:shape>
            <v:shape style="position:absolute;left:8510;top:2789;width:42;height:57" coordorigin="8510,2789" coordsize="42,57" path="m8510,2818l8510,2833,8519,2846,8530,2846,8542,2846,8551,2833,8551,2818,8551,2802,8542,2789,8530,2789,8519,2789,8510,2802,8510,2818xe" filled="false" stroked="true" strokeweight=".518042pt" strokecolor="#1a466e">
              <v:path arrowok="t"/>
            </v:shape>
            <v:shape style="position:absolute;left:8680;top:4361;width:39;height:53" type="#_x0000_t75" stroked="false">
              <v:imagedata r:id="rId109" o:title=""/>
            </v:shape>
            <v:shape style="position:absolute;left:8680;top:4361;width:40;height:53" coordorigin="8680,4361" coordsize="40,53" path="m8680,4386l8680,4401,8689,4414,8699,4414,8710,4414,8719,4401,8719,4386,8719,4373,8710,4361,8699,4361,8689,4361,8680,4373,8680,4386xe" filled="false" stroked="true" strokeweight=".5183pt" strokecolor="#1a466e">
              <v:path arrowok="t"/>
            </v:shape>
            <v:shape style="position:absolute;left:9054;top:3324;width:39;height:53" type="#_x0000_t75" stroked="false">
              <v:imagedata r:id="rId96" o:title=""/>
            </v:shape>
            <v:shape style="position:absolute;left:9054;top:3324;width:40;height:53" coordorigin="9054,3324" coordsize="40,53" path="m9054,3349l9054,3364,9063,3376,9072,3376,9084,3376,9093,3364,9093,3349,9093,3336,9084,3324,9072,3324,9063,3324,9054,3336,9054,3349xe" filled="false" stroked="true" strokeweight=".51839pt" strokecolor="#1a466e">
              <v:path arrowok="t"/>
            </v:shape>
            <v:shape style="position:absolute;left:9238;top:3181;width:39;height:53" type="#_x0000_t75" stroked="false">
              <v:imagedata r:id="rId170" o:title=""/>
            </v:shape>
            <v:shape style="position:absolute;left:9238;top:3181;width:40;height:53" coordorigin="9238,3181" coordsize="40,53" path="m9238,3206l9238,3221,9248,3234,9257,3234,9268,3234,9278,3221,9278,3206,9278,3193,9268,3181,9257,3181,9248,3181,9238,3193,9238,3206xe" filled="false" stroked="true" strokeweight=".51839pt" strokecolor="#1a466e">
              <v:path arrowok="t"/>
            </v:shape>
            <v:shape style="position:absolute;left:9526;top:3370;width:39;height:56" type="#_x0000_t75" stroked="false">
              <v:imagedata r:id="rId109" o:title=""/>
            </v:shape>
            <v:shape style="position:absolute;left:9526;top:3370;width:40;height:56" coordorigin="9526,3370" coordsize="40,56" path="m9526,3398l9526,3414,9536,3426,9545,3426,9556,3426,9566,3414,9566,3398,9566,3383,9556,3370,9545,3370,9536,3370,9526,3383,9526,3398xe" filled="false" stroked="true" strokeweight=".514097pt" strokecolor="#1a466e">
              <v:path arrowok="t"/>
            </v:shape>
            <v:shape style="position:absolute;left:773;top:8283;width:7014;height:4855" coordorigin="773,8283" coordsize="7014,4855" path="m6379,4817l6379,1731m6379,4737l6339,4737m6379,4057l6339,4057m6379,3376l6339,3376m6379,2696l6339,2696m6379,2016l6339,2016m6379,4817l9709,4817m6438,4817l6438,4870m7080,4817l7080,4870m7723,4817l7723,4870m8364,4817l8364,4870m9005,4817l9005,4870m9649,4817l9649,4870e" filled="false" stroked="true" strokeweight=".270649pt" strokecolor="#000000">
              <v:path arrowok="t"/>
            </v:shape>
            <v:shape style="position:absolute;left:6369;top:4907;width:142;height:131" type="#_x0000_t202" filled="false" stroked="false">
              <v:textbox inset="0,0,0,0">
                <w:txbxContent>
                  <w:p>
                    <w:pPr>
                      <w:spacing w:line="130" w:lineRule="exact" w:before="0"/>
                      <w:ind w:left="0" w:right="-19" w:firstLine="0"/>
                      <w:jc w:val="left"/>
                      <w:rPr>
                        <w:rFonts w:ascii="Arial"/>
                        <w:sz w:val="13"/>
                      </w:rPr>
                    </w:pPr>
                    <w:r>
                      <w:rPr>
                        <w:rFonts w:ascii="Arial"/>
                        <w:w w:val="75"/>
                        <w:sz w:val="13"/>
                      </w:rPr>
                      <w:t>-40</w:t>
                    </w:r>
                  </w:p>
                </w:txbxContent>
              </v:textbox>
              <w10:wrap type="none"/>
            </v:shape>
            <v:shape style="position:absolute;left:7010;top:4907;width:142;height:131" type="#_x0000_t202" filled="false" stroked="false">
              <v:textbox inset="0,0,0,0">
                <w:txbxContent>
                  <w:p>
                    <w:pPr>
                      <w:spacing w:line="130" w:lineRule="exact" w:before="0"/>
                      <w:ind w:left="0" w:right="-19" w:firstLine="0"/>
                      <w:jc w:val="left"/>
                      <w:rPr>
                        <w:rFonts w:ascii="Arial"/>
                        <w:sz w:val="13"/>
                      </w:rPr>
                    </w:pPr>
                    <w:r>
                      <w:rPr>
                        <w:rFonts w:ascii="Arial"/>
                        <w:w w:val="75"/>
                        <w:sz w:val="13"/>
                      </w:rPr>
                      <w:t>-20</w:t>
                    </w:r>
                  </w:p>
                </w:txbxContent>
              </v:textbox>
              <w10:wrap type="none"/>
            </v:shape>
            <v:shape style="position:absolute;left:7695;top:4907;width:54;height:131" type="#_x0000_t202" filled="false" stroked="false">
              <v:textbox inset="0,0,0,0">
                <w:txbxContent>
                  <w:p>
                    <w:pPr>
                      <w:spacing w:line="130" w:lineRule="exact" w:before="0"/>
                      <w:ind w:left="0" w:right="0" w:firstLine="0"/>
                      <w:jc w:val="left"/>
                      <w:rPr>
                        <w:rFonts w:ascii="Arial"/>
                        <w:sz w:val="13"/>
                      </w:rPr>
                    </w:pPr>
                    <w:r>
                      <w:rPr>
                        <w:rFonts w:ascii="Arial"/>
                        <w:w w:val="74"/>
                        <w:sz w:val="13"/>
                      </w:rPr>
                      <w:t>0</w:t>
                    </w:r>
                  </w:p>
                </w:txbxContent>
              </v:textbox>
              <w10:wrap type="none"/>
            </v:shape>
            <v:shape style="position:absolute;left:8311;top:4907;width:111;height:131" type="#_x0000_t202" filled="false" stroked="false">
              <v:textbox inset="0,0,0,0">
                <w:txbxContent>
                  <w:p>
                    <w:pPr>
                      <w:spacing w:line="130" w:lineRule="exact" w:before="0"/>
                      <w:ind w:left="0" w:right="-18" w:firstLine="0"/>
                      <w:jc w:val="left"/>
                      <w:rPr>
                        <w:rFonts w:ascii="Arial"/>
                        <w:sz w:val="13"/>
                      </w:rPr>
                    </w:pPr>
                    <w:r>
                      <w:rPr>
                        <w:rFonts w:ascii="Arial"/>
                        <w:w w:val="75"/>
                        <w:sz w:val="13"/>
                      </w:rPr>
                      <w:t>20</w:t>
                    </w:r>
                  </w:p>
                </w:txbxContent>
              </v:textbox>
              <w10:wrap type="none"/>
            </v:shape>
            <v:shape style="position:absolute;left:8952;top:4907;width:111;height:131" type="#_x0000_t202" filled="false" stroked="false">
              <v:textbox inset="0,0,0,0">
                <w:txbxContent>
                  <w:p>
                    <w:pPr>
                      <w:spacing w:line="130" w:lineRule="exact" w:before="0"/>
                      <w:ind w:left="0" w:right="-18" w:firstLine="0"/>
                      <w:jc w:val="left"/>
                      <w:rPr>
                        <w:rFonts w:ascii="Arial"/>
                        <w:sz w:val="13"/>
                      </w:rPr>
                    </w:pPr>
                    <w:r>
                      <w:rPr>
                        <w:rFonts w:ascii="Arial"/>
                        <w:w w:val="75"/>
                        <w:sz w:val="13"/>
                      </w:rPr>
                      <w:t>40</w:t>
                    </w:r>
                  </w:p>
                </w:txbxContent>
              </v:textbox>
              <w10:wrap type="none"/>
            </v:shape>
            <v:shape style="position:absolute;left:9596;top:4907;width:111;height:131" type="#_x0000_t202" filled="false" stroked="false">
              <v:textbox inset="0,0,0,0">
                <w:txbxContent>
                  <w:p>
                    <w:pPr>
                      <w:spacing w:line="130" w:lineRule="exact" w:before="0"/>
                      <w:ind w:left="0" w:right="-18" w:firstLine="0"/>
                      <w:jc w:val="left"/>
                      <w:rPr>
                        <w:rFonts w:ascii="Arial"/>
                        <w:sz w:val="13"/>
                      </w:rPr>
                    </w:pPr>
                    <w:r>
                      <w:rPr>
                        <w:rFonts w:ascii="Arial"/>
                        <w:w w:val="75"/>
                        <w:sz w:val="13"/>
                      </w:rPr>
                      <w:t>60</w:t>
                    </w:r>
                  </w:p>
                </w:txbxContent>
              </v:textbox>
              <w10:wrap type="none"/>
            </v:shape>
            <v:shape style="position:absolute;left:7910;top:5035;width:266;height:131" type="#_x0000_t202" filled="false" stroked="false">
              <v:textbox inset="0,0,0,0">
                <w:txbxContent>
                  <w:p>
                    <w:pPr>
                      <w:spacing w:line="130" w:lineRule="exact" w:before="0"/>
                      <w:ind w:left="0" w:right="-2" w:firstLine="0"/>
                      <w:jc w:val="left"/>
                      <w:rPr>
                        <w:rFonts w:ascii="Arial"/>
                        <w:sz w:val="13"/>
                      </w:rPr>
                    </w:pPr>
                    <w:r>
                      <w:rPr>
                        <w:rFonts w:ascii="Arial"/>
                        <w:w w:val="70"/>
                        <w:sz w:val="13"/>
                      </w:rPr>
                      <w:t>va_35</w:t>
                    </w:r>
                  </w:p>
                </w:txbxContent>
              </v:textbox>
              <w10:wrap type="none"/>
            </v:shape>
            <w10:wrap type="none"/>
          </v:group>
        </w:pict>
      </w:r>
      <w:r>
        <w:rPr/>
        <w:pict>
          <v:group style="position:absolute;margin-left:86.726784pt;margin-top:79.682274pt;width:201.2pt;height:186.65pt;mso-position-horizontal-relative:page;mso-position-vertical-relative:paragraph;z-index:6160" coordorigin="1735,1594" coordsize="4024,3733">
            <v:rect style="position:absolute;left:1735;top:1594;width:4023;height:3729" filled="true" fillcolor="#eaf1f3" stroked="false">
              <v:fill type="solid"/>
            </v:rect>
            <v:shape style="position:absolute;left:1738;top:1600;width:4013;height:3723" type="#_x0000_t75" stroked="false">
              <v:imagedata r:id="rId171" o:title=""/>
            </v:shape>
            <v:rect style="position:absolute;left:1738;top:1600;width:4013;height:3723" filled="false" stroked="true" strokeweight=".279569pt" strokecolor="#eaf1f3"/>
            <v:shape style="position:absolute;left:2135;top:1730;width:3516;height:3086" type="#_x0000_t75" stroked="false">
              <v:imagedata r:id="rId172" o:title=""/>
            </v:shape>
            <v:rect style="position:absolute;left:2135;top:1730;width:3516;height:3086" filled="false" stroked="true" strokeweight=".2814pt" strokecolor="#ffffff"/>
            <v:shape style="position:absolute;left:855;top:8724;width:6932;height:4206" coordorigin="855,8724" coordsize="6932,4206" path="m2135,4736l5650,4736m2135,4056l5650,4056m2135,3376l5650,3376m2135,2696l5650,2696m2135,2016l5650,2016e" filled="false" stroked="true" strokeweight=".554124pt" strokecolor="#eaf1f3">
              <v:path arrowok="t"/>
            </v:shape>
            <v:shape style="position:absolute;left:2176;top:3969;width:41;height:56" type="#_x0000_t75" stroked="false">
              <v:imagedata r:id="rId173" o:title=""/>
            </v:shape>
            <v:shape style="position:absolute;left:2176;top:3969;width:42;height:57" coordorigin="2176,3969" coordsize="42,57" path="m2176,3997l2176,4012,2185,4025,2195,4025,2207,4025,2217,4012,2217,3997,2217,3981,2207,3969,2195,3969,2185,3969,2176,3981,2176,3997xe" filled="false" stroked="true" strokeweight=".534335pt" strokecolor="#1a466e">
              <v:path arrowok="t"/>
            </v:shape>
            <v:shape style="position:absolute;left:2227;top:4071;width:44;height:56" type="#_x0000_t75" stroked="false">
              <v:imagedata r:id="rId174" o:title=""/>
            </v:shape>
            <v:shape style="position:absolute;left:2227;top:4071;width:44;height:56" coordorigin="2227,4071" coordsize="44,56" path="m2227,4099l2227,4115,2237,4127,2249,4127,2261,4127,2271,4115,2271,4099,2271,4084,2261,4071,2249,4071,2237,4071,2227,4084,2227,4099xe" filled="false" stroked="true" strokeweight=".53825pt" strokecolor="#1a466e">
              <v:path arrowok="t"/>
            </v:shape>
            <v:shape style="position:absolute;left:2505;top:3904;width:44;height:53" type="#_x0000_t75" stroked="false">
              <v:imagedata r:id="rId95" o:title=""/>
            </v:shape>
            <v:shape style="position:absolute;left:2505;top:3904;width:44;height:53" coordorigin="2505,3904" coordsize="44,53" path="m2505,3928l2505,3944,2514,3956,2526,3956,2539,3956,2548,3944,2548,3928,2548,3916,2539,3904,2526,3904,2514,3904,2505,3916,2505,3928xe" filled="false" stroked="true" strokeweight=".542008pt" strokecolor="#1a466e">
              <v:path arrowok="t"/>
            </v:shape>
            <v:shape style="position:absolute;left:2529;top:3646;width:41;height:53" type="#_x0000_t75" stroked="false">
              <v:imagedata r:id="rId96" o:title=""/>
            </v:shape>
            <v:shape style="position:absolute;left:2529;top:3646;width:42;height:53" coordorigin="2529,3646" coordsize="42,53" path="m2529,3671l2529,3686,2539,3699,2548,3699,2561,3699,2570,3686,2570,3671,2570,3658,2561,3646,2548,3646,2539,3646,2529,3658,2529,3671xe" filled="false" stroked="true" strokeweight=".538193pt" strokecolor="#1a466e">
              <v:path arrowok="t"/>
            </v:shape>
            <v:shape style="position:absolute;left:2539;top:3755;width:41;height:53" type="#_x0000_t75" stroked="false">
              <v:imagedata r:id="rId175" o:title=""/>
            </v:shape>
            <v:shape style="position:absolute;left:2539;top:3755;width:42;height:54" coordorigin="2539,3755" coordsize="42,54" path="m2539,3780l2539,3795,2548,3808,2558,3808,2570,3808,2580,3795,2580,3780,2580,3767,2570,3755,2558,3755,2548,3755,2539,3767,2539,3780xe" filled="false" stroked="true" strokeweight=".537884pt" strokecolor="#1a466e">
              <v:path arrowok="t"/>
            </v:shape>
            <v:shape style="position:absolute;left:2609;top:3680;width:44;height:53" type="#_x0000_t75" stroked="false">
              <v:imagedata r:id="rId109" o:title=""/>
            </v:shape>
            <v:shape style="position:absolute;left:2609;top:3680;width:44;height:53" coordorigin="2609,3680" coordsize="44,53" path="m2609,3705l2609,3720,2619,3733,2631,3733,2643,3733,2653,3720,2653,3705,2653,3692,2643,3680,2631,3680,2619,3680,2609,3692,2609,3705xe" filled="false" stroked="true" strokeweight=".541849pt" strokecolor="#1a466e">
              <v:path arrowok="t"/>
            </v:shape>
            <v:shape style="position:absolute;left:2653;top:3627;width:41;height:56" type="#_x0000_t75" stroked="false">
              <v:imagedata r:id="rId109" o:title=""/>
            </v:shape>
            <v:shape style="position:absolute;left:2653;top:3627;width:42;height:56" coordorigin="2653,3627" coordsize="42,56" path="m2653,3655l2653,3671,2663,3683,2673,3683,2685,3683,2695,3671,2695,3655,2695,3640,2685,3627,2673,3627,2663,3627,2653,3640,2653,3655xe" filled="false" stroked="true" strokeweight=".534775pt" strokecolor="#1a466e">
              <v:path arrowok="t"/>
            </v:shape>
            <v:shape style="position:absolute;left:2765;top:3615;width:41;height:56" type="#_x0000_t75" stroked="false">
              <v:imagedata r:id="rId96" o:title=""/>
            </v:shape>
            <v:shape style="position:absolute;left:2765;top:3615;width:42;height:56" coordorigin="2765,3615" coordsize="42,56" path="m2765,3643l2765,3658,2775,3671,2785,3671,2797,3671,2807,3658,2807,3643,2807,3627,2797,3615,2785,3615,2775,3615,2765,3627,2765,3643xe" filled="false" stroked="true" strokeweight=".534745pt" strokecolor="#1a466e">
              <v:path arrowok="t"/>
            </v:shape>
            <v:shape style="position:absolute;left:2804;top:4360;width:41;height:53" type="#_x0000_t75" stroked="false">
              <v:imagedata r:id="rId114" o:title=""/>
            </v:shape>
            <v:shape style="position:absolute;left:2804;top:4360;width:42;height:53" coordorigin="2804,4360" coordsize="42,53" path="m2804,4385l2804,4400,2814,4413,2824,4413,2836,4413,2846,4400,2846,4385,2846,4373,2836,4360,2824,4360,2814,4360,2804,4373,2804,4385xe" filled="false" stroked="true" strokeweight=".538395pt" strokecolor="#1a466e">
              <v:path arrowok="t"/>
            </v:shape>
            <v:shape style="position:absolute;left:2809;top:3866;width:41;height:56" type="#_x0000_t75" stroked="false">
              <v:imagedata r:id="rId109" o:title=""/>
            </v:shape>
            <v:shape style="position:absolute;left:2809;top:3866;width:42;height:56" coordorigin="2809,3866" coordsize="42,56" path="m2809,3894l2809,3910,2819,3922,2828,3922,2841,3922,2850,3910,2850,3894,2850,3879,2841,3866,2828,3866,2819,3866,2809,3879,2809,3894xe" filled="false" stroked="true" strokeweight=".534753pt" strokecolor="#1a466e">
              <v:path arrowok="t"/>
            </v:shape>
            <v:shape style="position:absolute;left:2821;top:3491;width:41;height:56" type="#_x0000_t75" stroked="false">
              <v:imagedata r:id="rId176" o:title=""/>
            </v:shape>
            <v:shape style="position:absolute;left:2821;top:3491;width:42;height:57" coordorigin="2821,3491" coordsize="42,57" path="m2821,3518l2821,3534,2831,3547,2841,3547,2853,3547,2863,3534,2863,3518,2863,3503,2853,3491,2841,3491,2831,3491,2821,3503,2821,3518xe" filled="false" stroked="true" strokeweight=".53447pt" strokecolor="#1a466e">
              <v:path arrowok="t"/>
            </v:shape>
            <v:shape style="position:absolute;left:2916;top:3425;width:41;height:53" type="#_x0000_t75" stroked="false">
              <v:imagedata r:id="rId96" o:title=""/>
            </v:shape>
            <v:shape style="position:absolute;left:2916;top:3425;width:42;height:53" coordorigin="2916,3425" coordsize="42,53" path="m2916,3450l2916,3466,2926,3478,2936,3478,2948,3478,2957,3466,2957,3450,2957,3438,2948,3425,2936,3425,2926,3425,2916,3438,2916,3450xe" filled="false" stroked="true" strokeweight=".538007pt" strokecolor="#1a466e">
              <v:path arrowok="t"/>
            </v:shape>
            <v:shape style="position:absolute;left:2923;top:3565;width:41;height:53" type="#_x0000_t75" stroked="false">
              <v:imagedata r:id="rId96" o:title=""/>
            </v:shape>
            <v:shape style="position:absolute;left:2923;top:3565;width:42;height:53" coordorigin="2923,3565" coordsize="42,53" path="m2923,3590l2923,3606,2933,3618,2943,3618,2955,3618,2965,3606,2965,3590,2965,3578,2955,3565,2943,3565,2933,3565,2923,3578,2923,3590xe" filled="false" stroked="true" strokeweight=".537852pt" strokecolor="#1a466e">
              <v:path arrowok="t"/>
            </v:shape>
            <v:shape style="position:absolute;left:2928;top:3366;width:41;height:56" type="#_x0000_t75" stroked="false">
              <v:imagedata r:id="rId109" o:title=""/>
            </v:shape>
            <v:shape style="position:absolute;left:2928;top:3366;width:42;height:56" coordorigin="2928,3366" coordsize="42,56" path="m2928,3394l2928,3410,2938,3422,2948,3422,2960,3422,2970,3410,2970,3394,2970,3379,2960,3366,2948,3366,2938,3366,2928,3379,2928,3394xe" filled="false" stroked="true" strokeweight=".534302pt" strokecolor="#1a466e">
              <v:path arrowok="t"/>
            </v:shape>
            <v:shape style="position:absolute;left:2931;top:3658;width:41;height:53" type="#_x0000_t75" stroked="false">
              <v:imagedata r:id="rId96" o:title=""/>
            </v:shape>
            <v:shape style="position:absolute;left:2931;top:3658;width:42;height:53" coordorigin="2931,3658" coordsize="42,53" path="m2931,3683l2931,3699,2941,3711,2950,3711,2962,3711,2972,3699,2972,3683,2972,3671,2962,3658,2950,3658,2941,3658,2931,3671,2931,3683xe" filled="false" stroked="true" strokeweight=".537852pt" strokecolor="#1a466e">
              <v:path arrowok="t"/>
            </v:shape>
            <v:shape style="position:absolute;left:2957;top:3447;width:44;height:53" type="#_x0000_t75" stroked="false">
              <v:imagedata r:id="rId177" o:title=""/>
            </v:shape>
            <v:shape style="position:absolute;left:2957;top:3447;width:44;height:53" coordorigin="2957,3447" coordsize="44,53" path="m2957,3472l2957,3487,2967,3500,2979,3500,2991,3500,3001,3487,3001,3472,3001,3460,2991,3447,2979,3447,2967,3447,2957,3460,2957,3472xe" filled="false" stroked="true" strokeweight=".541978pt" strokecolor="#1a466e">
              <v:path arrowok="t"/>
            </v:shape>
            <v:shape style="position:absolute;left:2982;top:3376;width:44;height:56" type="#_x0000_t75" stroked="false">
              <v:imagedata r:id="rId178" o:title=""/>
            </v:shape>
            <v:shape style="position:absolute;left:2982;top:3376;width:44;height:56" coordorigin="2982,3376" coordsize="44,56" path="m2982,3404l2982,3419,2991,3432,3004,3432,3016,3432,3026,3419,3026,3404,3026,3388,3016,3376,3004,3376,2991,3376,2982,3388,2982,3404xe" filled="false" stroked="true" strokeweight=".538162pt" strokecolor="#1a466e">
              <v:path arrowok="t"/>
            </v:shape>
            <v:shape style="position:absolute;left:2987;top:3907;width:44;height:53" type="#_x0000_t75" stroked="false">
              <v:imagedata r:id="rId179" o:title=""/>
            </v:shape>
            <v:shape style="position:absolute;left:2987;top:3907;width:44;height:53" coordorigin="2987,3907" coordsize="44,53" path="m2987,3932l2987,3947,2996,3959,3008,3959,3021,3959,3030,3947,3030,3932,3030,3919,3021,3907,3008,3907,2996,3907,2987,3919,2987,3932xe" filled="false" stroked="true" strokeweight=".541978pt" strokecolor="#1a466e">
              <v:path arrowok="t"/>
            </v:shape>
            <v:shape style="position:absolute;left:2999;top:3515;width:44;height:56" type="#_x0000_t75" stroked="false">
              <v:imagedata r:id="rId129" o:title=""/>
            </v:shape>
            <v:shape style="position:absolute;left:2999;top:3515;width:44;height:57" coordorigin="2999,3515" coordsize="44,57" path="m2999,3544l2999,3559,3008,3571,3021,3571,3033,3571,3043,3559,3043,3544,3043,3528,3033,3515,3021,3515,3008,3515,2999,3528,2999,3544xe" filled="false" stroked="true" strokeweight=".537871pt" strokecolor="#1a466e">
              <v:path arrowok="t"/>
            </v:shape>
            <v:shape style="position:absolute;left:2999;top:3339;width:44;height:53" type="#_x0000_t75" stroked="false">
              <v:imagedata r:id="rId96" o:title=""/>
            </v:shape>
            <v:shape style="position:absolute;left:2999;top:3339;width:44;height:53" coordorigin="2999,3339" coordsize="44,53" path="m2999,3363l2999,3379,3008,3391,3021,3391,3033,3391,3043,3379,3043,3363,3043,3351,3033,3339,3021,3339,3008,3339,2999,3351,2999,3363xe" filled="false" stroked="true" strokeweight=".541819pt" strokecolor="#1a466e">
              <v:path arrowok="t"/>
            </v:shape>
            <v:shape style="position:absolute;left:3006;top:3370;width:44;height:56" type="#_x0000_t75" stroked="false">
              <v:imagedata r:id="rId109" o:title=""/>
            </v:shape>
            <v:shape style="position:absolute;left:3006;top:3370;width:44;height:56" coordorigin="3006,3370" coordsize="44,56" path="m3006,3398l3006,3413,3016,3425,3028,3425,3040,3425,3050,3413,3050,3398,3050,3382,3040,3370,3028,3370,3016,3370,3006,3382,3006,3398xe" filled="false" stroked="true" strokeweight=".538162pt" strokecolor="#1a466e">
              <v:path arrowok="t"/>
            </v:shape>
            <v:shape style="position:absolute;left:3038;top:3515;width:41;height:56" type="#_x0000_t75" stroked="false">
              <v:imagedata r:id="rId180" o:title=""/>
            </v:shape>
            <v:shape style="position:absolute;left:3038;top:3515;width:42;height:57" coordorigin="3038,3515" coordsize="42,57" path="m3038,3544l3038,3559,3047,3571,3057,3571,3069,3571,3079,3559,3079,3544,3079,3528,3069,3515,3057,3515,3047,3515,3038,3528,3038,3544xe" filled="false" stroked="true" strokeweight=".53432pt" strokecolor="#1a466e">
              <v:path arrowok="t"/>
            </v:shape>
            <v:shape style="position:absolute;left:3045;top:3236;width:41;height:56" type="#_x0000_t75" stroked="false">
              <v:imagedata r:id="rId181" o:title=""/>
            </v:shape>
            <v:shape style="position:absolute;left:3045;top:3236;width:42;height:57" coordorigin="3045,3236" coordsize="42,57" path="m3045,3264l3045,3279,3055,3292,3064,3292,3077,3292,3086,3279,3086,3264,3086,3248,3077,3236,3064,3236,3055,3236,3045,3248,3045,3264xe" filled="false" stroked="true" strokeweight=".53432pt" strokecolor="#1a466e">
              <v:path arrowok="t"/>
            </v:shape>
            <v:shape style="position:absolute;left:3047;top:3537;width:41;height:53" type="#_x0000_t75" stroked="false">
              <v:imagedata r:id="rId96" o:title=""/>
            </v:shape>
            <v:shape style="position:absolute;left:3047;top:3537;width:42;height:53" coordorigin="3047,3537" coordsize="42,53" path="m3047,3562l3047,3578,3057,3590,3067,3590,3079,3590,3089,3578,3089,3562,3089,3550,3079,3537,3067,3537,3057,3537,3047,3550,3047,3562xe" filled="false" stroked="true" strokeweight=".538162pt" strokecolor="#1a466e">
              <v:path arrowok="t"/>
            </v:shape>
            <v:shape style="position:absolute;left:3055;top:3491;width:41;height:56" type="#_x0000_t75" stroked="false">
              <v:imagedata r:id="rId182" o:title=""/>
            </v:shape>
            <v:shape style="position:absolute;left:3055;top:3491;width:42;height:57" coordorigin="3055,3491" coordsize="42,57" path="m3055,3518l3055,3534,3064,3547,3074,3547,3086,3547,3096,3534,3096,3518,3096,3503,3086,3491,3074,3491,3064,3491,3055,3503,3055,3518xe" filled="false" stroked="true" strokeweight=".53432pt" strokecolor="#1a466e">
              <v:path arrowok="t"/>
            </v:shape>
            <v:shape style="position:absolute;left:3069;top:3581;width:41;height:56" type="#_x0000_t75" stroked="false">
              <v:imagedata r:id="rId109" o:title=""/>
            </v:shape>
            <v:shape style="position:absolute;left:3069;top:3581;width:42;height:56" coordorigin="3069,3581" coordsize="42,56" path="m3069,3609l3069,3624,3079,3637,3089,3637,3101,3637,3111,3624,3111,3609,3111,3593,3101,3581,3089,3581,3079,3581,3069,3593,3069,3609xe" filled="false" stroked="true" strokeweight=".534603pt" strokecolor="#1a466e">
              <v:path arrowok="t"/>
            </v:shape>
            <v:shape style="position:absolute;left:3069;top:3522;width:41;height:53" type="#_x0000_t75" stroked="false">
              <v:imagedata r:id="rId109" o:title=""/>
            </v:shape>
            <v:shape style="position:absolute;left:3069;top:3522;width:42;height:54" coordorigin="3069,3522" coordsize="42,54" path="m3069,3547l3069,3562,3079,3575,3089,3575,3101,3575,3111,3562,3111,3547,3111,3534,3101,3522,3089,3522,3079,3522,3069,3534,3069,3547xe" filled="false" stroked="true" strokeweight=".537854pt" strokecolor="#1a466e">
              <v:path arrowok="t"/>
            </v:shape>
            <v:shape style="position:absolute;left:3069;top:3305;width:41;height:53" type="#_x0000_t75" stroked="false">
              <v:imagedata r:id="rId96" o:title=""/>
            </v:shape>
            <v:shape style="position:absolute;left:3069;top:3305;width:42;height:53" coordorigin="3069,3305" coordsize="42,53" path="m3069,3329l3069,3345,3079,3357,3089,3357,3101,3357,3111,3345,3111,3329,3111,3317,3101,3305,3089,3305,3079,3305,3069,3317,3069,3329xe" filled="false" stroked="true" strokeweight=".538317pt" strokecolor="#1a466e">
              <v:path arrowok="t"/>
            </v:shape>
            <v:shape style="position:absolute;left:3089;top:3283;width:44;height:56" type="#_x0000_t75" stroked="false">
              <v:imagedata r:id="rId96" o:title=""/>
            </v:shape>
            <v:shape style="position:absolute;left:3089;top:3283;width:44;height:56" coordorigin="3089,3283" coordsize="44,56" path="m3089,3311l3089,3326,3099,3339,3111,3339,3123,3339,3133,3326,3133,3311,3133,3295,3123,3283,3111,3283,3099,3283,3089,3295,3089,3311xe" filled="false" stroked="true" strokeweight=".538016pt" strokecolor="#1a466e">
              <v:path arrowok="t"/>
            </v:shape>
            <v:shape style="position:absolute;left:3116;top:3730;width:44;height:56" type="#_x0000_t75" stroked="false">
              <v:imagedata r:id="rId183" o:title=""/>
            </v:shape>
            <v:shape style="position:absolute;left:3116;top:3730;width:44;height:57" coordorigin="3116,3730" coordsize="44,57" path="m3116,3758l3116,3773,3125,3786,3138,3786,3150,3786,3160,3773,3160,3758,3160,3742,3150,3730,3138,3730,3125,3730,3116,3742,3116,3758xe" filled="false" stroked="true" strokeweight=".538017pt" strokecolor="#1a466e">
              <v:path arrowok="t"/>
            </v:shape>
            <v:shape style="position:absolute;left:3150;top:3189;width:41;height:53" type="#_x0000_t75" stroked="false">
              <v:imagedata r:id="rId109" o:title=""/>
            </v:shape>
            <v:shape style="position:absolute;left:3150;top:3189;width:42;height:53" coordorigin="3150,3189" coordsize="42,53" path="m3150,3214l3150,3230,3160,3242,3169,3242,3181,3242,3191,3230,3191,3214,3191,3202,3181,3189,3169,3189,3160,3189,3150,3202,3150,3214xe" filled="false" stroked="true" strokeweight=".538317pt" strokecolor="#1a466e">
              <v:path arrowok="t"/>
            </v:shape>
            <v:shape style="position:absolute;left:3157;top:3308;width:41;height:53" type="#_x0000_t75" stroked="false">
              <v:imagedata r:id="rId96" o:title=""/>
            </v:shape>
            <v:shape style="position:absolute;left:3157;top:3308;width:42;height:53" coordorigin="3157,3308" coordsize="42,53" path="m3157,3332l3157,3348,3167,3360,3177,3360,3189,3360,3199,3348,3199,3332,3199,3320,3189,3308,3177,3308,3167,3308,3157,3320,3157,3332xe" filled="false" stroked="true" strokeweight=".538317pt" strokecolor="#1a466e">
              <v:path arrowok="t"/>
            </v:shape>
            <v:shape style="position:absolute;left:3160;top:3308;width:41;height:53" type="#_x0000_t75" stroked="false">
              <v:imagedata r:id="rId96" o:title=""/>
            </v:shape>
            <v:shape style="position:absolute;left:3160;top:3308;width:42;height:53" coordorigin="3160,3308" coordsize="42,53" path="m3160,3332l3160,3348,3169,3360,3179,3360,3191,3360,3201,3348,3201,3332,3201,3320,3191,3308,3179,3308,3169,3308,3160,3320,3160,3332xe" filled="false" stroked="true" strokeweight=".538317pt" strokecolor="#1a466e">
              <v:path arrowok="t"/>
            </v:shape>
            <v:shape style="position:absolute;left:3162;top:3308;width:41;height:53" type="#_x0000_t75" stroked="false">
              <v:imagedata r:id="rId96" o:title=""/>
            </v:shape>
            <v:shape style="position:absolute;left:3162;top:3308;width:42;height:53" coordorigin="3162,3308" coordsize="42,53" path="m3162,3332l3162,3348,3172,3360,3181,3360,3194,3360,3203,3348,3203,3332,3203,3320,3194,3308,3181,3308,3172,3308,3162,3320,3162,3332xe" filled="false" stroked="true" strokeweight=".538317pt" strokecolor="#1a466e">
              <v:path arrowok="t"/>
            </v:shape>
            <v:shape style="position:absolute;left:3174;top:3292;width:41;height:53" type="#_x0000_t75" stroked="false">
              <v:imagedata r:id="rId114" o:title=""/>
            </v:shape>
            <v:shape style="position:absolute;left:3174;top:3292;width:42;height:53" coordorigin="3174,3292" coordsize="42,53" path="m3174,3317l3174,3332,3184,3345,3194,3345,3206,3345,3216,3332,3216,3317,3216,3305,3206,3292,3194,3292,3184,3292,3174,3305,3174,3317xe" filled="false" stroked="true" strokeweight=".538317pt" strokecolor="#1a466e">
              <v:path arrowok="t"/>
            </v:shape>
            <v:shape style="position:absolute;left:3177;top:3301;width:41;height:53" type="#_x0000_t75" stroked="false">
              <v:imagedata r:id="rId109" o:title=""/>
            </v:shape>
            <v:shape style="position:absolute;left:3177;top:3301;width:42;height:53" coordorigin="3177,3301" coordsize="42,53" path="m3177,3326l3177,3342,3186,3354,3196,3354,3208,3354,3218,3342,3218,3326,3218,3314,3208,3301,3196,3301,3186,3301,3177,3314,3177,3326xe" filled="false" stroked="true" strokeweight=".538317pt" strokecolor="#1a466e">
              <v:path arrowok="t"/>
            </v:shape>
            <v:shape style="position:absolute;left:3189;top:3171;width:41;height:56" type="#_x0000_t75" stroked="false">
              <v:imagedata r:id="rId109" o:title=""/>
            </v:shape>
            <v:shape style="position:absolute;left:3189;top:3171;width:42;height:56" coordorigin="3189,3171" coordsize="42,56" path="m3189,3199l3189,3214,3199,3227,3208,3227,3220,3227,3230,3214,3230,3199,3230,3183,3220,3171,3208,3171,3199,3171,3189,3183,3189,3199xe" filled="false" stroked="true" strokeweight=".534603pt" strokecolor="#1a466e">
              <v:path arrowok="t"/>
            </v:shape>
            <v:shape style="position:absolute;left:3199;top:3475;width:41;height:56" type="#_x0000_t75" stroked="false">
              <v:imagedata r:id="rId184" o:title=""/>
            </v:shape>
            <v:shape style="position:absolute;left:3199;top:3475;width:42;height:56" coordorigin="3199,3475" coordsize="42,56" path="m3199,3503l3199,3518,3208,3531,3218,3531,3230,3531,3240,3518,3240,3503,3240,3487,3230,3475,3218,3475,3208,3475,3199,3487,3199,3503xe" filled="false" stroked="true" strokeweight=".534603pt" strokecolor="#1a466e">
              <v:path arrowok="t"/>
            </v:shape>
            <v:shape style="position:absolute;left:3203;top:3438;width:44;height:53" type="#_x0000_t75" stroked="false">
              <v:imagedata r:id="rId185" o:title=""/>
            </v:shape>
            <v:shape style="position:absolute;left:3203;top:3438;width:44;height:53" coordorigin="3203,3438" coordsize="44,53" path="m3203,3463l3203,3478,3213,3491,3225,3491,3237,3491,3247,3478,3247,3463,3247,3450,3237,3438,3225,3438,3213,3438,3203,3450,3203,3463xe" filled="false" stroked="true" strokeweight=".541978pt" strokecolor="#1a466e">
              <v:path arrowok="t"/>
            </v:shape>
            <v:shape style="position:absolute;left:3203;top:3283;width:44;height:56" type="#_x0000_t75" stroked="false">
              <v:imagedata r:id="rId185" o:title=""/>
            </v:shape>
            <v:shape style="position:absolute;left:3203;top:3283;width:44;height:56" coordorigin="3203,3283" coordsize="44,56" path="m3203,3311l3203,3326,3213,3339,3225,3339,3237,3339,3247,3326,3247,3311,3247,3295,3237,3283,3225,3283,3213,3283,3203,3295,3203,3311xe" filled="false" stroked="true" strokeweight=".538016pt" strokecolor="#1a466e">
              <v:path arrowok="t"/>
            </v:shape>
            <v:shape style="position:absolute;left:3206;top:3472;width:44;height:56" type="#_x0000_t75" stroked="false">
              <v:imagedata r:id="rId186" o:title=""/>
            </v:shape>
            <v:shape style="position:absolute;left:3206;top:3472;width:44;height:56" coordorigin="3206,3472" coordsize="44,56" path="m3206,3500l3206,3515,3216,3528,3228,3528,3240,3528,3250,3515,3250,3500,3250,3484,3240,3472,3228,3472,3216,3472,3206,3484,3206,3500xe" filled="false" stroked="true" strokeweight=".538162pt" strokecolor="#1a466e">
              <v:path arrowok="t"/>
            </v:shape>
            <v:shape style="position:absolute;left:3233;top:3305;width:44;height:53" type="#_x0000_t75" stroked="false">
              <v:imagedata r:id="rId187" o:title=""/>
            </v:shape>
            <v:shape style="position:absolute;left:3233;top:3305;width:44;height:53" coordorigin="3233,3305" coordsize="44,53" path="m3233,3329l3233,3345,3242,3357,3254,3357,3267,3357,3276,3345,3276,3329,3276,3317,3267,3305,3254,3305,3242,3305,3233,3317,3233,3329xe" filled="false" stroked="true" strokeweight=".541978pt" strokecolor="#1a466e">
              <v:path arrowok="t"/>
            </v:shape>
            <v:shape style="position:absolute;left:3254;top:3475;width:44;height:56" type="#_x0000_t75" stroked="false">
              <v:imagedata r:id="rId188" o:title=""/>
            </v:shape>
            <v:shape style="position:absolute;left:3254;top:3475;width:44;height:56" coordorigin="3254,3475" coordsize="44,56" path="m3254,3503l3254,3518,3264,3531,3276,3531,3289,3531,3298,3518,3298,3503,3298,3487,3289,3475,3276,3475,3264,3475,3254,3487,3254,3503xe" filled="false" stroked="true" strokeweight=".538162pt" strokecolor="#1a466e">
              <v:path arrowok="t"/>
            </v:shape>
            <v:shape style="position:absolute;left:3325;top:3308;width:41;height:53" type="#_x0000_t75" stroked="false">
              <v:imagedata r:id="rId96" o:title=""/>
            </v:shape>
            <v:shape style="position:absolute;left:3325;top:3308;width:42;height:53" coordorigin="3325,3308" coordsize="42,53" path="m3325,3332l3325,3348,3335,3360,3345,3360,3357,3360,3366,3348,3366,3332,3366,3320,3357,3308,3345,3308,3335,3308,3325,3320,3325,3332xe" filled="false" stroked="true" strokeweight=".538317pt" strokecolor="#1a466e">
              <v:path arrowok="t"/>
            </v:shape>
            <v:shape style="position:absolute;left:3337;top:3370;width:44;height:56" type="#_x0000_t75" stroked="false">
              <v:imagedata r:id="rId109" o:title=""/>
            </v:shape>
            <v:shape style="position:absolute;left:3337;top:3370;width:44;height:56" coordorigin="3337,3370" coordsize="44,56" path="m3337,3398l3337,3413,3347,3425,3359,3425,3371,3425,3381,3413,3381,3398,3381,3382,3371,3370,3359,3370,3347,3370,3337,3382,3337,3398xe" filled="false" stroked="true" strokeweight=".538162pt" strokecolor="#1a466e">
              <v:path arrowok="t"/>
            </v:shape>
            <v:shape style="position:absolute;left:3345;top:3360;width:44;height:56" type="#_x0000_t75" stroked="false">
              <v:imagedata r:id="rId114" o:title=""/>
            </v:shape>
            <v:shape style="position:absolute;left:3345;top:3360;width:44;height:56" coordorigin="3345,3360" coordsize="44,56" path="m3345,3388l3345,3404,3354,3416,3366,3416,3379,3416,3389,3404,3389,3388,3389,3373,3379,3360,3366,3360,3354,3360,3345,3373,3345,3388xe" filled="false" stroked="true" strokeweight=".538308pt" strokecolor="#1a466e">
              <v:path arrowok="t"/>
            </v:shape>
            <v:shape style="position:absolute;left:3371;top:3168;width:44;height:56" type="#_x0000_t75" stroked="false">
              <v:imagedata r:id="rId114" o:title=""/>
            </v:shape>
            <v:shape style="position:absolute;left:3371;top:3168;width:44;height:56" coordorigin="3371,3168" coordsize="44,56" path="m3371,3196l3371,3211,3381,3224,3393,3224,3406,3224,3415,3211,3415,3196,3415,3180,3406,3168,3393,3168,3381,3168,3371,3180,3371,3196xe" filled="false" stroked="true" strokeweight=".538308pt" strokecolor="#1a466e">
              <v:path arrowok="t"/>
            </v:shape>
            <v:shape style="position:absolute;left:3386;top:3177;width:44;height:53" type="#_x0000_t75" stroked="false">
              <v:imagedata r:id="rId96" o:title=""/>
            </v:shape>
            <v:shape style="position:absolute;left:3386;top:3177;width:44;height:53" coordorigin="3386,3177" coordsize="44,53" path="m3386,3202l3386,3217,3396,3230,3408,3230,3420,3230,3430,3217,3430,3202,3430,3189,3420,3177,3408,3177,3396,3177,3386,3189,3386,3202xe" filled="false" stroked="true" strokeweight=".541819pt" strokecolor="#1a466e">
              <v:path arrowok="t"/>
            </v:shape>
            <v:shape style="position:absolute;left:3406;top:3056;width:41;height:53" type="#_x0000_t75" stroked="false">
              <v:imagedata r:id="rId96" o:title=""/>
            </v:shape>
            <v:shape style="position:absolute;left:3406;top:3056;width:42;height:53" coordorigin="3406,3056" coordsize="42,53" path="m3406,3081l3406,3096,3415,3109,3425,3109,3437,3109,3447,3096,3447,3081,3447,3068,3437,3056,3425,3056,3415,3056,3406,3068,3406,3081xe" filled="false" stroked="true" strokeweight=".538162pt" strokecolor="#1a466e">
              <v:path arrowok="t"/>
            </v:shape>
            <v:shape style="position:absolute;left:3427;top:3242;width:41;height:56" type="#_x0000_t75" stroked="false">
              <v:imagedata r:id="rId189" o:title=""/>
            </v:shape>
            <v:shape style="position:absolute;left:3427;top:3242;width:42;height:57" coordorigin="3427,3242" coordsize="42,57" path="m3427,3270l3427,3286,3437,3298,3447,3298,3459,3298,3469,3286,3469,3270,3469,3255,3459,3242,3447,3242,3437,3242,3427,3255,3427,3270xe" filled="false" stroked="true" strokeweight=".53432pt" strokecolor="#1a466e">
              <v:path arrowok="t"/>
            </v:shape>
            <v:shape style="position:absolute;left:3437;top:3404;width:41;height:56" type="#_x0000_t75" stroked="false">
              <v:imagedata r:id="rId96" o:title=""/>
            </v:shape>
            <v:shape style="position:absolute;left:3437;top:3404;width:42;height:56" coordorigin="3437,3404" coordsize="42,56" path="m3437,3432l3437,3447,3447,3460,3457,3460,3469,3460,3479,3447,3479,3432,3479,3416,3469,3404,3457,3404,3447,3404,3437,3416,3437,3432xe" filled="false" stroked="true" strokeweight=".534603pt" strokecolor="#1a466e">
              <v:path arrowok="t"/>
            </v:shape>
            <v:shape style="position:absolute;left:3442;top:3227;width:41;height:53" type="#_x0000_t75" stroked="false">
              <v:imagedata r:id="rId190" o:title=""/>
            </v:shape>
            <v:shape style="position:absolute;left:3442;top:3227;width:42;height:53" coordorigin="3442,3227" coordsize="42,53" path="m3442,3251l3442,3267,3452,3279,3462,3279,3474,3279,3483,3267,3483,3251,3483,3239,3474,3227,3462,3227,3452,3227,3442,3239,3442,3251xe" filled="false" stroked="true" strokeweight=".538162pt" strokecolor="#1a466e">
              <v:path arrowok="t"/>
            </v:shape>
            <v:shape style="position:absolute;left:3464;top:2997;width:44;height:56" type="#_x0000_t75" stroked="false">
              <v:imagedata r:id="rId191" o:title=""/>
            </v:shape>
            <v:shape style="position:absolute;left:3464;top:2997;width:44;height:57" coordorigin="3464,2997" coordsize="44,57" path="m3464,3025l3464,3040,3474,3053,3486,3053,3498,3053,3508,3040,3508,3025,3508,3009,3498,2997,3486,2997,3474,2997,3464,3009,3464,3025xe" filled="false" stroked="true" strokeweight=".537871pt" strokecolor="#1a466e">
              <v:path arrowok="t"/>
            </v:shape>
            <v:shape style="position:absolute;left:3493;top:3227;width:44;height:53" type="#_x0000_t75" stroked="false">
              <v:imagedata r:id="rId192" o:title=""/>
            </v:shape>
            <v:shape style="position:absolute;left:3493;top:3227;width:44;height:53" coordorigin="3493,3227" coordsize="44,53" path="m3493,3251l3493,3267,3503,3279,3515,3279,3527,3279,3537,3267,3537,3251,3537,3239,3527,3227,3515,3227,3503,3227,3493,3239,3493,3251xe" filled="false" stroked="true" strokeweight=".541819pt" strokecolor="#1a466e">
              <v:path arrowok="t"/>
            </v:shape>
            <v:shape style="position:absolute;left:3505;top:3404;width:44;height:56" type="#_x0000_t75" stroked="false">
              <v:imagedata r:id="rId96" o:title=""/>
            </v:shape>
            <v:shape style="position:absolute;left:3505;top:3404;width:44;height:56" coordorigin="3505,3404" coordsize="44,56" path="m3505,3432l3505,3447,3515,3460,3527,3460,3539,3460,3549,3447,3549,3432,3549,3416,3539,3404,3527,3404,3515,3404,3505,3416,3505,3432xe" filled="false" stroked="true" strokeweight=".538162pt" strokecolor="#1a466e">
              <v:path arrowok="t"/>
            </v:shape>
            <v:shape style="position:absolute;left:3559;top:3155;width:41;height:56" type="#_x0000_t75" stroked="false">
              <v:imagedata r:id="rId96" o:title=""/>
            </v:shape>
            <v:shape style="position:absolute;left:3559;top:3155;width:42;height:56" coordorigin="3559,3155" coordsize="42,56" path="m3559,3183l3559,3199,3569,3211,3578,3211,3591,3211,3600,3199,3600,3183,3600,3168,3591,3155,3578,3155,3569,3155,3559,3168,3559,3183xe" filled="false" stroked="true" strokeweight=".534745pt" strokecolor="#1a466e">
              <v:path arrowok="t"/>
            </v:shape>
            <v:shape style="position:absolute;left:3722;top:3233;width:44;height:56" type="#_x0000_t75" stroked="false">
              <v:imagedata r:id="rId193" o:title=""/>
            </v:shape>
            <v:shape style="position:absolute;left:3722;top:3233;width:44;height:56" coordorigin="3722,3233" coordsize="44,56" path="m3722,3261l3722,3276,3732,3289,3744,3289,3756,3289,3766,3276,3766,3261,3766,3245,3756,3233,3744,3233,3732,3233,3722,3245,3722,3261xe" filled="false" stroked="true" strokeweight=".538015pt" strokecolor="#1a466e">
              <v:path arrowok="t"/>
            </v:shape>
            <v:shape style="position:absolute;left:3732;top:2817;width:44;height:56" type="#_x0000_t75" stroked="false">
              <v:imagedata r:id="rId194" o:title=""/>
            </v:shape>
            <v:shape style="position:absolute;left:3732;top:2817;width:44;height:56" coordorigin="3732,2817" coordsize="44,56" path="m3732,2845l3732,2860,3742,2873,3754,2873,3766,2873,3776,2860,3776,2845,3776,2829,3766,2817,3754,2817,3742,2817,3732,2829,3732,2845xe" filled="false" stroked="true" strokeweight=".538015pt" strokecolor="#1a466e">
              <v:path arrowok="t"/>
            </v:shape>
            <v:shape style="position:absolute;left:3739;top:3180;width:44;height:53" type="#_x0000_t75" stroked="false">
              <v:imagedata r:id="rId195" o:title=""/>
            </v:shape>
            <v:shape style="position:absolute;left:3739;top:3180;width:44;height:53" coordorigin="3739,3180" coordsize="44,53" path="m3739,3205l3739,3220,3749,3233,3761,3233,3773,3233,3783,3220,3783,3205,3783,3193,3773,3180,3761,3180,3749,3180,3739,3193,3739,3205xe" filled="false" stroked="true" strokeweight=".541519pt" strokecolor="#1a466e">
              <v:path arrowok="t"/>
            </v:shape>
            <v:shape style="position:absolute;left:3742;top:2991;width:44;height:53" type="#_x0000_t75" stroked="false">
              <v:imagedata r:id="rId196" o:title=""/>
            </v:shape>
            <v:shape style="position:absolute;left:3742;top:2991;width:44;height:53" coordorigin="3742,2991" coordsize="44,53" path="m3742,3015l3742,3031,3751,3043,3763,3043,3776,3043,3785,3031,3785,3015,3785,3003,3776,2991,3763,2991,3751,2991,3742,3003,3742,3015xe" filled="false" stroked="true" strokeweight=".541519pt" strokecolor="#1a466e">
              <v:path arrowok="t"/>
            </v:shape>
            <v:shape style="position:absolute;left:3756;top:2671;width:44;height:56" type="#_x0000_t75" stroked="false">
              <v:imagedata r:id="rId109" o:title=""/>
            </v:shape>
            <v:shape style="position:absolute;left:3756;top:2671;width:44;height:56" coordorigin="3756,2671" coordsize="44,56" path="m3756,2699l3756,2714,3766,2727,3778,2727,3790,2727,3800,2714,3800,2699,3800,2683,3790,2671,3778,2671,3766,2671,3756,2683,3756,2699xe" filled="false" stroked="true" strokeweight=".538162pt" strokecolor="#1a466e">
              <v:path arrowok="t"/>
            </v:shape>
            <v:shape style="position:absolute;left:3807;top:3267;width:41;height:56" type="#_x0000_t75" stroked="false">
              <v:imagedata r:id="rId197" o:title=""/>
            </v:shape>
            <v:shape style="position:absolute;left:3807;top:3267;width:42;height:57" coordorigin="3807,3267" coordsize="42,57" path="m3807,3295l3807,3311,3817,3323,3827,3323,3839,3323,3849,3311,3849,3295,3849,3279,3839,3267,3827,3267,3817,3267,3807,3279,3807,3295xe" filled="false" stroked="true" strokeweight=".53432pt" strokecolor="#1a466e">
              <v:path arrowok="t"/>
            </v:shape>
            <v:shape style="position:absolute;left:3829;top:2789;width:41;height:56" type="#_x0000_t75" stroked="false">
              <v:imagedata r:id="rId109" o:title=""/>
            </v:shape>
            <v:shape style="position:absolute;left:3829;top:2789;width:42;height:57" coordorigin="3829,2789" coordsize="42,57" path="m3829,2817l3829,2833,3839,2845,3849,2845,3861,2845,3870,2833,3870,2817,3870,2801,3861,2789,3849,2789,3839,2789,3829,2801,3829,2817xe" filled="false" stroked="true" strokeweight=".53432pt" strokecolor="#1a466e">
              <v:path arrowok="t"/>
            </v:shape>
            <v:shape style="position:absolute;left:3936;top:2509;width:41;height:53" type="#_x0000_t75" stroked="false">
              <v:imagedata r:id="rId198" o:title=""/>
            </v:shape>
            <v:shape style="position:absolute;left:3936;top:2509;width:42;height:54" coordorigin="3936,2509" coordsize="42,54" path="m3936,2534l3936,2550,3946,2562,3956,2562,3968,2562,3978,2550,3978,2534,3978,2522,3968,2509,3956,2509,3946,2509,3936,2522,3936,2534xe" filled="false" stroked="true" strokeweight=".538008pt" strokecolor="#1a466e">
              <v:path arrowok="t"/>
            </v:shape>
            <v:shape style="position:absolute;left:4065;top:1963;width:41;height:56" type="#_x0000_t75" stroked="false">
              <v:imagedata r:id="rId96" o:title=""/>
            </v:shape>
            <v:shape style="position:absolute;left:4065;top:1963;width:42;height:56" coordorigin="4065,1963" coordsize="42,56" path="m4065,1991l4065,2006,4075,2019,4085,2019,4097,2019,4107,2006,4107,1991,4107,1975,4097,1963,4085,1963,4075,1963,4065,1975,4065,1991xe" filled="false" stroked="true" strokeweight=".534745pt" strokecolor="#1a466e">
              <v:path arrowok="t"/>
            </v:shape>
            <v:shape style="position:absolute;left:4097;top:2975;width:44;height:53" type="#_x0000_t75" stroked="false">
              <v:imagedata r:id="rId199" o:title=""/>
            </v:shape>
            <v:shape style="position:absolute;left:4097;top:2975;width:44;height:53" coordorigin="4097,2975" coordsize="44,53" path="m4097,3000l4097,3015,4107,3028,4119,3028,4131,3028,4141,3015,4141,3000,4141,2988,4131,2975,4119,2975,4107,2975,4097,2988,4097,3000xe" filled="false" stroked="true" strokeweight=".541978pt" strokecolor="#1a466e">
              <v:path arrowok="t"/>
            </v:shape>
            <v:shape style="position:absolute;left:4204;top:3323;width:41;height:53" type="#_x0000_t75" stroked="false">
              <v:imagedata r:id="rId200" o:title=""/>
            </v:shape>
            <v:shape style="position:absolute;left:4204;top:3323;width:42;height:53" coordorigin="4204,3323" coordsize="42,53" path="m4204,3348l4204,3363,4214,3376,4224,3376,4236,3376,4246,3363,4246,3348,4246,3336,4236,3323,4224,3323,4214,3323,4204,3336,4204,3348xe" filled="false" stroked="true" strokeweight=".538317pt" strokecolor="#1a466e">
              <v:path arrowok="t"/>
            </v:shape>
            <v:shape style="position:absolute;left:4255;top:2888;width:44;height:56" type="#_x0000_t75" stroked="false">
              <v:imagedata r:id="rId109" o:title=""/>
            </v:shape>
            <v:shape style="position:absolute;left:4255;top:2888;width:44;height:56" coordorigin="4255,2888" coordsize="44,56" path="m4255,2916l4255,2932,4265,2944,4277,2944,4289,2944,4299,2932,4299,2916,4299,2901,4289,2888,4277,2888,4265,2888,4255,2901,4255,2916xe" filled="false" stroked="true" strokeweight=".538162pt" strokecolor="#1a466e">
              <v:path arrowok="t"/>
            </v:shape>
            <v:shape style="position:absolute;left:4757;top:2944;width:44;height:53" type="#_x0000_t75" stroked="false">
              <v:imagedata r:id="rId96" o:title=""/>
            </v:shape>
            <v:shape style="position:absolute;left:4757;top:2944;width:44;height:53" coordorigin="4757,2944" coordsize="44,53" path="m4757,2969l4757,2984,4767,2997,4779,2997,4791,2997,4801,2984,4801,2969,4801,2957,4791,2944,4779,2944,4767,2944,4757,2957,4757,2969xe" filled="false" stroked="true" strokeweight=".541978pt" strokecolor="#1a466e">
              <v:path arrowok="t"/>
            </v:shape>
            <v:shape style="position:absolute;left:5103;top:1783;width:44;height:53" type="#_x0000_t75" stroked="false">
              <v:imagedata r:id="rId95" o:title=""/>
            </v:shape>
            <v:shape style="position:absolute;left:5103;top:1783;width:44;height:54" coordorigin="5103,1783" coordsize="44,54" path="m5103,1808l5103,1823,5112,1836,5125,1836,5137,1836,5147,1823,5147,1808,5147,1795,5137,1783,5125,1783,5112,1783,5103,1795,5103,1808xe" filled="false" stroked="true" strokeweight=".541503pt" strokecolor="#1a466e">
              <v:path arrowok="t"/>
            </v:shape>
            <v:shape style="position:absolute;left:773;top:8283;width:7014;height:4855" coordorigin="773,8283" coordsize="7014,4855" path="m2135,4817l2135,1730m2135,4736l2093,4736m2135,4056l2093,4056m2135,3376l2093,3376m2135,2696l2093,2696m2135,2016l2093,2016m2135,4817l5650,4817m2334,4817l2334,4869m3147,4817l3147,4869m3961,4817l3961,4869m4774,4817l4774,4869m5587,4817l5587,4869e" filled="false" stroked="true" strokeweight=".277062pt" strokecolor="#000000">
              <v:path arrowok="t"/>
            </v:shape>
            <v:shape style="position:absolute;left:2261;top:4907;width:150;height:131" type="#_x0000_t202" filled="false" stroked="false">
              <v:textbox inset="0,0,0,0">
                <w:txbxContent>
                  <w:p>
                    <w:pPr>
                      <w:spacing w:line="130" w:lineRule="exact" w:before="0"/>
                      <w:ind w:left="0" w:right="-11" w:firstLine="0"/>
                      <w:jc w:val="left"/>
                      <w:rPr>
                        <w:rFonts w:ascii="Arial"/>
                        <w:sz w:val="13"/>
                      </w:rPr>
                    </w:pPr>
                    <w:r>
                      <w:rPr>
                        <w:rFonts w:ascii="Arial"/>
                        <w:w w:val="75"/>
                        <w:sz w:val="13"/>
                      </w:rPr>
                      <w:t>-20</w:t>
                    </w:r>
                  </w:p>
                </w:txbxContent>
              </v:textbox>
              <w10:wrap type="none"/>
            </v:shape>
            <v:shape style="position:absolute;left:3118;top:4907;width:57;height:131" type="#_x0000_t202" filled="false" stroked="false">
              <v:textbox inset="0,0,0,0">
                <w:txbxContent>
                  <w:p>
                    <w:pPr>
                      <w:spacing w:line="130" w:lineRule="exact" w:before="0"/>
                      <w:ind w:left="0" w:right="0" w:firstLine="0"/>
                      <w:jc w:val="left"/>
                      <w:rPr>
                        <w:rFonts w:ascii="Arial"/>
                        <w:sz w:val="13"/>
                      </w:rPr>
                    </w:pPr>
                    <w:r>
                      <w:rPr>
                        <w:rFonts w:ascii="Arial"/>
                        <w:w w:val="78"/>
                        <w:sz w:val="13"/>
                      </w:rPr>
                      <w:t>0</w:t>
                    </w:r>
                  </w:p>
                </w:txbxContent>
              </v:textbox>
              <w10:wrap type="none"/>
            </v:shape>
            <v:shape style="position:absolute;left:3839;top:4907;width:183;height:258" type="#_x0000_t202" filled="false" stroked="false">
              <v:textbox inset="0,0,0,0">
                <w:txbxContent>
                  <w:p>
                    <w:pPr>
                      <w:spacing w:line="122" w:lineRule="exact" w:before="0"/>
                      <w:ind w:left="65" w:right="-18" w:firstLine="0"/>
                      <w:jc w:val="left"/>
                      <w:rPr>
                        <w:rFonts w:ascii="Arial"/>
                        <w:sz w:val="13"/>
                      </w:rPr>
                    </w:pPr>
                    <w:r>
                      <w:rPr>
                        <w:rFonts w:ascii="Arial"/>
                        <w:w w:val="80"/>
                        <w:sz w:val="13"/>
                      </w:rPr>
                      <w:t>20</w:t>
                    </w:r>
                  </w:p>
                  <w:p>
                    <w:pPr>
                      <w:spacing w:line="136" w:lineRule="exact" w:before="0"/>
                      <w:ind w:left="0" w:right="-18" w:firstLine="0"/>
                      <w:jc w:val="left"/>
                      <w:rPr>
                        <w:rFonts w:ascii="Arial"/>
                        <w:sz w:val="13"/>
                      </w:rPr>
                    </w:pPr>
                    <w:r>
                      <w:rPr>
                        <w:rFonts w:ascii="Arial"/>
                        <w:w w:val="90"/>
                        <w:sz w:val="13"/>
                      </w:rPr>
                      <w:t>va</w:t>
                    </w:r>
                  </w:p>
                </w:txbxContent>
              </v:textbox>
              <w10:wrap type="none"/>
            </v:shape>
            <v:shape style="position:absolute;left:4718;top:4907;width:117;height:131" type="#_x0000_t202" filled="false" stroked="false">
              <v:textbox inset="0,0,0,0">
                <w:txbxContent>
                  <w:p>
                    <w:pPr>
                      <w:spacing w:line="130" w:lineRule="exact" w:before="0"/>
                      <w:ind w:left="0" w:right="-19" w:firstLine="0"/>
                      <w:jc w:val="left"/>
                      <w:rPr>
                        <w:rFonts w:ascii="Arial"/>
                        <w:sz w:val="13"/>
                      </w:rPr>
                    </w:pPr>
                    <w:r>
                      <w:rPr>
                        <w:rFonts w:ascii="Arial"/>
                        <w:w w:val="80"/>
                        <w:sz w:val="13"/>
                      </w:rPr>
                      <w:t>40</w:t>
                    </w:r>
                  </w:p>
                </w:txbxContent>
              </v:textbox>
              <w10:wrap type="none"/>
            </v:shape>
            <v:shape style="position:absolute;left:5531;top:4907;width:117;height:131" type="#_x0000_t202" filled="false" stroked="false">
              <v:textbox inset="0,0,0,0">
                <w:txbxContent>
                  <w:p>
                    <w:pPr>
                      <w:spacing w:line="130" w:lineRule="exact" w:before="0"/>
                      <w:ind w:left="0" w:right="-19" w:firstLine="0"/>
                      <w:jc w:val="left"/>
                      <w:rPr>
                        <w:rFonts w:ascii="Arial"/>
                        <w:sz w:val="13"/>
                      </w:rPr>
                    </w:pPr>
                    <w:r>
                      <w:rPr>
                        <w:rFonts w:ascii="Arial"/>
                        <w:w w:val="80"/>
                        <w:sz w:val="13"/>
                      </w:rPr>
                      <w:t>60</w:t>
                    </w:r>
                  </w:p>
                </w:txbxContent>
              </v:textbox>
              <w10:wrap type="none"/>
            </v:shape>
            <w10:wrap type="none"/>
          </v:group>
        </w:pict>
      </w:r>
      <w:r>
        <w:rPr/>
        <w:pict>
          <v:shape style="position:absolute;margin-left:93.301994pt;margin-top:130.213425pt;width:7.15pt;height:9.15pt;mso-position-horizontal-relative:page;mso-position-vertical-relative:paragraph;z-index:6328" type="#_x0000_t202" filled="false" stroked="false">
            <v:textbox inset="0,0,0,0" style="layout-flow:vertical;mso-layout-flow-alt:bottom-to-top">
              <w:txbxContent>
                <w:p>
                  <w:pPr>
                    <w:spacing w:before="9"/>
                    <w:ind w:left="20" w:right="-39" w:firstLine="0"/>
                    <w:jc w:val="left"/>
                    <w:rPr>
                      <w:rFonts w:ascii="Arial"/>
                      <w:sz w:val="10"/>
                    </w:rPr>
                  </w:pPr>
                  <w:r>
                    <w:rPr>
                      <w:rFonts w:ascii="Arial"/>
                      <w:spacing w:val="-2"/>
                      <w:w w:val="130"/>
                      <w:sz w:val="10"/>
                    </w:rPr>
                    <w:t>20</w:t>
                  </w:r>
                </w:p>
              </w:txbxContent>
            </v:textbox>
            <w10:wrap type="none"/>
          </v:shape>
        </w:pict>
      </w:r>
      <w:r>
        <w:rPr/>
        <w:pict>
          <v:shape style="position:absolute;margin-left:93.301994pt;margin-top:96.222633pt;width:7.15pt;height:9.15pt;mso-position-horizontal-relative:page;mso-position-vertical-relative:paragraph;z-index:6352" type="#_x0000_t202" filled="false" stroked="false">
            <v:textbox inset="0,0,0,0" style="layout-flow:vertical;mso-layout-flow-alt:bottom-to-top">
              <w:txbxContent>
                <w:p>
                  <w:pPr>
                    <w:spacing w:before="9"/>
                    <w:ind w:left="20" w:right="-39" w:firstLine="0"/>
                    <w:jc w:val="left"/>
                    <w:rPr>
                      <w:rFonts w:ascii="Arial"/>
                      <w:sz w:val="10"/>
                    </w:rPr>
                  </w:pPr>
                  <w:r>
                    <w:rPr>
                      <w:rFonts w:ascii="Arial"/>
                      <w:spacing w:val="-2"/>
                      <w:w w:val="130"/>
                      <w:sz w:val="10"/>
                    </w:rPr>
                    <w:t>40</w:t>
                  </w:r>
                </w:p>
              </w:txbxContent>
            </v:textbox>
            <w10:wrap type="none"/>
          </v:shape>
        </w:pict>
      </w:r>
      <w:r>
        <w:rPr/>
        <w:pict>
          <v:shape style="position:absolute;margin-left:306.163025pt;margin-top:130.242706pt;width:6.85pt;height:9.15pt;mso-position-horizontal-relative:page;mso-position-vertical-relative:paragraph;z-index:6568" type="#_x0000_t202" filled="false" stroked="false">
            <v:textbox inset="0,0,0,0" style="layout-flow:vertical;mso-layout-flow-alt:bottom-to-top">
              <w:txbxContent>
                <w:p>
                  <w:pPr>
                    <w:spacing w:before="14"/>
                    <w:ind w:left="20" w:right="-45" w:firstLine="0"/>
                    <w:jc w:val="left"/>
                    <w:rPr>
                      <w:rFonts w:ascii="Arial"/>
                      <w:sz w:val="9"/>
                    </w:rPr>
                  </w:pPr>
                  <w:r>
                    <w:rPr>
                      <w:rFonts w:ascii="Arial"/>
                      <w:spacing w:val="-2"/>
                      <w:w w:val="144"/>
                      <w:sz w:val="9"/>
                    </w:rPr>
                    <w:t>20</w:t>
                  </w:r>
                </w:p>
              </w:txbxContent>
            </v:textbox>
            <w10:wrap type="none"/>
          </v:shape>
        </w:pict>
      </w:r>
      <w:r>
        <w:rPr/>
        <w:pict>
          <v:shape style="position:absolute;margin-left:306.163025pt;margin-top:96.246788pt;width:6.85pt;height:9.15pt;mso-position-horizontal-relative:page;mso-position-vertical-relative:paragraph;z-index:6592" type="#_x0000_t202" filled="false" stroked="false">
            <v:textbox inset="0,0,0,0" style="layout-flow:vertical;mso-layout-flow-alt:bottom-to-top">
              <w:txbxContent>
                <w:p>
                  <w:pPr>
                    <w:spacing w:before="14"/>
                    <w:ind w:left="20" w:right="-45" w:firstLine="0"/>
                    <w:jc w:val="left"/>
                    <w:rPr>
                      <w:rFonts w:ascii="Arial"/>
                      <w:sz w:val="9"/>
                    </w:rPr>
                  </w:pPr>
                  <w:r>
                    <w:rPr>
                      <w:rFonts w:ascii="Arial"/>
                      <w:spacing w:val="-2"/>
                      <w:w w:val="144"/>
                      <w:sz w:val="9"/>
                    </w:rPr>
                    <w:t>40</w:t>
                  </w:r>
                </w:p>
              </w:txbxContent>
            </v:textbox>
            <w10:wrap type="none"/>
          </v:shape>
        </w:pict>
      </w:r>
      <w:r>
        <w:rPr>
          <w:rFonts w:ascii="Arial" w:hAnsi="Arial"/>
        </w:rPr>
        <w:t>Gráficas de correlación Región Valle de México</w:t>
      </w:r>
    </w:p>
    <w:p>
      <w:pPr>
        <w:spacing w:after="0" w:line="451" w:lineRule="auto"/>
        <w:jc w:val="center"/>
        <w:rPr>
          <w:rFonts w:ascii="Arial" w:hAnsi="Arial"/>
        </w:rPr>
        <w:sectPr>
          <w:pgSz w:w="12240" w:h="15840"/>
          <w:pgMar w:header="0" w:footer="1003" w:top="1360" w:bottom="1200" w:left="1620" w:right="140"/>
        </w:sectPr>
      </w:pPr>
    </w:p>
    <w:p>
      <w:pPr>
        <w:pStyle w:val="BodyText"/>
        <w:rPr>
          <w:rFonts w:ascii="Arial"/>
          <w:b/>
          <w:sz w:val="20"/>
        </w:rPr>
      </w:pPr>
      <w:r>
        <w:rPr/>
        <w:pict>
          <v:group style="position:absolute;margin-left:86.673302pt;margin-top:538.524902pt;width:195.3pt;height:179.4pt;mso-position-horizontal-relative:page;mso-position-vertical-relative:page;z-index:7288" coordorigin="1733,10770" coordsize="3906,3588">
            <v:rect style="position:absolute;left:1734;top:10770;width:3905;height:3584" filled="true" fillcolor="#eaf1f3" stroked="false">
              <v:fill type="solid"/>
            </v:rect>
            <v:shape style="position:absolute;left:1736;top:10776;width:3895;height:3578" type="#_x0000_t75" stroked="false">
              <v:imagedata r:id="rId201" o:title=""/>
            </v:shape>
            <v:rect style="position:absolute;left:1736;top:10776;width:3895;height:3578" filled="false" stroked="true" strokeweight=".270087pt" strokecolor="#eaf1f3"/>
            <v:shape style="position:absolute;left:2122;top:10902;width:3413;height:2966" type="#_x0000_t75" stroked="false">
              <v:imagedata r:id="rId202" o:title=""/>
            </v:shape>
            <v:rect style="position:absolute;left:2122;top:10902;width:3413;height:2966" filled="false" stroked="true" strokeweight=".271779pt" strokecolor="#ffffff"/>
            <v:shape style="position:absolute;left:2122;top:10973;width:3413;height:2824" coordorigin="2122,10973" coordsize="3413,2824" path="m5535,13784l2122,13784,2122,13796,5535,13796,5535,13784m5535,13223l2122,13223,2122,13235,5535,13235,5535,13223m5535,12660l2122,12660,2122,12671,5535,12671,5535,12660m5535,12098l2122,12098,2122,12110,5535,12110,5535,12098m5535,11537l2122,11537,2122,11549,5535,11549,5535,11537m5535,10973l2122,10973,2122,10985,5535,10985,5535,10973e" filled="true" fillcolor="#eaf1f3" stroked="false">
              <v:path arrowok="t"/>
              <v:fill type="solid"/>
            </v:shape>
            <v:shape style="position:absolute;left:2344;top:11982;width:43;height:51" type="#_x0000_t75" stroked="false">
              <v:imagedata r:id="rId95" o:title=""/>
            </v:shape>
            <v:shape style="position:absolute;left:2344;top:11982;width:43;height:51" coordorigin="2344,11982" coordsize="43,51" path="m2344,12006l2344,12021,2353,12033,2365,12033,2377,12033,2386,12021,2386,12006,2386,11994,2377,11982,2365,11982,2353,11982,2344,11994,2344,12006xe" filled="false" stroked="true" strokeweight=".524145pt" strokecolor="#1a466e">
              <v:path arrowok="t"/>
            </v:shape>
            <v:shape style="position:absolute;left:2349;top:12376;width:43;height:54" type="#_x0000_t75" stroked="false">
              <v:imagedata r:id="rId96" o:title=""/>
            </v:shape>
            <v:shape style="position:absolute;left:2349;top:12376;width:43;height:54" coordorigin="2349,12376" coordsize="43,54" path="m2349,12403l2349,12418,2358,12430,2370,12430,2382,12430,2391,12418,2391,12403,2391,12388,2382,12376,2370,12376,2358,12376,2349,12388,2349,12403xe" filled="false" stroked="true" strokeweight=".520472pt" strokecolor="#1a466e">
              <v:path arrowok="t"/>
            </v:shape>
            <v:shape style="position:absolute;left:2498;top:13665;width:40;height:51" type="#_x0000_t75" stroked="false">
              <v:imagedata r:id="rId203" o:title=""/>
            </v:shape>
            <v:shape style="position:absolute;left:2498;top:13665;width:41;height:51" coordorigin="2498,13665" coordsize="41,51" path="m2498,13689l2498,13704,2507,13716,2516,13716,2528,13716,2538,13704,2538,13689,2538,13677,2528,13665,2516,13665,2507,13665,2498,13677,2498,13689xe" filled="false" stroked="true" strokeweight=".520803pt" strokecolor="#1a466e">
              <v:path arrowok="t"/>
            </v:shape>
            <v:shape style="position:absolute;left:2568;top:12779;width:43;height:51" type="#_x0000_t75" stroked="false">
              <v:imagedata r:id="rId96" o:title=""/>
            </v:shape>
            <v:shape style="position:absolute;left:2568;top:12779;width:43;height:51" coordorigin="2568,12779" coordsize="43,51" path="m2568,12803l2568,12817,2578,12829,2590,12829,2602,12829,2611,12817,2611,12803,2611,12791,2602,12779,2590,12779,2578,12779,2568,12791,2568,12803xe" filled="false" stroked="true" strokeweight=".524145pt" strokecolor="#1a466e">
              <v:path arrowok="t"/>
            </v:shape>
            <v:shape style="position:absolute;left:2573;top:12451;width:43;height:51" type="#_x0000_t75" stroked="false">
              <v:imagedata r:id="rId95" o:title=""/>
            </v:shape>
            <v:shape style="position:absolute;left:2573;top:12451;width:43;height:51" coordorigin="2573,12451" coordsize="43,51" path="m2573,12474l2573,12489,2583,12501,2595,12501,2606,12501,2616,12489,2616,12474,2616,12462,2606,12451,2595,12451,2583,12451,2573,12462,2573,12474xe" filled="false" stroked="true" strokeweight=".524145pt" strokecolor="#1a466e">
              <v:path arrowok="t"/>
            </v:shape>
            <v:shape style="position:absolute;left:2639;top:13044;width:40;height:54" type="#_x0000_t75" stroked="false">
              <v:imagedata r:id="rId109" o:title=""/>
            </v:shape>
            <v:shape style="position:absolute;left:2639;top:13044;width:41;height:54" coordorigin="2639,13044" coordsize="41,54" path="m2639,13071l2639,13086,2649,13098,2658,13098,2670,13098,2680,13086,2680,13071,2680,13056,2670,13044,2658,13044,2649,13044,2639,13056,2639,13071xe" filled="false" stroked="true" strokeweight=".517431pt" strokecolor="#1a466e">
              <v:path arrowok="t"/>
            </v:shape>
            <v:shape style="position:absolute;left:2668;top:12454;width:40;height:51" type="#_x0000_t75" stroked="false">
              <v:imagedata r:id="rId96" o:title=""/>
            </v:shape>
            <v:shape style="position:absolute;left:2668;top:12454;width:41;height:51" coordorigin="2668,12454" coordsize="41,51" path="m2668,12477l2668,12492,2677,12504,2687,12504,2699,12504,2708,12492,2708,12477,2708,12465,2699,12454,2687,12454,2677,12454,2668,12465,2668,12477xe" filled="false" stroked="true" strokeweight=".520731pt" strokecolor="#1a466e">
              <v:path arrowok="t"/>
            </v:shape>
            <v:shape style="position:absolute;left:2706;top:12629;width:43;height:51" type="#_x0000_t75" stroked="false">
              <v:imagedata r:id="rId204" o:title=""/>
            </v:shape>
            <v:shape style="position:absolute;left:2706;top:12629;width:43;height:51" coordorigin="2706,12629" coordsize="43,51" path="m2706,12654l2706,12668,2715,12680,2727,12680,2739,12680,2748,12668,2748,12654,2748,12642,2739,12629,2727,12629,2715,12629,2706,12642,2706,12654xe" filled="false" stroked="true" strokeweight=".523823pt" strokecolor="#1a466e">
              <v:path arrowok="t"/>
            </v:shape>
            <v:shape style="position:absolute;left:2727;top:12916;width:43;height:54" type="#_x0000_t75" stroked="false">
              <v:imagedata r:id="rId205" o:title=""/>
            </v:shape>
            <v:shape style="position:absolute;left:2727;top:12916;width:43;height:54" coordorigin="2727,12916" coordsize="43,54" path="m2727,12943l2727,12958,2736,12970,2748,12970,2760,12970,2769,12958,2769,12943,2769,12928,2760,12916,2748,12916,2736,12916,2727,12928,2727,12943xe" filled="false" stroked="true" strokeweight=".520716pt" strokecolor="#1a466e">
              <v:path arrowok="t"/>
            </v:shape>
            <v:shape style="position:absolute;left:2748;top:12806;width:40;height:54" type="#_x0000_t75" stroked="false">
              <v:imagedata r:id="rId96" o:title=""/>
            </v:shape>
            <v:shape style="position:absolute;left:2748;top:12806;width:41;height:54" coordorigin="2748,12806" coordsize="41,54" path="m2748,12832l2748,12847,2758,12859,2767,12859,2779,12859,2788,12847,2788,12832,2788,12817,2779,12806,2767,12806,2758,12806,2748,12817,2748,12832xe" filled="false" stroked="true" strokeweight=".517403pt" strokecolor="#1a466e">
              <v:path arrowok="t"/>
            </v:shape>
            <v:shape style="position:absolute;left:2758;top:12567;width:40;height:54" type="#_x0000_t75" stroked="false">
              <v:imagedata r:id="rId96" o:title=""/>
            </v:shape>
            <v:shape style="position:absolute;left:2758;top:12567;width:41;height:54" coordorigin="2758,12567" coordsize="41,54" path="m2758,12594l2758,12609,2767,12620,2777,12620,2788,12620,2798,12609,2798,12594,2798,12579,2788,12567,2777,12567,2767,12567,2758,12579,2758,12594xe" filled="false" stroked="true" strokeweight=".517675pt" strokecolor="#1a466e">
              <v:path arrowok="t"/>
            </v:shape>
            <v:shape style="position:absolute;left:2767;top:12573;width:40;height:54" type="#_x0000_t75" stroked="false">
              <v:imagedata r:id="rId109" o:title=""/>
            </v:shape>
            <v:shape style="position:absolute;left:2767;top:12573;width:41;height:54" coordorigin="2767,12573" coordsize="41,54" path="m2767,12600l2767,12614,2777,12626,2786,12626,2798,12626,2807,12614,2807,12600,2807,12585,2798,12573,2786,12573,2777,12573,2767,12585,2767,12600xe" filled="false" stroked="true" strokeweight=".517543pt" strokecolor="#1a466e">
              <v:path arrowok="t"/>
            </v:shape>
            <v:shape style="position:absolute;left:2769;top:12632;width:40;height:51" type="#_x0000_t75" stroked="false">
              <v:imagedata r:id="rId96" o:title=""/>
            </v:shape>
            <v:shape style="position:absolute;left:2769;top:12632;width:41;height:51" coordorigin="2769,12632" coordsize="41,51" path="m2769,12657l2769,12671,2779,12683,2788,12683,2800,12683,2810,12671,2810,12657,2810,12645,2800,12632,2788,12632,2779,12632,2769,12645,2769,12657xe" filled="false" stroked="true" strokeweight=".520573pt" strokecolor="#1a466e">
              <v:path arrowok="t"/>
            </v:shape>
            <v:shape style="position:absolute;left:2777;top:12645;width:40;height:51" type="#_x0000_t75" stroked="false">
              <v:imagedata r:id="rId206" o:title=""/>
            </v:shape>
            <v:shape style="position:absolute;left:2777;top:12645;width:41;height:51" coordorigin="2777,12645" coordsize="41,51" path="m2777,12668l2777,12683,2786,12695,2795,12695,2807,12695,2817,12683,2817,12668,2817,12657,2807,12645,2795,12645,2786,12645,2777,12657,2777,12668xe" filled="false" stroked="true" strokeweight=".52086pt" strokecolor="#1a466e">
              <v:path arrowok="t"/>
            </v:shape>
            <v:shape style="position:absolute;left:2777;top:12555;width:40;height:51" type="#_x0000_t75" stroked="false">
              <v:imagedata r:id="rId109" o:title=""/>
            </v:shape>
            <v:shape style="position:absolute;left:2777;top:12555;width:41;height:51" coordorigin="2777,12555" coordsize="41,51" path="m2777,12579l2777,12594,2786,12606,2795,12606,2807,12606,2817,12594,2817,12579,2817,12567,2807,12555,2795,12555,2786,12555,2777,12567,2777,12579xe" filled="false" stroked="true" strokeweight=".521005pt" strokecolor="#1a466e">
              <v:path arrowok="t"/>
            </v:shape>
            <v:shape style="position:absolute;left:2784;top:12817;width:40;height:54" type="#_x0000_t75" stroked="false">
              <v:imagedata r:id="rId96" o:title=""/>
            </v:shape>
            <v:shape style="position:absolute;left:2784;top:12817;width:41;height:54" coordorigin="2784,12817" coordsize="41,54" path="m2784,12844l2784,12859,2793,12871,2803,12871,2814,12871,2824,12859,2824,12844,2824,12829,2814,12817,2803,12817,2793,12817,2784,12829,2784,12844xe" filled="false" stroked="true" strokeweight=".517279pt" strokecolor="#1a466e">
              <v:path arrowok="t"/>
            </v:shape>
            <v:shape style="position:absolute;left:2786;top:12642;width:40;height:51" type="#_x0000_t75" stroked="false">
              <v:imagedata r:id="rId207" o:title=""/>
            </v:shape>
            <v:shape style="position:absolute;left:2786;top:12642;width:41;height:51" coordorigin="2786,12642" coordsize="41,51" path="m2786,12665l2786,12680,2795,12692,2805,12692,2817,12692,2826,12680,2826,12665,2826,12654,2817,12642,2805,12642,2795,12642,2786,12654,2786,12665xe" filled="false" stroked="true" strokeweight=".52086pt" strokecolor="#1a466e">
              <v:path arrowok="t"/>
            </v:shape>
            <v:shape style="position:absolute;left:2795;top:12239;width:43;height:54" type="#_x0000_t75" stroked="false">
              <v:imagedata r:id="rId96" o:title=""/>
            </v:shape>
            <v:shape style="position:absolute;left:2795;top:12239;width:43;height:54" coordorigin="2795,12239" coordsize="43,54" path="m2795,12266l2795,12280,2805,12292,2817,12292,2829,12292,2838,12280,2838,12266,2838,12251,2829,12239,2817,12239,2805,12239,2795,12251,2795,12266xe" filled="false" stroked="true" strokeweight=".520989pt" strokecolor="#1a466e">
              <v:path arrowok="t"/>
            </v:shape>
            <v:shape style="position:absolute;left:2817;top:12648;width:43;height:51" type="#_x0000_t75" stroked="false">
              <v:imagedata r:id="rId208" o:title=""/>
            </v:shape>
            <v:shape style="position:absolute;left:2817;top:12648;width:43;height:51" coordorigin="2817,12648" coordsize="43,51" path="m2817,12671l2817,12686,2826,12698,2838,12698,2850,12698,2859,12686,2859,12671,2859,12659,2850,12648,2838,12648,2826,12648,2817,12659,2817,12671xe" filled="false" stroked="true" strokeweight=".524117pt" strokecolor="#1a466e">
              <v:path arrowok="t"/>
            </v:shape>
            <v:shape style="position:absolute;left:2819;top:12101;width:43;height:51" type="#_x0000_t75" stroked="false">
              <v:imagedata r:id="rId96" o:title=""/>
            </v:shape>
            <v:shape style="position:absolute;left:2819;top:12101;width:43;height:51" coordorigin="2819,12101" coordsize="43,51" path="m2819,12125l2819,12140,2829,12152,2840,12152,2852,12152,2862,12140,2862,12125,2862,12113,2852,12101,2840,12101,2829,12101,2819,12113,2819,12125xe" filled="false" stroked="true" strokeweight=".524117pt" strokecolor="#1a466e">
              <v:path arrowok="t"/>
            </v:shape>
            <v:shape style="position:absolute;left:2826;top:12817;width:43;height:54" type="#_x0000_t75" stroked="false">
              <v:imagedata r:id="rId96" o:title=""/>
            </v:shape>
            <v:shape style="position:absolute;left:2826;top:12817;width:43;height:54" coordorigin="2826,12817" coordsize="43,54" path="m2826,12844l2826,12859,2836,12871,2848,12871,2859,12871,2869,12859,2869,12844,2869,12829,2859,12817,2848,12817,2836,12817,2826,12829,2826,12844xe" filled="false" stroked="true" strokeweight=".520445pt" strokecolor="#1a466e">
              <v:path arrowok="t"/>
            </v:shape>
            <v:shape style="position:absolute;left:2829;top:12269;width:43;height:54" type="#_x0000_t75" stroked="false">
              <v:imagedata r:id="rId96" o:title=""/>
            </v:shape>
            <v:shape style="position:absolute;left:2829;top:12269;width:43;height:54" coordorigin="2829,12269" coordsize="43,54" path="m2829,12295l2829,12310,2838,12322,2850,12322,2862,12322,2871,12310,2871,12295,2871,12280,2862,12269,2850,12269,2838,12269,2829,12280,2829,12295xe" filled="false" stroked="true" strokeweight=".520852pt" strokecolor="#1a466e">
              <v:path arrowok="t"/>
            </v:shape>
            <v:shape style="position:absolute;left:2838;top:12406;width:43;height:51" type="#_x0000_t75" stroked="false">
              <v:imagedata r:id="rId209" o:title=""/>
            </v:shape>
            <v:shape style="position:absolute;left:2838;top:12406;width:43;height:51" coordorigin="2838,12406" coordsize="43,51" path="m2838,12430l2838,12445,2848,12456,2859,12456,2871,12456,2881,12445,2881,12430,2881,12418,2871,12406,2859,12406,2848,12406,2838,12418,2838,12430xe" filled="false" stroked="true" strokeweight=".524265pt" strokecolor="#1a466e">
              <v:path arrowok="t"/>
            </v:shape>
            <v:shape style="position:absolute;left:2859;top:12397;width:40;height:54" type="#_x0000_t75" stroked="false">
              <v:imagedata r:id="rId210" o:title=""/>
            </v:shape>
            <v:shape style="position:absolute;left:2859;top:12397;width:41;height:54" coordorigin="2859,12397" coordsize="41,54" path="m2859,12424l2859,12439,2869,12451,2878,12451,2890,12451,2900,12439,2900,12424,2900,12409,2890,12397,2878,12397,2869,12397,2859,12409,2859,12424xe" filled="false" stroked="true" strokeweight=".517139pt" strokecolor="#1a466e">
              <v:path arrowok="t"/>
            </v:shape>
            <v:shape style="position:absolute;left:2895;top:12761;width:40;height:51" type="#_x0000_t75" stroked="false">
              <v:imagedata r:id="rId96" o:title=""/>
            </v:shape>
            <v:shape style="position:absolute;left:2895;top:12761;width:40;height:51" coordorigin="2895,12761" coordsize="40,51" path="m2895,12785l2895,12800,2904,12812,2913,12812,2925,12812,2935,12800,2935,12785,2935,12773,2925,12761,2913,12761,2904,12761,2895,12773,2895,12785xe" filled="false" stroked="true" strokeweight=".520428pt" strokecolor="#1a466e">
              <v:path arrowok="t"/>
            </v:shape>
            <v:shape style="position:absolute;left:2907;top:12540;width:40;height:51" type="#_x0000_t75" stroked="false">
              <v:imagedata r:id="rId96" o:title=""/>
            </v:shape>
            <v:shape style="position:absolute;left:2907;top:12540;width:40;height:51" coordorigin="2907,12540" coordsize="40,51" path="m2907,12564l2907,12579,2916,12591,2925,12591,2937,12591,2947,12579,2947,12564,2947,12552,2937,12540,2925,12540,2916,12540,2907,12552,2907,12564xe" filled="false" stroked="true" strokeweight=".520572pt" strokecolor="#1a466e">
              <v:path arrowok="t"/>
            </v:shape>
            <v:shape style="position:absolute;left:2923;top:12904;width:43;height:54" type="#_x0000_t75" stroked="false">
              <v:imagedata r:id="rId211" o:title=""/>
            </v:shape>
            <v:shape style="position:absolute;left:2923;top:12904;width:43;height:54" coordorigin="2923,12904" coordsize="43,54" path="m2923,12931l2923,12946,2932,12958,2944,12958,2956,12958,2965,12946,2965,12931,2965,12916,2956,12904,2944,12904,2932,12904,2923,12916,2923,12931xe" filled="false" stroked="true" strokeweight=".520852pt" strokecolor="#1a466e">
              <v:path arrowok="t"/>
            </v:shape>
            <v:shape style="position:absolute;left:2942;top:12197;width:43;height:51" type="#_x0000_t75" stroked="false">
              <v:imagedata r:id="rId96" o:title=""/>
            </v:shape>
            <v:shape style="position:absolute;left:2942;top:12197;width:43;height:51" coordorigin="2942,12197" coordsize="43,51" path="m2942,12221l2942,12236,2951,12248,2963,12248,2975,12248,2984,12236,2984,12221,2984,12209,2975,12197,2963,12197,2951,12197,2942,12209,2942,12221xe" filled="false" stroked="true" strokeweight=".524117pt" strokecolor="#1a466e">
              <v:path arrowok="t"/>
            </v:shape>
            <v:shape style="position:absolute;left:2999;top:12439;width:40;height:51" type="#_x0000_t75" stroked="false">
              <v:imagedata r:id="rId96" o:title=""/>
            </v:shape>
            <v:shape style="position:absolute;left:2999;top:12439;width:41;height:51" coordorigin="2999,12439" coordsize="41,51" path="m2999,12462l2999,12477,3008,12489,3017,12489,3029,12489,3039,12477,3039,12462,3039,12451,3029,12439,3017,12439,3008,12439,2999,12451,2999,12462xe" filled="false" stroked="true" strokeweight=".520861pt" strokecolor="#1a466e">
              <v:path arrowok="t"/>
            </v:shape>
            <v:shape style="position:absolute;left:3060;top:11245;width:43;height:54" type="#_x0000_t75" stroked="false">
              <v:imagedata r:id="rId109" o:title=""/>
            </v:shape>
            <v:shape style="position:absolute;left:3060;top:11245;width:43;height:54" coordorigin="3060,11245" coordsize="43,54" path="m3060,11272l3060,11287,3069,11299,3081,11299,3093,11299,3103,11287,3103,11272,3103,11257,3093,11245,3081,11245,3069,11245,3060,11257,3060,11272xe" filled="false" stroked="true" strokeweight=".520716pt" strokecolor="#1a466e">
              <v:path arrowok="t"/>
            </v:shape>
            <v:shape style="position:absolute;left:3086;top:13044;width:43;height:54" type="#_x0000_t75" stroked="false">
              <v:imagedata r:id="rId109" o:title=""/>
            </v:shape>
            <v:shape style="position:absolute;left:3086;top:13044;width:43;height:54" coordorigin="3086,13044" coordsize="43,54" path="m3086,13071l3086,13086,3095,13098,3107,13098,3119,13098,3129,13086,3129,13071,3129,13056,3119,13044,3107,13044,3095,13044,3086,13056,3086,13071xe" filled="false" stroked="true" strokeweight=".520852pt" strokecolor="#1a466e">
              <v:path arrowok="t"/>
            </v:shape>
            <v:shape style="position:absolute;left:3360;top:12092;width:40;height:51" type="#_x0000_t75" stroked="false">
              <v:imagedata r:id="rId96" o:title=""/>
            </v:shape>
            <v:shape style="position:absolute;left:3360;top:12092;width:41;height:51" coordorigin="3360,12092" coordsize="41,51" path="m3360,12116l3360,12131,3370,12143,3379,12143,3391,12143,3401,12131,3401,12116,3401,12104,3391,12092,3379,12092,3370,12092,3360,12104,3360,12116xe" filled="false" stroked="true" strokeweight=".520861pt" strokecolor="#1a466e">
              <v:path arrowok="t"/>
            </v:shape>
            <v:shape style="position:absolute;left:3559;top:11621;width:43;height:51" type="#_x0000_t75" stroked="false">
              <v:imagedata r:id="rId96" o:title=""/>
            </v:shape>
            <v:shape style="position:absolute;left:3559;top:11621;width:43;height:51" coordorigin="3559,11621" coordsize="43,51" path="m3559,11645l3559,11660,3568,11671,3580,11671,3592,11671,3602,11660,3602,11645,3602,11633,3592,11621,3580,11621,3568,11621,3559,11633,3559,11645xe" filled="false" stroked="true" strokeweight=".524265pt" strokecolor="#1a466e">
              <v:path arrowok="t"/>
            </v:shape>
            <v:shape style="position:absolute;left:4027;top:13474;width:43;height:54" type="#_x0000_t75" stroked="false">
              <v:imagedata r:id="rId109" o:title=""/>
            </v:shape>
            <v:shape style="position:absolute;left:4027;top:13474;width:43;height:54" coordorigin="4027,13474" coordsize="43,54" path="m4027,13501l4027,13516,4036,13528,4048,13528,4060,13528,4069,13516,4069,13501,4069,13486,4060,13474,4048,13474,4036,13474,4027,13486,4027,13501xe" filled="false" stroked="true" strokeweight=".520771pt" strokecolor="#1a466e">
              <v:path arrowok="t"/>
            </v:shape>
            <v:shape style="position:absolute;left:5452;top:13289;width:40;height:54" type="#_x0000_t75" stroked="false">
              <v:imagedata r:id="rId96" o:title=""/>
            </v:shape>
            <v:shape style="position:absolute;left:5452;top:13289;width:41;height:54" coordorigin="5452,13289" coordsize="41,54" path="m5452,13316l5452,13331,5462,13343,5471,13343,5483,13343,5492,13331,5492,13316,5492,13301,5483,13289,5471,13289,5462,13289,5452,13301,5452,13316xe" filled="false" stroked="true" strokeweight=".517139pt" strokecolor="#1a466e">
              <v:path arrowok="t"/>
            </v:shape>
            <v:shape style="position:absolute;left:773;top:10215;width:7014;height:4855" coordorigin="773,10215" coordsize="7014,4855" path="m2122,13868l2122,10902m2122,13790l2082,13790m2122,13229l2082,13229m2122,12665l2082,12665m2122,12104l2082,12104m2122,11543l2082,11543m2122,10979l2082,10979m2122,13868l5535,13868m2183,13868l2183,13919m2793,13868l2793,13919m3403,13868l3403,13919m4013,13868l4013,13919m4622,13868l4622,13919m5235,13868l5235,13919e" filled="false" stroked="true" strokeweight=".267458pt" strokecolor="#000000">
              <v:path arrowok="t"/>
            </v:shape>
            <v:shape style="position:absolute;left:2084;top:13955;width:200;height:126" type="#_x0000_t202" filled="false" stroked="false">
              <v:textbox inset="0,0,0,0">
                <w:txbxContent>
                  <w:p>
                    <w:pPr>
                      <w:spacing w:line="125" w:lineRule="exact" w:before="0"/>
                      <w:ind w:left="0" w:right="-13" w:firstLine="0"/>
                      <w:jc w:val="left"/>
                      <w:rPr>
                        <w:rFonts w:ascii="Arial"/>
                        <w:sz w:val="12"/>
                      </w:rPr>
                    </w:pPr>
                    <w:r>
                      <w:rPr>
                        <w:rFonts w:ascii="Arial"/>
                        <w:w w:val="80"/>
                        <w:sz w:val="12"/>
                      </w:rPr>
                      <w:t>-100</w:t>
                    </w:r>
                  </w:p>
                </w:txbxContent>
              </v:textbox>
              <w10:wrap type="none"/>
            </v:shape>
            <v:shape style="position:absolute;left:2765;top:13955;width:56;height:126" type="#_x0000_t202" filled="false" stroked="false">
              <v:textbox inset="0,0,0,0">
                <w:txbxContent>
                  <w:p>
                    <w:pPr>
                      <w:spacing w:line="125" w:lineRule="exact" w:before="0"/>
                      <w:ind w:left="0" w:right="0" w:firstLine="0"/>
                      <w:jc w:val="left"/>
                      <w:rPr>
                        <w:rFonts w:ascii="Arial"/>
                        <w:sz w:val="12"/>
                      </w:rPr>
                    </w:pPr>
                    <w:r>
                      <w:rPr>
                        <w:rFonts w:ascii="Arial"/>
                        <w:w w:val="82"/>
                        <w:sz w:val="12"/>
                      </w:rPr>
                      <w:t>0</w:t>
                    </w:r>
                  </w:p>
                </w:txbxContent>
              </v:textbox>
              <w10:wrap type="none"/>
            </v:shape>
            <v:shape style="position:absolute;left:3320;top:13955;width:777;height:248" type="#_x0000_t202" filled="false" stroked="false">
              <v:textbox inset="0,0,0,0">
                <w:txbxContent>
                  <w:p>
                    <w:pPr>
                      <w:tabs>
                        <w:tab w:pos="609" w:val="left" w:leader="none"/>
                      </w:tabs>
                      <w:spacing w:line="119" w:lineRule="exact" w:before="0"/>
                      <w:ind w:left="0" w:right="0" w:firstLine="0"/>
                      <w:jc w:val="left"/>
                      <w:rPr>
                        <w:rFonts w:ascii="Arial"/>
                        <w:sz w:val="12"/>
                      </w:rPr>
                    </w:pPr>
                    <w:r>
                      <w:rPr>
                        <w:rFonts w:ascii="Arial"/>
                        <w:w w:val="95"/>
                        <w:sz w:val="12"/>
                      </w:rPr>
                      <w:t>100</w:t>
                      <w:tab/>
                    </w:r>
                    <w:r>
                      <w:rPr>
                        <w:rFonts w:ascii="Arial"/>
                        <w:w w:val="80"/>
                        <w:sz w:val="12"/>
                      </w:rPr>
                      <w:t>200</w:t>
                    </w:r>
                  </w:p>
                  <w:p>
                    <w:pPr>
                      <w:spacing w:line="128" w:lineRule="exact" w:before="0"/>
                      <w:ind w:left="399" w:right="0" w:firstLine="0"/>
                      <w:jc w:val="left"/>
                      <w:rPr>
                        <w:rFonts w:ascii="Arial"/>
                        <w:sz w:val="12"/>
                      </w:rPr>
                    </w:pPr>
                    <w:r>
                      <w:rPr>
                        <w:rFonts w:ascii="Arial"/>
                        <w:w w:val="95"/>
                        <w:sz w:val="12"/>
                      </w:rPr>
                      <w:t>va38</w:t>
                    </w:r>
                  </w:p>
                </w:txbxContent>
              </v:textbox>
              <w10:wrap type="none"/>
            </v:shape>
            <v:shape style="position:absolute;left:4540;top:13955;width:167;height:126" type="#_x0000_t202" filled="false" stroked="false">
              <v:textbox inset="0,0,0,0">
                <w:txbxContent>
                  <w:p>
                    <w:pPr>
                      <w:spacing w:line="125" w:lineRule="exact" w:before="0"/>
                      <w:ind w:left="0" w:right="-14" w:firstLine="0"/>
                      <w:jc w:val="left"/>
                      <w:rPr>
                        <w:rFonts w:ascii="Arial"/>
                        <w:sz w:val="12"/>
                      </w:rPr>
                    </w:pPr>
                    <w:r>
                      <w:rPr>
                        <w:rFonts w:ascii="Arial"/>
                        <w:w w:val="80"/>
                        <w:sz w:val="12"/>
                      </w:rPr>
                      <w:t>300</w:t>
                    </w:r>
                  </w:p>
                </w:txbxContent>
              </v:textbox>
              <w10:wrap type="none"/>
            </v:shape>
            <v:shape style="position:absolute;left:5152;top:13955;width:167;height:126" type="#_x0000_t202" filled="false" stroked="false">
              <v:textbox inset="0,0,0,0">
                <w:txbxContent>
                  <w:p>
                    <w:pPr>
                      <w:spacing w:line="125" w:lineRule="exact" w:before="0"/>
                      <w:ind w:left="0" w:right="-14" w:firstLine="0"/>
                      <w:jc w:val="left"/>
                      <w:rPr>
                        <w:rFonts w:ascii="Arial"/>
                        <w:sz w:val="12"/>
                      </w:rPr>
                    </w:pPr>
                    <w:r>
                      <w:rPr>
                        <w:rFonts w:ascii="Arial"/>
                        <w:w w:val="80"/>
                        <w:sz w:val="12"/>
                      </w:rPr>
                      <w:t>400</w:t>
                    </w:r>
                  </w:p>
                </w:txbxContent>
              </v:textbox>
              <w10:wrap type="none"/>
            </v:shape>
            <w10:wrap type="none"/>
          </v:group>
        </w:pict>
      </w:r>
      <w:r>
        <w:rPr/>
        <w:pict>
          <v:group style="position:absolute;margin-left:294.986023pt;margin-top:538.810852pt;width:191.2pt;height:178.6pt;mso-position-horizontal-relative:page;mso-position-vertical-relative:page;z-index:7480" coordorigin="5900,10776" coordsize="3824,3572">
            <v:rect style="position:absolute;left:5900;top:10776;width:3823;height:3568" filled="true" fillcolor="#eaf1f3" stroked="false">
              <v:fill type="solid"/>
            </v:rect>
            <v:shape style="position:absolute;left:5903;top:10782;width:3813;height:3562" type="#_x0000_t75" stroked="false">
              <v:imagedata r:id="rId212" o:title=""/>
            </v:shape>
            <v:rect style="position:absolute;left:5903;top:10782;width:3813;height:3562" filled="false" stroked="true" strokeweight=".266546pt" strokecolor="#eaf1f3"/>
            <v:shape style="position:absolute;left:6280;top:10907;width:3341;height:2953" type="#_x0000_t75" stroked="false">
              <v:imagedata r:id="rId213" o:title=""/>
            </v:shape>
            <v:rect style="position:absolute;left:6280;top:10907;width:3341;height:2953" filled="false" stroked="true" strokeweight=".268344pt" strokecolor="#ffffff"/>
            <v:shape style="position:absolute;left:6280;top:10978;width:3342;height:2597" coordorigin="6280,10978" coordsize="3342,2597" path="m9621,13563l6280,13563,6280,13575,9621,13575,9621,13563m9621,12918l6280,12918,6280,12930,9621,12930,9621,12918m9621,12270l6280,12270,6280,12282,9621,12282,9621,12270m9621,11626l6280,11626,6280,11638,9621,11638,9621,11626m9621,10978l6280,10978,6280,10990,9621,10990,9621,10978e" filled="true" fillcolor="#eaf1f3" stroked="false">
              <v:path arrowok="t"/>
              <v:fill type="solid"/>
            </v:shape>
            <v:shape style="position:absolute;left:6319;top:13414;width:39;height:50" type="#_x0000_t75" stroked="false">
              <v:imagedata r:id="rId214" o:title=""/>
            </v:shape>
            <v:shape style="position:absolute;left:6319;top:13414;width:40;height:51" coordorigin="6319,13414" coordsize="40,51" path="m6319,13438l6319,13453,6328,13465,6338,13465,6349,13465,6358,13453,6358,13438,6358,13426,6349,13414,6338,13414,6328,13414,6319,13426,6319,13438xe" filled="false" stroked="true" strokeweight=".512623pt" strokecolor="#1a466e">
              <v:path arrowok="t"/>
            </v:shape>
            <v:shape style="position:absolute;left:6819;top:13495;width:42;height:53" type="#_x0000_t75" stroked="false">
              <v:imagedata r:id="rId109" o:title=""/>
            </v:shape>
            <v:shape style="position:absolute;left:6819;top:13495;width:42;height:54" coordorigin="6819,13495" coordsize="42,54" path="m6819,13521l6819,13536,6828,13548,6840,13548,6852,13548,6861,13536,6861,13521,6861,13506,6852,13495,6840,13495,6828,13495,6819,13506,6819,13521xe" filled="false" stroked="true" strokeweight=".512633pt" strokecolor="#1a466e">
              <v:path arrowok="t"/>
            </v:shape>
            <v:shape style="position:absolute;left:6912;top:11266;width:39;height:53" type="#_x0000_t75" stroked="false">
              <v:imagedata r:id="rId96" o:title=""/>
            </v:shape>
            <v:shape style="position:absolute;left:6912;top:11266;width:40;height:54" coordorigin="6912,11266" coordsize="40,54" path="m6912,11293l6912,11308,6921,11320,6930,11320,6942,11320,6951,11308,6951,11293,6951,11278,6942,11266,6930,11266,6921,11266,6912,11278,6912,11293xe" filled="false" stroked="true" strokeweight=".509217pt" strokecolor="#1a466e">
              <v:path arrowok="t"/>
            </v:shape>
            <v:shape style="position:absolute;left:7469;top:13417;width:42;height:50" type="#_x0000_t75" stroked="false">
              <v:imagedata r:id="rId215" o:title=""/>
            </v:shape>
            <v:shape style="position:absolute;left:7469;top:13417;width:42;height:51" coordorigin="7469,13417" coordsize="42,51" path="m7469,13441l7469,13456,7479,13468,7490,13468,7502,13468,7511,13456,7511,13441,7511,13429,7502,13417,7490,13417,7479,13417,7469,13429,7469,13441xe" filled="false" stroked="true" strokeweight=".516185pt" strokecolor="#1a466e">
              <v:path arrowok="t"/>
            </v:shape>
            <v:shape style="position:absolute;left:7474;top:12698;width:39;height:53" type="#_x0000_t75" stroked="false">
              <v:imagedata r:id="rId128" o:title=""/>
            </v:shape>
            <v:shape style="position:absolute;left:7474;top:12698;width:40;height:54" coordorigin="7474,12698" coordsize="40,54" path="m7474,12725l7474,12740,7483,12752,7492,12752,7504,12752,7513,12740,7513,12725,7513,12710,7504,12698,7492,12698,7483,12698,7474,12710,7474,12725xe" filled="false" stroked="true" strokeweight=".509209pt" strokecolor="#1a466e">
              <v:path arrowok="t"/>
            </v:shape>
            <v:shape style="position:absolute;left:7497;top:12416;width:39;height:50" type="#_x0000_t75" stroked="false">
              <v:imagedata r:id="rId216" o:title=""/>
            </v:shape>
            <v:shape style="position:absolute;left:7497;top:12416;width:40;height:51" coordorigin="7497,12416" coordsize="40,51" path="m7497,12440l7497,12455,7506,12467,7516,12467,7527,12467,7536,12455,7536,12440,7536,12428,7527,12416,7516,12416,7506,12416,7497,12428,7497,12440xe" filled="false" stroked="true" strokeweight=".512699pt" strokecolor="#1a466e">
              <v:path arrowok="t"/>
            </v:shape>
            <v:shape style="position:absolute;left:7497;top:13093;width:39;height:51" type="#_x0000_t75" stroked="false">
              <v:imagedata r:id="rId96" o:title=""/>
            </v:shape>
            <v:shape style="position:absolute;left:7497;top:13093;width:40;height:51" coordorigin="7497,13093" coordsize="40,51" path="m7497,13117l7497,13132,7506,13144,7516,13144,7527,13144,7536,13132,7536,13117,7536,13105,7527,13093,7516,13093,7506,13093,7497,13105,7497,13117xe" filled="false" stroked="true" strokeweight=".512246pt" strokecolor="#1a466e">
              <v:path arrowok="t"/>
            </v:shape>
            <v:shape style="position:absolute;left:7511;top:12615;width:39;height:54" type="#_x0000_t75" stroked="false">
              <v:imagedata r:id="rId96" o:title=""/>
            </v:shape>
            <v:shape style="position:absolute;left:7511;top:12615;width:40;height:54" coordorigin="7511,12615" coordsize="40,54" path="m7511,12642l7511,12657,7520,12669,7530,12669,7541,12669,7550,12657,7550,12642,7550,12627,7541,12615,7530,12615,7520,12615,7511,12627,7511,12642xe" filled="false" stroked="true" strokeweight=".508794pt" strokecolor="#1a466e">
              <v:path arrowok="t"/>
            </v:shape>
            <v:shape style="position:absolute;left:7523;top:12767;width:39;height:50" type="#_x0000_t75" stroked="false">
              <v:imagedata r:id="rId96" o:title=""/>
            </v:shape>
            <v:shape style="position:absolute;left:7523;top:12767;width:40;height:51" coordorigin="7523,12767" coordsize="40,51" path="m7523,12790l7523,12805,7532,12817,7541,12817,7553,12817,7562,12805,7562,12790,7562,12778,7553,12767,7541,12767,7532,12767,7523,12778,7523,12790xe" filled="false" stroked="true" strokeweight=".512547pt" strokecolor="#1a466e">
              <v:path arrowok="t"/>
            </v:shape>
            <v:shape style="position:absolute;left:7562;top:12784;width:42;height:50" type="#_x0000_t75" stroked="false">
              <v:imagedata r:id="rId96" o:title=""/>
            </v:shape>
            <v:shape style="position:absolute;left:7562;top:12784;width:42;height:51" coordorigin="7562,12784" coordsize="42,51" path="m7562,12808l7562,12823,7571,12835,7583,12835,7594,12835,7604,12823,7604,12808,7604,12796,7594,12784,7583,12784,7571,12784,7562,12796,7562,12808xe" filled="false" stroked="true" strokeweight=".516123pt" strokecolor="#1a466e">
              <v:path arrowok="t"/>
            </v:shape>
            <v:shape style="position:absolute;left:7629;top:12835;width:39;height:54" type="#_x0000_t75" stroked="false">
              <v:imagedata r:id="rId109" o:title=""/>
            </v:shape>
            <v:shape style="position:absolute;left:7629;top:12835;width:40;height:54" coordorigin="7629,12835" coordsize="40,54" path="m7629,12862l7629,12877,7638,12889,7648,12889,7659,12889,7668,12877,7668,12862,7668,12847,7659,12835,7648,12835,7638,12835,7629,12847,7629,12862xe" filled="false" stroked="true" strokeweight=".508794pt" strokecolor="#1a466e">
              <v:path arrowok="t"/>
            </v:shape>
            <v:shape style="position:absolute;left:7648;top:12856;width:39;height:51" type="#_x0000_t75" stroked="false">
              <v:imagedata r:id="rId96" o:title=""/>
            </v:shape>
            <v:shape style="position:absolute;left:7648;top:12856;width:40;height:51" coordorigin="7648,12856" coordsize="40,51" path="m7648,12880l7648,12895,7657,12906,7666,12906,7678,12906,7687,12895,7687,12880,7687,12868,7678,12856,7666,12856,7657,12856,7648,12868,7648,12880xe" filled="false" stroked="true" strokeweight=".512397pt" strokecolor="#1a466e">
              <v:path arrowok="t"/>
            </v:shape>
            <v:shape style="position:absolute;left:7659;top:12835;width:42;height:54" type="#_x0000_t75" stroked="false">
              <v:imagedata r:id="rId109" o:title=""/>
            </v:shape>
            <v:shape style="position:absolute;left:7659;top:12835;width:42;height:54" coordorigin="7659,12835" coordsize="42,54" path="m7659,12862l7659,12877,7668,12889,7680,12889,7692,12889,7701,12877,7701,12862,7701,12847,7692,12835,7680,12835,7668,12835,7659,12847,7659,12862xe" filled="false" stroked="true" strokeweight=".512405pt" strokecolor="#1a466e">
              <v:path arrowok="t"/>
            </v:shape>
            <v:shape style="position:absolute;left:7671;top:12520;width:42;height:50" type="#_x0000_t75" stroked="false">
              <v:imagedata r:id="rId96" o:title=""/>
            </v:shape>
            <v:shape style="position:absolute;left:7671;top:12520;width:42;height:51" coordorigin="7671,12520" coordsize="42,51" path="m7671,12544l7671,12559,7680,12570,7692,12570,7703,12570,7712,12559,7712,12544,7712,12532,7703,12520,7692,12520,7680,12520,7671,12532,7671,12544xe" filled="false" stroked="true" strokeweight=".516425pt" strokecolor="#1a466e">
              <v:path arrowok="t"/>
            </v:shape>
            <v:shape style="position:absolute;left:7678;top:12820;width:42;height:54" type="#_x0000_t75" stroked="false">
              <v:imagedata r:id="rId96" o:title=""/>
            </v:shape>
            <v:shape style="position:absolute;left:7678;top:12820;width:42;height:54" coordorigin="7678,12820" coordsize="42,54" path="m7678,12847l7678,12862,7687,12874,7699,12874,7710,12874,7719,12862,7719,12847,7719,12832,7710,12820,7699,12820,7687,12820,7678,12832,7678,12847xe" filled="false" stroked="true" strokeweight=".512405pt" strokecolor="#1a466e">
              <v:path arrowok="t"/>
            </v:shape>
            <v:shape style="position:absolute;left:7710;top:13010;width:42;height:53" type="#_x0000_t75" stroked="false">
              <v:imagedata r:id="rId217" o:title=""/>
            </v:shape>
            <v:shape style="position:absolute;left:7710;top:13010;width:42;height:54" coordorigin="7710,13010" coordsize="42,54" path="m7710,13037l7710,13052,7719,13064,7731,13064,7742,13064,7752,13052,7752,13037,7752,13022,7742,13010,7731,13010,7719,13010,7710,13022,7710,13037xe" filled="false" stroked="true" strokeweight=".512691pt" strokecolor="#1a466e">
              <v:path arrowok="t"/>
            </v:shape>
            <v:shape style="position:absolute;left:7710;top:12799;width:42;height:53" type="#_x0000_t75" stroked="false">
              <v:imagedata r:id="rId217" o:title=""/>
            </v:shape>
            <v:shape style="position:absolute;left:7710;top:12799;width:42;height:54" coordorigin="7710,12799" coordsize="42,54" path="m7710,12826l7710,12841,7719,12853,7731,12853,7742,12853,7752,12841,7752,12826,7752,12811,7742,12799,7731,12799,7719,12799,7710,12811,7710,12826xe" filled="false" stroked="true" strokeweight=".512547pt" strokecolor="#1a466e">
              <v:path arrowok="t"/>
            </v:shape>
            <v:shape style="position:absolute;left:7715;top:12597;width:39;height:54" type="#_x0000_t75" stroked="false">
              <v:imagedata r:id="rId218" o:title=""/>
            </v:shape>
            <v:shape style="position:absolute;left:7715;top:12597;width:40;height:54" coordorigin="7715,12597" coordsize="40,54" path="m7715,12624l7715,12639,7724,12651,7733,12651,7745,12651,7754,12639,7754,12624,7754,12609,7745,12597,7733,12597,7724,12597,7715,12609,7715,12624xe" filled="false" stroked="true" strokeweight=".508794pt" strokecolor="#1a466e">
              <v:path arrowok="t"/>
            </v:shape>
            <v:shape style="position:absolute;left:7726;top:12767;width:39;height:50" type="#_x0000_t75" stroked="false">
              <v:imagedata r:id="rId219" o:title=""/>
            </v:shape>
            <v:shape style="position:absolute;left:7726;top:12767;width:40;height:51" coordorigin="7726,12767" coordsize="40,51" path="m7726,12790l7726,12805,7736,12817,7745,12817,7756,12817,7766,12805,7766,12790,7766,12778,7756,12767,7745,12767,7736,12767,7726,12778,7726,12790xe" filled="false" stroked="true" strokeweight=".512547pt" strokecolor="#1a466e">
              <v:path arrowok="t"/>
            </v:shape>
            <v:shape style="position:absolute;left:7736;top:12657;width:39;height:50" type="#_x0000_t75" stroked="false">
              <v:imagedata r:id="rId220" o:title=""/>
            </v:shape>
            <v:shape style="position:absolute;left:7736;top:12657;width:40;height:51" coordorigin="7736,12657" coordsize="40,51" path="m7736,12681l7736,12695,7745,12707,7754,12707,7766,12707,7775,12695,7775,12681,7775,12669,7766,12657,7754,12657,7745,12657,7736,12669,7736,12681xe" filled="false" stroked="true" strokeweight=".512547pt" strokecolor="#1a466e">
              <v:path arrowok="t"/>
            </v:shape>
            <v:shape style="position:absolute;left:7738;top:12701;width:39;height:53" type="#_x0000_t75" stroked="false">
              <v:imagedata r:id="rId221" o:title=""/>
            </v:shape>
            <v:shape style="position:absolute;left:7738;top:12701;width:40;height:54" coordorigin="7738,12701" coordsize="40,54" path="m7738,12728l7738,12743,7747,12755,7756,12755,7768,12755,7777,12743,7777,12728,7777,12713,7768,12701,7756,12701,7747,12701,7738,12713,7738,12728xe" filled="false" stroked="true" strokeweight=".509209pt" strokecolor="#1a466e">
              <v:path arrowok="t"/>
            </v:shape>
            <v:shape style="position:absolute;left:7752;top:11566;width:39;height:53" type="#_x0000_t75" stroked="false">
              <v:imagedata r:id="rId96" o:title=""/>
            </v:shape>
            <v:shape style="position:absolute;left:7752;top:11566;width:40;height:54" coordorigin="7752,11566" coordsize="40,54" path="m7752,11593l7752,11608,7761,11620,7770,11620,7782,11620,7791,11608,7791,11593,7791,11578,7782,11566,7770,11566,7761,11566,7752,11578,7752,11593xe" filled="false" stroked="true" strokeweight=".50907pt" strokecolor="#1a466e">
              <v:path arrowok="t"/>
            </v:shape>
            <v:shape style="position:absolute;left:7754;top:12841;width:39;height:54" type="#_x0000_t75" stroked="false">
              <v:imagedata r:id="rId96" o:title=""/>
            </v:shape>
            <v:shape style="position:absolute;left:7754;top:12841;width:40;height:54" coordorigin="7754,12841" coordsize="40,54" path="m7754,12868l7754,12883,7763,12895,7773,12895,7784,12895,7793,12883,7793,12868,7793,12853,7784,12841,7773,12841,7763,12841,7754,12853,7754,12868xe" filled="false" stroked="true" strokeweight=".508794pt" strokecolor="#1a466e">
              <v:path arrowok="t"/>
            </v:shape>
            <v:shape style="position:absolute;left:7763;top:12294;width:39;height:50" type="#_x0000_t75" stroked="false">
              <v:imagedata r:id="rId96" o:title=""/>
            </v:shape>
            <v:shape style="position:absolute;left:7763;top:12294;width:40;height:51" coordorigin="7763,12294" coordsize="40,51" path="m7763,12318l7763,12333,7773,12345,7782,12345,7793,12345,7803,12333,7803,12318,7803,12306,7793,12294,7782,12294,7773,12294,7763,12306,7763,12318xe" filled="false" stroked="true" strokeweight=".512547pt" strokecolor="#1a466e">
              <v:path arrowok="t"/>
            </v:shape>
            <v:shape style="position:absolute;left:7823;top:12312;width:42;height:50" type="#_x0000_t75" stroked="false">
              <v:imagedata r:id="rId96" o:title=""/>
            </v:shape>
            <v:shape style="position:absolute;left:7823;top:12312;width:42;height:51" coordorigin="7823,12312" coordsize="42,51" path="m7823,12336l7823,12351,7833,12363,7844,12363,7856,12363,7865,12351,7865,12336,7865,12324,7856,12312,7844,12312,7833,12312,7823,12324,7823,12336xe" filled="false" stroked="true" strokeweight=".516123pt" strokecolor="#1a466e">
              <v:path arrowok="t"/>
            </v:shape>
            <v:shape style="position:absolute;left:7974;top:12770;width:39;height:50" type="#_x0000_t75" stroked="false">
              <v:imagedata r:id="rId222" o:title=""/>
            </v:shape>
            <v:shape style="position:absolute;left:7974;top:12770;width:40;height:51" coordorigin="7974,12770" coordsize="40,51" path="m7974,12793l7974,12808,7983,12820,7992,12820,8004,12820,8013,12808,8013,12793,8013,12781,8004,12770,7992,12770,7983,12770,7974,12781,7974,12793xe" filled="false" stroked="true" strokeweight=".512699pt" strokecolor="#1a466e">
              <v:path arrowok="t"/>
            </v:shape>
            <v:shape style="position:absolute;left:8043;top:12969;width:42;height:50" type="#_x0000_t75" stroked="false">
              <v:imagedata r:id="rId96" o:title=""/>
            </v:shape>
            <v:shape style="position:absolute;left:8043;top:12969;width:42;height:51" coordorigin="8043,12969" coordsize="42,51" path="m8043,12992l8043,13007,8052,13019,8064,13019,8076,13019,8085,13007,8085,12992,8085,12981,8076,12969,8064,12969,8052,12969,8043,12981,8043,12992xe" filled="false" stroked="true" strokeweight=".516123pt" strokecolor="#1a466e">
              <v:path arrowok="t"/>
            </v:shape>
            <v:shape style="position:absolute;left:8110;top:11997;width:39;height:50" type="#_x0000_t75" stroked="false">
              <v:imagedata r:id="rId96" o:title=""/>
            </v:shape>
            <v:shape style="position:absolute;left:8110;top:11997;width:40;height:51" coordorigin="8110,11997" coordsize="40,51" path="m8110,12021l8110,12036,8119,12048,8129,12048,8140,12048,8150,12036,8150,12021,8150,12009,8140,11997,8129,11997,8119,11997,8110,12009,8110,12021xe" filled="false" stroked="true" strokeweight=".512547pt" strokecolor="#1a466e">
              <v:path arrowok="t"/>
            </v:shape>
            <v:shape style="position:absolute;left:8157;top:12157;width:42;height:54" type="#_x0000_t75" stroked="false">
              <v:imagedata r:id="rId223" o:title=""/>
            </v:shape>
            <v:shape style="position:absolute;left:8157;top:12157;width:42;height:54" coordorigin="8157,12157" coordsize="42,54" path="m8157,12184l8157,12199,8166,12211,8177,12211,8189,12211,8198,12199,8198,12184,8198,12170,8189,12157,8177,12157,8166,12157,8157,12170,8157,12184xe" filled="false" stroked="true" strokeweight=".512262pt" strokecolor="#1a466e">
              <v:path arrowok="t"/>
            </v:shape>
            <v:shape style="position:absolute;left:8302;top:12505;width:42;height:53" type="#_x0000_t75" stroked="false">
              <v:imagedata r:id="rId96" o:title=""/>
            </v:shape>
            <v:shape style="position:absolute;left:8302;top:12505;width:42;height:54" coordorigin="8302,12505" coordsize="42,54" path="m8302,12532l8302,12547,8312,12559,8323,12559,8335,12559,8344,12547,8344,12532,8344,12517,8335,12505,8323,12505,8312,12505,8302,12517,8302,12532xe" filled="false" stroked="true" strokeweight=".512547pt" strokecolor="#1a466e">
              <v:path arrowok="t"/>
            </v:shape>
            <v:shape style="position:absolute;left:8330;top:13756;width:39;height:51" type="#_x0000_t75" stroked="false">
              <v:imagedata r:id="rId96" o:title=""/>
            </v:shape>
            <v:shape style="position:absolute;left:8330;top:13756;width:40;height:51" coordorigin="8330,13756" coordsize="40,51" path="m8330,13780l8330,13794,8339,13807,8349,13807,8360,13807,8369,13794,8369,13780,8369,13768,8360,13756,8349,13756,8339,13756,8330,13768,8330,13780xe" filled="false" stroked="true" strokeweight=".512261pt" strokecolor="#1a466e">
              <v:path arrowok="t"/>
            </v:shape>
            <v:shape style="position:absolute;left:8647;top:11281;width:42;height:53" type="#_x0000_t75" stroked="false">
              <v:imagedata r:id="rId96" o:title=""/>
            </v:shape>
            <v:shape style="position:absolute;left:8647;top:11281;width:42;height:54" coordorigin="8647,11281" coordsize="42,54" path="m8647,11308l8647,11323,8656,11335,8668,11335,8679,11335,8689,11323,8689,11308,8689,11293,8679,11281,8668,11281,8656,11281,8647,11293,8647,11308xe" filled="false" stroked="true" strokeweight=".512691pt" strokecolor="#1a466e">
              <v:path arrowok="t"/>
            </v:shape>
            <v:shape style="position:absolute;left:9300;top:12895;width:39;height:50" type="#_x0000_t75" stroked="false">
              <v:imagedata r:id="rId224" o:title=""/>
            </v:shape>
            <v:shape style="position:absolute;left:9300;top:12895;width:40;height:51" coordorigin="9300,12895" coordsize="40,51" path="m9300,12918l9300,12933,9309,12945,9318,12945,9330,12945,9339,12933,9339,12918,9339,12906,9330,12895,9318,12895,9309,12895,9300,12906,9300,12918xe" filled="false" stroked="true" strokeweight=".512699pt" strokecolor="#1a466e">
              <v:path arrowok="t"/>
            </v:shape>
            <v:shape style="position:absolute;left:773;top:10215;width:7014;height:4855" coordorigin="773,10215" coordsize="7014,4855" path="m6280,13860l6280,10907m6280,13569l6241,13569m6280,12924l6241,12924m6280,12276l6241,12276m6280,11632l6241,11632m6280,10984l6241,10984m6280,13860l9621,13860m6340,13860l6340,13911m6983,13860l6983,13911m7629,13860l7629,13911m8272,13860l8272,13911m8916,13860l8916,13911m9561,13860l9561,13911e" filled="false" stroked="true" strokeweight=".264311pt" strokecolor="#000000">
              <v:path arrowok="t"/>
            </v:shape>
            <v:shape style="position:absolute;left:6243;top:13946;width:196;height:125" type="#_x0000_t202" filled="false" stroked="false">
              <v:textbox inset="0,0,0,0">
                <w:txbxContent>
                  <w:p>
                    <w:pPr>
                      <w:spacing w:line="125" w:lineRule="exact" w:before="0"/>
                      <w:ind w:left="0" w:right="-17" w:firstLine="0"/>
                      <w:jc w:val="left"/>
                      <w:rPr>
                        <w:rFonts w:ascii="Arial"/>
                        <w:sz w:val="12"/>
                      </w:rPr>
                    </w:pPr>
                    <w:r>
                      <w:rPr>
                        <w:rFonts w:ascii="Arial"/>
                        <w:w w:val="80"/>
                        <w:sz w:val="12"/>
                      </w:rPr>
                      <w:t>-100</w:t>
                    </w:r>
                  </w:p>
                </w:txbxContent>
              </v:textbox>
              <w10:wrap type="none"/>
            </v:shape>
            <v:shape style="position:absolute;left:6914;top:13946;width:142;height:125" type="#_x0000_t202" filled="false" stroked="false">
              <v:textbox inset="0,0,0,0">
                <w:txbxContent>
                  <w:p>
                    <w:pPr>
                      <w:spacing w:line="125" w:lineRule="exact" w:before="0"/>
                      <w:ind w:left="0" w:right="-17" w:firstLine="0"/>
                      <w:jc w:val="left"/>
                      <w:rPr>
                        <w:rFonts w:ascii="Arial"/>
                        <w:sz w:val="12"/>
                      </w:rPr>
                    </w:pPr>
                    <w:r>
                      <w:rPr>
                        <w:rFonts w:ascii="Arial"/>
                        <w:w w:val="80"/>
                        <w:sz w:val="12"/>
                      </w:rPr>
                      <w:t>-50</w:t>
                    </w:r>
                  </w:p>
                </w:txbxContent>
              </v:textbox>
              <w10:wrap type="none"/>
            </v:shape>
            <v:shape style="position:absolute;left:7601;top:13946;width:55;height:125" type="#_x0000_t202" filled="false" stroked="false">
              <v:textbox inset="0,0,0,0">
                <w:txbxContent>
                  <w:p>
                    <w:pPr>
                      <w:spacing w:line="125" w:lineRule="exact" w:before="0"/>
                      <w:ind w:left="0" w:right="0" w:firstLine="0"/>
                      <w:jc w:val="left"/>
                      <w:rPr>
                        <w:rFonts w:ascii="Arial"/>
                        <w:sz w:val="12"/>
                      </w:rPr>
                    </w:pPr>
                    <w:r>
                      <w:rPr>
                        <w:rFonts w:ascii="Arial"/>
                        <w:w w:val="80"/>
                        <w:sz w:val="12"/>
                      </w:rPr>
                      <w:t>0</w:t>
                    </w:r>
                  </w:p>
                </w:txbxContent>
              </v:textbox>
              <w10:wrap type="none"/>
            </v:shape>
            <v:shape style="position:absolute;left:8219;top:13946;width:112;height:125" type="#_x0000_t202" filled="false" stroked="false">
              <v:textbox inset="0,0,0,0">
                <w:txbxContent>
                  <w:p>
                    <w:pPr>
                      <w:spacing w:line="125" w:lineRule="exact" w:before="0"/>
                      <w:ind w:left="0" w:right="-15" w:firstLine="0"/>
                      <w:jc w:val="left"/>
                      <w:rPr>
                        <w:rFonts w:ascii="Arial"/>
                        <w:sz w:val="12"/>
                      </w:rPr>
                    </w:pPr>
                    <w:r>
                      <w:rPr>
                        <w:rFonts w:ascii="Arial"/>
                        <w:w w:val="80"/>
                        <w:sz w:val="12"/>
                      </w:rPr>
                      <w:t>50</w:t>
                    </w:r>
                  </w:p>
                </w:txbxContent>
              </v:textbox>
              <w10:wrap type="none"/>
            </v:shape>
            <v:shape style="position:absolute;left:8835;top:13946;width:163;height:125" type="#_x0000_t202" filled="false" stroked="false">
              <v:textbox inset="0,0,0,0">
                <w:txbxContent>
                  <w:p>
                    <w:pPr>
                      <w:spacing w:line="125" w:lineRule="exact" w:before="0"/>
                      <w:ind w:left="0" w:right="-18" w:firstLine="0"/>
                      <w:jc w:val="left"/>
                      <w:rPr>
                        <w:rFonts w:ascii="Arial"/>
                        <w:sz w:val="12"/>
                      </w:rPr>
                    </w:pPr>
                    <w:r>
                      <w:rPr>
                        <w:rFonts w:ascii="Arial"/>
                        <w:w w:val="80"/>
                        <w:sz w:val="12"/>
                      </w:rPr>
                      <w:t>100</w:t>
                    </w:r>
                  </w:p>
                </w:txbxContent>
              </v:textbox>
              <w10:wrap type="none"/>
            </v:shape>
            <v:shape style="position:absolute;left:9480;top:13946;width:163;height:125" type="#_x0000_t202" filled="false" stroked="false">
              <v:textbox inset="0,0,0,0">
                <w:txbxContent>
                  <w:p>
                    <w:pPr>
                      <w:spacing w:line="125" w:lineRule="exact" w:before="0"/>
                      <w:ind w:left="0" w:right="-18" w:firstLine="0"/>
                      <w:jc w:val="left"/>
                      <w:rPr>
                        <w:rFonts w:ascii="Arial"/>
                        <w:sz w:val="12"/>
                      </w:rPr>
                    </w:pPr>
                    <w:r>
                      <w:rPr>
                        <w:rFonts w:ascii="Arial"/>
                        <w:w w:val="80"/>
                        <w:sz w:val="12"/>
                      </w:rPr>
                      <w:t>150</w:t>
                    </w:r>
                  </w:p>
                </w:txbxContent>
              </v:textbox>
              <w10:wrap type="none"/>
            </v:shape>
            <v:shape style="position:absolute;left:7844;top:14068;width:214;height:125" type="#_x0000_t202" filled="false" stroked="false">
              <v:textbox inset="0,0,0,0">
                <w:txbxContent>
                  <w:p>
                    <w:pPr>
                      <w:spacing w:line="125" w:lineRule="exact" w:before="0"/>
                      <w:ind w:left="0" w:right="-15" w:firstLine="0"/>
                      <w:jc w:val="left"/>
                      <w:rPr>
                        <w:rFonts w:ascii="Arial"/>
                        <w:sz w:val="12"/>
                      </w:rPr>
                    </w:pPr>
                    <w:r>
                      <w:rPr>
                        <w:rFonts w:ascii="Arial"/>
                        <w:w w:val="80"/>
                        <w:sz w:val="12"/>
                      </w:rPr>
                      <w:t>va35</w:t>
                    </w:r>
                  </w:p>
                </w:txbxContent>
              </v:textbox>
              <w10:wrap type="none"/>
            </v:shape>
            <w10:wrap type="none"/>
          </v:group>
        </w:pict>
      </w:r>
      <w:r>
        <w:rPr/>
        <w:pict>
          <v:shape style="position:absolute;margin-left:88.89328pt;margin-top:683.994446pt;width:7pt;height:11.05pt;mso-position-horizontal-relative:page;mso-position-vertical-relative:page;z-index:7504" type="#_x0000_t202" filled="false" stroked="false">
            <v:textbox inset="0,0,0,0" style="layout-flow:vertical;mso-layout-flow-alt:bottom-to-top">
              <w:txbxContent>
                <w:p>
                  <w:pPr>
                    <w:spacing w:before="6"/>
                    <w:ind w:left="20" w:right="-81" w:firstLine="0"/>
                    <w:jc w:val="left"/>
                    <w:rPr>
                      <w:rFonts w:ascii="Arial"/>
                      <w:sz w:val="10"/>
                    </w:rPr>
                  </w:pPr>
                  <w:r>
                    <w:rPr>
                      <w:rFonts w:ascii="Arial"/>
                      <w:w w:val="125"/>
                      <w:sz w:val="10"/>
                    </w:rPr>
                    <w:t>-</w:t>
                  </w:r>
                  <w:r>
                    <w:rPr>
                      <w:rFonts w:ascii="Arial"/>
                      <w:spacing w:val="-1"/>
                      <w:w w:val="125"/>
                      <w:sz w:val="10"/>
                    </w:rPr>
                    <w:t>4</w:t>
                  </w:r>
                  <w:r>
                    <w:rPr>
                      <w:rFonts w:ascii="Arial"/>
                      <w:w w:val="125"/>
                      <w:sz w:val="10"/>
                    </w:rPr>
                    <w:t>0</w:t>
                  </w:r>
                </w:p>
              </w:txbxContent>
            </v:textbox>
            <w10:wrap type="none"/>
          </v:shape>
        </w:pict>
      </w:r>
      <w:r>
        <w:rPr/>
        <w:pict>
          <v:shape style="position:absolute;margin-left:88.89328pt;margin-top:655.932983pt;width:7pt;height:11.05pt;mso-position-horizontal-relative:page;mso-position-vertical-relative:page;z-index:7528" type="#_x0000_t202" filled="false" stroked="false">
            <v:textbox inset="0,0,0,0" style="layout-flow:vertical;mso-layout-flow-alt:bottom-to-top">
              <w:txbxContent>
                <w:p>
                  <w:pPr>
                    <w:spacing w:before="6"/>
                    <w:ind w:left="20" w:right="-81" w:firstLine="0"/>
                    <w:jc w:val="left"/>
                    <w:rPr>
                      <w:rFonts w:ascii="Arial"/>
                      <w:sz w:val="10"/>
                    </w:rPr>
                  </w:pPr>
                  <w:r>
                    <w:rPr>
                      <w:rFonts w:ascii="Arial"/>
                      <w:w w:val="125"/>
                      <w:sz w:val="10"/>
                    </w:rPr>
                    <w:t>-</w:t>
                  </w:r>
                  <w:r>
                    <w:rPr>
                      <w:rFonts w:ascii="Arial"/>
                      <w:spacing w:val="-1"/>
                      <w:w w:val="125"/>
                      <w:sz w:val="10"/>
                    </w:rPr>
                    <w:t>2</w:t>
                  </w:r>
                  <w:r>
                    <w:rPr>
                      <w:rFonts w:ascii="Arial"/>
                      <w:w w:val="125"/>
                      <w:sz w:val="10"/>
                    </w:rPr>
                    <w:t>0</w:t>
                  </w:r>
                </w:p>
              </w:txbxContent>
            </v:textbox>
            <w10:wrap type="none"/>
          </v:shape>
        </w:pict>
      </w:r>
      <w:r>
        <w:rPr/>
        <w:pict>
          <v:shape style="position:absolute;margin-left:88.893631pt;margin-top:462.72171pt;width:7pt;height:11.05pt;mso-position-horizontal-relative:page;mso-position-vertical-relative:page;z-index:7552" type="#_x0000_t202" filled="false" stroked="false">
            <v:textbox inset="0,0,0,0" style="layout-flow:vertical;mso-layout-flow-alt:bottom-to-top">
              <w:txbxContent>
                <w:p>
                  <w:pPr>
                    <w:spacing w:before="6"/>
                    <w:ind w:left="20" w:right="-81" w:firstLine="0"/>
                    <w:jc w:val="left"/>
                    <w:rPr>
                      <w:rFonts w:ascii="Arial"/>
                      <w:sz w:val="10"/>
                    </w:rPr>
                  </w:pPr>
                  <w:r>
                    <w:rPr>
                      <w:rFonts w:ascii="Arial"/>
                      <w:w w:val="125"/>
                      <w:sz w:val="10"/>
                    </w:rPr>
                    <w:t>-</w:t>
                  </w:r>
                  <w:r>
                    <w:rPr>
                      <w:rFonts w:ascii="Arial"/>
                      <w:spacing w:val="-1"/>
                      <w:w w:val="125"/>
                      <w:sz w:val="10"/>
                    </w:rPr>
                    <w:t>4</w:t>
                  </w:r>
                  <w:r>
                    <w:rPr>
                      <w:rFonts w:ascii="Arial"/>
                      <w:w w:val="125"/>
                      <w:sz w:val="10"/>
                    </w:rPr>
                    <w:t>0</w:t>
                  </w:r>
                </w:p>
              </w:txbxContent>
            </v:textbox>
            <w10:wrap type="none"/>
          </v:shape>
        </w:pict>
      </w:r>
      <w:r>
        <w:rPr/>
        <w:pict>
          <v:shape style="position:absolute;margin-left:88.893631pt;margin-top:434.530212pt;width:7pt;height:11.05pt;mso-position-horizontal-relative:page;mso-position-vertical-relative:page;z-index:7576" type="#_x0000_t202" filled="false" stroked="false">
            <v:textbox inset="0,0,0,0" style="layout-flow:vertical;mso-layout-flow-alt:bottom-to-top">
              <w:txbxContent>
                <w:p>
                  <w:pPr>
                    <w:spacing w:before="6"/>
                    <w:ind w:left="20" w:right="-81" w:firstLine="0"/>
                    <w:jc w:val="left"/>
                    <w:rPr>
                      <w:rFonts w:ascii="Arial"/>
                      <w:sz w:val="10"/>
                    </w:rPr>
                  </w:pPr>
                  <w:r>
                    <w:rPr>
                      <w:rFonts w:ascii="Arial"/>
                      <w:w w:val="125"/>
                      <w:sz w:val="10"/>
                    </w:rPr>
                    <w:t>-</w:t>
                  </w:r>
                  <w:r>
                    <w:rPr>
                      <w:rFonts w:ascii="Arial"/>
                      <w:spacing w:val="-1"/>
                      <w:w w:val="125"/>
                      <w:sz w:val="10"/>
                    </w:rPr>
                    <w:t>2</w:t>
                  </w:r>
                  <w:r>
                    <w:rPr>
                      <w:rFonts w:ascii="Arial"/>
                      <w:w w:val="125"/>
                      <w:sz w:val="10"/>
                    </w:rPr>
                    <w:t>0</w:t>
                  </w:r>
                </w:p>
              </w:txbxContent>
            </v:textbox>
            <w10:wrap type="none"/>
          </v:shape>
        </w:pict>
      </w:r>
      <w:r>
        <w:rPr/>
        <w:pict>
          <v:shape style="position:absolute;margin-left:88.641098pt;margin-top:145.046326pt;width:11.7pt;height:11.45pt;mso-position-horizontal-relative:page;mso-position-vertical-relative:page;z-index:7624" type="#_x0000_t202" filled="false" stroked="false">
            <v:textbox inset="0,0,0,0" style="layout-flow:vertical;mso-layout-flow-alt:bottom-to-top">
              <w:txbxContent>
                <w:p>
                  <w:pPr>
                    <w:spacing w:line="192" w:lineRule="auto" w:before="27"/>
                    <w:ind w:left="73" w:right="7" w:hanging="54"/>
                    <w:jc w:val="left"/>
                    <w:rPr>
                      <w:rFonts w:ascii="Arial"/>
                      <w:sz w:val="10"/>
                    </w:rPr>
                  </w:pPr>
                  <w:r>
                    <w:rPr>
                      <w:rFonts w:ascii="Arial"/>
                      <w:w w:val="123"/>
                      <w:sz w:val="10"/>
                    </w:rPr>
                    <w:t>va </w:t>
                  </w:r>
                  <w:r>
                    <w:rPr>
                      <w:rFonts w:ascii="Arial"/>
                      <w:spacing w:val="-2"/>
                      <w:w w:val="123"/>
                      <w:sz w:val="10"/>
                    </w:rPr>
                    <w:t>20</w:t>
                  </w:r>
                </w:p>
              </w:txbxContent>
            </v:textbox>
            <w10:wrap type="none"/>
          </v:shape>
        </w:pict>
      </w:r>
      <w:r>
        <w:rPr/>
        <w:pict>
          <v:shape style="position:absolute;margin-left:93.031105pt;margin-top:600.788635pt;width:7pt;height:8.9pt;mso-position-horizontal-relative:page;mso-position-vertical-relative:page;z-index:7648" type="#_x0000_t202" filled="false" stroked="false">
            <v:textbox inset="0,0,0,0" style="layout-flow:vertical;mso-layout-flow-alt:bottom-to-top">
              <w:txbxContent>
                <w:p>
                  <w:pPr>
                    <w:spacing w:before="6"/>
                    <w:ind w:left="20" w:right="-36" w:firstLine="0"/>
                    <w:jc w:val="left"/>
                    <w:rPr>
                      <w:rFonts w:ascii="Arial"/>
                      <w:sz w:val="10"/>
                    </w:rPr>
                  </w:pPr>
                  <w:r>
                    <w:rPr>
                      <w:rFonts w:ascii="Arial"/>
                      <w:spacing w:val="-2"/>
                      <w:w w:val="125"/>
                      <w:sz w:val="10"/>
                    </w:rPr>
                    <w:t>20</w:t>
                  </w:r>
                </w:p>
              </w:txbxContent>
            </v:textbox>
            <w10:wrap type="none"/>
          </v:shape>
        </w:pict>
      </w:r>
      <w:r>
        <w:rPr/>
        <w:pict>
          <v:shape style="position:absolute;margin-left:93.031105pt;margin-top:572.731567pt;width:7pt;height:8.9pt;mso-position-horizontal-relative:page;mso-position-vertical-relative:page;z-index:7672" type="#_x0000_t202" filled="false" stroked="false">
            <v:textbox inset="0,0,0,0" style="layout-flow:vertical;mso-layout-flow-alt:bottom-to-top">
              <w:txbxContent>
                <w:p>
                  <w:pPr>
                    <w:spacing w:before="6"/>
                    <w:ind w:left="20" w:right="-36" w:firstLine="0"/>
                    <w:jc w:val="left"/>
                    <w:rPr>
                      <w:rFonts w:ascii="Arial"/>
                      <w:sz w:val="10"/>
                    </w:rPr>
                  </w:pPr>
                  <w:r>
                    <w:rPr>
                      <w:rFonts w:ascii="Arial"/>
                      <w:spacing w:val="-2"/>
                      <w:w w:val="125"/>
                      <w:sz w:val="10"/>
                    </w:rPr>
                    <w:t>40</w:t>
                  </w:r>
                </w:p>
              </w:txbxContent>
            </v:textbox>
            <w10:wrap type="none"/>
          </v:shape>
        </w:pict>
      </w:r>
      <w:r>
        <w:rPr/>
        <w:pict>
          <v:shape style="position:absolute;margin-left:92.912941pt;margin-top:544.531494pt;width:7pt;height:8.9pt;mso-position-horizontal-relative:page;mso-position-vertical-relative:page;z-index:7696" type="#_x0000_t202" filled="false" stroked="false">
            <v:textbox inset="0,0,0,0" style="layout-flow:vertical;mso-layout-flow-alt:bottom-to-top">
              <w:txbxContent>
                <w:p>
                  <w:pPr>
                    <w:spacing w:before="6"/>
                    <w:ind w:left="20" w:right="-36" w:firstLine="0"/>
                    <w:jc w:val="left"/>
                    <w:rPr>
                      <w:rFonts w:ascii="Arial"/>
                      <w:sz w:val="10"/>
                    </w:rPr>
                  </w:pPr>
                  <w:r>
                    <w:rPr>
                      <w:rFonts w:ascii="Arial"/>
                      <w:spacing w:val="-2"/>
                      <w:w w:val="125"/>
                      <w:sz w:val="10"/>
                    </w:rPr>
                    <w:t>60</w:t>
                  </w:r>
                </w:p>
              </w:txbxContent>
            </v:textbox>
            <w10:wrap type="none"/>
          </v:shape>
        </w:pict>
      </w:r>
      <w:r>
        <w:rPr/>
        <w:pict>
          <v:shape style="position:absolute;margin-left:93.235825pt;margin-top:111.863594pt;width:7.1pt;height:8.8pt;mso-position-horizontal-relative:page;mso-position-vertical-relative:page;z-index:7792" type="#_x0000_t202" filled="false" stroked="false">
            <v:textbox inset="0,0,0,0" style="layout-flow:vertical;mso-layout-flow-alt:bottom-to-top">
              <w:txbxContent>
                <w:p>
                  <w:pPr>
                    <w:spacing w:before="8"/>
                    <w:ind w:left="20" w:right="-32" w:firstLine="0"/>
                    <w:jc w:val="left"/>
                    <w:rPr>
                      <w:rFonts w:ascii="Arial"/>
                      <w:sz w:val="10"/>
                    </w:rPr>
                  </w:pPr>
                  <w:r>
                    <w:rPr>
                      <w:rFonts w:ascii="Arial"/>
                      <w:spacing w:val="-2"/>
                      <w:w w:val="123"/>
                      <w:sz w:val="10"/>
                    </w:rPr>
                    <w:t>40</w:t>
                  </w:r>
                </w:p>
              </w:txbxContent>
            </v:textbox>
            <w10:wrap type="none"/>
          </v:shape>
        </w:pict>
      </w:r>
      <w:r>
        <w:rPr/>
        <w:pict>
          <v:shape style="position:absolute;margin-left:93.11496pt;margin-top:78.662514pt;width:7.1pt;height:8.8pt;mso-position-horizontal-relative:page;mso-position-vertical-relative:page;z-index:7816" type="#_x0000_t202" filled="false" stroked="false">
            <v:textbox inset="0,0,0,0" style="layout-flow:vertical;mso-layout-flow-alt:bottom-to-top">
              <w:txbxContent>
                <w:p>
                  <w:pPr>
                    <w:spacing w:before="8"/>
                    <w:ind w:left="20" w:right="-32" w:firstLine="0"/>
                    <w:jc w:val="left"/>
                    <w:rPr>
                      <w:rFonts w:ascii="Arial"/>
                      <w:sz w:val="10"/>
                    </w:rPr>
                  </w:pPr>
                  <w:r>
                    <w:rPr>
                      <w:rFonts w:ascii="Arial"/>
                      <w:spacing w:val="-2"/>
                      <w:w w:val="123"/>
                      <w:sz w:val="10"/>
                    </w:rPr>
                    <w:t>60</w:t>
                  </w:r>
                </w:p>
              </w:txbxContent>
            </v:textbox>
            <w10:wrap type="none"/>
          </v:shape>
        </w:pict>
      </w:r>
      <w:r>
        <w:rPr/>
        <w:pict>
          <v:shape style="position:absolute;margin-left:97.168442pt;margin-top:630.42926pt;width:7pt;height:5.5pt;mso-position-horizontal-relative:page;mso-position-vertical-relative:page;z-index:7840" type="#_x0000_t202" filled="false" stroked="false">
            <v:textbox inset="0,0,0,0" style="layout-flow:vertical;mso-layout-flow-alt:bottom-to-top">
              <w:txbxContent>
                <w:p>
                  <w:pPr>
                    <w:spacing w:before="6"/>
                    <w:ind w:left="20" w:right="0" w:firstLine="0"/>
                    <w:jc w:val="left"/>
                    <w:rPr>
                      <w:rFonts w:ascii="Arial"/>
                      <w:sz w:val="10"/>
                    </w:rPr>
                  </w:pPr>
                  <w:r>
                    <w:rPr>
                      <w:rFonts w:ascii="Arial"/>
                      <w:w w:val="125"/>
                      <w:sz w:val="10"/>
                    </w:rPr>
                    <w:t>0</w:t>
                  </w:r>
                </w:p>
              </w:txbxContent>
            </v:textbox>
            <w10:wrap type="none"/>
          </v:shape>
        </w:pict>
      </w:r>
      <w:r>
        <w:rPr/>
        <w:pict>
          <v:shape style="position:absolute;margin-left:97.169388pt;margin-top:408.908295pt;width:7pt;height:5.55pt;mso-position-horizontal-relative:page;mso-position-vertical-relative:page;z-index:7864" type="#_x0000_t202" filled="false" stroked="false">
            <v:textbox inset="0,0,0,0" style="layout-flow:vertical;mso-layout-flow-alt:bottom-to-top">
              <w:txbxContent>
                <w:p>
                  <w:pPr>
                    <w:spacing w:before="6"/>
                    <w:ind w:left="20" w:right="0" w:firstLine="0"/>
                    <w:jc w:val="left"/>
                    <w:rPr>
                      <w:rFonts w:ascii="Arial"/>
                      <w:sz w:val="10"/>
                    </w:rPr>
                  </w:pPr>
                  <w:r>
                    <w:rPr>
                      <w:rFonts w:ascii="Arial"/>
                      <w:w w:val="125"/>
                      <w:sz w:val="10"/>
                    </w:rPr>
                    <w:t>0</w:t>
                  </w:r>
                </w:p>
              </w:txbxContent>
            </v:textbox>
            <w10:wrap type="none"/>
          </v:shape>
        </w:pict>
      </w:r>
      <w:r>
        <w:rPr/>
        <w:pict>
          <v:shape style="position:absolute;margin-left:97.467461pt;margin-top:179.818558pt;width:7.1pt;height:5.45pt;mso-position-horizontal-relative:page;mso-position-vertical-relative:page;z-index:7888" type="#_x0000_t202" filled="false" stroked="false">
            <v:textbox inset="0,0,0,0" style="layout-flow:vertical;mso-layout-flow-alt:bottom-to-top">
              <w:txbxContent>
                <w:p>
                  <w:pPr>
                    <w:spacing w:before="8"/>
                    <w:ind w:left="20" w:right="0" w:firstLine="0"/>
                    <w:jc w:val="left"/>
                    <w:rPr>
                      <w:rFonts w:ascii="Arial"/>
                      <w:sz w:val="10"/>
                    </w:rPr>
                  </w:pPr>
                  <w:r>
                    <w:rPr>
                      <w:rFonts w:ascii="Arial"/>
                      <w:w w:val="123"/>
                      <w:sz w:val="10"/>
                    </w:rPr>
                    <w:t>0</w:t>
                  </w:r>
                </w:p>
              </w:txbxContent>
            </v:textbox>
            <w10:wrap type="none"/>
          </v:shape>
        </w:pict>
      </w:r>
      <w:r>
        <w:rPr/>
        <w:pict>
          <v:shape style="position:absolute;margin-left:297.141479pt;margin-top:672.933716pt;width:6.9pt;height:11pt;mso-position-horizontal-relative:page;mso-position-vertical-relative:page;z-index:7912" type="#_x0000_t202" filled="false" stroked="false">
            <v:textbox inset="0,0,0,0" style="layout-flow:vertical;mso-layout-flow-alt:bottom-to-top">
              <w:txbxContent>
                <w:p>
                  <w:pPr>
                    <w:spacing w:before="14"/>
                    <w:ind w:left="20" w:right="-82" w:firstLine="0"/>
                    <w:jc w:val="left"/>
                    <w:rPr>
                      <w:rFonts w:ascii="Arial"/>
                      <w:sz w:val="9"/>
                    </w:rPr>
                  </w:pPr>
                  <w:r>
                    <w:rPr>
                      <w:rFonts w:ascii="Arial"/>
                      <w:w w:val="138"/>
                      <w:sz w:val="9"/>
                    </w:rPr>
                    <w:t>-</w:t>
                  </w:r>
                  <w:r>
                    <w:rPr>
                      <w:rFonts w:ascii="Arial"/>
                      <w:spacing w:val="-1"/>
                      <w:w w:val="138"/>
                      <w:sz w:val="9"/>
                    </w:rPr>
                    <w:t>2</w:t>
                  </w:r>
                  <w:r>
                    <w:rPr>
                      <w:rFonts w:ascii="Arial"/>
                      <w:w w:val="138"/>
                      <w:sz w:val="9"/>
                    </w:rPr>
                    <w:t>0</w:t>
                  </w:r>
                </w:p>
              </w:txbxContent>
            </v:textbox>
            <w10:wrap type="none"/>
          </v:shape>
        </w:pict>
      </w:r>
      <w:r>
        <w:rPr/>
        <w:pict>
          <v:shape style="position:absolute;margin-left:296.794434pt;margin-top:609.401306pt;width:11.3pt;height:14.05pt;mso-position-horizontal-relative:page;mso-position-vertical-relative:page;z-index:7936" type="#_x0000_t202" filled="false" stroked="false">
            <v:textbox inset="0,0,0,0" style="layout-flow:vertical;mso-layout-flow-alt:bottom-to-top">
              <w:txbxContent>
                <w:p>
                  <w:pPr>
                    <w:spacing w:line="96" w:lineRule="exact" w:before="14"/>
                    <w:ind w:left="20" w:right="1" w:firstLine="0"/>
                    <w:jc w:val="left"/>
                    <w:rPr>
                      <w:rFonts w:ascii="Arial"/>
                      <w:sz w:val="9"/>
                    </w:rPr>
                  </w:pPr>
                  <w:r>
                    <w:rPr>
                      <w:rFonts w:ascii="Arial"/>
                      <w:w w:val="138"/>
                      <w:sz w:val="9"/>
                    </w:rPr>
                    <w:t>va</w:t>
                  </w:r>
                </w:p>
                <w:p>
                  <w:pPr>
                    <w:spacing w:line="96" w:lineRule="exact" w:before="0"/>
                    <w:ind w:left="124" w:right="-53" w:firstLine="0"/>
                    <w:jc w:val="left"/>
                    <w:rPr>
                      <w:rFonts w:ascii="Arial"/>
                      <w:sz w:val="9"/>
                    </w:rPr>
                  </w:pPr>
                  <w:r>
                    <w:rPr>
                      <w:rFonts w:ascii="Arial"/>
                      <w:spacing w:val="-2"/>
                      <w:w w:val="138"/>
                      <w:sz w:val="9"/>
                    </w:rPr>
                    <w:t>20</w:t>
                  </w:r>
                </w:p>
              </w:txbxContent>
            </v:textbox>
            <w10:wrap type="none"/>
          </v:shape>
        </w:pict>
      </w:r>
      <w:r>
        <w:rPr/>
        <w:pict>
          <v:shape style="position:absolute;margin-left:299.458008pt;margin-top:463.837891pt;width:6.7pt;height:10.85pt;mso-position-horizontal-relative:page;mso-position-vertical-relative:page;z-index:7960" type="#_x0000_t202" filled="false" stroked="false">
            <v:textbox inset="0,0,0,0" style="layout-flow:vertical;mso-layout-flow-alt:bottom-to-top">
              <w:txbxContent>
                <w:p>
                  <w:pPr>
                    <w:spacing w:before="11"/>
                    <w:ind w:left="20" w:right="-83" w:firstLine="0"/>
                    <w:jc w:val="left"/>
                    <w:rPr>
                      <w:rFonts w:ascii="Arial"/>
                      <w:sz w:val="9"/>
                    </w:rPr>
                  </w:pPr>
                  <w:r>
                    <w:rPr>
                      <w:rFonts w:ascii="Arial"/>
                      <w:w w:val="136"/>
                      <w:sz w:val="9"/>
                    </w:rPr>
                    <w:t>-</w:t>
                  </w:r>
                  <w:r>
                    <w:rPr>
                      <w:rFonts w:ascii="Arial"/>
                      <w:spacing w:val="-1"/>
                      <w:w w:val="136"/>
                      <w:sz w:val="9"/>
                    </w:rPr>
                    <w:t>4</w:t>
                  </w:r>
                  <w:r>
                    <w:rPr>
                      <w:rFonts w:ascii="Arial"/>
                      <w:w w:val="136"/>
                      <w:sz w:val="9"/>
                    </w:rPr>
                    <w:t>0</w:t>
                  </w:r>
                </w:p>
              </w:txbxContent>
            </v:textbox>
            <w10:wrap type="none"/>
          </v:shape>
        </w:pict>
      </w:r>
      <w:r>
        <w:rPr/>
        <w:pict>
          <v:shape style="position:absolute;margin-left:299.458008pt;margin-top:436.286804pt;width:6.7pt;height:10.85pt;mso-position-horizontal-relative:page;mso-position-vertical-relative:page;z-index:7984" type="#_x0000_t202" filled="false" stroked="false">
            <v:textbox inset="0,0,0,0" style="layout-flow:vertical;mso-layout-flow-alt:bottom-to-top">
              <w:txbxContent>
                <w:p>
                  <w:pPr>
                    <w:spacing w:before="11"/>
                    <w:ind w:left="20" w:right="-83" w:firstLine="0"/>
                    <w:jc w:val="left"/>
                    <w:rPr>
                      <w:rFonts w:ascii="Arial"/>
                      <w:sz w:val="9"/>
                    </w:rPr>
                  </w:pPr>
                  <w:r>
                    <w:rPr>
                      <w:rFonts w:ascii="Arial"/>
                      <w:w w:val="136"/>
                      <w:sz w:val="9"/>
                    </w:rPr>
                    <w:t>-</w:t>
                  </w:r>
                  <w:r>
                    <w:rPr>
                      <w:rFonts w:ascii="Arial"/>
                      <w:spacing w:val="-1"/>
                      <w:w w:val="136"/>
                      <w:sz w:val="9"/>
                    </w:rPr>
                    <w:t>2</w:t>
                  </w:r>
                  <w:r>
                    <w:rPr>
                      <w:rFonts w:ascii="Arial"/>
                      <w:w w:val="136"/>
                      <w:sz w:val="9"/>
                    </w:rPr>
                    <w:t>0</w:t>
                  </w:r>
                </w:p>
              </w:txbxContent>
            </v:textbox>
            <w10:wrap type="none"/>
          </v:shape>
        </w:pict>
      </w:r>
      <w:r>
        <w:rPr/>
        <w:pict>
          <v:shape style="position:absolute;margin-left:301.192352pt;margin-top:577.174255pt;width:6.9pt;height:8.85pt;mso-position-horizontal-relative:page;mso-position-vertical-relative:page;z-index:8008" type="#_x0000_t202" filled="false" stroked="false">
            <v:textbox inset="0,0,0,0" style="layout-flow:vertical;mso-layout-flow-alt:bottom-to-top">
              <w:txbxContent>
                <w:p>
                  <w:pPr>
                    <w:spacing w:before="14"/>
                    <w:ind w:left="20" w:right="-37" w:firstLine="0"/>
                    <w:jc w:val="left"/>
                    <w:rPr>
                      <w:rFonts w:ascii="Arial"/>
                      <w:sz w:val="9"/>
                    </w:rPr>
                  </w:pPr>
                  <w:r>
                    <w:rPr>
                      <w:rFonts w:ascii="Arial"/>
                      <w:spacing w:val="-2"/>
                      <w:w w:val="138"/>
                      <w:sz w:val="9"/>
                    </w:rPr>
                    <w:t>40</w:t>
                  </w:r>
                </w:p>
              </w:txbxContent>
            </v:textbox>
            <w10:wrap type="none"/>
          </v:shape>
        </w:pict>
      </w:r>
      <w:r>
        <w:rPr/>
        <w:pict>
          <v:shape style="position:absolute;margin-left:301.076691pt;margin-top:544.786377pt;width:6.9pt;height:8.85pt;mso-position-horizontal-relative:page;mso-position-vertical-relative:page;z-index:8032" type="#_x0000_t202" filled="false" stroked="false">
            <v:textbox inset="0,0,0,0" style="layout-flow:vertical;mso-layout-flow-alt:bottom-to-top">
              <w:txbxContent>
                <w:p>
                  <w:pPr>
                    <w:spacing w:before="14"/>
                    <w:ind w:left="20" w:right="-37" w:firstLine="0"/>
                    <w:jc w:val="left"/>
                    <w:rPr>
                      <w:rFonts w:ascii="Arial"/>
                      <w:sz w:val="9"/>
                    </w:rPr>
                  </w:pPr>
                  <w:r>
                    <w:rPr>
                      <w:rFonts w:ascii="Arial"/>
                      <w:spacing w:val="-2"/>
                      <w:w w:val="138"/>
                      <w:sz w:val="9"/>
                    </w:rPr>
                    <w:t>60</w:t>
                  </w:r>
                </w:p>
              </w:txbxContent>
            </v:textbox>
            <w10:wrap type="none"/>
          </v:shape>
        </w:pict>
      </w:r>
      <w:r>
        <w:rPr/>
        <w:pict>
          <v:shape style="position:absolute;margin-left:305.242737pt;margin-top:643.371887pt;width:6.9pt;height:5.5pt;mso-position-horizontal-relative:page;mso-position-vertical-relative:page;z-index:8128" type="#_x0000_t202" filled="false" stroked="false">
            <v:textbox inset="0,0,0,0" style="layout-flow:vertical;mso-layout-flow-alt:bottom-to-top">
              <w:txbxContent>
                <w:p>
                  <w:pPr>
                    <w:spacing w:before="14"/>
                    <w:ind w:left="20" w:right="0" w:firstLine="0"/>
                    <w:jc w:val="left"/>
                    <w:rPr>
                      <w:rFonts w:ascii="Arial"/>
                      <w:sz w:val="9"/>
                    </w:rPr>
                  </w:pPr>
                  <w:r>
                    <w:rPr>
                      <w:rFonts w:ascii="Arial"/>
                      <w:w w:val="138"/>
                      <w:sz w:val="9"/>
                    </w:rPr>
                    <w:t>0</w:t>
                  </w:r>
                </w:p>
              </w:txbxContent>
            </v:textbox>
            <w10:wrap type="none"/>
          </v:shape>
        </w:pict>
      </w:r>
      <w:r>
        <w:rPr/>
        <w:pict>
          <v:shape style="position:absolute;margin-left:307.279938pt;margin-top:411.246918pt;width:6.7pt;height:5.45pt;mso-position-horizontal-relative:page;mso-position-vertical-relative:page;z-index:8152" type="#_x0000_t202" filled="false" stroked="false">
            <v:textbox inset="0,0,0,0" style="layout-flow:vertical;mso-layout-flow-alt:bottom-to-top">
              <w:txbxContent>
                <w:p>
                  <w:pPr>
                    <w:spacing w:before="11"/>
                    <w:ind w:left="20" w:right="0" w:firstLine="0"/>
                    <w:jc w:val="left"/>
                    <w:rPr>
                      <w:rFonts w:ascii="Arial"/>
                      <w:sz w:val="9"/>
                    </w:rPr>
                  </w:pPr>
                  <w:r>
                    <w:rPr>
                      <w:rFonts w:ascii="Arial"/>
                      <w:w w:val="136"/>
                      <w:sz w:val="9"/>
                    </w:rPr>
                    <w:t>0</w:t>
                  </w:r>
                </w:p>
              </w:txbxContent>
            </v:textbox>
            <w10:wrap type="none"/>
          </v:shape>
        </w:pic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
        <w:rPr>
          <w:rFonts w:ascii="Arial"/>
          <w:b/>
          <w:sz w:val="29"/>
        </w:rPr>
      </w:pPr>
    </w:p>
    <w:p>
      <w:pPr>
        <w:pStyle w:val="Heading2"/>
        <w:spacing w:before="69"/>
        <w:ind w:left="3274" w:right="0"/>
        <w:rPr>
          <w:rFonts w:ascii="Arial" w:hAnsi="Arial"/>
        </w:rPr>
      </w:pPr>
      <w:r>
        <w:rPr/>
        <w:pict>
          <v:group style="position:absolute;margin-left:86.713722pt;margin-top:-212.459244pt;width:199.75pt;height:176.6pt;mso-position-horizontal-relative:page;mso-position-vertical-relative:paragraph;z-index:6784" coordorigin="1734,-4249" coordsize="3995,3532">
            <v:rect style="position:absolute;left:1735;top:-4249;width:3994;height:3528" filled="true" fillcolor="#eaf1f3" stroked="false">
              <v:fill type="solid"/>
            </v:rect>
            <v:shape style="position:absolute;left:1737;top:-4243;width:3984;height:3522" type="#_x0000_t75" stroked="false">
              <v:imagedata r:id="rId225" o:title=""/>
            </v:shape>
            <v:rect style="position:absolute;left:1737;top:-4243;width:3984;height:3522" filled="false" stroked="true" strokeweight=".271018pt" strokecolor="#eaf1f3"/>
            <v:shape style="position:absolute;left:2131;top:-4120;width:3491;height:2920" type="#_x0000_t75" stroked="false">
              <v:imagedata r:id="rId226" o:title=""/>
            </v:shape>
            <v:rect style="position:absolute;left:2131;top:-4120;width:3491;height:2920" filled="false" stroked="true" strokeweight=".272423pt" strokecolor="#ffffff"/>
            <v:shape style="position:absolute;left:2131;top:-4050;width:3491;height:2668" coordorigin="2131,-4050" coordsize="3491,2668" path="m5622,-1394l2131,-1394,2131,-1382,5622,-1382,5622,-1394m5622,-2058l2131,-2058,2131,-2046,5622,-2046,5622,-2058m5622,-2722l2131,-2722,2131,-2710,5622,-2710,5622,-2722m5622,-3386l2131,-3386,2131,-3374,5622,-3374,5622,-3386m5622,-4050l2131,-4050,2131,-4038,5622,-4038,5622,-4050e" filled="true" fillcolor="#eaf1f3" stroked="false">
              <v:path arrowok="t"/>
              <v:fill type="solid"/>
            </v:shape>
            <v:shape style="position:absolute;left:2460;top:-2845;width:44;height:50" type="#_x0000_t75" stroked="false">
              <v:imagedata r:id="rId227" o:title=""/>
            </v:shape>
            <v:shape style="position:absolute;left:2460;top:-2845;width:44;height:50" coordorigin="2460,-2845" coordsize="44,50" path="m2460,-2821l2460,-2807,2470,-2795,2482,-2795,2494,-2795,2504,-2807,2504,-2821,2504,-2833,2494,-2845,2482,-2845,2470,-2845,2460,-2833,2460,-2821xe" filled="false" stroked="true" strokeweight=".528573pt" strokecolor="#1a466e">
              <v:path arrowok="t"/>
            </v:shape>
            <v:shape style="position:absolute;left:2656;top:-1596;width:41;height:53" type="#_x0000_t75" stroked="false">
              <v:imagedata r:id="rId96" o:title=""/>
            </v:shape>
            <v:shape style="position:absolute;left:2656;top:-1596;width:42;height:53" coordorigin="2656,-1596" coordsize="42,53" path="m2656,-1570l2656,-1555,2666,-1544,2675,-1544,2687,-1544,2697,-1555,2697,-1570,2697,-1585,2687,-1596,2675,-1596,2666,-1596,2656,-1585,2656,-1570xe" filled="false" stroked="true" strokeweight=".52291pt" strokecolor="#1a466e">
              <v:path arrowok="t"/>
            </v:shape>
            <v:shape style="position:absolute;left:2755;top:-1591;width:41;height:53" type="#_x0000_t75" stroked="false">
              <v:imagedata r:id="rId109" o:title=""/>
            </v:shape>
            <v:shape style="position:absolute;left:2755;top:-1591;width:42;height:53" coordorigin="2755,-1591" coordsize="42,53" path="m2755,-1564l2755,-1550,2765,-1538,2774,-1538,2787,-1538,2796,-1550,2796,-1564,2796,-1579,2787,-1591,2774,-1591,2765,-1591,2755,-1579,2755,-1564xe" filled="false" stroked="true" strokeweight=".522875pt" strokecolor="#1a466e">
              <v:path arrowok="t"/>
            </v:shape>
            <v:shape style="position:absolute;left:2806;top:-1658;width:41;height:53" type="#_x0000_t75" stroked="false">
              <v:imagedata r:id="rId96" o:title=""/>
            </v:shape>
            <v:shape style="position:absolute;left:2806;top:-1658;width:42;height:53" coordorigin="2806,-1658" coordsize="42,53" path="m2806,-1632l2806,-1617,2816,-1605,2825,-1605,2837,-1605,2847,-1617,2847,-1632,2847,-1646,2837,-1658,2825,-1658,2816,-1658,2806,-1646,2806,-1632xe" filled="false" stroked="true" strokeweight=".523006pt" strokecolor="#1a466e">
              <v:path arrowok="t"/>
            </v:shape>
            <v:shape style="position:absolute;left:2808;top:-2960;width:41;height:50" type="#_x0000_t75" stroked="false">
              <v:imagedata r:id="rId96" o:title=""/>
            </v:shape>
            <v:shape style="position:absolute;left:2808;top:-2960;width:42;height:50" coordorigin="2808,-2960" coordsize="42,50" path="m2808,-2936l2808,-2922,2818,-2910,2828,-2910,2840,-2910,2849,-2922,2849,-2936,2849,-2948,2840,-2960,2828,-2960,2818,-2960,2808,-2948,2808,-2936xe" filled="false" stroked="true" strokeweight=".525904pt" strokecolor="#1a466e">
              <v:path arrowok="t"/>
            </v:shape>
            <v:shape style="position:absolute;left:2818;top:-1570;width:44;height:53" type="#_x0000_t75" stroked="false">
              <v:imagedata r:id="rId109" o:title=""/>
            </v:shape>
            <v:shape style="position:absolute;left:2818;top:-1570;width:44;height:53" coordorigin="2818,-1570" coordsize="44,53" path="m2818,-1544l2818,-1529,2828,-1517,2840,-1517,2852,-1517,2862,-1529,2862,-1544,2862,-1558,2852,-1570,2840,-1570,2828,-1570,2818,-1558,2818,-1544xe" filled="false" stroked="true" strokeweight=".525832pt" strokecolor="#1a466e">
              <v:path arrowok="t"/>
            </v:shape>
            <v:shape style="position:absolute;left:2835;top:-2581;width:44;height:53" type="#_x0000_t75" stroked="false">
              <v:imagedata r:id="rId114" o:title=""/>
            </v:shape>
            <v:shape style="position:absolute;left:2835;top:-2581;width:44;height:53" coordorigin="2835,-2581" coordsize="44,53" path="m2835,-2554l2835,-2539,2845,-2528,2857,-2528,2869,-2528,2878,-2539,2878,-2554,2878,-2569,2869,-2581,2857,-2581,2845,-2581,2835,-2569,2835,-2554xe" filled="false" stroked="true" strokeweight=".525658pt" strokecolor="#1a466e">
              <v:path arrowok="t"/>
            </v:shape>
            <v:shape style="position:absolute;left:2837;top:-3691;width:44;height:53" type="#_x0000_t75" stroked="false">
              <v:imagedata r:id="rId109" o:title=""/>
            </v:shape>
            <v:shape style="position:absolute;left:2837;top:-3691;width:44;height:53" coordorigin="2837,-3691" coordsize="44,53" path="m2837,-3665l2837,-3650,2847,-3638,2859,-3638,2871,-3638,2881,-3650,2881,-3665,2881,-3679,2871,-3691,2859,-3691,2847,-3691,2837,-3679,2837,-3665xe" filled="false" stroked="true" strokeweight=".525658pt" strokecolor="#1a466e">
              <v:path arrowok="t"/>
            </v:shape>
            <v:shape style="position:absolute;left:2862;top:-1785;width:44;height:53" type="#_x0000_t75" stroked="false">
              <v:imagedata r:id="rId228" o:title=""/>
            </v:shape>
            <v:shape style="position:absolute;left:2862;top:-1785;width:44;height:53" coordorigin="2862,-1785" coordsize="44,53" path="m2862,-1758l2862,-1743,2871,-1732,2883,-1732,2895,-1732,2905,-1743,2905,-1758,2905,-1773,2895,-1785,2883,-1785,2871,-1785,2862,-1773,2862,-1758xe" filled="false" stroked="true" strokeweight=".525704pt" strokecolor="#1a466e">
              <v:path arrowok="t"/>
            </v:shape>
            <v:shape style="position:absolute;left:2876;top:-2143;width:44;height:53" type="#_x0000_t75" stroked="false">
              <v:imagedata r:id="rId96" o:title=""/>
            </v:shape>
            <v:shape style="position:absolute;left:2876;top:-2143;width:44;height:53" coordorigin="2876,-2143" coordsize="44,53" path="m2876,-2116l2876,-2102,2886,-2090,2898,-2090,2910,-2090,2920,-2102,2920,-2116,2920,-2131,2910,-2143,2898,-2143,2886,-2143,2876,-2131,2876,-2116xe" filled="false" stroked="true" strokeweight=".525774pt" strokecolor="#1a466e">
              <v:path arrowok="t"/>
            </v:shape>
            <v:shape style="position:absolute;left:2881;top:-1344;width:41;height:53" type="#_x0000_t75" stroked="false">
              <v:imagedata r:id="rId96" o:title=""/>
            </v:shape>
            <v:shape style="position:absolute;left:2881;top:-1344;width:42;height:53" coordorigin="2881,-1344" coordsize="42,53" path="m2881,-1317l2881,-1303,2891,-1291,2900,-1291,2912,-1291,2922,-1303,2922,-1317,2922,-1332,2912,-1344,2900,-1344,2891,-1344,2881,-1332,2881,-1317xe" filled="false" stroked="true" strokeweight=".522875pt" strokecolor="#1a466e">
              <v:path arrowok="t"/>
            </v:shape>
            <v:shape style="position:absolute;left:2883;top:-1690;width:41;height:53" type="#_x0000_t75" stroked="false">
              <v:imagedata r:id="rId109" o:title=""/>
            </v:shape>
            <v:shape style="position:absolute;left:2883;top:-1690;width:42;height:53" coordorigin="2883,-1690" coordsize="42,53" path="m2883,-1664l2883,-1649,2893,-1638,2903,-1638,2915,-1638,2924,-1649,2924,-1664,2924,-1679,2915,-1690,2903,-1690,2893,-1690,2883,-1679,2883,-1664xe" filled="false" stroked="true" strokeweight=".522875pt" strokecolor="#1a466e">
              <v:path arrowok="t"/>
            </v:shape>
            <v:shape style="position:absolute;left:2893;top:-2008;width:41;height:53" type="#_x0000_t75" stroked="false">
              <v:imagedata r:id="rId229" o:title=""/>
            </v:shape>
            <v:shape style="position:absolute;left:2893;top:-2008;width:42;height:53" coordorigin="2893,-2008" coordsize="42,53" path="m2893,-1981l2893,-1967,2903,-1955,2912,-1955,2924,-1955,2934,-1967,2934,-1981,2934,-1996,2924,-2008,2912,-2008,2903,-2008,2893,-1996,2893,-1981xe" filled="false" stroked="true" strokeweight=".522829pt" strokecolor="#1a466e">
              <v:path arrowok="t"/>
            </v:shape>
            <v:shape style="position:absolute;left:2893;top:-2249;width:41;height:53" type="#_x0000_t75" stroked="false">
              <v:imagedata r:id="rId230" o:title=""/>
            </v:shape>
            <v:shape style="position:absolute;left:2893;top:-2249;width:42;height:53" coordorigin="2893,-2249" coordsize="42,53" path="m2893,-2222l2893,-2208,2903,-2196,2912,-2196,2924,-2196,2934,-2208,2934,-2222,2934,-2237,2924,-2249,2912,-2249,2903,-2249,2893,-2237,2893,-2222xe" filled="false" stroked="true" strokeweight=".522829pt" strokecolor="#1a466e">
              <v:path arrowok="t"/>
            </v:shape>
            <v:shape style="position:absolute;left:2941;top:-2049;width:41;height:50" type="#_x0000_t75" stroked="false">
              <v:imagedata r:id="rId96" o:title=""/>
            </v:shape>
            <v:shape style="position:absolute;left:2941;top:-2049;width:42;height:50" coordorigin="2941,-2049" coordsize="42,50" path="m2941,-2025l2941,-2011,2951,-1999,2960,-1999,2973,-1999,2982,-2011,2982,-2025,2982,-2037,2973,-2049,2960,-2049,2951,-2049,2941,-2037,2941,-2025xe" filled="false" stroked="true" strokeweight=".525781pt" strokecolor="#1a466e">
              <v:path arrowok="t"/>
            </v:shape>
            <v:shape style="position:absolute;left:2948;top:-2102;width:44;height:53" type="#_x0000_t75" stroked="false">
              <v:imagedata r:id="rId109" o:title=""/>
            </v:shape>
            <v:shape style="position:absolute;left:2948;top:-2102;width:44;height:53" coordorigin="2948,-2102" coordsize="44,53" path="m2948,-2075l2948,-2061,2958,-2049,2970,-2049,2982,-2049,2992,-2061,2992,-2075,2992,-2090,2982,-2102,2970,-2102,2958,-2102,2948,-2090,2948,-2075xe" filled="false" stroked="true" strokeweight=".525658pt" strokecolor="#1a466e">
              <v:path arrowok="t"/>
            </v:shape>
            <v:shape style="position:absolute;left:2956;top:-2163;width:44;height:50" type="#_x0000_t75" stroked="false">
              <v:imagedata r:id="rId231" o:title=""/>
            </v:shape>
            <v:shape style="position:absolute;left:2956;top:-2163;width:44;height:50" coordorigin="2956,-2163" coordsize="44,50" path="m2956,-2140l2956,-2125,2965,-2113,2977,-2113,2989,-2113,2999,-2125,2999,-2140,2999,-2152,2989,-2163,2977,-2163,2965,-2163,2956,-2152,2956,-2140xe" filled="false" stroked="true" strokeweight=".528675pt" strokecolor="#1a466e">
              <v:path arrowok="t"/>
            </v:shape>
            <v:shape style="position:absolute;left:2956;top:-2633;width:44;height:50" type="#_x0000_t75" stroked="false">
              <v:imagedata r:id="rId231" o:title=""/>
            </v:shape>
            <v:shape style="position:absolute;left:2956;top:-2633;width:44;height:50" coordorigin="2956,-2633" coordsize="44,50" path="m2956,-2610l2956,-2595,2965,-2584,2977,-2584,2989,-2584,2999,-2595,2999,-2610,2999,-2622,2989,-2633,2977,-2633,2965,-2633,2956,-2622,2956,-2610xe" filled="false" stroked="true" strokeweight=".528675pt" strokecolor="#1a466e">
              <v:path arrowok="t"/>
            </v:shape>
            <v:shape style="position:absolute;left:2956;top:-2019;width:44;height:53" type="#_x0000_t75" stroked="false">
              <v:imagedata r:id="rId232" o:title=""/>
            </v:shape>
            <v:shape style="position:absolute;left:2956;top:-2019;width:44;height:53" coordorigin="2956,-2019" coordsize="44,53" path="m2956,-1993l2956,-1979,2965,-1967,2977,-1967,2989,-1967,2999,-1979,2999,-1993,2999,-2008,2989,-2019,2977,-2019,2965,-2019,2956,-2008,2956,-1993xe" filled="false" stroked="true" strokeweight=".525774pt" strokecolor="#1a466e">
              <v:path arrowok="t"/>
            </v:shape>
            <v:shape style="position:absolute;left:2956;top:-2034;width:44;height:53" type="#_x0000_t75" stroked="false">
              <v:imagedata r:id="rId233" o:title=""/>
            </v:shape>
            <v:shape style="position:absolute;left:2956;top:-2034;width:44;height:53" coordorigin="2956,-2034" coordsize="44,53" path="m2956,-2008l2956,-1993,2965,-1981,2977,-1981,2989,-1981,2999,-1993,2999,-2008,2999,-2022,2989,-2034,2977,-2034,2965,-2034,2956,-2022,2956,-2008xe" filled="false" stroked="true" strokeweight=".525774pt" strokecolor="#1a466e">
              <v:path arrowok="t"/>
            </v:shape>
            <v:shape style="position:absolute;left:2965;top:-1829;width:44;height:50" type="#_x0000_t75" stroked="false">
              <v:imagedata r:id="rId234" o:title=""/>
            </v:shape>
            <v:shape style="position:absolute;left:2965;top:-1829;width:44;height:50" coordorigin="2965,-1829" coordsize="44,50" path="m2965,-1805l2965,-1790,2975,-1779,2987,-1779,2999,-1779,3009,-1790,3009,-1805,3009,-1817,2999,-1829,2987,-1829,2975,-1829,2965,-1817,2965,-1805xe" filled="false" stroked="true" strokeweight=".528599pt" strokecolor="#1a466e">
              <v:path arrowok="t"/>
            </v:shape>
            <v:shape style="position:absolute;left:2965;top:-2119;width:44;height:53" type="#_x0000_t75" stroked="false">
              <v:imagedata r:id="rId234" o:title=""/>
            </v:shape>
            <v:shape style="position:absolute;left:2965;top:-2119;width:44;height:53" coordorigin="2965,-2119" coordsize="44,53" path="m2965,-2093l2965,-2078,2975,-2066,2987,-2066,2999,-2066,3009,-2078,3009,-2093,3009,-2108,2999,-2119,2987,-2119,2975,-2119,2965,-2108,2965,-2093xe" filled="false" stroked="true" strokeweight=".525658pt" strokecolor="#1a466e">
              <v:path arrowok="t"/>
            </v:shape>
            <v:shape style="position:absolute;left:2965;top:-2434;width:44;height:53" type="#_x0000_t75" stroked="false">
              <v:imagedata r:id="rId234" o:title=""/>
            </v:shape>
            <v:shape style="position:absolute;left:2965;top:-2434;width:44;height:54" coordorigin="2965,-2434" coordsize="44,54" path="m2965,-2407l2965,-2393,2975,-2381,2987,-2381,2999,-2381,3009,-2393,3009,-2407,3009,-2422,2999,-2434,2987,-2434,2975,-2434,2965,-2422,2965,-2407xe" filled="false" stroked="true" strokeweight=".525427pt" strokecolor="#1a466e">
              <v:path arrowok="t"/>
            </v:shape>
            <v:shape style="position:absolute;left:2968;top:-2143;width:44;height:53" type="#_x0000_t75" stroked="false">
              <v:imagedata r:id="rId235" o:title=""/>
            </v:shape>
            <v:shape style="position:absolute;left:2968;top:-2143;width:44;height:53" coordorigin="2968,-2143" coordsize="44,53" path="m2968,-2116l2968,-2102,2977,-2090,2989,-2090,3002,-2090,3011,-2102,3011,-2116,3011,-2131,3002,-2143,2989,-2143,2977,-2143,2968,-2131,2968,-2116xe" filled="false" stroked="true" strokeweight=".525774pt" strokecolor="#1a466e">
              <v:path arrowok="t"/>
            </v:shape>
            <v:shape style="position:absolute;left:2975;top:-1940;width:44;height:50" type="#_x0000_t75" stroked="false">
              <v:imagedata r:id="rId236" o:title=""/>
            </v:shape>
            <v:shape style="position:absolute;left:2975;top:-1940;width:44;height:50" coordorigin="2975,-1940" coordsize="44,50" path="m2975,-1917l2975,-1902,2985,-1890,2997,-1890,3009,-1890,3018,-1902,3018,-1917,3018,-1928,3009,-1940,2997,-1940,2985,-1940,2975,-1928,2975,-1917xe" filled="false" stroked="true" strokeweight=".528562pt" strokecolor="#1a466e">
              <v:path arrowok="t"/>
            </v:shape>
            <v:shape style="position:absolute;left:2977;top:-1961;width:44;height:50" type="#_x0000_t75" stroked="false">
              <v:imagedata r:id="rId237" o:title=""/>
            </v:shape>
            <v:shape style="position:absolute;left:2977;top:-1961;width:44;height:51" coordorigin="2977,-1961" coordsize="44,51" path="m2977,-1937l2977,-1922,2987,-1911,2999,-1911,3011,-1911,3021,-1922,3021,-1937,3021,-1949,3011,-1961,2999,-1961,2987,-1961,2977,-1949,2977,-1937xe" filled="false" stroked="true" strokeweight=".5283pt" strokecolor="#1a466e">
              <v:path arrowok="t"/>
            </v:shape>
            <v:shape style="position:absolute;left:2985;top:-1976;width:44;height:50" type="#_x0000_t75" stroked="false">
              <v:imagedata r:id="rId238" o:title=""/>
            </v:shape>
            <v:shape style="position:absolute;left:2985;top:-1976;width:44;height:51" coordorigin="2985,-1976" coordsize="44,51" path="m2985,-1952l2985,-1937,2994,-1925,3006,-1925,3018,-1925,3028,-1937,3028,-1952,3028,-1964,3018,-1976,3006,-1976,2994,-1976,2985,-1964,2985,-1952xe" filled="false" stroked="true" strokeweight=".5283pt" strokecolor="#1a466e">
              <v:path arrowok="t"/>
            </v:shape>
            <v:shape style="position:absolute;left:2985;top:-1303;width:44;height:50" type="#_x0000_t75" stroked="false">
              <v:imagedata r:id="rId238" o:title=""/>
            </v:shape>
            <v:shape style="position:absolute;left:2985;top:-1303;width:44;height:51" coordorigin="2985,-1303" coordsize="44,51" path="m2985,-1279l2985,-1265,2994,-1253,3006,-1253,3018,-1253,3028,-1265,3028,-1279,3028,-1291,3018,-1303,3006,-1303,2994,-1303,2985,-1291,2985,-1279xe" filled="false" stroked="true" strokeweight=".528312pt" strokecolor="#1a466e">
              <v:path arrowok="t"/>
            </v:shape>
            <v:shape style="position:absolute;left:2994;top:-2258;width:44;height:53" type="#_x0000_t75" stroked="false">
              <v:imagedata r:id="rId239" o:title=""/>
            </v:shape>
            <v:shape style="position:absolute;left:2994;top:-2258;width:44;height:53" coordorigin="2994,-2258" coordsize="44,53" path="m2994,-2231l2994,-2216,3004,-2205,3016,-2205,3028,-2205,3038,-2216,3038,-2231,3038,-2246,3028,-2258,3016,-2258,3004,-2258,2994,-2246,2994,-2231xe" filled="false" stroked="true" strokeweight=".525658pt" strokecolor="#1a466e">
              <v:path arrowok="t"/>
            </v:shape>
            <v:shape style="position:absolute;left:2997;top:-2099;width:44;height:53" type="#_x0000_t75" stroked="false">
              <v:imagedata r:id="rId96" o:title=""/>
            </v:shape>
            <v:shape style="position:absolute;left:2997;top:-2099;width:44;height:53" coordorigin="2997,-2099" coordsize="44,53" path="m2997,-2072l2997,-2058,3006,-2046,3018,-2046,3031,-2046,3040,-2058,3040,-2072,3040,-2087,3031,-2099,3018,-2099,3006,-2099,2997,-2087,2997,-2072xe" filled="false" stroked="true" strokeweight=".525658pt" strokecolor="#1a466e">
              <v:path arrowok="t"/>
            </v:shape>
            <v:shape style="position:absolute;left:2997;top:-2572;width:44;height:53" type="#_x0000_t75" stroked="false">
              <v:imagedata r:id="rId109" o:title=""/>
            </v:shape>
            <v:shape style="position:absolute;left:2997;top:-2572;width:44;height:53" coordorigin="2997,-2572" coordsize="44,53" path="m2997,-2545l2997,-2531,3006,-2519,3018,-2519,3031,-2519,3040,-2531,3040,-2545,3040,-2560,3031,-2572,3018,-2572,3006,-2572,2997,-2560,2997,-2545xe" filled="false" stroked="true" strokeweight=".525658pt" strokecolor="#1a466e">
              <v:path arrowok="t"/>
            </v:shape>
            <v:shape style="position:absolute;left:3004;top:-2014;width:41;height:53" type="#_x0000_t75" stroked="false">
              <v:imagedata r:id="rId240" o:title=""/>
            </v:shape>
            <v:shape style="position:absolute;left:3004;top:-2014;width:42;height:53" coordorigin="3004,-2014" coordsize="42,53" path="m3004,-1987l3004,-1973,3014,-1961,3023,-1961,3035,-1961,3045,-1973,3045,-1987,3045,-2002,3035,-2014,3023,-2014,3014,-2014,3004,-2002,3004,-1987xe" filled="false" stroked="true" strokeweight=".522829pt" strokecolor="#1a466e">
              <v:path arrowok="t"/>
            </v:shape>
            <v:shape style="position:absolute;left:3006;top:-2034;width:41;height:53" type="#_x0000_t75" stroked="false">
              <v:imagedata r:id="rId241" o:title=""/>
            </v:shape>
            <v:shape style="position:absolute;left:3006;top:-2034;width:42;height:53" coordorigin="3006,-2034" coordsize="42,53" path="m3006,-2008l3006,-1993,3016,-1981,3026,-1981,3038,-1981,3047,-1993,3047,-2008,3047,-2022,3038,-2034,3026,-2034,3016,-2034,3006,-2022,3006,-2008xe" filled="false" stroked="true" strokeweight=".522943pt" strokecolor="#1a466e">
              <v:path arrowok="t"/>
            </v:shape>
            <v:shape style="position:absolute;left:3006;top:-1920;width:41;height:53" type="#_x0000_t75" stroked="false">
              <v:imagedata r:id="rId109" o:title=""/>
            </v:shape>
            <v:shape style="position:absolute;left:3006;top:-1920;width:42;height:53" coordorigin="3006,-1920" coordsize="42,53" path="m3006,-1893l3006,-1878,3016,-1867,3026,-1867,3038,-1867,3047,-1878,3047,-1893,3047,-1908,3038,-1920,3026,-1920,3016,-1920,3006,-1908,3006,-1893xe" filled="false" stroked="true" strokeweight=".522863pt" strokecolor="#1a466e">
              <v:path arrowok="t"/>
            </v:shape>
            <v:shape style="position:absolute;left:3009;top:-2069;width:41;height:50" type="#_x0000_t75" stroked="false">
              <v:imagedata r:id="rId110" o:title=""/>
            </v:shape>
            <v:shape style="position:absolute;left:3009;top:-2069;width:42;height:50" coordorigin="3009,-2069" coordsize="42,50" path="m3009,-2046l3009,-2031,3018,-2019,3028,-2019,3040,-2019,3050,-2031,3050,-2046,3050,-2058,3040,-2069,3028,-2069,3018,-2069,3009,-2058,3009,-2046xe" filled="false" stroked="true" strokeweight=".525658pt" strokecolor="#1a466e">
              <v:path arrowok="t"/>
            </v:shape>
            <v:shape style="position:absolute;left:3011;top:-1911;width:41;height:53" type="#_x0000_t75" stroked="false">
              <v:imagedata r:id="rId109" o:title=""/>
            </v:shape>
            <v:shape style="position:absolute;left:3011;top:-1911;width:42;height:53" coordorigin="3011,-1911" coordsize="42,53" path="m3011,-1884l3011,-1870,3021,-1858,3031,-1858,3043,-1858,3052,-1870,3052,-1884,3052,-1899,3043,-1911,3031,-1911,3021,-1911,3011,-1899,3011,-1884xe" filled="false" stroked="true" strokeweight=".522875pt" strokecolor="#1a466e">
              <v:path arrowok="t"/>
            </v:shape>
            <v:shape style="position:absolute;left:3014;top:-2105;width:41;height:53" type="#_x0000_t75" stroked="false">
              <v:imagedata r:id="rId96" o:title=""/>
            </v:shape>
            <v:shape style="position:absolute;left:3014;top:-2105;width:42;height:53" coordorigin="3014,-2105" coordsize="42,53" path="m3014,-2078l3014,-2064,3023,-2052,3033,-2052,3045,-2052,3055,-2064,3055,-2078,3055,-2093,3045,-2105,3033,-2105,3023,-2105,3014,-2093,3014,-2078xe" filled="false" stroked="true" strokeweight=".522829pt" strokecolor="#1a466e">
              <v:path arrowok="t"/>
            </v:shape>
            <v:shape style="position:absolute;left:3018;top:-1917;width:41;height:53" type="#_x0000_t75" stroked="false">
              <v:imagedata r:id="rId96" o:title=""/>
            </v:shape>
            <v:shape style="position:absolute;left:3018;top:-1917;width:42;height:53" coordorigin="3018,-1917" coordsize="42,53" path="m3018,-1890l3018,-1875,3028,-1864,3038,-1864,3050,-1864,3060,-1875,3060,-1890,3060,-1905,3050,-1917,3038,-1917,3028,-1917,3018,-1905,3018,-1890xe" filled="false" stroked="true" strokeweight=".522863pt" strokecolor="#1a466e">
              <v:path arrowok="t"/>
            </v:shape>
            <v:shape style="position:absolute;left:3023;top:-2378;width:41;height:50" type="#_x0000_t75" stroked="false">
              <v:imagedata r:id="rId96" o:title=""/>
            </v:shape>
            <v:shape style="position:absolute;left:3023;top:-2378;width:42;height:50" coordorigin="3023,-2378" coordsize="42,50" path="m3023,-2354l3023,-2340,3033,-2328,3043,-2328,3055,-2328,3064,-2340,3064,-2354,3064,-2366,3055,-2378,3043,-2378,3033,-2378,3023,-2366,3023,-2354xe" filled="false" stroked="true" strokeweight=".525658pt" strokecolor="#1a466e">
              <v:path arrowok="t"/>
            </v:shape>
            <v:shape style="position:absolute;left:3023;top:-2278;width:41;height:50" type="#_x0000_t75" stroked="false">
              <v:imagedata r:id="rId242" o:title=""/>
            </v:shape>
            <v:shape style="position:absolute;left:3023;top:-2278;width:42;height:50" coordorigin="3023,-2278" coordsize="42,50" path="m3023,-2255l3023,-2240,3033,-2228,3043,-2228,3055,-2228,3064,-2240,3064,-2255,3064,-2266,3055,-2278,3043,-2278,3033,-2278,3023,-2266,3023,-2255xe" filled="false" stroked="true" strokeweight=".525658pt" strokecolor="#1a466e">
              <v:path arrowok="t"/>
            </v:shape>
            <v:shape style="position:absolute;left:3028;top:-1908;width:41;height:53" type="#_x0000_t75" stroked="false">
              <v:imagedata r:id="rId96" o:title=""/>
            </v:shape>
            <v:shape style="position:absolute;left:3028;top:-1908;width:42;height:53" coordorigin="3028,-1908" coordsize="42,53" path="m3028,-1881l3028,-1867,3038,-1855,3047,-1855,3060,-1855,3069,-1867,3069,-1881,3069,-1896,3060,-1908,3047,-1908,3038,-1908,3028,-1896,3028,-1881xe" filled="false" stroked="true" strokeweight=".522875pt" strokecolor="#1a466e">
              <v:path arrowok="t"/>
            </v:shape>
            <v:shape style="position:absolute;left:3031;top:-2654;width:41;height:53" type="#_x0000_t75" stroked="false">
              <v:imagedata r:id="rId96" o:title=""/>
            </v:shape>
            <v:shape style="position:absolute;left:3031;top:-2654;width:42;height:54" coordorigin="3031,-2654" coordsize="42,54" path="m3031,-2627l3031,-2613,3040,-2601,3050,-2601,3062,-2601,3072,-2613,3072,-2627,3072,-2642,3062,-2654,3050,-2654,3040,-2654,3031,-2642,3031,-2627xe" filled="false" stroked="true" strokeweight=".522604pt" strokecolor="#1a466e">
              <v:path arrowok="t"/>
            </v:shape>
            <v:shape style="position:absolute;left:3033;top:-2290;width:41;height:50" type="#_x0000_t75" stroked="false">
              <v:imagedata r:id="rId243" o:title=""/>
            </v:shape>
            <v:shape style="position:absolute;left:3033;top:-2290;width:42;height:50" coordorigin="3033,-2290" coordsize="42,50" path="m3033,-2266l3033,-2252,3043,-2240,3052,-2240,3064,-2240,3074,-2252,3074,-2266,3074,-2278,3064,-2290,3052,-2290,3043,-2290,3033,-2278,3033,-2266xe" filled="false" stroked="true" strokeweight=".525658pt" strokecolor="#1a466e">
              <v:path arrowok="t"/>
            </v:shape>
            <v:shape style="position:absolute;left:3033;top:-1981;width:41;height:50" type="#_x0000_t75" stroked="false">
              <v:imagedata r:id="rId96" o:title=""/>
            </v:shape>
            <v:shape style="position:absolute;left:3033;top:-1981;width:42;height:51" coordorigin="3033,-1981" coordsize="42,51" path="m3033,-1958l3033,-1943,3043,-1931,3052,-1931,3064,-1931,3074,-1943,3074,-1958,3074,-1970,3064,-1981,3052,-1981,3043,-1981,3033,-1970,3033,-1958xe" filled="false" stroked="true" strokeweight=".525413pt" strokecolor="#1a466e">
              <v:path arrowok="t"/>
            </v:shape>
            <v:shape style="position:absolute;left:3040;top:-2354;width:41;height:53" type="#_x0000_t75" stroked="false">
              <v:imagedata r:id="rId96" o:title=""/>
            </v:shape>
            <v:shape style="position:absolute;left:3040;top:-2354;width:42;height:53" coordorigin="3040,-2354" coordsize="42,53" path="m3040,-2328l3040,-2313,3050,-2302,3060,-2302,3072,-2302,3081,-2313,3081,-2328,3081,-2343,3072,-2354,3060,-2354,3050,-2354,3040,-2343,3040,-2328xe" filled="false" stroked="true" strokeweight=".522943pt" strokecolor="#1a466e">
              <v:path arrowok="t"/>
            </v:shape>
            <v:shape style="position:absolute;left:3043;top:-1976;width:41;height:50" type="#_x0000_t75" stroked="false">
              <v:imagedata r:id="rId96" o:title=""/>
            </v:shape>
            <v:shape style="position:absolute;left:3043;top:-1976;width:42;height:51" coordorigin="3043,-1976" coordsize="42,51" path="m3043,-1952l3043,-1937,3052,-1925,3062,-1925,3074,-1925,3084,-1937,3084,-1952,3084,-1964,3074,-1976,3062,-1976,3052,-1976,3043,-1964,3043,-1952xe" filled="false" stroked="true" strokeweight=".525413pt" strokecolor="#1a466e">
              <v:path arrowok="t"/>
            </v:shape>
            <v:shape style="position:absolute;left:3052;top:-2031;width:41;height:53" type="#_x0000_t75" stroked="false">
              <v:imagedata r:id="rId109" o:title=""/>
            </v:shape>
            <v:shape style="position:absolute;left:3052;top:-2031;width:42;height:53" coordorigin="3052,-2031" coordsize="42,53" path="m3052,-2005l3052,-1990,3062,-1979,3072,-1979,3084,-1979,3093,-1990,3093,-2005,3093,-2019,3084,-2031,3072,-2031,3062,-2031,3052,-2019,3052,-2005xe" filled="false" stroked="true" strokeweight=".522943pt" strokecolor="#1a466e">
              <v:path arrowok="t"/>
            </v:shape>
            <v:shape style="position:absolute;left:3057;top:-2108;width:41;height:53" type="#_x0000_t75" stroked="false">
              <v:imagedata r:id="rId96" o:title=""/>
            </v:shape>
            <v:shape style="position:absolute;left:3057;top:-2108;width:42;height:53" coordorigin="3057,-2108" coordsize="42,53" path="m3057,-2081l3057,-2066,3067,-2055,3076,-2055,3089,-2055,3098,-2066,3098,-2081,3098,-2096,3089,-2108,3076,-2108,3067,-2108,3057,-2096,3057,-2081xe" filled="false" stroked="true" strokeweight=".522829pt" strokecolor="#1a466e">
              <v:path arrowok="t"/>
            </v:shape>
            <v:shape style="position:absolute;left:3057;top:-2240;width:41;height:53" type="#_x0000_t75" stroked="false">
              <v:imagedata r:id="rId109" o:title=""/>
            </v:shape>
            <v:shape style="position:absolute;left:3057;top:-2240;width:42;height:53" coordorigin="3057,-2240" coordsize="42,53" path="m3057,-2213l3057,-2199,3067,-2187,3076,-2187,3089,-2187,3098,-2199,3098,-2213,3098,-2228,3089,-2240,3076,-2240,3067,-2240,3057,-2228,3057,-2213xe" filled="false" stroked="true" strokeweight=".522829pt" strokecolor="#1a466e">
              <v:path arrowok="t"/>
            </v:shape>
            <v:shape style="position:absolute;left:3064;top:-2014;width:41;height:53" type="#_x0000_t75" stroked="false">
              <v:imagedata r:id="rId240" o:title=""/>
            </v:shape>
            <v:shape style="position:absolute;left:3064;top:-2014;width:42;height:53" coordorigin="3064,-2014" coordsize="42,53" path="m3064,-1987l3064,-1973,3074,-1961,3084,-1961,3096,-1961,3106,-1973,3106,-1987,3106,-2002,3096,-2014,3084,-2014,3074,-2014,3064,-2002,3064,-1987xe" filled="false" stroked="true" strokeweight=".522829pt" strokecolor="#1a466e">
              <v:path arrowok="t"/>
            </v:shape>
            <v:shape style="position:absolute;left:3072;top:-2143;width:44;height:53" type="#_x0000_t75" stroked="false">
              <v:imagedata r:id="rId95" o:title=""/>
            </v:shape>
            <v:shape style="position:absolute;left:3072;top:-2143;width:44;height:53" coordorigin="3072,-2143" coordsize="44,53" path="m3072,-2116l3072,-2102,3081,-2090,3093,-2090,3106,-2090,3115,-2102,3115,-2116,3115,-2131,3106,-2143,3093,-2143,3081,-2143,3072,-2131,3072,-2116xe" filled="false" stroked="true" strokeweight=".525774pt" strokecolor="#1a466e">
              <v:path arrowok="t"/>
            </v:shape>
            <v:shape style="position:absolute;left:3079;top:-2334;width:44;height:53" type="#_x0000_t75" stroked="false">
              <v:imagedata r:id="rId96" o:title=""/>
            </v:shape>
            <v:shape style="position:absolute;left:3079;top:-2334;width:44;height:53" coordorigin="3079,-2334" coordsize="44,53" path="m3079,-2307l3079,-2293,3089,-2281,3101,-2281,3113,-2281,3122,-2293,3122,-2307,3122,-2322,3113,-2334,3101,-2334,3089,-2334,3079,-2322,3079,-2307xe" filled="false" stroked="true" strokeweight=".525774pt" strokecolor="#1a466e">
              <v:path arrowok="t"/>
            </v:shape>
            <v:shape style="position:absolute;left:3081;top:-2581;width:44;height:53" type="#_x0000_t75" stroked="false">
              <v:imagedata r:id="rId109" o:title=""/>
            </v:shape>
            <v:shape style="position:absolute;left:3081;top:-2581;width:44;height:53" coordorigin="3081,-2581" coordsize="44,53" path="m3081,-2554l3081,-2539,3091,-2528,3103,-2528,3115,-2528,3125,-2539,3125,-2554,3125,-2569,3115,-2581,3103,-2581,3091,-2581,3081,-2569,3081,-2554xe" filled="false" stroked="true" strokeweight=".525658pt" strokecolor="#1a466e">
              <v:path arrowok="t"/>
            </v:shape>
            <v:shape style="position:absolute;left:3084;top:-2325;width:44;height:53" type="#_x0000_t75" stroked="false">
              <v:imagedata r:id="rId95" o:title=""/>
            </v:shape>
            <v:shape style="position:absolute;left:3084;top:-2325;width:44;height:53" coordorigin="3084,-2325" coordsize="44,53" path="m3084,-2299l3084,-2284,3093,-2272,3106,-2272,3118,-2272,3127,-2284,3127,-2299,3127,-2313,3118,-2325,3106,-2325,3093,-2325,3084,-2313,3084,-2299xe" filled="false" stroked="true" strokeweight=".525774pt" strokecolor="#1a466e">
              <v:path arrowok="t"/>
            </v:shape>
            <v:shape style="position:absolute;left:3086;top:-2307;width:44;height:50" type="#_x0000_t75" stroked="false">
              <v:imagedata r:id="rId96" o:title=""/>
            </v:shape>
            <v:shape style="position:absolute;left:3086;top:-2307;width:44;height:50" coordorigin="3086,-2307" coordsize="44,50" path="m3086,-2284l3086,-2269,3096,-2258,3108,-2258,3120,-2258,3130,-2269,3130,-2284,3130,-2296,3120,-2307,3108,-2307,3096,-2307,3086,-2296,3086,-2284xe" filled="false" stroked="true" strokeweight=".528549pt" strokecolor="#1a466e">
              <v:path arrowok="t"/>
            </v:shape>
            <v:shape style="position:absolute;left:3093;top:-2184;width:44;height:50" type="#_x0000_t75" stroked="false">
              <v:imagedata r:id="rId95" o:title=""/>
            </v:shape>
            <v:shape style="position:absolute;left:3093;top:-2184;width:44;height:51" coordorigin="3093,-2184" coordsize="44,51" path="m3093,-2160l3093,-2146,3103,-2134,3115,-2134,3127,-2134,3137,-2146,3137,-2160,3137,-2172,3127,-2184,3115,-2184,3103,-2184,3093,-2172,3093,-2160xe" filled="false" stroked="true" strokeweight=".5283pt" strokecolor="#1a466e">
              <v:path arrowok="t"/>
            </v:shape>
            <v:shape style="position:absolute;left:3096;top:-1820;width:44;height:53" type="#_x0000_t75" stroked="false">
              <v:imagedata r:id="rId109" o:title=""/>
            </v:shape>
            <v:shape style="position:absolute;left:3096;top:-1820;width:44;height:53" coordorigin="3096,-1820" coordsize="44,53" path="m3096,-1793l3096,-1779,3106,-1767,3118,-1767,3130,-1767,3139,-1779,3139,-1793,3139,-1808,3130,-1820,3118,-1820,3106,-1820,3096,-1808,3096,-1793xe" filled="false" stroked="true" strokeweight=".525704pt" strokecolor="#1a466e">
              <v:path arrowok="t"/>
            </v:shape>
            <v:shape style="position:absolute;left:3127;top:-2337;width:41;height:53" type="#_x0000_t75" stroked="false">
              <v:imagedata r:id="rId96" o:title=""/>
            </v:shape>
            <v:shape style="position:absolute;left:3127;top:-2337;width:42;height:53" coordorigin="3127,-2337" coordsize="42,53" path="m3127,-2310l3127,-2296,3137,-2284,3147,-2284,3159,-2284,3168,-2296,3168,-2310,3168,-2325,3159,-2337,3147,-2337,3137,-2337,3127,-2325,3127,-2310xe" filled="false" stroked="true" strokeweight=".523063pt" strokecolor="#1a466e">
              <v:path arrowok="t"/>
            </v:shape>
            <v:shape style="position:absolute;left:3152;top:-2592;width:41;height:50" type="#_x0000_t75" stroked="false">
              <v:imagedata r:id="rId96" o:title=""/>
            </v:shape>
            <v:shape style="position:absolute;left:3152;top:-2592;width:42;height:50" coordorigin="3152,-2592" coordsize="42,50" path="m3152,-2569l3152,-2554,3161,-2542,3171,-2542,3183,-2542,3193,-2554,3193,-2569,3193,-2581,3183,-2592,3171,-2592,3161,-2592,3152,-2581,3152,-2569xe" filled="false" stroked="true" strokeweight=".525658pt" strokecolor="#1a466e">
              <v:path arrowok="t"/>
            </v:shape>
            <v:shape style="position:absolute;left:3173;top:-2116;width:41;height:53" type="#_x0000_t75" stroked="false">
              <v:imagedata r:id="rId96" o:title=""/>
            </v:shape>
            <v:shape style="position:absolute;left:3173;top:-2116;width:42;height:53" coordorigin="3173,-2116" coordsize="42,53" path="m3173,-2090l3173,-2075,3183,-2064,3193,-2064,3205,-2064,3214,-2075,3214,-2090,3214,-2105,3205,-2116,3193,-2116,3183,-2116,3173,-2105,3173,-2090xe" filled="false" stroked="true" strokeweight=".522829pt" strokecolor="#1a466e">
              <v:path arrowok="t"/>
            </v:shape>
            <v:shape style="position:absolute;left:3176;top:-2390;width:41;height:50" type="#_x0000_t75" stroked="false">
              <v:imagedata r:id="rId96" o:title=""/>
            </v:shape>
            <v:shape style="position:absolute;left:3176;top:-2390;width:42;height:50" coordorigin="3176,-2390" coordsize="42,50" path="m3176,-2366l3176,-2351,3185,-2340,3195,-2340,3207,-2340,3217,-2351,3217,-2366,3217,-2378,3207,-2390,3195,-2390,3185,-2390,3176,-2378,3176,-2366xe" filled="false" stroked="true" strokeweight=".525658pt" strokecolor="#1a466e">
              <v:path arrowok="t"/>
            </v:shape>
            <v:shape style="position:absolute;left:3176;top:-2128;width:41;height:53" type="#_x0000_t75" stroked="false">
              <v:imagedata r:id="rId96" o:title=""/>
            </v:shape>
            <v:shape style="position:absolute;left:3176;top:-2128;width:42;height:53" coordorigin="3176,-2128" coordsize="42,53" path="m3176,-2102l3176,-2087,3185,-2075,3195,-2075,3207,-2075,3217,-2087,3217,-2102,3217,-2116,3207,-2128,3195,-2128,3185,-2128,3176,-2116,3176,-2102xe" filled="false" stroked="true" strokeweight=".522829pt" strokecolor="#1a466e">
              <v:path arrowok="t"/>
            </v:shape>
            <v:shape style="position:absolute;left:3190;top:-2563;width:41;height:53" type="#_x0000_t75" stroked="false">
              <v:imagedata r:id="rId96" o:title=""/>
            </v:shape>
            <v:shape style="position:absolute;left:3190;top:-2563;width:42;height:53" coordorigin="3190,-2563" coordsize="42,53" path="m3190,-2537l3190,-2522,3200,-2510,3210,-2510,3222,-2510,3231,-2522,3231,-2537,3231,-2551,3222,-2563,3210,-2563,3200,-2563,3190,-2551,3190,-2537xe" filled="false" stroked="true" strokeweight=".522829pt" strokecolor="#1a466e">
              <v:path arrowok="t"/>
            </v:shape>
            <v:shape style="position:absolute;left:3195;top:-2137;width:44;height:53" type="#_x0000_t75" stroked="false">
              <v:imagedata r:id="rId96" o:title=""/>
            </v:shape>
            <v:shape style="position:absolute;left:3195;top:-2137;width:44;height:53" coordorigin="3195,-2137" coordsize="44,53" path="m3195,-2111l3195,-2096,3205,-2084,3217,-2084,3229,-2084,3239,-2096,3239,-2111,3239,-2125,3229,-2137,3217,-2137,3205,-2137,3195,-2125,3195,-2111xe" filled="false" stroked="true" strokeweight=".525658pt" strokecolor="#1a466e">
              <v:path arrowok="t"/>
            </v:shape>
            <v:shape style="position:absolute;left:3258;top:-2742;width:41;height:50" type="#_x0000_t75" stroked="false">
              <v:imagedata r:id="rId96" o:title=""/>
            </v:shape>
            <v:shape style="position:absolute;left:3258;top:-2742;width:42;height:50" coordorigin="3258,-2742" coordsize="42,50" path="m3258,-2719l3258,-2704,3268,-2692,3277,-2692,3289,-2692,3299,-2704,3299,-2719,3299,-2731,3289,-2742,3277,-2742,3268,-2742,3258,-2731,3258,-2719xe" filled="false" stroked="true" strokeweight=".525658pt" strokecolor="#1a466e">
              <v:path arrowok="t"/>
            </v:shape>
            <v:shape style="position:absolute;left:3321;top:-1964;width:44;height:50" type="#_x0000_t75" stroked="false">
              <v:imagedata r:id="rId96" o:title=""/>
            </v:shape>
            <v:shape style="position:absolute;left:3321;top:-1964;width:44;height:51" coordorigin="3321,-1964" coordsize="44,51" path="m3321,-1940l3321,-1925,3330,-1914,3342,-1914,3355,-1914,3364,-1925,3364,-1940,3364,-1952,3355,-1964,3342,-1964,3330,-1964,3321,-1952,3321,-1940xe" filled="false" stroked="true" strokeweight=".5283pt" strokecolor="#1a466e">
              <v:path arrowok="t"/>
            </v:shape>
            <v:shape style="position:absolute;left:3459;top:-2871;width:44;height:53" type="#_x0000_t75" stroked="false">
              <v:imagedata r:id="rId244" o:title=""/>
            </v:shape>
            <v:shape style="position:absolute;left:3459;top:-2871;width:44;height:53" coordorigin="3459,-2871" coordsize="44,53" path="m3459,-2845l3459,-2830,3468,-2819,3480,-2819,3492,-2819,3502,-2830,3502,-2845,3502,-2860,3492,-2871,3480,-2871,3468,-2871,3459,-2860,3459,-2845xe" filled="false" stroked="true" strokeweight=".525658pt" strokecolor="#1a466e">
              <v:path arrowok="t"/>
            </v:shape>
            <v:shape style="position:absolute;left:3534;top:-3409;width:41;height:50" type="#_x0000_t75" stroked="false">
              <v:imagedata r:id="rId96" o:title=""/>
            </v:shape>
            <v:shape style="position:absolute;left:3534;top:-3409;width:42;height:50" coordorigin="3534,-3409" coordsize="42,50" path="m3534,-3386l3534,-3371,3543,-3359,3553,-3359,3565,-3359,3575,-3371,3575,-3386,3575,-3397,3565,-3409,3553,-3409,3543,-3409,3534,-3397,3534,-3386xe" filled="false" stroked="true" strokeweight=".525781pt" strokecolor="#1a466e">
              <v:path arrowok="t"/>
            </v:shape>
            <v:shape style="position:absolute;left:3981;top:-3001;width:44;height:53" type="#_x0000_t75" stroked="false">
              <v:imagedata r:id="rId245" o:title=""/>
            </v:shape>
            <v:shape style="position:absolute;left:3981;top:-3001;width:44;height:53" coordorigin="3981,-3001" coordsize="44,53" path="m3981,-2974l3981,-2960,3990,-2948,4002,-2948,4015,-2948,4024,-2960,4024,-2974,4024,-2989,4015,-3001,4002,-3001,3990,-3001,3981,-2989,3981,-2974xe" filled="false" stroked="true" strokeweight=".525658pt" strokecolor="#1a466e">
              <v:path arrowok="t"/>
            </v:shape>
            <v:shape style="position:absolute;left:5448;top:-1817;width:44;height:53" type="#_x0000_t75" stroked="false">
              <v:imagedata r:id="rId96" o:title=""/>
            </v:shape>
            <v:shape style="position:absolute;left:5448;top:-1817;width:44;height:53" coordorigin="5448,-1817" coordsize="44,53" path="m5448,-1790l5448,-1776,5458,-1764,5470,-1764,5482,-1764,5492,-1776,5492,-1790,5492,-1805,5482,-1817,5470,-1817,5458,-1817,5448,-1805,5448,-1790xe" filled="false" stroked="true" strokeweight=".525832pt" strokecolor="#1a466e">
              <v:path arrowok="t"/>
            </v:shape>
            <v:shape style="position:absolute;left:773;top:4511;width:7014;height:4855" coordorigin="773,4511" coordsize="7014,4855" path="m2131,-1200l2131,-4120m2131,-1388l2090,-1388m2131,-2052l2090,-2052m2131,-2716l2090,-2716m2131,-3380l2090,-3380m2131,-4044l2090,-4044m2131,-1200l5622,-1200m2194,-1200l2194,-1150m3035,-1200l3035,-1150m3877,-1200l3877,-1150m4718,-1200l4718,-1150m5559,-1200l5559,-1150e" filled="false" stroked="true" strokeweight=".267831pt" strokecolor="#000000">
              <v:path arrowok="t"/>
            </v:shape>
            <v:shape style="position:absolute;left:2093;top:-1115;width:204;height:124" type="#_x0000_t202" filled="false" stroked="false">
              <v:textbox inset="0,0,0,0">
                <w:txbxContent>
                  <w:p>
                    <w:pPr>
                      <w:spacing w:line="123" w:lineRule="exact" w:before="0"/>
                      <w:ind w:left="0" w:right="-9" w:firstLine="0"/>
                      <w:jc w:val="left"/>
                      <w:rPr>
                        <w:rFonts w:ascii="Arial"/>
                        <w:sz w:val="12"/>
                      </w:rPr>
                    </w:pPr>
                    <w:r>
                      <w:rPr>
                        <w:rFonts w:ascii="Arial"/>
                        <w:w w:val="80"/>
                        <w:sz w:val="12"/>
                      </w:rPr>
                      <w:t>-100</w:t>
                    </w:r>
                  </w:p>
                </w:txbxContent>
              </v:textbox>
              <w10:wrap type="none"/>
            </v:shape>
            <v:shape style="position:absolute;left:3006;top:-1115;width:57;height:124" type="#_x0000_t202" filled="false" stroked="false">
              <v:textbox inset="0,0,0,0">
                <w:txbxContent>
                  <w:p>
                    <w:pPr>
                      <w:spacing w:line="123" w:lineRule="exact" w:before="0"/>
                      <w:ind w:left="0" w:right="0" w:firstLine="0"/>
                      <w:jc w:val="left"/>
                      <w:rPr>
                        <w:rFonts w:ascii="Arial"/>
                        <w:sz w:val="12"/>
                      </w:rPr>
                    </w:pPr>
                    <w:r>
                      <w:rPr>
                        <w:rFonts w:ascii="Arial"/>
                        <w:w w:val="84"/>
                        <w:sz w:val="12"/>
                      </w:rPr>
                      <w:t>0</w:t>
                    </w:r>
                  </w:p>
                </w:txbxContent>
              </v:textbox>
              <w10:wrap type="none"/>
            </v:shape>
            <v:shape style="position:absolute;left:3737;top:-1115;width:279;height:244" type="#_x0000_t202" filled="false" stroked="false">
              <v:textbox inset="0,0,0,0">
                <w:txbxContent>
                  <w:p>
                    <w:pPr>
                      <w:spacing w:line="117" w:lineRule="exact" w:before="0"/>
                      <w:ind w:left="55" w:right="-19" w:firstLine="0"/>
                      <w:jc w:val="left"/>
                      <w:rPr>
                        <w:rFonts w:ascii="Arial"/>
                        <w:sz w:val="12"/>
                      </w:rPr>
                    </w:pPr>
                    <w:r>
                      <w:rPr>
                        <w:rFonts w:ascii="Arial"/>
                        <w:w w:val="95"/>
                        <w:sz w:val="12"/>
                      </w:rPr>
                      <w:t>100</w:t>
                    </w:r>
                  </w:p>
                  <w:p>
                    <w:pPr>
                      <w:spacing w:line="127" w:lineRule="exact" w:before="0"/>
                      <w:ind w:left="0" w:right="-19" w:firstLine="0"/>
                      <w:jc w:val="left"/>
                      <w:rPr>
                        <w:rFonts w:ascii="Arial"/>
                        <w:sz w:val="12"/>
                      </w:rPr>
                    </w:pPr>
                    <w:r>
                      <w:rPr>
                        <w:rFonts w:ascii="Arial"/>
                        <w:w w:val="85"/>
                        <w:sz w:val="12"/>
                      </w:rPr>
                      <w:t>va_38</w:t>
                    </w:r>
                  </w:p>
                </w:txbxContent>
              </v:textbox>
              <w10:wrap type="none"/>
            </v:shape>
            <v:shape style="position:absolute;left:4633;top:-1115;width:170;height:124" type="#_x0000_t202" filled="false" stroked="false">
              <v:textbox inset="0,0,0,0">
                <w:txbxContent>
                  <w:p>
                    <w:pPr>
                      <w:spacing w:line="123" w:lineRule="exact" w:before="0"/>
                      <w:ind w:left="0" w:right="-11" w:firstLine="0"/>
                      <w:jc w:val="left"/>
                      <w:rPr>
                        <w:rFonts w:ascii="Arial"/>
                        <w:sz w:val="12"/>
                      </w:rPr>
                    </w:pPr>
                    <w:r>
                      <w:rPr>
                        <w:rFonts w:ascii="Arial"/>
                        <w:w w:val="80"/>
                        <w:sz w:val="12"/>
                      </w:rPr>
                      <w:t>200</w:t>
                    </w:r>
                  </w:p>
                </w:txbxContent>
              </v:textbox>
              <w10:wrap type="none"/>
            </v:shape>
            <v:shape style="position:absolute;left:5475;top:-1115;width:170;height:124" type="#_x0000_t202" filled="false" stroked="false">
              <v:textbox inset="0,0,0,0">
                <w:txbxContent>
                  <w:p>
                    <w:pPr>
                      <w:spacing w:line="123" w:lineRule="exact" w:before="0"/>
                      <w:ind w:left="0" w:right="-11" w:firstLine="0"/>
                      <w:jc w:val="left"/>
                      <w:rPr>
                        <w:rFonts w:ascii="Arial"/>
                        <w:sz w:val="12"/>
                      </w:rPr>
                    </w:pPr>
                    <w:r>
                      <w:rPr>
                        <w:rFonts w:ascii="Arial"/>
                        <w:w w:val="80"/>
                        <w:sz w:val="12"/>
                      </w:rPr>
                      <w:t>300</w:t>
                    </w:r>
                  </w:p>
                </w:txbxContent>
              </v:textbox>
              <w10:wrap type="none"/>
            </v:shape>
            <w10:wrap type="none"/>
          </v:group>
        </w:pict>
      </w:r>
      <w:r>
        <w:rPr/>
        <w:pict>
          <v:group style="position:absolute;margin-left:86.673424pt;margin-top:31.349144pt;width:195.3pt;height:180.2pt;mso-position-horizontal-relative:page;mso-position-vertical-relative:paragraph;z-index:6952" coordorigin="1733,627" coordsize="3906,3604">
            <v:rect style="position:absolute;left:1734;top:627;width:3905;height:3601" filled="true" fillcolor="#eaf1f3" stroked="false">
              <v:fill type="solid"/>
            </v:rect>
            <v:shape style="position:absolute;left:1736;top:633;width:3896;height:3595" type="#_x0000_t75" stroked="false">
              <v:imagedata r:id="rId246" o:title=""/>
            </v:shape>
            <v:rect style="position:absolute;left:1736;top:633;width:3896;height:3595" filled="false" stroked="true" strokeweight=".270702pt" strokecolor="#eaf1f3"/>
            <v:shape style="position:absolute;left:2122;top:759;width:3413;height:2980" type="#_x0000_t75" stroked="false">
              <v:imagedata r:id="rId247" o:title=""/>
            </v:shape>
            <v:rect style="position:absolute;left:2122;top:759;width:3413;height:2980" filled="false" stroked="true" strokeweight=".272433pt" strokecolor="#ffffff"/>
            <v:shape style="position:absolute;left:2122;top:831;width:3414;height:2837" coordorigin="2122,831" coordsize="3414,2837" path="m5535,3655l2122,3655,2122,3667,5535,3667,5535,3655m5535,3091l2122,3091,2122,3103,5535,3103,5535,3091m5535,2525l2122,2525,2122,2537,5535,2537,5535,2525m5535,1961l2122,1961,2122,1973,5535,1973,5535,1961m5535,1397l2122,1397,2122,1409,5535,1409,5535,1397m5535,831l2122,831,2122,843,5535,843,5535,831e" filled="true" fillcolor="#eaf1f3" stroked="false">
              <v:path arrowok="t"/>
              <v:fill type="solid"/>
            </v:shape>
            <v:shape style="position:absolute;left:2162;top:3535;width:40;height:51" type="#_x0000_t75" stroked="false">
              <v:imagedata r:id="rId96" o:title=""/>
            </v:shape>
            <v:shape style="position:absolute;left:2162;top:3535;width:41;height:51" coordorigin="2162,3535" coordsize="41,51" path="m2162,3559l2162,3574,2171,3586,2181,3586,2193,3586,2202,3574,2202,3559,2202,3547,2193,3535,2181,3535,2171,3535,2162,3547,2162,3559xe" filled="false" stroked="true" strokeweight=".521619pt" strokecolor="#1a466e">
              <v:path arrowok="t"/>
            </v:shape>
            <v:shape style="position:absolute;left:2469;top:2240;width:43;height:54" type="#_x0000_t75" stroked="false">
              <v:imagedata r:id="rId248" o:title=""/>
            </v:shape>
            <v:shape style="position:absolute;left:2469;top:2240;width:43;height:55" coordorigin="2469,2240" coordsize="43,55" path="m2469,2267l2469,2282,2479,2294,2491,2294,2502,2294,2512,2282,2512,2267,2512,2252,2502,2240,2491,2240,2479,2240,2469,2252,2469,2267xe" filled="false" stroked="true" strokeweight=".521282pt" strokecolor="#1a466e">
              <v:path arrowok="t"/>
            </v:shape>
            <v:shape style="position:absolute;left:2559;top:2911;width:43;height:54" type="#_x0000_t75" stroked="false">
              <v:imagedata r:id="rId96" o:title=""/>
            </v:shape>
            <v:shape style="position:absolute;left:2559;top:2911;width:43;height:54" coordorigin="2559,2911" coordsize="43,54" path="m2559,2938l2559,2953,2569,2965,2580,2965,2592,2965,2602,2953,2602,2938,2602,2923,2592,2911,2580,2911,2569,2911,2559,2923,2559,2938xe" filled="false" stroked="true" strokeweight=".521559pt" strokecolor="#1a466e">
              <v:path arrowok="t"/>
            </v:shape>
            <v:shape style="position:absolute;left:2564;top:1844;width:43;height:51" type="#_x0000_t75" stroked="false">
              <v:imagedata r:id="rId95" o:title=""/>
            </v:shape>
            <v:shape style="position:absolute;left:2564;top:1844;width:43;height:51" coordorigin="2564,1844" coordsize="43,51" path="m2564,1868l2564,1883,2573,1895,2585,1895,2597,1895,2606,1883,2606,1868,2606,1856,2597,1844,2585,1844,2573,1844,2564,1856,2564,1868xe" filled="false" stroked="true" strokeweight=".525015pt" strokecolor="#1a466e">
              <v:path arrowok="t"/>
            </v:shape>
            <v:shape style="position:absolute;left:2940;top:2495;width:43;height:51" type="#_x0000_t75" stroked="false">
              <v:imagedata r:id="rId96" o:title=""/>
            </v:shape>
            <v:shape style="position:absolute;left:2940;top:2495;width:43;height:52" coordorigin="2940,2495" coordsize="43,52" path="m2940,2519l2940,2534,2949,2546,2961,2546,2973,2546,2982,2534,2982,2519,2982,2507,2973,2495,2961,2495,2949,2495,2940,2507,2940,2519xe" filled="false" stroked="true" strokeweight=".524701pt" strokecolor="#1a466e">
              <v:path arrowok="t"/>
            </v:shape>
            <v:shape style="position:absolute;left:3039;top:2645;width:43;height:51" type="#_x0000_t75" stroked="false">
              <v:imagedata r:id="rId96" o:title=""/>
            </v:shape>
            <v:shape style="position:absolute;left:3039;top:2645;width:43;height:51" coordorigin="3039,2645" coordsize="43,51" path="m3039,2668l3039,2683,3048,2695,3060,2695,3072,2695,3081,2683,3081,2668,3081,2656,3072,2645,3060,2645,3048,2645,3039,2656,3039,2668xe" filled="false" stroked="true" strokeweight=".525pt" strokecolor="#1a466e">
              <v:path arrowok="t"/>
            </v:shape>
            <v:shape style="position:absolute;left:3088;top:2783;width:43;height:54" type="#_x0000_t75" stroked="false">
              <v:imagedata r:id="rId96" o:title=""/>
            </v:shape>
            <v:shape style="position:absolute;left:3088;top:2783;width:43;height:54" coordorigin="3088,2783" coordsize="43,54" path="m3088,2809l3088,2824,3098,2836,3110,2836,3122,2836,3131,2824,3131,2809,3131,2794,3122,2783,3110,2783,3098,2783,3088,2794,3088,2809xe" filled="false" stroked="true" strokeweight=".52167pt" strokecolor="#1a466e">
              <v:path arrowok="t"/>
            </v:shape>
            <v:shape style="position:absolute;left:3176;top:2318;width:43;height:51" type="#_x0000_t75" stroked="false">
              <v:imagedata r:id="rId96" o:title=""/>
            </v:shape>
            <v:shape style="position:absolute;left:3176;top:2318;width:43;height:51" coordorigin="3176,2318" coordsize="43,51" path="m3176,2342l3176,2357,3185,2369,3197,2369,3209,2369,3219,2357,3219,2342,3219,2330,3209,2318,3197,2318,3185,2318,3176,2330,3176,2342xe" filled="false" stroked="true" strokeweight=".525pt" strokecolor="#1a466e">
              <v:path arrowok="t"/>
            </v:shape>
            <v:shape style="position:absolute;left:3221;top:2432;width:40;height:54" type="#_x0000_t75" stroked="false">
              <v:imagedata r:id="rId249" o:title=""/>
            </v:shape>
            <v:shape style="position:absolute;left:3221;top:2432;width:41;height:54" coordorigin="3221,2432" coordsize="41,54" path="m3221,2459l3221,2474,3230,2486,3240,2486,3252,2486,3261,2474,3261,2459,3261,2444,3252,2432,3240,2432,3230,2432,3221,2444,3221,2459xe" filled="false" stroked="true" strokeweight=".518287pt" strokecolor="#1a466e">
              <v:path arrowok="t"/>
            </v:shape>
            <v:shape style="position:absolute;left:3237;top:2270;width:40;height:51" type="#_x0000_t75" stroked="false">
              <v:imagedata r:id="rId250" o:title=""/>
            </v:shape>
            <v:shape style="position:absolute;left:3237;top:2270;width:41;height:51" coordorigin="3237,2270" coordsize="41,51" path="m3237,2294l3237,2309,3247,2321,3256,2321,3268,2321,3278,2309,3278,2294,3278,2282,3268,2270,3256,2270,3247,2270,3237,2282,3237,2294xe" filled="false" stroked="true" strokeweight=".521678pt" strokecolor="#1a466e">
              <v:path arrowok="t"/>
            </v:shape>
            <v:shape style="position:absolute;left:3242;top:2683;width:40;height:54" type="#_x0000_t75" stroked="false">
              <v:imagedata r:id="rId251" o:title=""/>
            </v:shape>
            <v:shape style="position:absolute;left:3242;top:2683;width:41;height:55" coordorigin="3242,2683" coordsize="41,55" path="m3242,2710l3242,2725,3252,2738,3261,2738,3273,2738,3282,2725,3282,2710,3282,2695,3273,2683,3261,2683,3252,2683,3242,2695,3242,2710xe" filled="false" stroked="true" strokeweight=".517884pt" strokecolor="#1a466e">
              <v:path arrowok="t"/>
            </v:shape>
            <v:shape style="position:absolute;left:3245;top:2315;width:40;height:51" type="#_x0000_t75" stroked="false">
              <v:imagedata r:id="rId252" o:title=""/>
            </v:shape>
            <v:shape style="position:absolute;left:3245;top:2315;width:41;height:51" coordorigin="3245,2315" coordsize="41,51" path="m3245,2339l3245,2354,3254,2366,3263,2366,3275,2366,3285,2354,3285,2339,3285,2327,3275,2315,3263,2315,3254,2315,3245,2327,3245,2339xe" filled="false" stroked="true" strokeweight=".521531pt" strokecolor="#1a466e">
              <v:path arrowok="t"/>
            </v:shape>
            <v:shape style="position:absolute;left:3261;top:2498;width:40;height:51" type="#_x0000_t75" stroked="false">
              <v:imagedata r:id="rId96" o:title=""/>
            </v:shape>
            <v:shape style="position:absolute;left:3261;top:2498;width:41;height:52" coordorigin="3261,2498" coordsize="41,52" path="m3261,2522l3261,2537,3271,2549,3280,2549,3292,2549,3301,2537,3301,2522,3301,2510,3292,2498,3280,2498,3271,2498,3261,2510,3261,2522xe" filled="false" stroked="true" strokeweight=".521238pt" strokecolor="#1a466e">
              <v:path arrowok="t"/>
            </v:shape>
            <v:shape style="position:absolute;left:3285;top:2507;width:43;height:51" type="#_x0000_t75" stroked="false">
              <v:imagedata r:id="rId95" o:title=""/>
            </v:shape>
            <v:shape style="position:absolute;left:3285;top:2507;width:43;height:51" coordorigin="3285,2507" coordsize="43,51" path="m3285,2531l3285,2546,3294,2558,3306,2558,3318,2558,3327,2546,3327,2531,3327,2519,3318,2507,3306,2507,3294,2507,3285,2519,3285,2531xe" filled="false" stroked="true" strokeweight=".525pt" strokecolor="#1a466e">
              <v:path arrowok="t"/>
            </v:shape>
            <v:shape style="position:absolute;left:3304;top:2438;width:43;height:54" type="#_x0000_t75" stroked="false">
              <v:imagedata r:id="rId114" o:title=""/>
            </v:shape>
            <v:shape style="position:absolute;left:3304;top:2438;width:43;height:54" coordorigin="3304,2438" coordsize="43,54" path="m3304,2465l3304,2480,3313,2492,3325,2492,3337,2492,3346,2480,3346,2465,3346,2450,3337,2438,3325,2438,3313,2438,3304,2450,3304,2465xe" filled="false" stroked="true" strokeweight=".52167pt" strokecolor="#1a466e">
              <v:path arrowok="t"/>
            </v:shape>
            <v:shape style="position:absolute;left:3320;top:2683;width:43;height:54" type="#_x0000_t75" stroked="false">
              <v:imagedata r:id="rId96" o:title=""/>
            </v:shape>
            <v:shape style="position:absolute;left:3320;top:2683;width:43;height:55" coordorigin="3320,2683" coordsize="43,55" path="m3320,2710l3320,2725,3330,2738,3342,2738,3353,2738,3363,2725,3363,2710,3363,2695,3353,2683,3342,2683,3330,2683,3320,2695,3320,2710xe" filled="false" stroked="true" strokeweight=".521393pt" strokecolor="#1a466e">
              <v:path arrowok="t"/>
            </v:shape>
            <v:shape style="position:absolute;left:3325;top:2132;width:43;height:54" type="#_x0000_t75" stroked="false">
              <v:imagedata r:id="rId95" o:title=""/>
            </v:shape>
            <v:shape style="position:absolute;left:3325;top:2132;width:43;height:54" coordorigin="3325,2132" coordsize="43,54" path="m3325,2159l3325,2174,3334,2186,3346,2186,3358,2186,3368,2174,3368,2159,3368,2144,3358,2132,3346,2132,3334,2132,3325,2144,3325,2159xe" filled="false" stroked="true" strokeweight=".521809pt" strokecolor="#1a466e">
              <v:path arrowok="t"/>
            </v:shape>
            <v:shape style="position:absolute;left:3327;top:2420;width:43;height:51" type="#_x0000_t75" stroked="false">
              <v:imagedata r:id="rId109" o:title=""/>
            </v:shape>
            <v:shape style="position:absolute;left:3327;top:2420;width:43;height:51" coordorigin="3327,2420" coordsize="43,51" path="m3327,2444l3327,2459,3337,2471,3349,2471,3360,2471,3370,2459,3370,2444,3370,2432,3360,2420,3349,2420,3337,2420,3327,2432,3327,2444xe" filled="false" stroked="true" strokeweight=".525293pt" strokecolor="#1a466e">
              <v:path arrowok="t"/>
            </v:shape>
            <v:shape style="position:absolute;left:3401;top:2627;width:40;height:51" type="#_x0000_t75" stroked="false">
              <v:imagedata r:id="rId96" o:title=""/>
            </v:shape>
            <v:shape style="position:absolute;left:3401;top:2627;width:41;height:51" coordorigin="3401,2627" coordsize="41,51" path="m3401,2651l3401,2665,3410,2677,3420,2677,3431,2677,3441,2665,3441,2651,3441,2639,3431,2627,3420,2627,3410,2627,3401,2639,3401,2651xe" filled="false" stroked="true" strokeweight=".521531pt" strokecolor="#1a466e">
              <v:path arrowok="t"/>
            </v:shape>
            <v:shape style="position:absolute;left:3408;top:2513;width:43;height:51" type="#_x0000_t75" stroked="false">
              <v:imagedata r:id="rId96" o:title=""/>
            </v:shape>
            <v:shape style="position:absolute;left:3408;top:2513;width:43;height:51" coordorigin="3408,2513" coordsize="43,51" path="m3408,2537l3408,2552,3417,2564,3429,2564,3441,2564,3450,2552,3450,2537,3450,2525,3441,2513,3429,2513,3417,2513,3408,2525,3408,2537xe" filled="false" stroked="true" strokeweight=".525pt" strokecolor="#1a466e">
              <v:path arrowok="t"/>
            </v:shape>
            <v:shape style="position:absolute;left:3455;top:2771;width:43;height:54" type="#_x0000_t75" stroked="false">
              <v:imagedata r:id="rId253" o:title=""/>
            </v:shape>
            <v:shape style="position:absolute;left:3455;top:2771;width:43;height:54" coordorigin="3455,2771" coordsize="43,54" path="m3455,2797l3455,2812,3464,2824,3476,2824,3488,2824,3498,2812,3498,2797,3498,2783,3488,2771,3476,2771,3464,2771,3455,2783,3455,2797xe" filled="false" stroked="true" strokeweight=".52167pt" strokecolor="#1a466e">
              <v:path arrowok="t"/>
            </v:shape>
            <v:shape style="position:absolute;left:3502;top:2911;width:40;height:54" type="#_x0000_t75" stroked="false">
              <v:imagedata r:id="rId96" o:title=""/>
            </v:shape>
            <v:shape style="position:absolute;left:3502;top:2911;width:41;height:54" coordorigin="3502,2911" coordsize="41,54" path="m3502,2938l3502,2953,3512,2965,3521,2965,3533,2965,3542,2953,3542,2938,3542,2923,3533,2911,3521,2911,3512,2911,3502,2923,3502,2938xe" filled="false" stroked="true" strokeweight=".518152pt" strokecolor="#1a466e">
              <v:path arrowok="t"/>
            </v:shape>
            <v:shape style="position:absolute;left:3524;top:2510;width:43;height:51" type="#_x0000_t75" stroked="false">
              <v:imagedata r:id="rId114" o:title=""/>
            </v:shape>
            <v:shape style="position:absolute;left:3524;top:2510;width:43;height:51" coordorigin="3524,2510" coordsize="43,51" path="m3524,2534l3524,2549,3533,2561,3545,2561,3557,2561,3566,2549,3566,2534,3566,2522,3557,2510,3545,2510,3533,2510,3524,2522,3524,2534xe" filled="false" stroked="true" strokeweight=".525142pt" strokecolor="#1a466e">
              <v:path arrowok="t"/>
            </v:shape>
            <v:shape style="position:absolute;left:3616;top:2261;width:40;height:54" type="#_x0000_t75" stroked="false">
              <v:imagedata r:id="rId96" o:title=""/>
            </v:shape>
            <v:shape style="position:absolute;left:3616;top:2261;width:41;height:55" coordorigin="3616,2261" coordsize="41,55" path="m3616,2288l3616,2303,3625,2315,3635,2315,3647,2315,3656,2303,3656,2288,3656,2273,3647,2261,3635,2261,3625,2261,3616,2273,3616,2288xe" filled="false" stroked="true" strokeweight=".517884pt" strokecolor="#1a466e">
              <v:path arrowok="t"/>
            </v:shape>
            <v:shape style="position:absolute;left:3632;top:3343;width:40;height:54" type="#_x0000_t75" stroked="false">
              <v:imagedata r:id="rId96" o:title=""/>
            </v:shape>
            <v:shape style="position:absolute;left:3632;top:3343;width:41;height:54" coordorigin="3632,3343" coordsize="41,54" path="m3632,3370l3632,3385,3642,3397,3651,3397,3663,3397,3673,3385,3673,3370,3673,3355,3663,3343,3651,3343,3642,3343,3632,3355,3632,3370xe" filled="false" stroked="true" strokeweight=".518206pt" strokecolor="#1a466e">
              <v:path arrowok="t"/>
            </v:shape>
            <v:shape style="position:absolute;left:3736;top:2405;width:40;height:51" type="#_x0000_t75" stroked="false">
              <v:imagedata r:id="rId254" o:title=""/>
            </v:shape>
            <v:shape style="position:absolute;left:3736;top:2405;width:41;height:51" coordorigin="3736,2405" coordsize="41,51" path="m3736,2429l3736,2444,3746,2456,3755,2456,3767,2456,3776,2444,3776,2429,3776,2417,3767,2405,3755,2405,3746,2405,3736,2417,3736,2429xe" filled="false" stroked="true" strokeweight=".521678pt" strokecolor="#1a466e">
              <v:path arrowok="t"/>
            </v:shape>
            <v:shape style="position:absolute;left:3859;top:2303;width:40;height:51" type="#_x0000_t75" stroked="false">
              <v:imagedata r:id="rId96" o:title=""/>
            </v:shape>
            <v:shape style="position:absolute;left:3859;top:2303;width:41;height:51" coordorigin="3859,2303" coordsize="41,51" path="m3859,2327l3859,2342,3869,2354,3878,2354,3890,2354,3899,2342,3899,2327,3899,2315,3890,2303,3878,2303,3869,2303,3859,2315,3859,2327xe" filled="false" stroked="true" strokeweight=".521825pt" strokecolor="#1a466e">
              <v:path arrowok="t"/>
            </v:shape>
            <v:shape style="position:absolute;left:3880;top:2060;width:40;height:51" type="#_x0000_t75" stroked="false">
              <v:imagedata r:id="rId109" o:title=""/>
            </v:shape>
            <v:shape style="position:absolute;left:3880;top:2060;width:41;height:51" coordorigin="3880,2060" coordsize="41,51" path="m3880,2084l3880,2099,3890,2111,3899,2111,3911,2111,3921,2099,3921,2084,3921,2072,3911,2060,3899,2060,3890,2060,3880,2072,3880,2084xe" filled="false" stroked="true" strokeweight=".521531pt" strokecolor="#1a466e">
              <v:path arrowok="t"/>
            </v:shape>
            <v:shape style="position:absolute;left:4044;top:1964;width:43;height:51" type="#_x0000_t75" stroked="false">
              <v:imagedata r:id="rId255" o:title=""/>
            </v:shape>
            <v:shape style="position:absolute;left:4044;top:1964;width:43;height:51" coordorigin="4044,1964" coordsize="43,51" path="m4044,1988l4044,2003,4053,2015,4065,2015,4077,2015,4086,2003,4086,1988,4086,1976,4077,1964,4065,1964,4053,1964,4044,1976,4044,1988xe" filled="false" stroked="true" strokeweight=".525pt" strokecolor="#1a466e">
              <v:path arrowok="t"/>
            </v:shape>
            <v:shape style="position:absolute;left:4230;top:2102;width:40;height:54" type="#_x0000_t75" stroked="false">
              <v:imagedata r:id="rId256" o:title=""/>
            </v:shape>
            <v:shape style="position:absolute;left:4230;top:2102;width:41;height:54" coordorigin="4230,2102" coordsize="41,54" path="m4230,2129l4230,2144,4240,2156,4249,2156,4261,2156,4271,2144,4271,2129,4271,2114,4261,2102,4249,2102,4240,2102,4230,2114,4230,2129xe" filled="false" stroked="true" strokeweight=".518287pt" strokecolor="#1a466e">
              <v:path arrowok="t"/>
            </v:shape>
            <v:shape style="position:absolute;left:4294;top:2671;width:43;height:54" type="#_x0000_t75" stroked="false">
              <v:imagedata r:id="rId95" o:title=""/>
            </v:shape>
            <v:shape style="position:absolute;left:4294;top:2671;width:43;height:54" coordorigin="4294,2671" coordsize="43,54" path="m4294,2698l4294,2713,4304,2725,4315,2725,4327,2725,4337,2713,4337,2698,4337,2683,4327,2671,4315,2671,4304,2671,4294,2683,4294,2698xe" filled="false" stroked="true" strokeweight=".52167pt" strokecolor="#1a466e">
              <v:path arrowok="t"/>
            </v:shape>
            <v:shape style="position:absolute;left:4739;top:1955;width:40;height:51" type="#_x0000_t75" stroked="false">
              <v:imagedata r:id="rId257" o:title=""/>
            </v:shape>
            <v:shape style="position:absolute;left:4739;top:1955;width:41;height:51" coordorigin="4739,1955" coordsize="41,51" path="m4739,1979l4739,1994,4748,2006,4757,2006,4769,2006,4779,1994,4779,1979,4779,1967,4769,1955,4757,1955,4748,1955,4739,1967,4739,1979xe" filled="false" stroked="true" strokeweight=".521678pt" strokecolor="#1a466e">
              <v:path arrowok="t"/>
            </v:shape>
            <v:shape style="position:absolute;left:5072;top:1104;width:40;height:54" type="#_x0000_t75" stroked="false">
              <v:imagedata r:id="rId96" o:title=""/>
            </v:shape>
            <v:shape style="position:absolute;left:5072;top:1104;width:41;height:54" coordorigin="5072,1104" coordsize="41,54" path="m5072,1131l5072,1146,5081,1158,5091,1158,5103,1158,5112,1146,5112,1131,5112,1116,5103,1104,5091,1104,5081,1104,5072,1116,5072,1131xe" filled="false" stroked="true" strokeweight=".518295pt" strokecolor="#1a466e">
              <v:path arrowok="t"/>
            </v:shape>
            <v:shape style="position:absolute;left:5089;top:1481;width:40;height:51" type="#_x0000_t75" stroked="false">
              <v:imagedata r:id="rId258" o:title=""/>
            </v:shape>
            <v:shape style="position:absolute;left:5089;top:1481;width:41;height:51" coordorigin="5089,1481" coordsize="41,51" path="m5089,1505l5089,1520,5098,1532,5107,1532,5119,1532,5129,1520,5129,1505,5129,1493,5119,1481,5107,1481,5098,1481,5089,1493,5089,1505xe" filled="false" stroked="true" strokeweight=".521678pt" strokecolor="#1a466e">
              <v:path arrowok="t"/>
            </v:shape>
            <v:shape style="position:absolute;left:5379;top:3157;width:43;height:54" type="#_x0000_t75" stroked="false">
              <v:imagedata r:id="rId109" o:title=""/>
            </v:shape>
            <v:shape style="position:absolute;left:5379;top:3157;width:43;height:55" coordorigin="5379,3157" coordsize="43,55" path="m5379,3184l5379,3199,5388,3211,5400,3211,5412,3211,5422,3199,5422,3184,5422,3169,5412,3157,5400,3157,5388,3157,5379,3169,5379,3184xe" filled="false" stroked="true" strokeweight=".521393pt" strokecolor="#1a466e">
              <v:path arrowok="t"/>
            </v:shape>
            <v:shape style="position:absolute;left:773;top:4511;width:7014;height:4855" coordorigin="773,4511" coordsize="7014,4855" path="m2122,3739l2122,759m2122,3661l2082,3661m2122,3097l2082,3097m2122,2531l2082,2531m2122,1967l2082,1967m2122,1403l2082,1403m2122,837l2082,837m2122,3739l5535,3739m2434,3739l2434,3790m3193,3739l3193,3790m3954,3739l3954,3790m4713,3739l4713,3790m5474,3739l5474,3790e" filled="false" stroked="true" strokeweight=".268158pt" strokecolor="#000000">
              <v:path arrowok="t"/>
            </v:shape>
            <v:shape style="position:absolute;left:2363;top:3826;width:145;height:126" type="#_x0000_t202" filled="false" stroked="false">
              <v:textbox inset="0,0,0,0">
                <w:txbxContent>
                  <w:p>
                    <w:pPr>
                      <w:spacing w:line="126" w:lineRule="exact" w:before="0"/>
                      <w:ind w:left="0" w:right="-14" w:firstLine="0"/>
                      <w:jc w:val="left"/>
                      <w:rPr>
                        <w:rFonts w:ascii="Arial"/>
                        <w:sz w:val="12"/>
                      </w:rPr>
                    </w:pPr>
                    <w:r>
                      <w:rPr>
                        <w:rFonts w:ascii="Arial"/>
                        <w:w w:val="80"/>
                        <w:sz w:val="12"/>
                      </w:rPr>
                      <w:t>-20</w:t>
                    </w:r>
                  </w:p>
                </w:txbxContent>
              </v:textbox>
              <w10:wrap type="none"/>
            </v:shape>
            <v:shape style="position:absolute;left:3164;top:3826;width:56;height:126" type="#_x0000_t202" filled="false" stroked="false">
              <v:textbox inset="0,0,0,0">
                <w:txbxContent>
                  <w:p>
                    <w:pPr>
                      <w:spacing w:line="126" w:lineRule="exact" w:before="0"/>
                      <w:ind w:left="0" w:right="0" w:firstLine="0"/>
                      <w:jc w:val="left"/>
                      <w:rPr>
                        <w:rFonts w:ascii="Arial"/>
                        <w:sz w:val="12"/>
                      </w:rPr>
                    </w:pPr>
                    <w:r>
                      <w:rPr>
                        <w:rFonts w:ascii="Arial"/>
                        <w:w w:val="82"/>
                        <w:sz w:val="12"/>
                      </w:rPr>
                      <w:t>0</w:t>
                    </w:r>
                  </w:p>
                </w:txbxContent>
              </v:textbox>
              <w10:wrap type="none"/>
            </v:shape>
            <v:shape style="position:absolute;left:3899;top:3826;width:114;height:126" type="#_x0000_t202" filled="false" stroked="false">
              <v:textbox inset="0,0,0,0">
                <w:txbxContent>
                  <w:p>
                    <w:pPr>
                      <w:spacing w:line="126" w:lineRule="exact" w:before="0"/>
                      <w:ind w:left="0" w:right="-20" w:firstLine="0"/>
                      <w:jc w:val="left"/>
                      <w:rPr>
                        <w:rFonts w:ascii="Arial"/>
                        <w:sz w:val="12"/>
                      </w:rPr>
                    </w:pPr>
                    <w:r>
                      <w:rPr>
                        <w:rFonts w:ascii="Arial"/>
                        <w:w w:val="85"/>
                        <w:sz w:val="12"/>
                      </w:rPr>
                      <w:t>20</w:t>
                    </w:r>
                  </w:p>
                </w:txbxContent>
              </v:textbox>
              <w10:wrap type="none"/>
            </v:shape>
            <v:shape style="position:absolute;left:4658;top:3826;width:114;height:126" type="#_x0000_t202" filled="false" stroked="false">
              <v:textbox inset="0,0,0,0">
                <w:txbxContent>
                  <w:p>
                    <w:pPr>
                      <w:spacing w:line="126" w:lineRule="exact" w:before="0"/>
                      <w:ind w:left="0" w:right="-20" w:firstLine="0"/>
                      <w:jc w:val="left"/>
                      <w:rPr>
                        <w:rFonts w:ascii="Arial"/>
                        <w:sz w:val="12"/>
                      </w:rPr>
                    </w:pPr>
                    <w:r>
                      <w:rPr>
                        <w:rFonts w:ascii="Arial"/>
                        <w:w w:val="85"/>
                        <w:sz w:val="12"/>
                      </w:rPr>
                      <w:t>40</w:t>
                    </w:r>
                  </w:p>
                </w:txbxContent>
              </v:textbox>
              <w10:wrap type="none"/>
            </v:shape>
            <v:shape style="position:absolute;left:5419;top:3826;width:114;height:126" type="#_x0000_t202" filled="false" stroked="false">
              <v:textbox inset="0,0,0,0">
                <w:txbxContent>
                  <w:p>
                    <w:pPr>
                      <w:spacing w:line="126" w:lineRule="exact" w:before="0"/>
                      <w:ind w:left="0" w:right="-20" w:firstLine="0"/>
                      <w:jc w:val="left"/>
                      <w:rPr>
                        <w:rFonts w:ascii="Arial"/>
                        <w:sz w:val="12"/>
                      </w:rPr>
                    </w:pPr>
                    <w:r>
                      <w:rPr>
                        <w:rFonts w:ascii="Arial"/>
                        <w:w w:val="85"/>
                        <w:sz w:val="12"/>
                      </w:rPr>
                      <w:t>60</w:t>
                    </w:r>
                  </w:p>
                </w:txbxContent>
              </v:textbox>
              <w10:wrap type="none"/>
            </v:shape>
            <v:shape style="position:absolute;left:3776;top:3949;width:110;height:126" type="#_x0000_t202" filled="false" stroked="false">
              <v:textbox inset="0,0,0,0">
                <w:txbxContent>
                  <w:p>
                    <w:pPr>
                      <w:spacing w:line="126" w:lineRule="exact" w:before="0"/>
                      <w:ind w:left="0" w:right="-18" w:firstLine="0"/>
                      <w:jc w:val="left"/>
                      <w:rPr>
                        <w:rFonts w:ascii="Arial"/>
                        <w:sz w:val="12"/>
                      </w:rPr>
                    </w:pPr>
                    <w:r>
                      <w:rPr>
                        <w:rFonts w:ascii="Arial"/>
                        <w:w w:val="85"/>
                        <w:sz w:val="12"/>
                      </w:rPr>
                      <w:t>va</w:t>
                    </w:r>
                  </w:p>
                </w:txbxContent>
              </v:textbox>
              <w10:wrap type="none"/>
            </v:shape>
            <w10:wrap type="none"/>
          </v:group>
        </w:pict>
      </w:r>
      <w:r>
        <w:rPr/>
        <w:pict>
          <v:group style="position:absolute;margin-left:297.406158pt;margin-top:35.808041pt;width:184.6pt;height:176.1pt;mso-position-horizontal-relative:page;mso-position-vertical-relative:paragraph;z-index:7144" coordorigin="5948,716" coordsize="3692,3522">
            <v:rect style="position:absolute;left:5949;top:716;width:3691;height:3519" filled="true" fillcolor="#eaf1f3" stroked="false">
              <v:fill type="solid"/>
            </v:rect>
            <v:shape style="position:absolute;left:5951;top:722;width:3682;height:3513" type="#_x0000_t75" stroked="false">
              <v:imagedata r:id="rId259" o:title=""/>
            </v:shape>
            <v:rect style="position:absolute;left:5951;top:722;width:3682;height:3513" filled="false" stroked="true" strokeweight=".259901pt" strokecolor="#eaf1f3"/>
            <v:shape style="position:absolute;left:6315;top:845;width:3226;height:2912" type="#_x0000_t75" stroked="false">
              <v:imagedata r:id="rId260" o:title=""/>
            </v:shape>
            <v:rect style="position:absolute;left:6315;top:845;width:3226;height:2912" filled="false" stroked="true" strokeweight=".261813pt" strokecolor="#ffffff"/>
            <v:shape style="position:absolute;left:6315;top:915;width:3227;height:2772" coordorigin="6315,915" coordsize="3227,2772" path="m9541,3675l6315,3675,6315,3687,9541,3687,9541,3675m9541,3124l6315,3124,6315,3136,9541,3136,9541,3124m9541,2571l6315,2571,6315,2583,9541,2583,9541,2571m9541,2020l6315,2020,6315,2031,9541,2031,9541,2020m9541,1469l6315,1469,6315,1481,9541,1481,9541,1469m9541,915l6315,915,6315,927,9541,927,9541,915e" filled="true" fillcolor="#eaf1f3" stroked="false">
              <v:path arrowok="t"/>
              <v:fill type="solid"/>
            </v:shape>
            <v:shape style="position:absolute;left:6353;top:1906;width:38;height:50" type="#_x0000_t75" stroked="false">
              <v:imagedata r:id="rId96" o:title=""/>
            </v:shape>
            <v:shape style="position:absolute;left:6353;top:1906;width:38;height:50" coordorigin="6353,1906" coordsize="38,50" path="m6353,1929l6353,1944,6362,1955,6371,1955,6382,1955,6391,1944,6391,1929,6391,1917,6382,1906,6371,1906,6362,1906,6353,1917,6353,1929xe" filled="false" stroked="true" strokeweight=".498152pt" strokecolor="#1a466e">
              <v:path arrowok="t"/>
            </v:shape>
            <v:shape style="position:absolute;left:6836;top:2292;width:40;height:53" type="#_x0000_t75" stroked="false">
              <v:imagedata r:id="rId96" o:title=""/>
            </v:shape>
            <v:shape style="position:absolute;left:6836;top:2292;width:41;height:53" coordorigin="6836,2292" coordsize="41,53" path="m6836,2319l6836,2334,6845,2345,6856,2345,6867,2345,6876,2334,6876,2319,6876,2304,6867,2292,6856,2292,6845,2292,6836,2304,6836,2319xe" filled="false" stroked="true" strokeweight=".497852pt" strokecolor="#1a466e">
              <v:path arrowok="t"/>
            </v:shape>
            <v:shape style="position:absolute;left:6925;top:1551;width:38;height:50" type="#_x0000_t75" stroked="false">
              <v:imagedata r:id="rId132" o:title=""/>
            </v:shape>
            <v:shape style="position:absolute;left:6925;top:1551;width:39;height:50" coordorigin="6925,1551" coordsize="39,50" path="m6925,1574l6925,1589,6934,1601,6943,1601,6954,1601,6963,1589,6963,1574,6963,1563,6954,1551,6943,1551,6934,1551,6925,1563,6925,1574xe" filled="false" stroked="true" strokeweight=".498453pt" strokecolor="#1a466e">
              <v:path arrowok="t"/>
            </v:shape>
            <v:shape style="position:absolute;left:7464;top:2949;width:40;height:53" type="#_x0000_t75" stroked="false">
              <v:imagedata r:id="rId261" o:title=""/>
            </v:shape>
            <v:shape style="position:absolute;left:7464;top:2949;width:41;height:53" coordorigin="7464,2949" coordsize="41,53" path="m7464,2975l7464,2990,7473,3001,7484,3001,7495,3001,7504,2990,7504,2975,7504,2960,7495,2949,7484,2949,7473,2949,7464,2960,7464,2975xe" filled="false" stroked="true" strokeweight=".498136pt" strokecolor="#1a466e">
              <v:path arrowok="t"/>
            </v:shape>
            <v:shape style="position:absolute;left:7468;top:2559;width:38;height:50" type="#_x0000_t75" stroked="false">
              <v:imagedata r:id="rId262" o:title=""/>
            </v:shape>
            <v:shape style="position:absolute;left:7468;top:2559;width:38;height:50" coordorigin="7468,2559" coordsize="38,50" path="m7468,2583l7468,2597,7477,2609,7486,2609,7497,2609,7506,2597,7506,2583,7506,2571,7497,2559,7486,2559,7477,2559,7468,2571,7468,2583xe" filled="false" stroked="true" strokeweight=".498136pt" strokecolor="#1a466e">
              <v:path arrowok="t"/>
            </v:shape>
            <v:shape style="position:absolute;left:7491;top:2454;width:38;height:50" type="#_x0000_t75" stroked="false">
              <v:imagedata r:id="rId263" o:title=""/>
            </v:shape>
            <v:shape style="position:absolute;left:7491;top:2454;width:38;height:50" coordorigin="7491,2454" coordsize="38,50" path="m7491,2477l7491,2491,7499,2503,7508,2503,7520,2503,7529,2491,7529,2477,7529,2465,7520,2454,7508,2454,7499,2454,7491,2465,7491,2477xe" filled="false" stroked="true" strokeweight=".498295pt" strokecolor="#1a466e">
              <v:path arrowok="t"/>
            </v:shape>
            <v:shape style="position:absolute;left:7491;top:2541;width:38;height:50" type="#_x0000_t75" stroked="false">
              <v:imagedata r:id="rId264" o:title=""/>
            </v:shape>
            <v:shape style="position:absolute;left:7491;top:2541;width:38;height:51" coordorigin="7491,2541" coordsize="38,51" path="m7491,2565l7491,2580,7499,2591,7508,2591,7520,2591,7529,2580,7529,2565,7529,2553,7520,2541,7508,2541,7499,2541,7491,2553,7491,2565xe" filled="false" stroked="true" strokeweight=".49782pt" strokecolor="#1a466e">
              <v:path arrowok="t"/>
            </v:shape>
            <v:shape style="position:absolute;left:7504;top:2949;width:38;height:53" type="#_x0000_t75" stroked="false">
              <v:imagedata r:id="rId265" o:title=""/>
            </v:shape>
            <v:shape style="position:absolute;left:7504;top:2949;width:38;height:53" coordorigin="7504,2949" coordsize="38,53" path="m7504,2975l7504,2990,7513,3001,7522,3001,7533,3001,7542,2990,7542,2975,7542,2960,7533,2949,7522,2949,7513,2949,7504,2960,7504,2975xe" filled="false" stroked="true" strokeweight=".494497pt" strokecolor="#1a466e">
              <v:path arrowok="t"/>
            </v:shape>
            <v:shape style="position:absolute;left:7515;top:2187;width:38;height:53" type="#_x0000_t75" stroked="false">
              <v:imagedata r:id="rId132" o:title=""/>
            </v:shape>
            <v:shape style="position:absolute;left:7515;top:2187;width:38;height:53" coordorigin="7515,2187" coordsize="38,53" path="m7515,2213l7515,2228,7524,2240,7533,2240,7544,2240,7553,2228,7553,2213,7553,2199,7544,2187,7533,2187,7524,2187,7515,2199,7515,2213xe" filled="false" stroked="true" strokeweight=".494642pt" strokecolor="#1a466e">
              <v:path arrowok="t"/>
            </v:shape>
            <v:shape style="position:absolute;left:7553;top:2486;width:40;height:53" type="#_x0000_t75" stroked="false">
              <v:imagedata r:id="rId266" o:title=""/>
            </v:shape>
            <v:shape style="position:absolute;left:7553;top:2486;width:41;height:53" coordorigin="7553,2486" coordsize="41,53" path="m7553,2512l7553,2527,7562,2538,7573,2538,7584,2538,7593,2527,7593,2512,7593,2497,7584,2486,7573,2486,7562,2486,7553,2497,7553,2512xe" filled="false" stroked="true" strokeweight=".498136pt" strokecolor="#1a466e">
              <v:path arrowok="t"/>
            </v:shape>
            <v:shape style="position:absolute;left:7618;top:2726;width:38;height:53" type="#_x0000_t75" stroked="false">
              <v:imagedata r:id="rId267" o:title=""/>
            </v:shape>
            <v:shape style="position:absolute;left:7618;top:2726;width:38;height:53" coordorigin="7618,2726" coordsize="38,53" path="m7618,2752l7618,2767,7627,2779,7636,2779,7647,2779,7656,2767,7656,2752,7656,2738,7647,2726,7636,2726,7627,2726,7618,2738,7618,2752xe" filled="false" stroked="true" strokeweight=".494208pt" strokecolor="#1a466e">
              <v:path arrowok="t"/>
            </v:shape>
            <v:shape style="position:absolute;left:7636;top:2480;width:38;height:53" type="#_x0000_t75" stroked="false">
              <v:imagedata r:id="rId268" o:title=""/>
            </v:shape>
            <v:shape style="position:absolute;left:7636;top:2480;width:39;height:53" coordorigin="7636,2480" coordsize="39,53" path="m7636,2506l7636,2521,7645,2532,7654,2532,7665,2532,7674,2521,7674,2506,7674,2491,7665,2480,7654,2480,7645,2480,7636,2491,7636,2506xe" filled="false" stroked="true" strokeweight=".494796pt" strokecolor="#1a466e">
              <v:path arrowok="t"/>
            </v:shape>
            <v:shape style="position:absolute;left:7647;top:2366;width:40;height:50" type="#_x0000_t75" stroked="false">
              <v:imagedata r:id="rId96" o:title=""/>
            </v:shape>
            <v:shape style="position:absolute;left:7647;top:2366;width:41;height:50" coordorigin="7647,2366" coordsize="41,50" path="m7647,2389l7647,2404,7656,2415,7667,2415,7678,2415,7687,2404,7687,2389,7687,2377,7678,2366,7667,2366,7656,2366,7647,2377,7647,2389xe" filled="false" stroked="true" strokeweight=".502040pt" strokecolor="#1a466e">
              <v:path arrowok="t"/>
            </v:shape>
            <v:shape style="position:absolute;left:7658;top:2313;width:40;height:53" type="#_x0000_t75" stroked="false">
              <v:imagedata r:id="rId96" o:title=""/>
            </v:shape>
            <v:shape style="position:absolute;left:7658;top:2313;width:41;height:53" coordorigin="7658,2313" coordsize="41,53" path="m7658,2339l7658,2354,7667,2366,7678,2366,7689,2366,7698,2354,7698,2339,7698,2325,7689,2313,7678,2313,7667,2313,7658,2325,7658,2339xe" filled="false" stroked="true" strokeweight=".497987pt" strokecolor="#1a466e">
              <v:path arrowok="t"/>
            </v:shape>
            <v:shape style="position:absolute;left:7665;top:2544;width:40;height:50" type="#_x0000_t75" stroked="false">
              <v:imagedata r:id="rId95" o:title=""/>
            </v:shape>
            <v:shape style="position:absolute;left:7665;top:2544;width:41;height:51" coordorigin="7665,2544" coordsize="41,51" path="m7665,2568l7665,2583,7674,2594,7685,2594,7696,2594,7705,2583,7705,2568,7705,2556,7696,2544,7685,2544,7674,2544,7665,2556,7665,2568xe" filled="false" stroked="true" strokeweight=".501715pt" strokecolor="#1a466e">
              <v:path arrowok="t"/>
            </v:shape>
            <v:shape style="position:absolute;left:7696;top:2688;width:40;height:50" type="#_x0000_t75" stroked="false">
              <v:imagedata r:id="rId96" o:title=""/>
            </v:shape>
            <v:shape style="position:absolute;left:7696;top:2688;width:41;height:50" coordorigin="7696,2688" coordsize="41,50" path="m7696,2711l7696,2726,7705,2738,7716,2738,7727,2738,7736,2726,7736,2711,7736,2700,7727,2688,7716,2688,7705,2688,7696,2700,7696,2711xe" filled="false" stroked="true" strokeweight=".501886pt" strokecolor="#1a466e">
              <v:path arrowok="t"/>
            </v:shape>
            <v:shape style="position:absolute;left:7696;top:2553;width:40;height:50" type="#_x0000_t75" stroked="false">
              <v:imagedata r:id="rId96" o:title=""/>
            </v:shape>
            <v:shape style="position:absolute;left:7696;top:2553;width:41;height:50" coordorigin="7696,2553" coordsize="41,50" path="m7696,2577l7696,2591,7705,2603,7716,2603,7727,2603,7736,2591,7736,2577,7736,2565,7727,2553,7716,2553,7705,2553,7696,2565,7696,2577xe" filled="false" stroked="true" strokeweight=".501886pt" strokecolor="#1a466e">
              <v:path arrowok="t"/>
            </v:shape>
            <v:shape style="position:absolute;left:7701;top:2556;width:38;height:50" type="#_x0000_t75" stroked="false">
              <v:imagedata r:id="rId96" o:title=""/>
            </v:shape>
            <v:shape style="position:absolute;left:7701;top:2556;width:38;height:50" coordorigin="7701,2556" coordsize="38,50" path="m7701,2580l7701,2594,7710,2606,7718,2606,7730,2606,7739,2594,7739,2580,7739,2568,7730,2556,7718,2556,7710,2556,7701,2568,7701,2580xe" filled="false" stroked="true" strokeweight=".498136pt" strokecolor="#1a466e">
              <v:path arrowok="t"/>
            </v:shape>
            <v:shape style="position:absolute;left:7712;top:2468;width:38;height:50" type="#_x0000_t75" stroked="false">
              <v:imagedata r:id="rId269" o:title=""/>
            </v:shape>
            <v:shape style="position:absolute;left:7712;top:2468;width:38;height:50" coordorigin="7712,2468" coordsize="38,50" path="m7712,2491l7712,2506,7721,2518,7730,2518,7741,2518,7750,2506,7750,2491,7750,2480,7741,2468,7730,2468,7721,2468,7712,2480,7712,2491xe" filled="false" stroked="true" strokeweight=".498295pt" strokecolor="#1a466e">
              <v:path arrowok="t"/>
            </v:shape>
            <v:shape style="position:absolute;left:7721;top:2811;width:38;height:53" type="#_x0000_t75" stroked="false">
              <v:imagedata r:id="rId234" o:title=""/>
            </v:shape>
            <v:shape style="position:absolute;left:7721;top:2811;width:38;height:53" coordorigin="7721,2811" coordsize="38,53" path="m7721,2837l7721,2852,7730,2864,7739,2864,7750,2864,7759,2852,7759,2837,7759,2823,7750,2811,7739,2811,7730,2811,7721,2823,7721,2837xe" filled="false" stroked="true" strokeweight=".494642pt" strokecolor="#1a466e">
              <v:path arrowok="t"/>
            </v:shape>
            <v:shape style="position:absolute;left:7723;top:2670;width:38;height:50" type="#_x0000_t75" stroked="false">
              <v:imagedata r:id="rId270" o:title=""/>
            </v:shape>
            <v:shape style="position:absolute;left:7723;top:2670;width:38;height:50" coordorigin="7723,2670" coordsize="38,50" path="m7723,2694l7723,2708,7732,2720,7741,2720,7752,2720,7761,2708,7761,2694,7761,2682,7752,2670,7741,2670,7732,2670,7723,2682,7723,2694xe" filled="false" stroked="true" strokeweight=".498136pt" strokecolor="#1a466e">
              <v:path arrowok="t"/>
            </v:shape>
            <v:shape style="position:absolute;left:7736;top:2014;width:38;height:50" type="#_x0000_t75" stroked="false">
              <v:imagedata r:id="rId271" o:title=""/>
            </v:shape>
            <v:shape style="position:absolute;left:7736;top:2014;width:38;height:50" coordorigin="7736,2014" coordsize="38,50" path="m7736,2037l7736,2052,7745,2064,7754,2064,7765,2064,7774,2052,7774,2037,7774,2026,7765,2014,7754,2014,7745,2014,7736,2026,7736,2037xe" filled="false" stroked="true" strokeweight=".498295pt" strokecolor="#1a466e">
              <v:path arrowok="t"/>
            </v:shape>
            <v:shape style="position:absolute;left:7739;top:2322;width:38;height:50" type="#_x0000_t75" stroked="false">
              <v:imagedata r:id="rId272" o:title=""/>
            </v:shape>
            <v:shape style="position:absolute;left:7739;top:2322;width:38;height:50" coordorigin="7739,2322" coordsize="38,50" path="m7739,2345l7739,2360,7748,2371,7756,2371,7768,2371,7777,2360,7777,2345,7777,2334,7768,2322,7756,2322,7748,2322,7739,2334,7739,2345xe" filled="false" stroked="true" strokeweight=".498295pt" strokecolor="#1a466e">
              <v:path arrowok="t"/>
            </v:shape>
            <v:shape style="position:absolute;left:7748;top:2117;width:38;height:50" type="#_x0000_t75" stroked="false">
              <v:imagedata r:id="rId96" o:title=""/>
            </v:shape>
            <v:shape style="position:absolute;left:7748;top:2117;width:38;height:50" coordorigin="7748,2117" coordsize="38,50" path="m7748,2140l7748,2155,7756,2166,7765,2166,7777,2166,7786,2155,7786,2140,7786,2128,7777,2117,7765,2117,7756,2117,7748,2128,7748,2140xe" filled="false" stroked="true" strokeweight=".498136pt" strokecolor="#1a466e">
              <v:path arrowok="t"/>
            </v:shape>
            <v:shape style="position:absolute;left:7805;top:2354;width:40;height:50" type="#_x0000_t75" stroked="false">
              <v:imagedata r:id="rId96" o:title=""/>
            </v:shape>
            <v:shape style="position:absolute;left:7805;top:2354;width:41;height:50" coordorigin="7805,2354" coordsize="41,50" path="m7805,2377l7805,2392,7814,2404,7826,2404,7837,2404,7846,2392,7846,2377,7846,2366,7837,2354,7826,2354,7814,2354,7805,2366,7805,2377xe" filled="false" stroked="true" strokeweight=".502049pt" strokecolor="#1a466e">
              <v:path arrowok="t"/>
            </v:shape>
            <v:shape style="position:absolute;left:7951;top:2726;width:38;height:53" type="#_x0000_t75" stroked="false">
              <v:imagedata r:id="rId267" o:title=""/>
            </v:shape>
            <v:shape style="position:absolute;left:7951;top:2726;width:39;height:53" coordorigin="7951,2726" coordsize="39,53" path="m7951,2752l7951,2767,7960,2779,7969,2779,7980,2779,7989,2767,7989,2752,7989,2738,7980,2726,7969,2726,7960,2726,7951,2738,7951,2752xe" filled="false" stroked="true" strokeweight=".494361pt" strokecolor="#1a466e">
              <v:path arrowok="t"/>
            </v:shape>
            <v:shape style="position:absolute;left:8018;top:2823;width:40;height:53" type="#_x0000_t75" stroked="false">
              <v:imagedata r:id="rId96" o:title=""/>
            </v:shape>
            <v:shape style="position:absolute;left:8018;top:2823;width:41;height:53" coordorigin="8018,2823" coordsize="41,53" path="m8018,2849l8018,2864,8027,2875,8038,2875,8049,2875,8058,2864,8058,2849,8058,2834,8049,2823,8038,2823,8027,2823,8018,2834,8018,2849xe" filled="false" stroked="true" strokeweight=".498136pt" strokecolor="#1a466e">
              <v:path arrowok="t"/>
            </v:shape>
            <v:shape style="position:absolute;left:8083;top:2158;width:38;height:53" type="#_x0000_t75" stroked="false">
              <v:imagedata r:id="rId96" o:title=""/>
            </v:shape>
            <v:shape style="position:absolute;left:8083;top:2158;width:38;height:53" coordorigin="8083,2158" coordsize="38,53" path="m8083,2184l8083,2199,8091,2210,8100,2210,8112,2210,8121,2199,8121,2184,8121,2169,8112,2158,8100,2158,8091,2158,8083,2169,8083,2184xe" filled="false" stroked="true" strokeweight=".494642pt" strokecolor="#1a466e">
              <v:path arrowok="t"/>
            </v:shape>
            <v:shape style="position:absolute;left:8127;top:2023;width:40;height:50" type="#_x0000_t75" stroked="false">
              <v:imagedata r:id="rId96" o:title=""/>
            </v:shape>
            <v:shape style="position:absolute;left:8127;top:2023;width:41;height:50" coordorigin="8127,2023" coordsize="41,50" path="m8127,2046l8127,2061,8136,2072,8147,2072,8158,2072,8167,2061,8167,2046,8167,2034,8158,2023,8147,2023,8136,2023,8127,2034,8127,2046xe" filled="false" stroked="true" strokeweight=".501886pt" strokecolor="#1a466e">
              <v:path arrowok="t"/>
            </v:shape>
            <v:shape style="position:absolute;left:8268;top:3371;width:40;height:53" type="#_x0000_t75" stroked="false">
              <v:imagedata r:id="rId96" o:title=""/>
            </v:shape>
            <v:shape style="position:absolute;left:8268;top:3371;width:41;height:53" coordorigin="8268,3371" coordsize="41,53" path="m8268,3397l8268,3412,8277,3423,8288,3423,8299,3423,8308,3412,8308,3397,8308,3382,8299,3371,8288,3371,8277,3371,8268,3382,8268,3397xe" filled="false" stroked="true" strokeweight=".498196pt" strokecolor="#1a466e">
              <v:path arrowok="t"/>
            </v:shape>
            <v:shape style="position:absolute;left:8295;top:3558;width:38;height:50" type="#_x0000_t75" stroked="false">
              <v:imagedata r:id="rId96" o:title=""/>
            </v:shape>
            <v:shape style="position:absolute;left:8295;top:3558;width:38;height:50" coordorigin="8295,3558" coordsize="38,50" path="m8295,3582l8295,3596,8304,3608,8313,3608,8324,3608,8333,3596,8333,3582,8333,3570,8324,3558,8313,3558,8304,3558,8295,3570,8295,3582xe" filled="false" stroked="true" strokeweight=".498215pt" strokecolor="#1a466e">
              <v:path arrowok="t"/>
            </v:shape>
            <v:shape style="position:absolute;left:8601;top:1182;width:40;height:53" type="#_x0000_t75" stroked="false">
              <v:imagedata r:id="rId96" o:title=""/>
            </v:shape>
            <v:shape style="position:absolute;left:8601;top:1182;width:41;height:53" coordorigin="8601,1182" coordsize="41,53" path="m8601,1208l8601,1223,8610,1235,8621,1235,8632,1235,8641,1223,8641,1208,8641,1194,8632,1182,8621,1182,8610,1182,8601,1194,8601,1208xe" filled="false" stroked="true" strokeweight=".498136pt" strokecolor="#1a466e">
              <v:path arrowok="t"/>
            </v:shape>
            <v:shape style="position:absolute;left:9231;top:2369;width:38;height:50" type="#_x0000_t75" stroked="false">
              <v:imagedata r:id="rId146" o:title=""/>
            </v:shape>
            <v:shape style="position:absolute;left:9231;top:2369;width:38;height:50" coordorigin="9231,2369" coordsize="38,50" path="m9231,2392l9231,2407,9240,2418,9249,2418,9260,2418,9269,2407,9269,2392,9269,2380,9260,2369,9249,2369,9240,2369,9231,2380,9231,2392xe" filled="false" stroked="true" strokeweight=".498136pt" strokecolor="#1a466e">
              <v:path arrowok="t"/>
            </v:shape>
            <v:shape style="position:absolute;left:773;top:4511;width:7014;height:4855" coordorigin="773,4511" coordsize="7014,4855" path="m6315,3757l6315,845m6315,3681l6277,3681m6315,3130l6277,3130m6315,2577l6277,2577m6315,2026l6277,2026m6315,1475l6277,1475m6315,921l6277,921m6315,3757l9541,3757m6373,3757l6373,3807m6995,3757l6995,3807m7618,3757l7618,3807m8239,3757l8239,3807m8860,3757l8860,3807m9483,3757l9483,3807e" filled="false" stroked="true" strokeweight=".258269pt" strokecolor="#000000">
              <v:path arrowok="t"/>
            </v:shape>
            <v:shape style="position:absolute;left:6280;top:3842;width:189;height:124" type="#_x0000_t202" filled="false" stroked="false">
              <v:textbox inset="0,0,0,0">
                <w:txbxContent>
                  <w:p>
                    <w:pPr>
                      <w:spacing w:line="123" w:lineRule="exact" w:before="0"/>
                      <w:ind w:left="0" w:right="-12" w:firstLine="0"/>
                      <w:jc w:val="left"/>
                      <w:rPr>
                        <w:rFonts w:ascii="Arial"/>
                        <w:sz w:val="12"/>
                      </w:rPr>
                    </w:pPr>
                    <w:r>
                      <w:rPr>
                        <w:rFonts w:ascii="Arial"/>
                        <w:w w:val="75"/>
                        <w:sz w:val="12"/>
                      </w:rPr>
                      <w:t>-100</w:t>
                    </w:r>
                  </w:p>
                </w:txbxContent>
              </v:textbox>
              <w10:wrap type="none"/>
            </v:shape>
            <v:shape style="position:absolute;left:6928;top:3842;width:138;height:124" type="#_x0000_t202" filled="false" stroked="false">
              <v:textbox inset="0,0,0,0">
                <w:txbxContent>
                  <w:p>
                    <w:pPr>
                      <w:spacing w:line="123" w:lineRule="exact" w:before="0"/>
                      <w:ind w:left="0" w:right="-13" w:firstLine="0"/>
                      <w:jc w:val="left"/>
                      <w:rPr>
                        <w:rFonts w:ascii="Arial"/>
                        <w:sz w:val="12"/>
                      </w:rPr>
                    </w:pPr>
                    <w:r>
                      <w:rPr>
                        <w:rFonts w:ascii="Arial"/>
                        <w:w w:val="75"/>
                        <w:sz w:val="12"/>
                      </w:rPr>
                      <w:t>-50</w:t>
                    </w:r>
                  </w:p>
                </w:txbxContent>
              </v:textbox>
              <w10:wrap type="none"/>
            </v:shape>
            <v:shape style="position:absolute;left:7591;top:3842;width:53;height:124" type="#_x0000_t202" filled="false" stroked="false">
              <v:textbox inset="0,0,0,0">
                <w:txbxContent>
                  <w:p>
                    <w:pPr>
                      <w:spacing w:line="123" w:lineRule="exact" w:before="0"/>
                      <w:ind w:left="0" w:right="0" w:firstLine="0"/>
                      <w:jc w:val="left"/>
                      <w:rPr>
                        <w:rFonts w:ascii="Arial"/>
                        <w:sz w:val="12"/>
                      </w:rPr>
                    </w:pPr>
                    <w:r>
                      <w:rPr>
                        <w:rFonts w:ascii="Arial"/>
                        <w:w w:val="78"/>
                        <w:sz w:val="12"/>
                      </w:rPr>
                      <w:t>0</w:t>
                    </w:r>
                  </w:p>
                </w:txbxContent>
              </v:textbox>
              <w10:wrap type="none"/>
            </v:shape>
            <v:shape style="position:absolute;left:8188;top:3842;width:108;height:124" type="#_x0000_t202" filled="false" stroked="false">
              <v:textbox inset="0,0,0,0">
                <w:txbxContent>
                  <w:p>
                    <w:pPr>
                      <w:spacing w:line="123" w:lineRule="exact" w:before="0"/>
                      <w:ind w:left="0" w:right="-19" w:firstLine="0"/>
                      <w:jc w:val="left"/>
                      <w:rPr>
                        <w:rFonts w:ascii="Arial"/>
                        <w:sz w:val="12"/>
                      </w:rPr>
                    </w:pPr>
                    <w:r>
                      <w:rPr>
                        <w:rFonts w:ascii="Arial"/>
                        <w:w w:val="80"/>
                        <w:sz w:val="12"/>
                      </w:rPr>
                      <w:t>50</w:t>
                    </w:r>
                  </w:p>
                </w:txbxContent>
              </v:textbox>
              <w10:wrap type="none"/>
            </v:shape>
            <v:shape style="position:absolute;left:8782;top:3842;width:158;height:124" type="#_x0000_t202" filled="false" stroked="false">
              <v:textbox inset="0,0,0,0">
                <w:txbxContent>
                  <w:p>
                    <w:pPr>
                      <w:spacing w:line="123" w:lineRule="exact" w:before="0"/>
                      <w:ind w:left="0" w:right="-13" w:firstLine="0"/>
                      <w:jc w:val="left"/>
                      <w:rPr>
                        <w:rFonts w:ascii="Arial"/>
                        <w:sz w:val="12"/>
                      </w:rPr>
                    </w:pPr>
                    <w:r>
                      <w:rPr>
                        <w:rFonts w:ascii="Arial"/>
                        <w:w w:val="75"/>
                        <w:sz w:val="12"/>
                      </w:rPr>
                      <w:t>100</w:t>
                    </w:r>
                  </w:p>
                </w:txbxContent>
              </v:textbox>
              <w10:wrap type="none"/>
            </v:shape>
            <v:shape style="position:absolute;left:9405;top:3842;width:158;height:124" type="#_x0000_t202" filled="false" stroked="false">
              <v:textbox inset="0,0,0,0">
                <w:txbxContent>
                  <w:p>
                    <w:pPr>
                      <w:spacing w:line="123" w:lineRule="exact" w:before="0"/>
                      <w:ind w:left="0" w:right="-13" w:firstLine="0"/>
                      <w:jc w:val="left"/>
                      <w:rPr>
                        <w:rFonts w:ascii="Arial"/>
                        <w:sz w:val="12"/>
                      </w:rPr>
                    </w:pPr>
                    <w:r>
                      <w:rPr>
                        <w:rFonts w:ascii="Arial"/>
                        <w:w w:val="75"/>
                        <w:sz w:val="12"/>
                      </w:rPr>
                      <w:t>150</w:t>
                    </w:r>
                  </w:p>
                </w:txbxContent>
              </v:textbox>
              <w10:wrap type="none"/>
            </v:shape>
            <v:shape style="position:absolute;left:7826;top:3962;width:207;height:124" type="#_x0000_t202" filled="false" stroked="false">
              <v:textbox inset="0,0,0,0">
                <w:txbxContent>
                  <w:p>
                    <w:pPr>
                      <w:spacing w:line="123" w:lineRule="exact" w:before="0"/>
                      <w:ind w:left="0" w:right="-9" w:firstLine="0"/>
                      <w:jc w:val="left"/>
                      <w:rPr>
                        <w:rFonts w:ascii="Arial"/>
                        <w:sz w:val="12"/>
                      </w:rPr>
                    </w:pPr>
                    <w:r>
                      <w:rPr>
                        <w:rFonts w:ascii="Arial"/>
                        <w:w w:val="75"/>
                        <w:sz w:val="12"/>
                      </w:rPr>
                      <w:t>va35</w:t>
                    </w:r>
                  </w:p>
                </w:txbxContent>
              </v:textbox>
              <w10:wrap type="none"/>
            </v:shape>
            <w10:wrap type="none"/>
          </v:group>
        </w:pict>
      </w:r>
      <w:r>
        <w:rPr/>
        <w:pict>
          <v:shape style="position:absolute;margin-left:89.003677pt;margin-top:-74.857651pt;width:7.1pt;height:10.9pt;mso-position-horizontal-relative:page;mso-position-vertical-relative:paragraph;z-index:7600" type="#_x0000_t202" filled="false" stroked="false">
            <v:textbox inset="0,0,0,0" style="layout-flow:vertical;mso-layout-flow-alt:bottom-to-top">
              <w:txbxContent>
                <w:p>
                  <w:pPr>
                    <w:spacing w:before="8"/>
                    <w:ind w:left="20" w:right="-76" w:firstLine="0"/>
                    <w:jc w:val="left"/>
                    <w:rPr>
                      <w:rFonts w:ascii="Arial"/>
                      <w:sz w:val="10"/>
                    </w:rPr>
                  </w:pPr>
                  <w:r>
                    <w:rPr>
                      <w:rFonts w:ascii="Arial"/>
                      <w:w w:val="123"/>
                      <w:sz w:val="10"/>
                    </w:rPr>
                    <w:t>-</w:t>
                  </w:r>
                  <w:r>
                    <w:rPr>
                      <w:rFonts w:ascii="Arial"/>
                      <w:spacing w:val="-1"/>
                      <w:w w:val="123"/>
                      <w:sz w:val="10"/>
                    </w:rPr>
                    <w:t>2</w:t>
                  </w:r>
                  <w:r>
                    <w:rPr>
                      <w:rFonts w:ascii="Arial"/>
                      <w:w w:val="123"/>
                      <w:sz w:val="10"/>
                    </w:rPr>
                    <w:t>0</w:t>
                  </w:r>
                </w:p>
              </w:txbxContent>
            </v:textbox>
            <w10:wrap type="none"/>
          </v:shape>
        </w:pict>
      </w:r>
      <w:r>
        <w:rPr/>
        <w:pict>
          <v:shape style="position:absolute;margin-left:93.031754pt;margin-top:93.906128pt;width:7pt;height:8.9pt;mso-position-horizontal-relative:page;mso-position-vertical-relative:paragraph;z-index:7720" type="#_x0000_t202" filled="false" stroked="false">
            <v:textbox inset="0,0,0,0" style="layout-flow:vertical;mso-layout-flow-alt:bottom-to-top">
              <w:txbxContent>
                <w:p>
                  <w:pPr>
                    <w:spacing w:before="6"/>
                    <w:ind w:left="20" w:right="-37" w:firstLine="0"/>
                    <w:jc w:val="left"/>
                    <w:rPr>
                      <w:rFonts w:ascii="Arial"/>
                      <w:sz w:val="10"/>
                    </w:rPr>
                  </w:pPr>
                  <w:r>
                    <w:rPr>
                      <w:rFonts w:ascii="Arial"/>
                      <w:spacing w:val="-2"/>
                      <w:w w:val="125"/>
                      <w:sz w:val="10"/>
                    </w:rPr>
                    <w:t>20</w:t>
                  </w:r>
                </w:p>
              </w:txbxContent>
            </v:textbox>
            <w10:wrap type="none"/>
          </v:shape>
        </w:pict>
      </w:r>
      <w:r>
        <w:rPr/>
        <w:pict>
          <v:shape style="position:absolute;margin-left:93.031754pt;margin-top:65.719002pt;width:7pt;height:8.9pt;mso-position-horizontal-relative:page;mso-position-vertical-relative:paragraph;z-index:7744" type="#_x0000_t202" filled="false" stroked="false">
            <v:textbox inset="0,0,0,0" style="layout-flow:vertical;mso-layout-flow-alt:bottom-to-top">
              <w:txbxContent>
                <w:p>
                  <w:pPr>
                    <w:spacing w:before="6"/>
                    <w:ind w:left="20" w:right="-37" w:firstLine="0"/>
                    <w:jc w:val="left"/>
                    <w:rPr>
                      <w:rFonts w:ascii="Arial"/>
                      <w:sz w:val="10"/>
                    </w:rPr>
                  </w:pPr>
                  <w:r>
                    <w:rPr>
                      <w:rFonts w:ascii="Arial"/>
                      <w:spacing w:val="-2"/>
                      <w:w w:val="125"/>
                      <w:sz w:val="10"/>
                    </w:rPr>
                    <w:t>40</w:t>
                  </w:r>
                </w:p>
              </w:txbxContent>
            </v:textbox>
            <w10:wrap type="none"/>
          </v:shape>
        </w:pict>
      </w:r>
      <w:r>
        <w:rPr/>
        <w:pict>
          <v:shape style="position:absolute;margin-left:92.913582pt;margin-top:37.388245pt;width:7pt;height:8.9pt;mso-position-horizontal-relative:page;mso-position-vertical-relative:paragraph;z-index:7768" type="#_x0000_t202" filled="false" stroked="false">
            <v:textbox inset="0,0,0,0" style="layout-flow:vertical;mso-layout-flow-alt:bottom-to-top">
              <w:txbxContent>
                <w:p>
                  <w:pPr>
                    <w:spacing w:before="6"/>
                    <w:ind w:left="20" w:right="-37" w:firstLine="0"/>
                    <w:jc w:val="left"/>
                    <w:rPr>
                      <w:rFonts w:ascii="Arial"/>
                      <w:sz w:val="10"/>
                    </w:rPr>
                  </w:pPr>
                  <w:r>
                    <w:rPr>
                      <w:rFonts w:ascii="Arial"/>
                      <w:spacing w:val="-2"/>
                      <w:w w:val="125"/>
                      <w:sz w:val="10"/>
                    </w:rPr>
                    <w:t>60</w:t>
                  </w:r>
                </w:p>
              </w:txbxContent>
            </v:textbox>
            <w10:wrap type="none"/>
          </v:shape>
        </w:pict>
      </w:r>
      <w:r>
        <w:rPr/>
        <w:pict>
          <v:shape style="position:absolute;margin-left:303.369202pt;margin-top:96.921227pt;width:6.7pt;height:8.75pt;mso-position-horizontal-relative:page;mso-position-vertical-relative:paragraph;z-index:8056" type="#_x0000_t202" filled="false" stroked="false">
            <v:textbox inset="0,0,0,0" style="layout-flow:vertical;mso-layout-flow-alt:bottom-to-top">
              <w:txbxContent>
                <w:p>
                  <w:pPr>
                    <w:spacing w:before="11"/>
                    <w:ind w:left="20" w:right="-39" w:firstLine="0"/>
                    <w:jc w:val="left"/>
                    <w:rPr>
                      <w:rFonts w:ascii="Arial"/>
                      <w:sz w:val="9"/>
                    </w:rPr>
                  </w:pPr>
                  <w:r>
                    <w:rPr>
                      <w:rFonts w:ascii="Arial"/>
                      <w:spacing w:val="-2"/>
                      <w:w w:val="136"/>
                      <w:sz w:val="9"/>
                    </w:rPr>
                    <w:t>20</w:t>
                  </w:r>
                </w:p>
              </w:txbxContent>
            </v:textbox>
            <w10:wrap type="none"/>
          </v:shape>
        </w:pict>
      </w:r>
      <w:r>
        <w:rPr/>
        <w:pict>
          <v:shape style="position:absolute;margin-left:303.369202pt;margin-top:69.374405pt;width:6.7pt;height:8.75pt;mso-position-horizontal-relative:page;mso-position-vertical-relative:paragraph;z-index:8080" type="#_x0000_t202" filled="false" stroked="false">
            <v:textbox inset="0,0,0,0" style="layout-flow:vertical;mso-layout-flow-alt:bottom-to-top">
              <w:txbxContent>
                <w:p>
                  <w:pPr>
                    <w:spacing w:before="11"/>
                    <w:ind w:left="20" w:right="-39" w:firstLine="0"/>
                    <w:jc w:val="left"/>
                    <w:rPr>
                      <w:rFonts w:ascii="Arial"/>
                      <w:sz w:val="9"/>
                    </w:rPr>
                  </w:pPr>
                  <w:r>
                    <w:rPr>
                      <w:rFonts w:ascii="Arial"/>
                      <w:spacing w:val="-2"/>
                      <w:w w:val="136"/>
                      <w:sz w:val="9"/>
                    </w:rPr>
                    <w:t>40</w:t>
                  </w:r>
                </w:p>
              </w:txbxContent>
            </v:textbox>
            <w10:wrap type="none"/>
          </v:shape>
        </w:pict>
      </w:r>
      <w:r>
        <w:rPr/>
        <w:pict>
          <v:shape style="position:absolute;margin-left:303.257507pt;margin-top:41.687233pt;width:6.7pt;height:8.75pt;mso-position-horizontal-relative:page;mso-position-vertical-relative:paragraph;z-index:8104" type="#_x0000_t202" filled="false" stroked="false">
            <v:textbox inset="0,0,0,0" style="layout-flow:vertical;mso-layout-flow-alt:bottom-to-top">
              <w:txbxContent>
                <w:p>
                  <w:pPr>
                    <w:spacing w:before="11"/>
                    <w:ind w:left="20" w:right="-39" w:firstLine="0"/>
                    <w:jc w:val="left"/>
                    <w:rPr>
                      <w:rFonts w:ascii="Arial"/>
                      <w:sz w:val="9"/>
                    </w:rPr>
                  </w:pPr>
                  <w:r>
                    <w:rPr>
                      <w:rFonts w:ascii="Arial"/>
                      <w:spacing w:val="-2"/>
                      <w:w w:val="136"/>
                      <w:sz w:val="9"/>
                    </w:rPr>
                    <w:t>60</w:t>
                  </w:r>
                </w:p>
              </w:txbxContent>
            </v:textbox>
            <w10:wrap type="none"/>
          </v:shape>
        </w:pict>
      </w:r>
      <w:r>
        <w:rPr>
          <w:rFonts w:ascii="Arial" w:hAnsi="Arial"/>
        </w:rPr>
        <w:t>Región Toluca-Lerma</w:t>
      </w:r>
    </w:p>
    <w:p>
      <w:pPr>
        <w:spacing w:after="0"/>
        <w:rPr>
          <w:rFonts w:ascii="Arial" w:hAnsi="Arial"/>
        </w:rPr>
        <w:sectPr>
          <w:pgSz w:w="12240" w:h="15840"/>
          <w:pgMar w:header="0" w:footer="1003" w:top="1460" w:bottom="1200" w:left="1620" w:right="0"/>
        </w:sectPr>
      </w:pPr>
    </w:p>
    <w:p>
      <w:pPr>
        <w:pStyle w:val="BodyText"/>
        <w:rPr>
          <w:rFonts w:ascii="Arial"/>
          <w:b/>
          <w:sz w:val="20"/>
        </w:rPr>
      </w:pPr>
      <w:r>
        <w:rPr/>
        <w:pict>
          <v:shape style="position:absolute;margin-left:88.482727pt;margin-top:167.469772pt;width:11.35pt;height:13.85pt;mso-position-horizontal-relative:page;mso-position-vertical-relative:page;z-index:8680" type="#_x0000_t202" filled="false" stroked="false">
            <v:textbox inset="0,0,0,0" style="layout-flow:vertical;mso-layout-flow-alt:bottom-to-top">
              <w:txbxContent>
                <w:p>
                  <w:pPr>
                    <w:spacing w:line="102" w:lineRule="exact" w:before="5"/>
                    <w:ind w:left="20" w:right="-48" w:firstLine="0"/>
                    <w:jc w:val="left"/>
                    <w:rPr>
                      <w:rFonts w:ascii="Arial"/>
                      <w:sz w:val="10"/>
                    </w:rPr>
                  </w:pPr>
                  <w:r>
                    <w:rPr>
                      <w:rFonts w:ascii="Arial"/>
                      <w:w w:val="122"/>
                      <w:sz w:val="10"/>
                    </w:rPr>
                    <w:t>va</w:t>
                  </w:r>
                </w:p>
                <w:p>
                  <w:pPr>
                    <w:spacing w:line="102" w:lineRule="exact" w:before="0"/>
                    <w:ind w:left="122" w:right="-48" w:firstLine="0"/>
                    <w:jc w:val="left"/>
                    <w:rPr>
                      <w:rFonts w:ascii="Arial"/>
                      <w:sz w:val="10"/>
                    </w:rPr>
                  </w:pPr>
                  <w:r>
                    <w:rPr>
                      <w:rFonts w:ascii="Arial"/>
                      <w:spacing w:val="-2"/>
                      <w:w w:val="122"/>
                      <w:sz w:val="10"/>
                    </w:rPr>
                    <w:t>20</w:t>
                  </w:r>
                </w:p>
              </w:txbxContent>
            </v:textbox>
            <w10:wrap type="none"/>
          </v:shape>
        </w:pict>
      </w:r>
      <w:r>
        <w:rPr/>
        <w:pict>
          <v:shape style="position:absolute;margin-left:88.914375pt;margin-top:492.984222pt;width:7pt;height:11.45pt;mso-position-horizontal-relative:page;mso-position-vertical-relative:page;z-index:8704" type="#_x0000_t202" filled="false" stroked="false">
            <v:textbox inset="0,0,0,0" style="layout-flow:vertical;mso-layout-flow-alt:bottom-to-top">
              <w:txbxContent>
                <w:p>
                  <w:pPr>
                    <w:spacing w:before="7"/>
                    <w:ind w:left="20" w:right="-88" w:firstLine="0"/>
                    <w:jc w:val="left"/>
                    <w:rPr>
                      <w:rFonts w:ascii="Arial"/>
                      <w:sz w:val="10"/>
                    </w:rPr>
                  </w:pPr>
                  <w:r>
                    <w:rPr>
                      <w:rFonts w:ascii="Arial"/>
                      <w:w w:val="131"/>
                      <w:sz w:val="10"/>
                    </w:rPr>
                    <w:t>-</w:t>
                  </w:r>
                  <w:r>
                    <w:rPr>
                      <w:rFonts w:ascii="Arial"/>
                      <w:spacing w:val="-2"/>
                      <w:w w:val="131"/>
                      <w:sz w:val="10"/>
                    </w:rPr>
                    <w:t>4</w:t>
                  </w:r>
                  <w:r>
                    <w:rPr>
                      <w:rFonts w:ascii="Arial"/>
                      <w:w w:val="131"/>
                      <w:sz w:val="10"/>
                    </w:rPr>
                    <w:t>0</w:t>
                  </w:r>
                </w:p>
              </w:txbxContent>
            </v:textbox>
            <w10:wrap type="none"/>
          </v:shape>
        </w:pict>
      </w:r>
      <w:r>
        <w:rPr/>
        <w:pict>
          <v:shape style="position:absolute;margin-left:88.914375pt;margin-top:463.636444pt;width:7pt;height:11.45pt;mso-position-horizontal-relative:page;mso-position-vertical-relative:page;z-index:8728" type="#_x0000_t202" filled="false" stroked="false">
            <v:textbox inset="0,0,0,0" style="layout-flow:vertical;mso-layout-flow-alt:bottom-to-top">
              <w:txbxContent>
                <w:p>
                  <w:pPr>
                    <w:spacing w:before="7"/>
                    <w:ind w:left="20" w:right="-88" w:firstLine="0"/>
                    <w:jc w:val="left"/>
                    <w:rPr>
                      <w:rFonts w:ascii="Arial"/>
                      <w:sz w:val="10"/>
                    </w:rPr>
                  </w:pPr>
                  <w:r>
                    <w:rPr>
                      <w:rFonts w:ascii="Arial"/>
                      <w:w w:val="131"/>
                      <w:sz w:val="10"/>
                    </w:rPr>
                    <w:t>-</w:t>
                  </w:r>
                  <w:r>
                    <w:rPr>
                      <w:rFonts w:ascii="Arial"/>
                      <w:spacing w:val="-2"/>
                      <w:w w:val="131"/>
                      <w:sz w:val="10"/>
                    </w:rPr>
                    <w:t>2</w:t>
                  </w:r>
                  <w:r>
                    <w:rPr>
                      <w:rFonts w:ascii="Arial"/>
                      <w:w w:val="131"/>
                      <w:sz w:val="10"/>
                    </w:rPr>
                    <w:t>0</w:t>
                  </w:r>
                </w:p>
              </w:txbxContent>
            </v:textbox>
            <w10:wrap type="none"/>
          </v:shape>
        </w:pict>
      </w:r>
      <w:r>
        <w:rPr/>
        <w:pict>
          <v:shape style="position:absolute;margin-left:92.918968pt;margin-top:135.831482pt;width:6.95pt;height:8.75pt;mso-position-horizontal-relative:page;mso-position-vertical-relative:page;z-index:8848" type="#_x0000_t202" filled="false" stroked="false">
            <v:textbox inset="0,0,0,0" style="layout-flow:vertical;mso-layout-flow-alt:bottom-to-top">
              <w:txbxContent>
                <w:p>
                  <w:pPr>
                    <w:spacing w:before="5"/>
                    <w:ind w:left="20" w:right="-34" w:firstLine="0"/>
                    <w:jc w:val="left"/>
                    <w:rPr>
                      <w:rFonts w:ascii="Arial"/>
                      <w:sz w:val="10"/>
                    </w:rPr>
                  </w:pPr>
                  <w:r>
                    <w:rPr>
                      <w:rFonts w:ascii="Arial"/>
                      <w:spacing w:val="-2"/>
                      <w:w w:val="122"/>
                      <w:sz w:val="10"/>
                    </w:rPr>
                    <w:t>40</w:t>
                  </w:r>
                </w:p>
              </w:txbxContent>
            </v:textbox>
            <w10:wrap type="none"/>
          </v:shape>
        </w:pict>
      </w:r>
      <w:r>
        <w:rPr/>
        <w:pict>
          <v:shape style="position:absolute;margin-left:92.802277pt;margin-top:104.035248pt;width:6.95pt;height:8.75pt;mso-position-horizontal-relative:page;mso-position-vertical-relative:page;z-index:8872" type="#_x0000_t202" filled="false" stroked="false">
            <v:textbox inset="0,0,0,0" style="layout-flow:vertical;mso-layout-flow-alt:bottom-to-top">
              <w:txbxContent>
                <w:p>
                  <w:pPr>
                    <w:spacing w:before="5"/>
                    <w:ind w:left="20" w:right="-34" w:firstLine="0"/>
                    <w:jc w:val="left"/>
                    <w:rPr>
                      <w:rFonts w:ascii="Arial"/>
                      <w:sz w:val="10"/>
                    </w:rPr>
                  </w:pPr>
                  <w:r>
                    <w:rPr>
                      <w:rFonts w:ascii="Arial"/>
                      <w:spacing w:val="-2"/>
                      <w:w w:val="122"/>
                      <w:sz w:val="10"/>
                    </w:rPr>
                    <w:t>60</w:t>
                  </w:r>
                </w:p>
              </w:txbxContent>
            </v:textbox>
            <w10:wrap type="none"/>
          </v:shape>
        </w:pict>
      </w:r>
      <w:r>
        <w:rPr/>
        <w:pict>
          <v:shape style="position:absolute;margin-left:97.225578pt;margin-top:436.963623pt;width:7pt;height:5.65pt;mso-position-horizontal-relative:page;mso-position-vertical-relative:page;z-index:8896" type="#_x0000_t202" filled="false" stroked="false">
            <v:textbox inset="0,0,0,0" style="layout-flow:vertical;mso-layout-flow-alt:bottom-to-top">
              <w:txbxContent>
                <w:p>
                  <w:pPr>
                    <w:spacing w:before="7"/>
                    <w:ind w:left="20" w:right="0" w:firstLine="0"/>
                    <w:jc w:val="left"/>
                    <w:rPr>
                      <w:rFonts w:ascii="Arial"/>
                      <w:sz w:val="10"/>
                    </w:rPr>
                  </w:pPr>
                  <w:r>
                    <w:rPr>
                      <w:rFonts w:ascii="Arial"/>
                      <w:w w:val="131"/>
                      <w:sz w:val="10"/>
                    </w:rPr>
                    <w:t>0</w:t>
                  </w:r>
                </w:p>
              </w:txbxContent>
            </v:textbox>
            <w10:wrap type="none"/>
          </v:shape>
        </w:pict>
      </w:r>
      <w:r>
        <w:rPr/>
        <w:pict>
          <v:shape style="position:absolute;margin-left:97.004646pt;margin-top:200.819794pt;width:6.95pt;height:5.45pt;mso-position-horizontal-relative:page;mso-position-vertical-relative:page;z-index:8920" type="#_x0000_t202" filled="false" stroked="false">
            <v:textbox inset="0,0,0,0" style="layout-flow:vertical;mso-layout-flow-alt:bottom-to-top">
              <w:txbxContent>
                <w:p>
                  <w:pPr>
                    <w:spacing w:before="5"/>
                    <w:ind w:left="20" w:right="0" w:firstLine="0"/>
                    <w:jc w:val="left"/>
                    <w:rPr>
                      <w:rFonts w:ascii="Arial"/>
                      <w:sz w:val="10"/>
                    </w:rPr>
                  </w:pPr>
                  <w:r>
                    <w:rPr>
                      <w:rFonts w:ascii="Arial"/>
                      <w:w w:val="122"/>
                      <w:sz w:val="10"/>
                    </w:rPr>
                    <w:t>0</w:t>
                  </w:r>
                </w:p>
              </w:txbxContent>
            </v:textbox>
            <w10:wrap type="none"/>
          </v:shape>
        </w:pict>
      </w:r>
      <w:r>
        <w:rPr/>
        <w:pict>
          <v:shape style="position:absolute;margin-left:303.334381pt;margin-top:492.984222pt;width:7pt;height:11.45pt;mso-position-horizontal-relative:page;mso-position-vertical-relative:page;z-index:8944" type="#_x0000_t202" filled="false" stroked="false">
            <v:textbox inset="0,0,0,0" style="layout-flow:vertical;mso-layout-flow-alt:bottom-to-top">
              <w:txbxContent>
                <w:p>
                  <w:pPr>
                    <w:spacing w:before="7"/>
                    <w:ind w:left="20" w:right="-88" w:firstLine="0"/>
                    <w:jc w:val="left"/>
                    <w:rPr>
                      <w:rFonts w:ascii="Arial"/>
                      <w:sz w:val="10"/>
                    </w:rPr>
                  </w:pPr>
                  <w:r>
                    <w:rPr>
                      <w:rFonts w:ascii="Arial"/>
                      <w:w w:val="131"/>
                      <w:sz w:val="10"/>
                    </w:rPr>
                    <w:t>-</w:t>
                  </w:r>
                  <w:r>
                    <w:rPr>
                      <w:rFonts w:ascii="Arial"/>
                      <w:spacing w:val="-2"/>
                      <w:w w:val="131"/>
                      <w:sz w:val="10"/>
                    </w:rPr>
                    <w:t>4</w:t>
                  </w:r>
                  <w:r>
                    <w:rPr>
                      <w:rFonts w:ascii="Arial"/>
                      <w:w w:val="131"/>
                      <w:sz w:val="10"/>
                    </w:rPr>
                    <w:t>0</w:t>
                  </w:r>
                </w:p>
              </w:txbxContent>
            </v:textbox>
            <w10:wrap type="none"/>
          </v:shape>
        </w:pict>
      </w:r>
      <w:r>
        <w:rPr/>
        <w:pict>
          <v:shape style="position:absolute;margin-left:303.334381pt;margin-top:463.636444pt;width:7pt;height:11.45pt;mso-position-horizontal-relative:page;mso-position-vertical-relative:page;z-index:8968" type="#_x0000_t202" filled="false" stroked="false">
            <v:textbox inset="0,0,0,0" style="layout-flow:vertical;mso-layout-flow-alt:bottom-to-top">
              <w:txbxContent>
                <w:p>
                  <w:pPr>
                    <w:spacing w:before="7"/>
                    <w:ind w:left="20" w:right="-88" w:firstLine="0"/>
                    <w:jc w:val="left"/>
                    <w:rPr>
                      <w:rFonts w:ascii="Arial"/>
                      <w:sz w:val="10"/>
                    </w:rPr>
                  </w:pPr>
                  <w:r>
                    <w:rPr>
                      <w:rFonts w:ascii="Arial"/>
                      <w:w w:val="131"/>
                      <w:sz w:val="10"/>
                    </w:rPr>
                    <w:t>-</w:t>
                  </w:r>
                  <w:r>
                    <w:rPr>
                      <w:rFonts w:ascii="Arial"/>
                      <w:spacing w:val="-2"/>
                      <w:w w:val="131"/>
                      <w:sz w:val="10"/>
                    </w:rPr>
                    <w:t>2</w:t>
                  </w:r>
                  <w:r>
                    <w:rPr>
                      <w:rFonts w:ascii="Arial"/>
                      <w:w w:val="131"/>
                      <w:sz w:val="10"/>
                    </w:rPr>
                    <w:t>0</w:t>
                  </w:r>
                </w:p>
              </w:txbxContent>
            </v:textbox>
            <w10:wrap type="none"/>
          </v:shape>
        </w:pict>
      </w:r>
      <w:r>
        <w:rPr/>
        <w:pict>
          <v:shape style="position:absolute;margin-left:311.645569pt;margin-top:436.963623pt;width:7pt;height:5.65pt;mso-position-horizontal-relative:page;mso-position-vertical-relative:page;z-index:9064" type="#_x0000_t202" filled="false" stroked="false">
            <v:textbox inset="0,0,0,0" style="layout-flow:vertical;mso-layout-flow-alt:bottom-to-top">
              <w:txbxContent>
                <w:p>
                  <w:pPr>
                    <w:spacing w:before="7"/>
                    <w:ind w:left="20" w:right="0" w:firstLine="0"/>
                    <w:jc w:val="left"/>
                    <w:rPr>
                      <w:rFonts w:ascii="Arial"/>
                      <w:sz w:val="10"/>
                    </w:rPr>
                  </w:pPr>
                  <w:r>
                    <w:rPr>
                      <w:rFonts w:ascii="Arial"/>
                      <w:w w:val="131"/>
                      <w:sz w:val="10"/>
                    </w:rPr>
                    <w:t>0</w:t>
                  </w:r>
                </w:p>
              </w:txbxContent>
            </v:textbox>
            <w10:wrap type="none"/>
          </v:shape>
        </w:pic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6"/>
        <w:rPr>
          <w:rFonts w:ascii="Arial"/>
          <w:b/>
          <w:sz w:val="27"/>
        </w:rPr>
      </w:pPr>
    </w:p>
    <w:p>
      <w:pPr>
        <w:pStyle w:val="Heading2"/>
        <w:spacing w:before="69"/>
        <w:ind w:left="2247" w:right="0"/>
        <w:rPr>
          <w:rFonts w:ascii="Arial" w:hAnsi="Arial"/>
        </w:rPr>
      </w:pPr>
      <w:r>
        <w:rPr/>
        <w:pict>
          <v:group style="position:absolute;margin-left:86.651154pt;margin-top:-211.156967pt;width:192.85pt;height:175.3pt;mso-position-horizontal-relative:page;mso-position-vertical-relative:paragraph;z-index:8296" coordorigin="1733,-4223" coordsize="3857,3506">
            <v:rect style="position:absolute;left:1734;top:-4223;width:3856;height:3503" filled="true" fillcolor="#eaf1f3" stroked="false">
              <v:fill type="solid"/>
            </v:rect>
            <v:shape style="position:absolute;left:1736;top:-4217;width:3847;height:3497" type="#_x0000_t75" stroked="false">
              <v:imagedata r:id="rId273" o:title=""/>
            </v:shape>
            <v:rect style="position:absolute;left:1736;top:-4217;width:3847;height:3497" filled="false" stroked="true" strokeweight=".265371pt" strokecolor="#eaf1f3"/>
            <v:shape style="position:absolute;left:2117;top:-4095;width:3370;height:2899" type="#_x0000_t75" stroked="false">
              <v:imagedata r:id="rId274" o:title=""/>
            </v:shape>
            <v:rect style="position:absolute;left:2117;top:-4095;width:3370;height:2899" filled="false" stroked="true" strokeweight=".266956pt" strokecolor="#ffffff"/>
            <v:shape style="position:absolute;left:855;top:4153;width:6932;height:4178" coordorigin="855,4153" coordsize="6932,4178" path="m2117,-1481l5487,-1481m2117,-2114l5487,-2114m2117,-2750l5487,-2750m2117,-3383l5487,-3383m2117,-4019l5487,-4019e" filled="false" stroked="true" strokeweight=".525211pt" strokecolor="#eaf1f3">
              <v:path arrowok="t"/>
            </v:shape>
            <v:shape style="position:absolute;left:2336;top:-1633;width:42;height:50" type="#_x0000_t75" stroked="false">
              <v:imagedata r:id="rId96" o:title=""/>
            </v:shape>
            <v:shape style="position:absolute;left:2336;top:-1633;width:43;height:50" coordorigin="2336,-1633" coordsize="43,50" path="m2336,-1610l2336,-1595,2345,-1584,2357,-1584,2369,-1584,2378,-1595,2378,-1610,2378,-1622,2369,-1633,2357,-1633,2345,-1633,2336,-1622,2336,-1610xe" filled="false" stroked="true" strokeweight=".515739pt" strokecolor="#1a466e">
              <v:path arrowok="t"/>
            </v:shape>
            <v:shape style="position:absolute;left:2341;top:-1555;width:42;height:52" type="#_x0000_t75" stroked="false">
              <v:imagedata r:id="rId96" o:title=""/>
            </v:shape>
            <v:shape style="position:absolute;left:2341;top:-1555;width:43;height:53" coordorigin="2341,-1555" coordsize="43,53" path="m2341,-1528l2341,-1514,2350,-1502,2362,-1502,2373,-1502,2383,-1514,2383,-1528,2383,-1543,2373,-1555,2362,-1555,2350,-1555,2341,-1543,2341,-1528xe" filled="false" stroked="true" strokeweight=".512542pt" strokecolor="#1a466e">
              <v:path arrowok="t"/>
            </v:shape>
            <v:shape style="position:absolute;left:2488;top:-1298;width:40;height:50" type="#_x0000_t75" stroked="false">
              <v:imagedata r:id="rId275" o:title=""/>
            </v:shape>
            <v:shape style="position:absolute;left:2488;top:-1298;width:40;height:50" coordorigin="2488,-1298" coordsize="40,50" path="m2488,-1275l2488,-1260,2497,-1248,2506,-1248,2518,-1248,2527,-1260,2527,-1275,2527,-1286,2518,-1298,2506,-1298,2497,-1298,2488,-1286,2488,-1275xe" filled="false" stroked="true" strokeweight=".512208pt" strokecolor="#1a466e">
              <v:path arrowok="t"/>
            </v:shape>
            <v:shape style="position:absolute;left:2558;top:-2030;width:42;height:52" type="#_x0000_t75" stroked="false">
              <v:imagedata r:id="rId276" o:title=""/>
            </v:shape>
            <v:shape style="position:absolute;left:2558;top:-2030;width:43;height:53" coordorigin="2558,-2030" coordsize="43,53" path="m2558,-2004l2558,-1989,2567,-1978,2579,-1978,2590,-1978,2600,-1989,2600,-2004,2600,-2018,2590,-2030,2579,-2030,2567,-2030,2558,-2018,2558,-2004xe" filled="false" stroked="true" strokeweight=".512606pt" strokecolor="#1a466e">
              <v:path arrowok="t"/>
            </v:shape>
            <v:shape style="position:absolute;left:2562;top:-2202;width:42;height:53" type="#_x0000_t75" stroked="false">
              <v:imagedata r:id="rId109" o:title=""/>
            </v:shape>
            <v:shape style="position:absolute;left:2562;top:-2202;width:43;height:53" coordorigin="2562,-2202" coordsize="43,53" path="m2562,-2176l2562,-2161,2572,-2149,2583,-2149,2595,-2149,2604,-2161,2604,-2176,2604,-2190,2595,-2202,2583,-2202,2572,-2202,2562,-2190,2562,-2176xe" filled="false" stroked="true" strokeweight=".512222pt" strokecolor="#1a466e">
              <v:path arrowok="t"/>
            </v:shape>
            <v:shape style="position:absolute;left:2628;top:-1630;width:40;height:50" type="#_x0000_t75" stroked="false">
              <v:imagedata r:id="rId96" o:title=""/>
            </v:shape>
            <v:shape style="position:absolute;left:2628;top:-1630;width:40;height:50" coordorigin="2628,-1630" coordsize="40,50" path="m2628,-1607l2628,-1592,2637,-1581,2646,-1581,2658,-1581,2667,-1592,2667,-1607,2667,-1619,2658,-1630,2646,-1630,2637,-1630,2628,-1619,2628,-1607xe" filled="false" stroked="true" strokeweight=".512533pt" strokecolor="#1a466e">
              <v:path arrowok="t"/>
            </v:shape>
            <v:shape style="position:absolute;left:2656;top:-2143;width:40;height:49" type="#_x0000_t75" stroked="false">
              <v:imagedata r:id="rId96" o:title=""/>
            </v:shape>
            <v:shape style="position:absolute;left:2656;top:-2143;width:40;height:50" coordorigin="2656,-2143" coordsize="40,50" path="m2656,-2120l2656,-2106,2665,-2094,2674,-2094,2686,-2094,2695,-2106,2695,-2120,2695,-2132,2686,-2143,2674,-2143,2665,-2143,2656,-2132,2656,-2120xe" filled="false" stroked="true" strokeweight=".512601pt" strokecolor="#1a466e">
              <v:path arrowok="t"/>
            </v:shape>
            <v:shape style="position:absolute;left:2693;top:-1948;width:42;height:50" type="#_x0000_t75" stroked="false">
              <v:imagedata r:id="rId95" o:title=""/>
            </v:shape>
            <v:shape style="position:absolute;left:2693;top:-1948;width:42;height:50" coordorigin="2693,-1948" coordsize="42,50" path="m2693,-1925l2693,-1910,2702,-1899,2714,-1899,2726,-1899,2735,-1910,2735,-1925,2735,-1936,2726,-1948,2714,-1948,2702,-1948,2693,-1936,2693,-1925xe" filled="false" stroked="true" strokeweight=".515381pt" strokecolor="#1a466e">
              <v:path arrowok="t"/>
            </v:shape>
            <v:shape style="position:absolute;left:2714;top:-2071;width:42;height:50" type="#_x0000_t75" stroked="false">
              <v:imagedata r:id="rId277" o:title=""/>
            </v:shape>
            <v:shape style="position:absolute;left:2714;top:-2071;width:42;height:50" coordorigin="2714,-2071" coordsize="42,50" path="m2714,-2047l2714,-2033,2723,-2021,2735,-2021,2747,-2021,2756,-2033,2756,-2047,2756,-2059,2747,-2071,2735,-2071,2723,-2071,2714,-2059,2714,-2047xe" filled="false" stroked="true" strokeweight=".515657pt" strokecolor="#1a466e">
              <v:path arrowok="t"/>
            </v:shape>
            <v:shape style="position:absolute;left:2735;top:-3077;width:40;height:52" type="#_x0000_t75" stroked="false">
              <v:imagedata r:id="rId278" o:title=""/>
            </v:shape>
            <v:shape style="position:absolute;left:2735;top:-3077;width:40;height:53" coordorigin="2735,-3077" coordsize="40,53" path="m2735,-3051l2735,-3036,2744,-3024,2754,-3024,2765,-3024,2775,-3036,2775,-3051,2775,-3065,2765,-3077,2754,-3077,2744,-3077,2735,-3065,2735,-3051xe" filled="false" stroked="true" strokeweight=".509450pt" strokecolor="#1a466e">
              <v:path arrowok="t"/>
            </v:shape>
            <v:shape style="position:absolute;left:2744;top:-2182;width:40;height:50" type="#_x0000_t75" stroked="false">
              <v:imagedata r:id="rId279" o:title=""/>
            </v:shape>
            <v:shape style="position:absolute;left:2744;top:-2182;width:40;height:50" coordorigin="2744,-2182" coordsize="40,50" path="m2744,-2158l2744,-2143,2754,-2132,2763,-2132,2775,-2132,2784,-2143,2784,-2158,2784,-2170,2775,-2182,2763,-2182,2754,-2182,2744,-2170,2744,-2158xe" filled="false" stroked="true" strokeweight=".512316pt" strokecolor="#1a466e">
              <v:path arrowok="t"/>
            </v:shape>
            <v:shape style="position:absolute;left:2754;top:-2252;width:40;height:50" type="#_x0000_t75" stroked="false">
              <v:imagedata r:id="rId280" o:title=""/>
            </v:shape>
            <v:shape style="position:absolute;left:2754;top:-2252;width:40;height:50" coordorigin="2754,-2252" coordsize="40,50" path="m2754,-2228l2754,-2214,2763,-2202,2772,-2202,2784,-2202,2794,-2214,2794,-2228,2794,-2240,2784,-2252,2772,-2252,2763,-2252,2754,-2240,2754,-2228xe" filled="false" stroked="true" strokeweight=".512588pt" strokecolor="#1a466e">
              <v:path arrowok="t"/>
            </v:shape>
            <v:shape style="position:absolute;left:2756;top:-2217;width:40;height:53" type="#_x0000_t75" stroked="false">
              <v:imagedata r:id="rId96" o:title=""/>
            </v:shape>
            <v:shape style="position:absolute;left:2756;top:-2217;width:40;height:53" coordorigin="2756,-2217" coordsize="40,53" path="m2756,-2190l2756,-2176,2765,-2164,2775,-2164,2787,-2164,2796,-2176,2796,-2190,2796,-2205,2787,-2217,2775,-2217,2765,-2217,2756,-2205,2756,-2190xe" filled="false" stroked="true" strokeweight=".509208pt" strokecolor="#1a466e">
              <v:path arrowok="t"/>
            </v:shape>
            <v:shape style="position:absolute;left:2763;top:-2435;width:40;height:53" type="#_x0000_t75" stroked="false">
              <v:imagedata r:id="rId96" o:title=""/>
            </v:shape>
            <v:shape style="position:absolute;left:2763;top:-2435;width:40;height:53" coordorigin="2763,-2435" coordsize="40,53" path="m2763,-2409l2763,-2394,2772,-2383,2782,-2383,2794,-2383,2803,-2394,2803,-2409,2803,-2424,2794,-2435,2782,-2435,2772,-2435,2763,-2424,2763,-2409xe" filled="false" stroked="true" strokeweight=".509208pt" strokecolor="#1a466e">
              <v:path arrowok="t"/>
            </v:shape>
            <v:shape style="position:absolute;left:2763;top:-2269;width:40;height:50" type="#_x0000_t75" stroked="false">
              <v:imagedata r:id="rId96" o:title=""/>
            </v:shape>
            <v:shape style="position:absolute;left:2763;top:-2269;width:40;height:50" coordorigin="2763,-2269" coordsize="40,50" path="m2763,-2246l2763,-2231,2772,-2220,2782,-2220,2794,-2220,2803,-2231,2803,-2246,2803,-2257,2794,-2269,2782,-2269,2772,-2269,2763,-2257,2763,-2246xe" filled="false" stroked="true" strokeweight=".512588pt" strokecolor="#1a466e">
              <v:path arrowok="t"/>
            </v:shape>
            <v:shape style="position:absolute;left:2770;top:-2266;width:40;height:50" type="#_x0000_t75" stroked="false">
              <v:imagedata r:id="rId125" o:title=""/>
            </v:shape>
            <v:shape style="position:absolute;left:2770;top:-2266;width:40;height:50" coordorigin="2770,-2266" coordsize="40,50" path="m2770,-2243l2770,-2228,2779,-2217,2789,-2217,2801,-2217,2810,-2228,2810,-2243,2810,-2255,2801,-2266,2789,-2266,2779,-2266,2770,-2255,2770,-2243xe" filled="false" stroked="true" strokeweight=".512588pt" strokecolor="#1a466e">
              <v:path arrowok="t"/>
            </v:shape>
            <v:shape style="position:absolute;left:2772;top:-2237;width:40;height:52" type="#_x0000_t75" stroked="false">
              <v:imagedata r:id="rId281" o:title=""/>
            </v:shape>
            <v:shape style="position:absolute;left:2772;top:-2237;width:40;height:53" coordorigin="2772,-2237" coordsize="40,53" path="m2772,-2211l2772,-2196,2782,-2185,2791,-2185,2803,-2185,2812,-2196,2812,-2211,2812,-2225,2803,-2237,2791,-2237,2782,-2237,2772,-2225,2772,-2211xe" filled="false" stroked="true" strokeweight=".509457pt" strokecolor="#1a466e">
              <v:path arrowok="t"/>
            </v:shape>
            <v:shape style="position:absolute;left:2782;top:-3024;width:42;height:50" type="#_x0000_t75" stroked="false">
              <v:imagedata r:id="rId282" o:title=""/>
            </v:shape>
            <v:shape style="position:absolute;left:2782;top:-3024;width:43;height:50" coordorigin="2782,-3024" coordsize="43,50" path="m2782,-3001l2782,-2987,2791,-2975,2803,-2975,2815,-2975,2824,-2987,2824,-3001,2824,-3013,2815,-3024,2803,-3024,2791,-3024,2782,-3013,2782,-3001xe" filled="false" stroked="true" strokeweight=".515789pt" strokecolor="#1a466e">
              <v:path arrowok="t"/>
            </v:shape>
            <v:shape style="position:absolute;left:2803;top:-2336;width:42;height:52" type="#_x0000_t75" stroked="false">
              <v:imagedata r:id="rId96" o:title=""/>
            </v:shape>
            <v:shape style="position:absolute;left:2803;top:-2336;width:42;height:53" coordorigin="2803,-2336" coordsize="42,53" path="m2803,-2310l2803,-2295,2812,-2284,2824,-2284,2836,-2284,2845,-2295,2845,-2310,2845,-2324,2836,-2336,2824,-2336,2812,-2336,2803,-2324,2803,-2310xe" filled="false" stroked="true" strokeweight=".51258pt" strokecolor="#1a466e">
              <v:path arrowok="t"/>
            </v:shape>
            <v:shape style="position:absolute;left:2805;top:-2867;width:42;height:53" type="#_x0000_t75" stroked="false">
              <v:imagedata r:id="rId96" o:title=""/>
            </v:shape>
            <v:shape style="position:absolute;left:2805;top:-2867;width:42;height:53" coordorigin="2805,-2867" coordsize="42,53" path="m2805,-2841l2805,-2826,2815,-2814,2826,-2814,2838,-2814,2847,-2826,2847,-2841,2847,-2855,2838,-2867,2826,-2867,2815,-2867,2805,-2855,2805,-2841xe" filled="false" stroked="true" strokeweight=".512196pt" strokecolor="#1a466e">
              <v:path arrowok="t"/>
            </v:shape>
            <v:shape style="position:absolute;left:2812;top:-2202;width:42;height:53" type="#_x0000_t75" stroked="false">
              <v:imagedata r:id="rId109" o:title=""/>
            </v:shape>
            <v:shape style="position:absolute;left:2812;top:-2202;width:42;height:53" coordorigin="2812,-2202" coordsize="42,53" path="m2812,-2176l2812,-2161,2822,-2149,2833,-2149,2845,-2149,2854,-2161,2854,-2176,2854,-2190,2845,-2202,2833,-2202,2822,-2202,2812,-2190,2812,-2176xe" filled="false" stroked="true" strokeweight=".512196pt" strokecolor="#1a466e">
              <v:path arrowok="t"/>
            </v:shape>
            <v:shape style="position:absolute;left:2815;top:-2269;width:42;height:50" type="#_x0000_t75" stroked="false">
              <v:imagedata r:id="rId95" o:title=""/>
            </v:shape>
            <v:shape style="position:absolute;left:2815;top:-2269;width:42;height:50" coordorigin="2815,-2269" coordsize="42,50" path="m2815,-2246l2815,-2231,2824,-2220,2836,-2220,2847,-2220,2857,-2231,2857,-2246,2857,-2257,2847,-2269,2836,-2269,2824,-2269,2815,-2257,2815,-2246xe" filled="false" stroked="true" strokeweight=".515657pt" strokecolor="#1a466e">
              <v:path arrowok="t"/>
            </v:shape>
            <v:shape style="position:absolute;left:2824;top:-2196;width:42;height:53" type="#_x0000_t75" stroked="false">
              <v:imagedata r:id="rId95" o:title=""/>
            </v:shape>
            <v:shape style="position:absolute;left:2824;top:-2196;width:42;height:53" coordorigin="2824,-2196" coordsize="42,53" path="m2824,-2170l2824,-2155,2833,-2143,2845,-2143,2857,-2143,2866,-2155,2866,-2170,2866,-2185,2857,-2196,2845,-2196,2833,-2196,2824,-2185,2824,-2170xe" filled="false" stroked="true" strokeweight=".512196pt" strokecolor="#1a466e">
              <v:path arrowok="t"/>
            </v:shape>
            <v:shape style="position:absolute;left:2845;top:-2511;width:40;height:49" type="#_x0000_t75" stroked="false">
              <v:imagedata r:id="rId283" o:title=""/>
            </v:shape>
            <v:shape style="position:absolute;left:2845;top:-2511;width:40;height:50" coordorigin="2845,-2511" coordsize="40,50" path="m2845,-2488l2845,-2473,2854,-2462,2864,-2462,2875,-2462,2885,-2473,2885,-2488,2885,-2499,2875,-2511,2864,-2511,2854,-2511,2845,-2499,2845,-2488xe" filled="false" stroked="true" strokeweight=".512588pt" strokecolor="#1a466e">
              <v:path arrowok="t"/>
            </v:shape>
            <v:shape style="position:absolute;left:2880;top:-2333;width:39;height:52" type="#_x0000_t75" stroked="false">
              <v:imagedata r:id="rId109" o:title=""/>
            </v:shape>
            <v:shape style="position:absolute;left:2880;top:-2333;width:40;height:53" coordorigin="2880,-2333" coordsize="40,53" path="m2880,-2307l2880,-2292,2889,-2281,2898,-2281,2910,-2281,2919,-2292,2919,-2307,2919,-2321,2910,-2333,2898,-2333,2889,-2333,2880,-2321,2880,-2307xe" filled="false" stroked="true" strokeweight=".509185pt" strokecolor="#1a466e">
              <v:path arrowok="t"/>
            </v:shape>
            <v:shape style="position:absolute;left:2892;top:-2613;width:39;height:49" type="#_x0000_t75" stroked="false">
              <v:imagedata r:id="rId96" o:title=""/>
            </v:shape>
            <v:shape style="position:absolute;left:2892;top:-2613;width:40;height:50" coordorigin="2892,-2613" coordsize="40,50" path="m2892,-2590l2892,-2575,2901,-2564,2910,-2564,2922,-2564,2931,-2575,2931,-2590,2931,-2601,2922,-2613,2910,-2613,2901,-2613,2892,-2601,2892,-2590xe" filled="false" stroked="true" strokeweight=".512315pt" strokecolor="#1a466e">
              <v:path arrowok="t"/>
            </v:shape>
            <v:shape style="position:absolute;left:2908;top:-2377;width:42;height:50" type="#_x0000_t75" stroked="false">
              <v:imagedata r:id="rId96" o:title=""/>
            </v:shape>
            <v:shape style="position:absolute;left:2908;top:-2377;width:42;height:50" coordorigin="2908,-2377" coordsize="42,50" path="m2908,-2354l2908,-2339,2917,-2327,2929,-2327,2940,-2327,2950,-2339,2950,-2354,2950,-2365,2940,-2377,2929,-2377,2917,-2377,2908,-2365,2908,-2354xe" filled="false" stroked="true" strokeweight=".515657pt" strokecolor="#1a466e">
              <v:path arrowok="t"/>
            </v:shape>
            <v:shape style="position:absolute;left:2926;top:-2733;width:42;height:50" type="#_x0000_t75" stroked="false">
              <v:imagedata r:id="rId284" o:title=""/>
            </v:shape>
            <v:shape style="position:absolute;left:2926;top:-2733;width:42;height:50" coordorigin="2926,-2733" coordsize="42,50" path="m2926,-2710l2926,-2695,2936,-2683,2947,-2683,2959,-2683,2968,-2695,2968,-2710,2968,-2721,2959,-2733,2947,-2733,2936,-2733,2926,-2721,2926,-2710xe" filled="false" stroked="true" strokeweight=".515657pt" strokecolor="#1a466e">
              <v:path arrowok="t"/>
            </v:shape>
            <v:shape style="position:absolute;left:2982;top:-2715;width:40;height:50" type="#_x0000_t75" stroked="false">
              <v:imagedata r:id="rId285" o:title=""/>
            </v:shape>
            <v:shape style="position:absolute;left:2982;top:-2715;width:40;height:50" coordorigin="2982,-2715" coordsize="40,50" path="m2982,-2692l2982,-2677,2992,-2666,3001,-2666,3013,-2666,3022,-2677,3022,-2692,3022,-2704,3013,-2715,3001,-2715,2992,-2715,2982,-2704,2982,-2692xe" filled="false" stroked="true" strokeweight=".512452pt" strokecolor="#1a466e">
              <v:path arrowok="t"/>
            </v:shape>
            <v:shape style="position:absolute;left:3043;top:-3727;width:42;height:52" type="#_x0000_t75" stroked="false">
              <v:imagedata r:id="rId286" o:title=""/>
            </v:shape>
            <v:shape style="position:absolute;left:3043;top:-3727;width:42;height:53" coordorigin="3043,-3727" coordsize="42,53" path="m3043,-3701l3043,-3687,3052,-3675,3064,-3675,3076,-3675,3085,-3687,3085,-3701,3085,-3716,3076,-3727,3064,-3727,3052,-3727,3043,-3716,3043,-3701xe" filled="false" stroked="true" strokeweight=".51258pt" strokecolor="#1a466e">
              <v:path arrowok="t"/>
            </v:shape>
            <v:shape style="position:absolute;left:3069;top:-2418;width:42;height:53" type="#_x0000_t75" stroked="false">
              <v:imagedata r:id="rId96" o:title=""/>
            </v:shape>
            <v:shape style="position:absolute;left:3069;top:-2418;width:43;height:53" coordorigin="3069,-2418" coordsize="43,53" path="m3069,-2391l3069,-2377,3078,-2365,3090,-2365,3101,-2365,3111,-2377,3111,-2391,3111,-2406,3101,-2418,3090,-2418,3078,-2418,3069,-2406,3069,-2391xe" filled="false" stroked="true" strokeweight=".512324pt" strokecolor="#1a466e">
              <v:path arrowok="t"/>
            </v:shape>
            <v:shape style="position:absolute;left:3340;top:-3447;width:40;height:52" type="#_x0000_t75" stroked="false">
              <v:imagedata r:id="rId96" o:title=""/>
            </v:shape>
            <v:shape style="position:absolute;left:3340;top:-3447;width:40;height:53" coordorigin="3340,-3447" coordsize="40,53" path="m3340,-3421l3340,-3407,3349,-3395,3358,-3395,3370,-3395,3379,-3407,3379,-3421,3379,-3436,3370,-3447,3358,-3447,3349,-3447,3340,-3436,3340,-3421xe" filled="false" stroked="true" strokeweight=".509325pt" strokecolor="#1a466e">
              <v:path arrowok="t"/>
            </v:shape>
            <v:shape style="position:absolute;left:3536;top:-3742;width:42;height:52" type="#_x0000_t75" stroked="false">
              <v:imagedata r:id="rId287" o:title=""/>
            </v:shape>
            <v:shape style="position:absolute;left:3536;top:-3742;width:42;height:53" coordorigin="3536,-3742" coordsize="42,53" path="m3536,-3716l3536,-3701,3545,-3689,3557,-3689,3568,-3689,3578,-3701,3578,-3716,3578,-3730,3568,-3742,3557,-3742,3545,-3742,3536,-3730,3536,-3716xe" filled="false" stroked="true" strokeweight=".512452pt" strokecolor="#1a466e">
              <v:path arrowok="t"/>
            </v:shape>
            <v:shape style="position:absolute;left:3998;top:-2526;width:42;height:52" type="#_x0000_t75" stroked="false">
              <v:imagedata r:id="rId288" o:title=""/>
            </v:shape>
            <v:shape style="position:absolute;left:3998;top:-2526;width:42;height:53" coordorigin="3998,-2526" coordsize="42,53" path="m3998,-2499l3998,-2485,4007,-2473,4019,-2473,4030,-2473,4040,-2485,4040,-2499,4040,-2514,4030,-2526,4019,-2526,4007,-2526,3998,-2514,3998,-2499xe" filled="false" stroked="true" strokeweight=".512452pt" strokecolor="#1a466e">
              <v:path arrowok="t"/>
            </v:shape>
            <v:shape style="position:absolute;left:5405;top:-3984;width:40;height:52" type="#_x0000_t75" stroked="false">
              <v:imagedata r:id="rId289" o:title=""/>
            </v:shape>
            <v:shape style="position:absolute;left:5405;top:-3984;width:40;height:53" coordorigin="5405,-3984" coordsize="40,53" path="m5405,-3958l5405,-3943,5415,-3932,5424,-3932,5436,-3932,5445,-3943,5445,-3958,5445,-3972,5436,-3984,5424,-3984,5415,-3984,5405,-3972,5405,-3958xe" filled="false" stroked="true" strokeweight=".509450pt" strokecolor="#1a466e">
              <v:path arrowok="t"/>
            </v:shape>
            <v:shape style="position:absolute;left:773;top:4029;width:7014;height:4855" coordorigin="773,4029" coordsize="7014,4855" path="m2117,-1196l2117,-4095m2117,-1481l2077,-1481m2117,-2114l2077,-2114m2117,-2750l2077,-2750m2117,-3383l2077,-3383m2117,-4019l2077,-4019m2117,-1196l5487,-1196m2177,-1196l2177,-1146m2779,-1196l2779,-1146m3382,-1196l3382,-1146m3984,-1196l3984,-1146m4586,-1196l4586,-1146m5191,-1196l5191,-1146e" filled="false" stroked="true" strokeweight=".262605pt" strokecolor="#000000">
              <v:path arrowok="t"/>
            </v:shape>
            <v:shape style="position:absolute;left:2079;top:-1111;width:197;height:123" type="#_x0000_t202" filled="false" stroked="false">
              <v:textbox inset="0,0,0,0">
                <w:txbxContent>
                  <w:p>
                    <w:pPr>
                      <w:spacing w:line="123" w:lineRule="exact" w:before="0"/>
                      <w:ind w:left="0" w:right="-16" w:firstLine="0"/>
                      <w:jc w:val="left"/>
                      <w:rPr>
                        <w:rFonts w:ascii="Arial"/>
                        <w:sz w:val="12"/>
                      </w:rPr>
                    </w:pPr>
                    <w:r>
                      <w:rPr>
                        <w:rFonts w:ascii="Arial"/>
                        <w:w w:val="80"/>
                        <w:sz w:val="12"/>
                      </w:rPr>
                      <w:t>-100</w:t>
                    </w:r>
                  </w:p>
                </w:txbxContent>
              </v:textbox>
              <w10:wrap type="none"/>
            </v:shape>
            <v:shape style="position:absolute;left:2751;top:-1111;width:55;height:123" type="#_x0000_t202" filled="false" stroked="false">
              <v:textbox inset="0,0,0,0">
                <w:txbxContent>
                  <w:p>
                    <w:pPr>
                      <w:spacing w:line="123" w:lineRule="exact" w:before="0"/>
                      <w:ind w:left="0" w:right="0" w:firstLine="0"/>
                      <w:jc w:val="left"/>
                      <w:rPr>
                        <w:rFonts w:ascii="Arial"/>
                        <w:sz w:val="12"/>
                      </w:rPr>
                    </w:pPr>
                    <w:r>
                      <w:rPr>
                        <w:rFonts w:ascii="Arial"/>
                        <w:w w:val="81"/>
                        <w:sz w:val="12"/>
                      </w:rPr>
                      <w:t>0</w:t>
                    </w:r>
                  </w:p>
                </w:txbxContent>
              </v:textbox>
              <w10:wrap type="none"/>
            </v:shape>
            <v:shape style="position:absolute;left:3300;top:-1111;width:767;height:242" type="#_x0000_t202" filled="false" stroked="false">
              <v:textbox inset="0,0,0,0">
                <w:txbxContent>
                  <w:p>
                    <w:pPr>
                      <w:tabs>
                        <w:tab w:pos="602" w:val="left" w:leader="none"/>
                      </w:tabs>
                      <w:spacing w:line="115" w:lineRule="exact" w:before="0"/>
                      <w:ind w:left="0" w:right="0" w:firstLine="0"/>
                      <w:jc w:val="left"/>
                      <w:rPr>
                        <w:rFonts w:ascii="Arial"/>
                        <w:sz w:val="12"/>
                      </w:rPr>
                    </w:pPr>
                    <w:r>
                      <w:rPr>
                        <w:rFonts w:ascii="Arial"/>
                        <w:w w:val="90"/>
                        <w:sz w:val="12"/>
                      </w:rPr>
                      <w:t>100</w:t>
                      <w:tab/>
                    </w:r>
                    <w:r>
                      <w:rPr>
                        <w:rFonts w:ascii="Arial"/>
                        <w:w w:val="80"/>
                        <w:sz w:val="12"/>
                      </w:rPr>
                      <w:t>200</w:t>
                    </w:r>
                  </w:p>
                  <w:p>
                    <w:pPr>
                      <w:spacing w:line="127" w:lineRule="exact" w:before="0"/>
                      <w:ind w:left="394" w:right="0" w:firstLine="0"/>
                      <w:jc w:val="left"/>
                      <w:rPr>
                        <w:rFonts w:ascii="Arial"/>
                        <w:sz w:val="12"/>
                      </w:rPr>
                    </w:pPr>
                    <w:r>
                      <w:rPr>
                        <w:rFonts w:ascii="Arial"/>
                        <w:w w:val="90"/>
                        <w:sz w:val="12"/>
                      </w:rPr>
                      <w:t>va38</w:t>
                    </w:r>
                  </w:p>
                </w:txbxContent>
              </v:textbox>
              <w10:wrap type="none"/>
            </v:shape>
            <v:shape style="position:absolute;left:4504;top:-1111;width:165;height:123" type="#_x0000_t202" filled="false" stroked="false">
              <v:textbox inset="0,0,0,0">
                <w:txbxContent>
                  <w:p>
                    <w:pPr>
                      <w:spacing w:line="123" w:lineRule="exact" w:before="0"/>
                      <w:ind w:left="0" w:right="-16" w:firstLine="0"/>
                      <w:jc w:val="left"/>
                      <w:rPr>
                        <w:rFonts w:ascii="Arial"/>
                        <w:sz w:val="12"/>
                      </w:rPr>
                    </w:pPr>
                    <w:r>
                      <w:rPr>
                        <w:rFonts w:ascii="Arial"/>
                        <w:w w:val="80"/>
                        <w:sz w:val="12"/>
                      </w:rPr>
                      <w:t>300</w:t>
                    </w:r>
                  </w:p>
                </w:txbxContent>
              </v:textbox>
              <w10:wrap type="none"/>
            </v:shape>
            <v:shape style="position:absolute;left:5109;top:-1111;width:165;height:123" type="#_x0000_t202" filled="false" stroked="false">
              <v:textbox inset="0,0,0,0">
                <w:txbxContent>
                  <w:p>
                    <w:pPr>
                      <w:spacing w:line="123" w:lineRule="exact" w:before="0"/>
                      <w:ind w:left="0" w:right="-16" w:firstLine="0"/>
                      <w:jc w:val="left"/>
                      <w:rPr>
                        <w:rFonts w:ascii="Arial"/>
                        <w:sz w:val="12"/>
                      </w:rPr>
                    </w:pPr>
                    <w:r>
                      <w:rPr>
                        <w:rFonts w:ascii="Arial"/>
                        <w:w w:val="80"/>
                        <w:sz w:val="12"/>
                      </w:rPr>
                      <w:t>400</w:t>
                    </w:r>
                  </w:p>
                </w:txbxContent>
              </v:textbox>
              <w10:wrap type="none"/>
            </v:shape>
            <w10:wrap type="none"/>
          </v:group>
        </w:pict>
      </w:r>
      <w:r>
        <w:rPr/>
        <w:pict>
          <v:group style="position:absolute;margin-left:86.681023pt;margin-top:31.456347pt;width:196.15pt;height:187.6pt;mso-position-horizontal-relative:page;mso-position-vertical-relative:paragraph;z-index:8464" coordorigin="1734,629" coordsize="3923,3752">
            <v:rect style="position:absolute;left:1734;top:629;width:3922;height:3748" filled="true" fillcolor="#eaf1f3" stroked="false">
              <v:fill type="solid"/>
            </v:rect>
            <v:shape style="position:absolute;left:1737;top:635;width:3912;height:3742" type="#_x0000_t75" stroked="false">
              <v:imagedata r:id="rId290" o:title=""/>
            </v:shape>
            <v:rect style="position:absolute;left:1737;top:635;width:3912;height:3742" filled="false" stroked="true" strokeweight=".276474pt" strokecolor="#eaf1f3"/>
            <v:shape style="position:absolute;left:2124;top:766;width:3428;height:3102" type="#_x0000_t75" stroked="false">
              <v:imagedata r:id="rId291" o:title=""/>
            </v:shape>
            <v:rect style="position:absolute;left:2124;top:766;width:3428;height:3102" filled="false" stroked="true" strokeweight=".278527pt" strokecolor="#ffffff"/>
            <v:shape style="position:absolute;left:2124;top:841;width:3428;height:2953" coordorigin="2124,841" coordsize="3428,2953" path="m5552,3781l2124,3781,2124,3794,5552,3794,5552,3781m5552,3194l2124,3194,2124,3207,5552,3207,5552,3194m5552,2605l2124,2605,2124,2617,5552,2617,5552,2605m5552,2018l2124,2018,2124,2030,5552,2030,5552,2018m5552,1431l2124,1431,2124,1444,5552,1444,5552,1431m5552,841l2124,841,2124,854,5552,854,5552,841e" filled="true" fillcolor="#eaf1f3" stroked="false">
              <v:path arrowok="t"/>
              <v:fill type="solid"/>
            </v:shape>
            <v:shape style="position:absolute;left:3128;top:2736;width:40;height:53" type="#_x0000_t75" stroked="false">
              <v:imagedata r:id="rId292" o:title=""/>
            </v:shape>
            <v:shape style="position:absolute;left:3128;top:2736;width:41;height:54" coordorigin="3128,2736" coordsize="41,54" path="m3128,2761l3128,2776,3137,2789,3147,2789,3159,2789,3168,2776,3168,2761,3168,2748,3159,2736,3147,2736,3137,2736,3128,2748,3128,2761xe" filled="false" stroked="true" strokeweight=".529695pt" strokecolor="#1a466e">
              <v:path arrowok="t"/>
            </v:shape>
            <v:shape style="position:absolute;left:3472;top:2630;width:40;height:56" type="#_x0000_t75" stroked="false">
              <v:imagedata r:id="rId293" o:title=""/>
            </v:shape>
            <v:shape style="position:absolute;left:3472;top:2630;width:41;height:57" coordorigin="3472,2630" coordsize="41,57" path="m3472,2658l3472,2673,3482,2686,3491,2686,3503,2686,3512,2673,3512,2658,3512,2642,3503,2630,3491,2630,3482,2630,3472,2642,3472,2658xe" filled="false" stroked="true" strokeweight=".525794pt" strokecolor="#1a466e">
              <v:path arrowok="t"/>
            </v:shape>
            <v:shape style="position:absolute;left:2620;top:2842;width:40;height:53" type="#_x0000_t75" stroked="false">
              <v:imagedata r:id="rId96" o:title=""/>
            </v:shape>
            <v:shape style="position:absolute;left:2620;top:2842;width:41;height:53" coordorigin="2620,2842" coordsize="41,53" path="m2620,2867l2620,2882,2629,2895,2639,2895,2651,2895,2660,2882,2660,2867,2660,2854,2651,2842,2639,2842,2629,2842,2620,2854,2620,2867xe" filled="false" stroked="true" strokeweight=".5299pt" strokecolor="#1a466e">
              <v:path arrowok="t"/>
            </v:shape>
            <v:shape style="position:absolute;left:3757;top:2277;width:40;height:56" type="#_x0000_t75" stroked="false">
              <v:imagedata r:id="rId109" o:title=""/>
            </v:shape>
            <v:shape style="position:absolute;left:3757;top:2277;width:41;height:57" coordorigin="3757,2277" coordsize="41,57" path="m3757,2305l3757,2321,3766,2333,3776,2333,3788,2333,3797,2321,3797,2305,3797,2289,3788,2277,3776,2277,3766,2277,3757,2289,3757,2305xe" filled="false" stroked="true" strokeweight=".52595pt" strokecolor="#1a466e">
              <v:path arrowok="t"/>
            </v:shape>
            <v:shape style="position:absolute;left:3477;top:2480;width:40;height:53" type="#_x0000_t75" stroked="false">
              <v:imagedata r:id="rId294" o:title=""/>
            </v:shape>
            <v:shape style="position:absolute;left:3477;top:2480;width:41;height:53" coordorigin="3477,2480" coordsize="41,53" path="m3477,2505l3477,2520,3486,2533,3496,2533,3508,2533,3517,2520,3517,2505,3517,2492,3508,2480,3496,2480,3486,2480,3477,2492,3477,2505xe" filled="false" stroked="true" strokeweight=".529866pt" strokecolor="#1a466e">
              <v:path arrowok="t"/>
            </v:shape>
            <v:shape style="position:absolute;left:2997;top:2851;width:40;height:53" type="#_x0000_t75" stroked="false">
              <v:imagedata r:id="rId96" o:title=""/>
            </v:shape>
            <v:shape style="position:absolute;left:2997;top:2851;width:41;height:53" coordorigin="2997,2851" coordsize="41,53" path="m2997,2876l2997,2892,3007,2904,3016,2904,3028,2904,3037,2892,3037,2876,3037,2864,3028,2851,3016,2851,3007,2851,2997,2864,2997,2876xe" filled="false" stroked="true" strokeweight=".529866pt" strokecolor="#1a466e">
              <v:path arrowok="t"/>
            </v:shape>
            <v:shape style="position:absolute;left:3068;top:2602;width:43;height:53" type="#_x0000_t75" stroked="false">
              <v:imagedata r:id="rId96" o:title=""/>
            </v:shape>
            <v:shape style="position:absolute;left:3068;top:2602;width:43;height:54" coordorigin="3068,2602" coordsize="43,54" path="m3068,2627l3068,2642,3078,2655,3090,2655,3102,2655,3111,2642,3111,2627,3111,2614,3102,2602,3090,2602,3078,2602,3068,2614,3068,2627xe" filled="false" stroked="true" strokeweight=".533718pt" strokecolor="#1a466e">
              <v:path arrowok="t"/>
            </v:shape>
            <v:shape style="position:absolute;left:2736;top:2826;width:40;height:53" type="#_x0000_t75" stroked="false">
              <v:imagedata r:id="rId295" o:title=""/>
            </v:shape>
            <v:shape style="position:absolute;left:2736;top:2826;width:41;height:53" coordorigin="2736,2826" coordsize="41,53" path="m2736,2851l2736,2867,2746,2879,2755,2879,2767,2879,2776,2867,2776,2851,2776,2839,2767,2826,2755,2826,2746,2826,2736,2839,2736,2851xe" filled="false" stroked="true" strokeweight=".529866pt" strokecolor="#1a466e">
              <v:path arrowok="t"/>
            </v:shape>
            <v:shape style="position:absolute;left:3280;top:2545;width:40;height:56" type="#_x0000_t75" stroked="false">
              <v:imagedata r:id="rId109" o:title=""/>
            </v:shape>
            <v:shape style="position:absolute;left:3280;top:2545;width:41;height:57" coordorigin="3280,2545" coordsize="41,57" path="m3280,2573l3280,2589,3289,2602,3299,2602,3311,2602,3320,2589,3320,2573,3320,2558,3311,2545,3299,2545,3289,2545,3280,2558,3280,2573xe" filled="false" stroked="true" strokeweight=".525485pt" strokecolor="#1a466e">
              <v:path arrowok="t"/>
            </v:shape>
            <v:shape style="position:absolute;left:4191;top:2561;width:43;height:56" type="#_x0000_t75" stroked="false">
              <v:imagedata r:id="rId96" o:title=""/>
            </v:shape>
            <v:shape style="position:absolute;left:4191;top:2561;width:43;height:57" coordorigin="4191,2561" coordsize="43,57" path="m4191,2589l4191,2605,4201,2617,4213,2617,4225,2617,4234,2605,4234,2589,4234,2573,4225,2561,4213,2561,4201,2561,4191,2573,4191,2589xe" filled="false" stroked="true" strokeweight=".529375pt" strokecolor="#1a466e">
              <v:path arrowok="t"/>
            </v:shape>
            <v:shape style="position:absolute;left:3237;top:2430;width:40;height:56" type="#_x0000_t75" stroked="false">
              <v:imagedata r:id="rId296" o:title=""/>
            </v:shape>
            <v:shape style="position:absolute;left:3237;top:2430;width:41;height:57" coordorigin="3237,2430" coordsize="41,57" path="m3237,2458l3237,2474,3246,2486,3256,2486,3268,2486,3277,2474,3277,2458,3277,2442,3268,2430,3256,2430,3246,2430,3237,2442,3237,2458xe" filled="false" stroked="true" strokeweight=".525794pt" strokecolor="#1a466e">
              <v:path arrowok="t"/>
            </v:shape>
            <v:shape style="position:absolute;left:3840;top:2099;width:40;height:53" type="#_x0000_t75" stroked="false">
              <v:imagedata r:id="rId96" o:title=""/>
            </v:shape>
            <v:shape style="position:absolute;left:3840;top:2099;width:41;height:54" coordorigin="3840,2099" coordsize="41,54" path="m3840,2124l3840,2140,3849,2152,3859,2152,3871,2152,3880,2140,3880,2124,3880,2112,3871,2099,3859,2099,3849,2099,3840,2112,3840,2124xe" filled="false" stroked="true" strokeweight=".529695pt" strokecolor="#1a466e">
              <v:path arrowok="t"/>
            </v:shape>
            <v:shape style="position:absolute;left:2337;top:3207;width:43;height:53" type="#_x0000_t75" stroked="false">
              <v:imagedata r:id="rId297" o:title=""/>
            </v:shape>
            <v:shape style="position:absolute;left:2337;top:3207;width:43;height:53" coordorigin="2337,3207" coordsize="43,53" path="m2337,3232l2337,3247,2347,3260,2359,3260,2370,3260,2380,3247,2380,3232,2380,3219,2370,3207,2359,3207,2347,3207,2337,3219,2337,3232xe" filled="false" stroked="true" strokeweight=".533821pt" strokecolor="#1a466e">
              <v:path arrowok="t"/>
            </v:shape>
            <v:shape style="position:absolute;left:3771;top:1999;width:40;height:53" type="#_x0000_t75" stroked="false">
              <v:imagedata r:id="rId96" o:title=""/>
            </v:shape>
            <v:shape style="position:absolute;left:3771;top:1999;width:41;height:53" coordorigin="3771,1999" coordsize="41,53" path="m3771,2024l3771,2040,3781,2052,3790,2052,3802,2052,3811,2040,3811,2024,3811,2012,3802,1999,3790,1999,3781,1999,3771,2012,3771,2024xe" filled="false" stroked="true" strokeweight=".529866pt" strokecolor="#1a466e">
              <v:path arrowok="t"/>
            </v:shape>
            <v:shape style="position:absolute;left:4239;top:2186;width:40;height:56" type="#_x0000_t75" stroked="false">
              <v:imagedata r:id="rId298" o:title=""/>
            </v:shape>
            <v:shape style="position:absolute;left:4239;top:2186;width:41;height:57" coordorigin="4239,2186" coordsize="41,57" path="m4239,2214l4239,2230,4248,2243,4258,2243,4270,2243,4279,2230,4279,2214,4279,2199,4270,2186,4258,2186,4248,2186,4239,2199,4239,2214xe" filled="false" stroked="true" strokeweight=".52595pt" strokecolor="#1a466e">
              <v:path arrowok="t"/>
            </v:shape>
            <v:shape style="position:absolute;left:3754;top:2439;width:40;height:56" type="#_x0000_t75" stroked="false">
              <v:imagedata r:id="rId96" o:title=""/>
            </v:shape>
            <v:shape style="position:absolute;left:3754;top:2439;width:41;height:57" coordorigin="3754,2439" coordsize="41,57" path="m3754,2467l3754,2483,3764,2495,3773,2495,3785,2495,3795,2483,3795,2467,3795,2452,3785,2439,3773,2439,3764,2439,3754,2452,3754,2467xe" filled="false" stroked="true" strokeweight=".525794pt" strokecolor="#1a466e">
              <v:path arrowok="t"/>
            </v:shape>
            <v:shape style="position:absolute;left:3049;top:3066;width:43;height:53" type="#_x0000_t75" stroked="false">
              <v:imagedata r:id="rId109" o:title=""/>
            </v:shape>
            <v:shape style="position:absolute;left:3049;top:3066;width:43;height:54" coordorigin="3049,3066" coordsize="43,54" path="m3049,3092l3049,3107,3059,3120,3071,3120,3083,3120,3092,3107,3092,3092,3092,3079,3083,3066,3071,3066,3059,3066,3049,3079,3049,3092xe" filled="false" stroked="true" strokeweight=".533369pt" strokecolor="#1a466e">
              <v:path arrowok="t"/>
            </v:shape>
            <v:shape style="position:absolute;left:3097;top:2729;width:43;height:53" type="#_x0000_t75" stroked="false">
              <v:imagedata r:id="rId223" o:title=""/>
            </v:shape>
            <v:shape style="position:absolute;left:3097;top:2729;width:43;height:54" coordorigin="3097,2729" coordsize="43,54" path="m3097,2754l3097,2770,3106,2782,3118,2782,3130,2782,3140,2770,3140,2754,3140,2742,3130,2729,3118,2729,3106,2729,3097,2742,3097,2754xe" filled="false" stroked="true" strokeweight=".533883pt" strokecolor="#1a466e">
              <v:path arrowok="t"/>
            </v:shape>
            <v:shape style="position:absolute;left:3463;top:2492;width:43;height:53" type="#_x0000_t75" stroked="false">
              <v:imagedata r:id="rId299" o:title=""/>
            </v:shape>
            <v:shape style="position:absolute;left:3463;top:2492;width:43;height:53" coordorigin="3463,2492" coordsize="43,53" path="m3463,2517l3463,2533,3472,2545,3484,2545,3496,2545,3505,2533,3505,2517,3505,2505,3496,2492,3484,2492,3472,2492,3463,2505,3463,2517xe" filled="false" stroked="true" strokeweight=".533893pt" strokecolor="#1a466e">
              <v:path arrowok="t"/>
            </v:shape>
            <v:shape style="position:absolute;left:3144;top:2526;width:40;height:56" type="#_x0000_t75" stroked="false">
              <v:imagedata r:id="rId109" o:title=""/>
            </v:shape>
            <v:shape style="position:absolute;left:3144;top:2526;width:41;height:57" coordorigin="3144,2526" coordsize="41,57" path="m3144,2555l3144,2570,3154,2583,3163,2583,3175,2583,3185,2570,3185,2555,3185,2539,3175,2526,3163,2526,3154,2526,3144,2539,3144,2555xe" filled="false" stroked="true" strokeweight=".525485pt" strokecolor="#1a466e">
              <v:path arrowok="t"/>
            </v:shape>
            <v:shape style="position:absolute;left:3021;top:2667;width:40;height:56" type="#_x0000_t75" stroked="false">
              <v:imagedata r:id="rId109" o:title=""/>
            </v:shape>
            <v:shape style="position:absolute;left:3021;top:2667;width:41;height:57" coordorigin="3021,2667" coordsize="41,57" path="m3021,2695l3021,2711,3030,2723,3040,2723,3052,2723,3061,2711,3061,2695,3061,2680,3052,2667,3040,2667,3030,2667,3021,2680,3021,2695xe" filled="false" stroked="true" strokeweight=".52595pt" strokecolor="#1a466e">
              <v:path arrowok="t"/>
            </v:shape>
            <v:shape style="position:absolute;left:3301;top:2692;width:43;height:53" type="#_x0000_t75" stroked="false">
              <v:imagedata r:id="rId96" o:title=""/>
            </v:shape>
            <v:shape style="position:absolute;left:3301;top:2692;width:43;height:54" coordorigin="3301,2692" coordsize="43,54" path="m3301,2717l3301,2733,3311,2745,3322,2745,3334,2745,3344,2733,3344,2717,3344,2704,3334,2692,3322,2692,3311,2692,3301,2704,3301,2717xe" filled="false" stroked="true" strokeweight=".533883pt" strokecolor="#1a466e">
              <v:path arrowok="t"/>
            </v:shape>
            <v:shape style="position:absolute;left:2843;top:2814;width:43;height:53" type="#_x0000_t75" stroked="false">
              <v:imagedata r:id="rId95" o:title=""/>
            </v:shape>
            <v:shape style="position:absolute;left:2843;top:2814;width:43;height:54" coordorigin="2843,2814" coordsize="43,54" path="m2843,2839l2843,2854,2853,2867,2864,2867,2876,2867,2886,2854,2886,2839,2886,2826,2876,2814,2864,2814,2853,2814,2843,2826,2843,2839xe" filled="false" stroked="true" strokeweight=".533369pt" strokecolor="#1a466e">
              <v:path arrowok="t"/>
            </v:shape>
            <v:shape style="position:absolute;left:3747;top:2124;width:40;height:53" type="#_x0000_t75" stroked="false">
              <v:imagedata r:id="rId96" o:title=""/>
            </v:shape>
            <v:shape style="position:absolute;left:3747;top:2124;width:41;height:54" coordorigin="3747,2124" coordsize="41,54" path="m3747,2149l3747,2165,3757,2177,3766,2177,3778,2177,3788,2165,3788,2149,3788,2137,3778,2124,3766,2124,3757,2124,3747,2137,3747,2149xe" filled="false" stroked="true" strokeweight=".529695pt" strokecolor="#1a466e">
              <v:path arrowok="t"/>
            </v:shape>
            <v:shape style="position:absolute;left:3211;top:2548;width:43;height:56" type="#_x0000_t75" stroked="false">
              <v:imagedata r:id="rId300" o:title=""/>
            </v:shape>
            <v:shape style="position:absolute;left:3211;top:2548;width:43;height:57" coordorigin="3211,2548" coordsize="43,57" path="m3211,2576l3211,2592,3220,2605,3232,2605,3244,2605,3254,2592,3254,2576,3254,2561,3244,2548,3232,2548,3220,2548,3211,2561,3211,2576xe" filled="false" stroked="true" strokeweight=".529375pt" strokecolor="#1a466e">
              <v:path arrowok="t"/>
            </v:shape>
            <v:shape style="position:absolute;left:3365;top:2548;width:40;height:56" type="#_x0000_t75" stroked="false">
              <v:imagedata r:id="rId96" o:title=""/>
            </v:shape>
            <v:shape style="position:absolute;left:3365;top:2548;width:41;height:57" coordorigin="3365,2548" coordsize="41,57" path="m3365,2576l3365,2592,3375,2605,3384,2605,3396,2605,3406,2592,3406,2576,3406,2561,3396,2548,3384,2548,3375,2548,3365,2561,3365,2576xe" filled="false" stroked="true" strokeweight=".525485pt" strokecolor="#1a466e">
              <v:path arrowok="t"/>
            </v:shape>
            <v:shape style="position:absolute;left:2893;top:2704;width:40;height:53" type="#_x0000_t75" stroked="false">
              <v:imagedata r:id="rId96" o:title=""/>
            </v:shape>
            <v:shape style="position:absolute;left:2893;top:2704;width:41;height:54" coordorigin="2893,2704" coordsize="41,54" path="m2893,2729l2893,2745,2902,2757,2912,2757,2924,2757,2933,2745,2933,2729,2933,2717,2924,2704,2912,2704,2902,2704,2893,2717,2893,2729xe" filled="false" stroked="true" strokeweight=".529355pt" strokecolor="#1a466e">
              <v:path arrowok="t"/>
            </v:shape>
            <v:shape style="position:absolute;left:3422;top:2433;width:43;height:56" type="#_x0000_t75" stroked="false">
              <v:imagedata r:id="rId109" o:title=""/>
            </v:shape>
            <v:shape style="position:absolute;left:3422;top:2433;width:43;height:57" coordorigin="3422,2433" coordsize="43,57" path="m3422,2461l3422,2477,3432,2489,3444,2489,3455,2489,3465,2477,3465,2461,3465,2445,3455,2433,3444,2433,3432,2433,3422,2445,3422,2461xe" filled="false" stroked="true" strokeweight=".529695pt" strokecolor="#1a466e">
              <v:path arrowok="t"/>
            </v:shape>
            <v:shape style="position:absolute;left:4061;top:1388;width:43;height:56" type="#_x0000_t75" stroked="false">
              <v:imagedata r:id="rId109" o:title=""/>
            </v:shape>
            <v:shape style="position:absolute;left:4061;top:1388;width:43;height:57" coordorigin="4061,1388" coordsize="43,57" path="m4061,1416l4061,1431,4070,1444,4082,1444,4094,1444,4103,1431,4103,1416,4103,1400,4094,1388,4082,1388,4070,1388,4061,1400,4061,1416xe" filled="false" stroked="true" strokeweight=".529856pt" strokecolor="#1a466e">
              <v:path arrowok="t"/>
            </v:shape>
            <v:shape style="position:absolute;left:2879;top:3457;width:40;height:56" type="#_x0000_t75" stroked="false">
              <v:imagedata r:id="rId301" o:title=""/>
            </v:shape>
            <v:shape style="position:absolute;left:2879;top:3457;width:41;height:57" coordorigin="2879,3457" coordsize="41,57" path="m2879,3485l2879,3500,2888,3513,2898,3513,2909,3513,2919,3500,2919,3485,2919,3469,2909,3457,2898,3457,2888,3457,2879,3469,2879,3485xe" filled="false" stroked="true" strokeweight=".525527pt" strokecolor="#1a466e">
              <v:path arrowok="t"/>
            </v:shape>
            <v:shape style="position:absolute;left:5034;top:1231;width:43;height:56" type="#_x0000_t75" stroked="false">
              <v:imagedata r:id="rId302" o:title=""/>
            </v:shape>
            <v:shape style="position:absolute;left:5034;top:1231;width:43;height:57" coordorigin="5034,1231" coordsize="43,57" path="m5034,1259l5034,1275,5044,1287,5055,1287,5067,1287,5077,1275,5077,1259,5077,1244,5067,1231,5055,1231,5044,1231,5034,1244,5034,1259xe" filled="false" stroked="true" strokeweight=".529695pt" strokecolor="#1a466e">
              <v:path arrowok="t"/>
            </v:shape>
            <v:shape style="position:absolute;left:2881;top:3032;width:40;height:56" type="#_x0000_t75" stroked="false">
              <v:imagedata r:id="rId109" o:title=""/>
            </v:shape>
            <v:shape style="position:absolute;left:2881;top:3032;width:41;height:57" coordorigin="2881,3032" coordsize="41,57" path="m2881,3060l2881,3076,2890,3088,2900,3088,2912,3088,2921,3076,2921,3060,2921,3045,2912,3032,2900,3032,2890,3032,2881,3045,2881,3060xe" filled="false" stroked="true" strokeweight=".525156pt" strokecolor="#1a466e">
              <v:path arrowok="t"/>
            </v:shape>
            <v:shape style="position:absolute;left:2995;top:2598;width:40;height:53" type="#_x0000_t75" stroked="false">
              <v:imagedata r:id="rId303" o:title=""/>
            </v:shape>
            <v:shape style="position:absolute;left:2995;top:2598;width:41;height:54" coordorigin="2995,2598" coordsize="41,54" path="m2995,2623l2995,2639,3004,2652,3014,2652,3026,2652,3035,2639,3035,2623,3035,2611,3026,2598,3014,2598,3004,2598,2995,2611,2995,2623xe" filled="false" stroked="true" strokeweight=".529695pt" strokecolor="#1a466e">
              <v:path arrowok="t"/>
            </v:shape>
            <v:shape style="position:absolute;left:3254;top:2526;width:40;height:56" type="#_x0000_t75" stroked="false">
              <v:imagedata r:id="rId109" o:title=""/>
            </v:shape>
            <v:shape style="position:absolute;left:3254;top:2526;width:41;height:57" coordorigin="3254,2526" coordsize="41,57" path="m3254,2555l3254,2570,3263,2583,3273,2583,3284,2583,3294,2570,3294,2555,3294,2539,3284,2526,3273,2526,3263,2526,3254,2539,3254,2555xe" filled="false" stroked="true" strokeweight=".525485pt" strokecolor="#1a466e">
              <v:path arrowok="t"/>
            </v:shape>
            <v:shape style="position:absolute;left:3410;top:2427;width:43;height:56" type="#_x0000_t75" stroked="false">
              <v:imagedata r:id="rId109" o:title=""/>
            </v:shape>
            <v:shape style="position:absolute;left:3410;top:2427;width:43;height:57" coordorigin="3410,2427" coordsize="43,57" path="m3410,2455l3410,2470,3420,2483,3432,2483,3444,2483,3453,2470,3453,2455,3453,2439,3444,2427,3432,2427,3420,2427,3410,2439,3410,2455xe" filled="false" stroked="true" strokeweight=".529695pt" strokecolor="#1a466e">
              <v:path arrowok="t"/>
            </v:shape>
            <v:shape style="position:absolute;left:3106;top:2748;width:40;height:56" type="#_x0000_t75" stroked="false">
              <v:imagedata r:id="rId304" o:title=""/>
            </v:shape>
            <v:shape style="position:absolute;left:3106;top:2748;width:41;height:57" coordorigin="3106,2748" coordsize="41,57" path="m3106,2776l3106,2792,3116,2804,3125,2804,3137,2804,3147,2792,3147,2776,3147,2761,3137,2748,3125,2748,3116,2748,3106,2761,3106,2776xe" filled="false" stroked="true" strokeweight=".525958pt" strokecolor="#1a466e">
              <v:path arrowok="t"/>
            </v:shape>
            <v:shape style="position:absolute;left:3128;top:2545;width:40;height:56" type="#_x0000_t75" stroked="false">
              <v:imagedata r:id="rId109" o:title=""/>
            </v:shape>
            <v:shape style="position:absolute;left:3128;top:2545;width:41;height:57" coordorigin="3128,2545" coordsize="41,57" path="m3128,2573l3128,2589,3137,2602,3147,2602,3159,2602,3168,2589,3168,2573,3168,2558,3159,2545,3147,2545,3137,2545,3128,2558,3128,2573xe" filled="false" stroked="true" strokeweight=".525485pt" strokecolor="#1a466e">
              <v:path arrowok="t"/>
            </v:shape>
            <v:shape style="position:absolute;left:3208;top:2548;width:43;height:56" type="#_x0000_t75" stroked="false">
              <v:imagedata r:id="rId305" o:title=""/>
            </v:shape>
            <v:shape style="position:absolute;left:3208;top:2548;width:43;height:57" coordorigin="3208,2548" coordsize="43,57" path="m3208,2576l3208,2592,3218,2605,3230,2605,3242,2605,3251,2592,3251,2576,3251,2561,3242,2548,3230,2548,3218,2548,3208,2561,3208,2576xe" filled="false" stroked="true" strokeweight=".529375pt" strokecolor="#1a466e">
              <v:path arrowok="t"/>
            </v:shape>
            <v:shape style="position:absolute;left:3498;top:2280;width:40;height:56" type="#_x0000_t75" stroked="false">
              <v:imagedata r:id="rId96" o:title=""/>
            </v:shape>
            <v:shape style="position:absolute;left:3498;top:2280;width:41;height:57" coordorigin="3498,2280" coordsize="41,57" path="m3498,2308l3498,2324,3508,2336,3517,2336,3529,2336,3538,2324,3538,2308,3538,2292,3529,2280,3517,2280,3508,2280,3498,2292,3498,2308xe" filled="false" stroked="true" strokeweight=".525485pt" strokecolor="#1a466e">
              <v:path arrowok="t"/>
            </v:shape>
            <v:shape style="position:absolute;left:2988;top:2770;width:40;height:56" type="#_x0000_t75" stroked="false">
              <v:imagedata r:id="rId154" o:title=""/>
            </v:shape>
            <v:shape style="position:absolute;left:2988;top:2770;width:41;height:57" coordorigin="2988,2770" coordsize="41,57" path="m2988,2798l2988,2814,2997,2826,3007,2826,3018,2826,3028,2814,3028,2798,3028,2782,3018,2770,3007,2770,2997,2770,2988,2782,2988,2798xe" filled="false" stroked="true" strokeweight=".525485pt" strokecolor="#1a466e">
              <v:path arrowok="t"/>
            </v:shape>
            <v:shape style="position:absolute;left:3104;top:2486;width:40;height:53" type="#_x0000_t75" stroked="false">
              <v:imagedata r:id="rId306" o:title=""/>
            </v:shape>
            <v:shape style="position:absolute;left:3104;top:2486;width:41;height:53" coordorigin="3104,2486" coordsize="41,53" path="m3104,2511l3104,2526,3113,2539,3123,2539,3135,2539,3144,2526,3144,2511,3144,2499,3135,2486,3123,2486,3113,2486,3104,2499,3104,2511xe" filled="false" stroked="true" strokeweight=".530036pt" strokecolor="#1a466e">
              <v:path arrowok="t"/>
            </v:shape>
            <v:shape style="position:absolute;left:3045;top:2608;width:43;height:53" type="#_x0000_t75" stroked="false">
              <v:imagedata r:id="rId114" o:title=""/>
            </v:shape>
            <v:shape style="position:absolute;left:3045;top:2608;width:43;height:54" coordorigin="3045,2608" coordsize="43,54" path="m3045,2633l3045,2648,3054,2661,3066,2661,3078,2661,3087,2648,3087,2633,3087,2620,3078,2608,3066,2608,3054,2608,3045,2620,3045,2633xe" filled="false" stroked="true" strokeweight=".533718pt" strokecolor="#1a466e">
              <v:path arrowok="t"/>
            </v:shape>
            <v:shape style="position:absolute;left:3536;top:2633;width:43;height:56" type="#_x0000_t75" stroked="false">
              <v:imagedata r:id="rId109" o:title=""/>
            </v:shape>
            <v:shape style="position:absolute;left:3536;top:2633;width:43;height:57" coordorigin="3536,2633" coordsize="43,57" path="m3536,2661l3536,2676,3546,2689,3557,2689,3569,2689,3579,2676,3579,2661,3579,2645,3569,2633,3557,2633,3546,2633,3536,2645,3536,2661xe" filled="false" stroked="true" strokeweight=".529856pt" strokecolor="#1a466e">
              <v:path arrowok="t"/>
            </v:shape>
            <v:shape style="position:absolute;left:3254;top:2692;width:40;height:53" type="#_x0000_t75" stroked="false">
              <v:imagedata r:id="rId96" o:title=""/>
            </v:shape>
            <v:shape style="position:absolute;left:3254;top:2692;width:41;height:54" coordorigin="3254,2692" coordsize="41,54" path="m3254,2717l3254,2733,3263,2745,3273,2745,3284,2745,3294,2733,3294,2717,3294,2704,3284,2692,3273,2692,3263,2692,3254,2704,3254,2717xe" filled="false" stroked="true" strokeweight=".529695pt" strokecolor="#1a466e">
              <v:path arrowok="t"/>
            </v:shape>
            <v:shape style="position:absolute;left:3061;top:2726;width:43;height:53" type="#_x0000_t75" stroked="false">
              <v:imagedata r:id="rId307" o:title=""/>
            </v:shape>
            <v:shape style="position:absolute;left:3061;top:2726;width:43;height:54" coordorigin="3061,2726" coordsize="43,54" path="m3061,2751l3061,2767,3071,2779,3083,2779,3094,2779,3104,2767,3104,2751,3104,2739,3094,2726,3083,2726,3071,2726,3061,2739,3061,2751xe" filled="false" stroked="true" strokeweight=".533718pt" strokecolor="#1a466e">
              <v:path arrowok="t"/>
            </v:shape>
            <v:shape style="position:absolute;left:3738;top:2483;width:40;height:53" type="#_x0000_t75" stroked="false">
              <v:imagedata r:id="rId308" o:title=""/>
            </v:shape>
            <v:shape style="position:absolute;left:3738;top:2483;width:41;height:53" coordorigin="3738,2483" coordsize="41,53" path="m3738,2508l3738,2523,3747,2536,3757,2536,3769,2536,3778,2523,3778,2508,3778,2495,3769,2483,3757,2483,3747,2483,3738,2495,3738,2508xe" filled="false" stroked="true" strokeweight=".529866pt" strokecolor="#1a466e">
              <v:path arrowok="t"/>
            </v:shape>
            <v:shape style="position:absolute;left:3524;top:2480;width:40;height:53" type="#_x0000_t75" stroked="false">
              <v:imagedata r:id="rId309" o:title=""/>
            </v:shape>
            <v:shape style="position:absolute;left:3524;top:2480;width:41;height:53" coordorigin="3524,2480" coordsize="41,53" path="m3524,2505l3524,2520,3534,2533,3543,2533,3555,2533,3565,2520,3565,2505,3565,2492,3555,2480,3543,2480,3534,2480,3524,2492,3524,2505xe" filled="false" stroked="true" strokeweight=".529866pt" strokecolor="#1a466e">
              <v:path arrowok="t"/>
            </v:shape>
            <v:shape style="position:absolute;left:2983;top:2652;width:40;height:56" type="#_x0000_t75" stroked="false">
              <v:imagedata r:id="rId310" o:title=""/>
            </v:shape>
            <v:shape style="position:absolute;left:2983;top:2652;width:41;height:57" coordorigin="2983,2652" coordsize="41,57" path="m2983,2680l2983,2695,2992,2708,3002,2708,3014,2708,3023,2695,3023,2680,3023,2664,3014,2652,3002,2652,2992,2652,2983,2664,2983,2680xe" filled="false" stroked="true" strokeweight=".52595pt" strokecolor="#1a466e">
              <v:path arrowok="t"/>
            </v:shape>
            <v:shape style="position:absolute;left:3113;top:2708;width:40;height:53" type="#_x0000_t75" stroked="false">
              <v:imagedata r:id="rId311" o:title=""/>
            </v:shape>
            <v:shape style="position:absolute;left:3113;top:2708;width:41;height:54" coordorigin="3113,2708" coordsize="41,54" path="m3113,2733l3113,2748,3123,2761,3133,2761,3144,2761,3154,2748,3154,2733,3154,2720,3144,2708,3133,2708,3123,2708,3113,2720,3113,2733xe" filled="false" stroked="true" strokeweight=".529865pt" strokecolor="#1a466e">
              <v:path arrowok="t"/>
            </v:shape>
            <v:shape style="position:absolute;left:4711;top:2236;width:40;height:53" type="#_x0000_t75" stroked="false">
              <v:imagedata r:id="rId312" o:title=""/>
            </v:shape>
            <v:shape style="position:absolute;left:4711;top:2236;width:41;height:54" coordorigin="4711,2236" coordsize="41,54" path="m4711,2261l4711,2277,4721,2289,4730,2289,4742,2289,4752,2277,4752,2261,4752,2249,4742,2236,4730,2236,4721,2236,4711,2249,4711,2261xe" filled="false" stroked="true" strokeweight=".529695pt" strokecolor="#1a466e">
              <v:path arrowok="t"/>
            </v:shape>
            <v:shape style="position:absolute;left:3818;top:2511;width:43;height:56" type="#_x0000_t75" stroked="false">
              <v:imagedata r:id="rId96" o:title=""/>
            </v:shape>
            <v:shape style="position:absolute;left:3818;top:2511;width:43;height:57" coordorigin="3818,2511" coordsize="43,57" path="m3818,2539l3818,2555,3828,2567,3840,2567,3852,2567,3861,2555,3861,2539,3861,2523,3852,2511,3840,2511,3828,2511,3818,2523,3818,2539xe" filled="false" stroked="true" strokeweight=".529695pt" strokecolor="#1a466e">
              <v:path arrowok="t"/>
            </v:shape>
            <v:shape style="position:absolute;left:2627;top:2932;width:40;height:53" type="#_x0000_t75" stroked="false">
              <v:imagedata r:id="rId96" o:title=""/>
            </v:shape>
            <v:shape style="position:absolute;left:2627;top:2932;width:41;height:54" coordorigin="2627,2932" coordsize="41,54" path="m2627,2957l2627,2973,2636,2985,2646,2985,2658,2985,2667,2973,2667,2957,2667,2945,2658,2932,2646,2932,2636,2932,2627,2945,2627,2957xe" filled="false" stroked="true" strokeweight=".529729pt" strokecolor="#1a466e">
              <v:path arrowok="t"/>
            </v:shape>
            <v:shape style="position:absolute;left:4092;top:2261;width:40;height:53" type="#_x0000_t75" stroked="false">
              <v:imagedata r:id="rId96" o:title=""/>
            </v:shape>
            <v:shape style="position:absolute;left:4092;top:2261;width:41;height:54" coordorigin="4092,2261" coordsize="41,54" path="m4092,2286l4092,2302,4101,2314,4111,2314,4123,2314,4132,2302,4132,2286,4132,2274,4123,2261,4111,2261,4101,2261,4092,2274,4092,2286xe" filled="false" stroked="true" strokeweight=".529865pt" strokecolor="#1a466e">
              <v:path arrowok="t"/>
            </v:shape>
            <v:shape style="position:absolute;left:3225;top:2533;width:40;height:56" type="#_x0000_t75" stroked="false">
              <v:imagedata r:id="rId313" o:title=""/>
            </v:shape>
            <v:shape style="position:absolute;left:3225;top:2533;width:41;height:57" coordorigin="3225,2533" coordsize="41,57" path="m3225,2561l3225,2576,3235,2589,3244,2589,3256,2589,3265,2576,3265,2561,3265,2545,3256,2533,3244,2533,3235,2533,3225,2545,3225,2561xe" filled="false" stroked="true" strokeweight=".525485pt" strokecolor="#1a466e">
              <v:path arrowok="t"/>
            </v:shape>
            <v:shape style="position:absolute;left:3377;top:2605;width:40;height:53" type="#_x0000_t75" stroked="false">
              <v:imagedata r:id="rId96" o:title=""/>
            </v:shape>
            <v:shape style="position:absolute;left:3377;top:2605;width:41;height:54" coordorigin="3377,2605" coordsize="41,54" path="m3377,2630l3377,2645,3387,2658,3396,2658,3408,2658,3417,2645,3417,2630,3417,2617,3408,2605,3396,2605,3387,2605,3377,2617,3377,2630xe" filled="false" stroked="true" strokeweight=".529695pt" strokecolor="#1a466e">
              <v:path arrowok="t"/>
            </v:shape>
            <v:shape style="position:absolute;left:3246;top:2692;width:40;height:53" type="#_x0000_t75" stroked="false">
              <v:imagedata r:id="rId96" o:title=""/>
            </v:shape>
            <v:shape style="position:absolute;left:3246;top:2692;width:41;height:54" coordorigin="3246,2692" coordsize="41,54" path="m3246,2717l3246,2733,3256,2745,3265,2745,3277,2745,3287,2733,3287,2717,3287,2704,3277,2692,3265,2692,3256,2692,3246,2704,3246,2717xe" filled="false" stroked="true" strokeweight=".529695pt" strokecolor="#1a466e">
              <v:path arrowok="t"/>
            </v:shape>
            <v:shape style="position:absolute;left:3125;top:2786;width:40;height:56" type="#_x0000_t75" stroked="false">
              <v:imagedata r:id="rId109" o:title=""/>
            </v:shape>
            <v:shape style="position:absolute;left:3125;top:2786;width:41;height:57" coordorigin="3125,2786" coordsize="41,57" path="m3125,2814l3125,2830,3135,2842,3144,2842,3156,2842,3166,2830,3166,2814,3166,2798,3156,2786,3144,2786,3135,2786,3125,2798,3125,2814xe" filled="false" stroked="true" strokeweight=".525485pt" strokecolor="#1a466e">
              <v:path arrowok="t"/>
            </v:shape>
            <v:shape style="position:absolute;left:3227;top:2542;width:40;height:56" type="#_x0000_t75" stroked="false">
              <v:imagedata r:id="rId314" o:title=""/>
            </v:shape>
            <v:shape style="position:absolute;left:3227;top:2542;width:41;height:57" coordorigin="3227,2542" coordsize="41,57" path="m3227,2570l3227,2586,3237,2598,3246,2598,3258,2598,3268,2586,3268,2570,3268,2555,3258,2542,3246,2542,3237,2542,3227,2555,3227,2570xe" filled="false" stroked="true" strokeweight=".525485pt" strokecolor="#1a466e">
              <v:path arrowok="t"/>
            </v:shape>
            <v:shape style="position:absolute;left:3204;top:2445;width:43;height:56" type="#_x0000_t75" stroked="false">
              <v:imagedata r:id="rId315" o:title=""/>
            </v:shape>
            <v:shape style="position:absolute;left:3204;top:2445;width:43;height:57" coordorigin="3204,2445" coordsize="43,57" path="m3204,2474l3204,2489,3213,2502,3225,2502,3237,2502,3246,2489,3246,2474,3246,2458,3237,2445,3225,2445,3213,2445,3204,2458,3204,2474xe" filled="false" stroked="true" strokeweight=".529695pt" strokecolor="#1a466e">
              <v:path arrowok="t"/>
            </v:shape>
            <v:shape style="position:absolute;left:3213;top:2548;width:43;height:56" type="#_x0000_t75" stroked="false">
              <v:imagedata r:id="rId316" o:title=""/>
            </v:shape>
            <v:shape style="position:absolute;left:3213;top:2548;width:43;height:57" coordorigin="3213,2548" coordsize="43,57" path="m3213,2576l3213,2592,3223,2605,3235,2605,3246,2605,3256,2592,3256,2576,3256,2561,3246,2548,3235,2548,3223,2548,3213,2561,3213,2576xe" filled="false" stroked="true" strokeweight=".529375pt" strokecolor="#1a466e">
              <v:path arrowok="t"/>
            </v:shape>
            <v:shape style="position:absolute;left:3444;top:2333;width:43;height:53" type="#_x0000_t75" stroked="false">
              <v:imagedata r:id="rId95" o:title=""/>
            </v:shape>
            <v:shape style="position:absolute;left:3444;top:2333;width:43;height:54" coordorigin="3444,2333" coordsize="43,54" path="m3444,2358l3444,2374,3453,2386,3465,2386,3477,2386,3486,2374,3486,2358,3486,2346,3477,2333,3465,2333,3453,2333,3444,2346,3444,2358xe" filled="false" stroked="true" strokeweight=".533369pt" strokecolor="#1a466e">
              <v:path arrowok="t"/>
            </v:shape>
            <v:shape style="position:absolute;left:2696;top:2870;width:43;height:56" type="#_x0000_t75" stroked="false">
              <v:imagedata r:id="rId96" o:title=""/>
            </v:shape>
            <v:shape style="position:absolute;left:2696;top:2870;width:43;height:57" coordorigin="2696,2870" coordsize="43,57" path="m2696,2898l2696,2914,2705,2926,2717,2926,2729,2926,2738,2914,2738,2898,2738,2882,2729,2870,2717,2870,2705,2870,2696,2882,2696,2898xe" filled="false" stroked="true" strokeweight=".529856pt" strokecolor="#1a466e">
              <v:path arrowok="t"/>
            </v:shape>
            <v:shape style="position:absolute;left:3061;top:2576;width:43;height:53" type="#_x0000_t75" stroked="false">
              <v:imagedata r:id="rId109" o:title=""/>
            </v:shape>
            <v:shape style="position:absolute;left:3061;top:2576;width:43;height:54" coordorigin="3061,2576" coordsize="43,54" path="m3061,2602l3061,2617,3071,2630,3083,2630,3094,2630,3104,2617,3104,2602,3104,2589,3094,2576,3083,2576,3071,2576,3061,2589,3061,2602xe" filled="false" stroked="true" strokeweight=".533369pt" strokecolor="#1a466e">
              <v:path arrowok="t"/>
            </v:shape>
            <v:shape style="position:absolute;left:3170;top:2914;width:43;height:56" type="#_x0000_t75" stroked="false">
              <v:imagedata r:id="rId109" o:title=""/>
            </v:shape>
            <v:shape style="position:absolute;left:3170;top:2914;width:43;height:57" coordorigin="3170,2914" coordsize="43,57" path="m3170,2942l3170,2957,3180,2970,3192,2970,3204,2970,3213,2957,3213,2942,3213,2926,3204,2914,3192,2914,3180,2914,3170,2926,3170,2942xe" filled="false" stroked="true" strokeweight=".529695pt" strokecolor="#1a466e">
              <v:path arrowok="t"/>
            </v:shape>
            <v:shape style="position:absolute;left:2596;top:3063;width:43;height:53" type="#_x0000_t75" stroked="false">
              <v:imagedata r:id="rId96" o:title=""/>
            </v:shape>
            <v:shape style="position:absolute;left:2596;top:3063;width:43;height:54" coordorigin="2596,3063" coordsize="43,54" path="m2596,3088l2596,3104,2606,3117,2617,3117,2629,3117,2639,3104,2639,3088,2639,3076,2629,3063,2617,3063,2606,3063,2596,3076,2596,3088xe" filled="false" stroked="true" strokeweight=".533402pt" strokecolor="#1a466e">
              <v:path arrowok="t"/>
            </v:shape>
            <v:shape style="position:absolute;left:2290;top:3120;width:40;height:56" type="#_x0000_t75" stroked="false">
              <v:imagedata r:id="rId96" o:title=""/>
            </v:shape>
            <v:shape style="position:absolute;left:2290;top:3120;width:41;height:57" coordorigin="2290,3120" coordsize="41,57" path="m2290,3148l2290,3163,2299,3176,2309,3176,2321,3176,2330,3163,2330,3148,2330,3132,2321,3120,2309,3120,2299,3120,2290,3132,2290,3148xe" filled="false" stroked="true" strokeweight=".525889pt" strokecolor="#1a466e">
              <v:path arrowok="t"/>
            </v:shape>
            <v:shape style="position:absolute;left:3942;top:1859;width:43;height:56" type="#_x0000_t75" stroked="false">
              <v:imagedata r:id="rId96" o:title=""/>
            </v:shape>
            <v:shape style="position:absolute;left:3942;top:1859;width:43;height:57" coordorigin="3942,1859" coordsize="43,57" path="m3942,1887l3942,1902,3952,1915,3963,1915,3975,1915,3985,1902,3985,1887,3985,1871,3975,1859,3963,1859,3952,1859,3942,1871,3942,1887xe" filled="false" stroked="true" strokeweight=".529856pt" strokecolor="#1a466e">
              <v:path arrowok="t"/>
            </v:shape>
            <v:shape style="position:absolute;left:3586;top:2414;width:43;height:56" type="#_x0000_t75" stroked="false">
              <v:imagedata r:id="rId109" o:title=""/>
            </v:shape>
            <v:shape style="position:absolute;left:3586;top:2414;width:43;height:57" coordorigin="3586,2414" coordsize="43,57" path="m3586,2442l3586,2458,3596,2470,3607,2470,3619,2470,3629,2458,3629,2442,3629,2427,3619,2414,3607,2414,3596,2414,3586,2427,3586,2442xe" filled="false" stroked="true" strokeweight=".529695pt" strokecolor="#1a466e">
              <v:path arrowok="t"/>
            </v:shape>
            <v:shape style="position:absolute;left:3251;top:2661;width:40;height:56" type="#_x0000_t75" stroked="false">
              <v:imagedata r:id="rId96" o:title=""/>
            </v:shape>
            <v:shape style="position:absolute;left:3251;top:2661;width:41;height:57" coordorigin="3251,2661" coordsize="41,57" path="m3251,2689l3251,2704,3261,2717,3270,2717,3282,2717,3292,2704,3292,2689,3292,2673,3282,2661,3270,2661,3261,2661,3251,2673,3251,2689xe" filled="false" stroked="true" strokeweight=".52595pt" strokecolor="#1a466e">
              <v:path arrowok="t"/>
            </v:shape>
            <v:shape style="position:absolute;left:3387;top:2595;width:40;height:53" type="#_x0000_t75" stroked="false">
              <v:imagedata r:id="rId109" o:title=""/>
            </v:shape>
            <v:shape style="position:absolute;left:3387;top:2595;width:41;height:54" coordorigin="3387,2595" coordsize="41,54" path="m3387,2620l3387,2636,3396,2648,3406,2648,3417,2648,3427,2636,3427,2620,3427,2608,3417,2595,3406,2595,3396,2595,3387,2608,3387,2620xe" filled="false" stroked="true" strokeweight=".529695pt" strokecolor="#1a466e">
              <v:path arrowok="t"/>
            </v:shape>
            <v:shape style="position:absolute;left:2945;top:2573;width:43;height:53" type="#_x0000_t75" stroked="false">
              <v:imagedata r:id="rId95" o:title=""/>
            </v:shape>
            <v:shape style="position:absolute;left:2945;top:2573;width:43;height:54" coordorigin="2945,2573" coordsize="43,54" path="m2945,2598l2945,2614,2954,2627,2966,2627,2978,2627,2988,2614,2988,2598,2988,2586,2978,2573,2966,2573,2954,2573,2945,2586,2945,2598xe" filled="false" stroked="true" strokeweight=".533369pt" strokecolor="#1a466e">
              <v:path arrowok="t"/>
            </v:shape>
            <v:shape style="position:absolute;left:3510;top:3007;width:40;height:56" type="#_x0000_t75" stroked="false">
              <v:imagedata r:id="rId109" o:title=""/>
            </v:shape>
            <v:shape style="position:absolute;left:3510;top:3007;width:41;height:57" coordorigin="3510,3007" coordsize="41,57" path="m3510,3035l3510,3051,3520,3063,3529,3063,3541,3063,3550,3051,3550,3035,3550,3020,3541,3007,3529,3007,3520,3007,3510,3020,3510,3035xe" filled="false" stroked="true" strokeweight=".525794pt" strokecolor="#1a466e">
              <v:path arrowok="t"/>
            </v:shape>
            <v:shape style="position:absolute;left:4054;top:2021;width:43;height:53" type="#_x0000_t75" stroked="false">
              <v:imagedata r:id="rId95" o:title=""/>
            </v:shape>
            <v:shape style="position:absolute;left:4054;top:2021;width:43;height:54" coordorigin="4054,2021" coordsize="43,54" path="m4054,2046l4054,2061,4063,2074,4075,2074,4087,2074,4096,2061,4096,2046,4096,2033,4087,2021,4075,2021,4063,2021,4054,2033,4054,2046xe" filled="false" stroked="true" strokeweight=".533718pt" strokecolor="#1a466e">
              <v:path arrowok="t"/>
            </v:shape>
            <v:shape style="position:absolute;left:3268;top:2576;width:40;height:53" type="#_x0000_t75" stroked="false">
              <v:imagedata r:id="rId109" o:title=""/>
            </v:shape>
            <v:shape style="position:absolute;left:3268;top:2576;width:41;height:54" coordorigin="3268,2576" coordsize="41,54" path="m3268,2602l3268,2617,3277,2630,3287,2630,3299,2630,3308,2617,3308,2602,3308,2589,3299,2576,3287,2576,3277,2576,3268,2589,3268,2602xe" filled="false" stroked="true" strokeweight=".529357pt" strokecolor="#1a466e">
              <v:path arrowok="t"/>
            </v:shape>
            <v:shape style="position:absolute;left:3334;top:2495;width:43;height:53" type="#_x0000_t75" stroked="false">
              <v:imagedata r:id="rId317" o:title=""/>
            </v:shape>
            <v:shape style="position:absolute;left:3334;top:2495;width:43;height:53" coordorigin="3334,2495" coordsize="43,53" path="m3334,2520l3334,2536,3344,2548,3356,2548,3368,2548,3377,2536,3377,2520,3377,2508,3368,2495,3356,2495,3344,2495,3334,2508,3334,2520xe" filled="false" stroked="true" strokeweight=".534058pt" strokecolor="#1a466e">
              <v:path arrowok="t"/>
            </v:shape>
            <v:shape style="position:absolute;left:3311;top:2514;width:43;height:56" type="#_x0000_t75" stroked="false">
              <v:imagedata r:id="rId109" o:title=""/>
            </v:shape>
            <v:shape style="position:absolute;left:3311;top:2514;width:43;height:57" coordorigin="3311,2514" coordsize="43,57" path="m3311,2542l3311,2558,3320,2570,3332,2570,3344,2570,3353,2558,3353,2542,3353,2526,3344,2514,3332,2514,3320,2514,3311,2526,3311,2542xe" filled="false" stroked="true" strokeweight=".529856pt" strokecolor="#1a466e">
              <v:path arrowok="t"/>
            </v:shape>
            <v:shape style="position:absolute;left:3408;top:2711;width:40;height:53" type="#_x0000_t75" stroked="false">
              <v:imagedata r:id="rId318" o:title=""/>
            </v:shape>
            <v:shape style="position:absolute;left:3408;top:2711;width:41;height:54" coordorigin="3408,2711" coordsize="41,54" path="m3408,2736l3408,2751,3417,2764,3427,2764,3439,2764,3448,2751,3448,2736,3448,2723,3439,2711,3427,2711,3417,2711,3408,2723,3408,2736xe" filled="false" stroked="true" strokeweight=".529695pt" strokecolor="#1a466e">
              <v:path arrowok="t"/>
            </v:shape>
            <v:shape style="position:absolute;left:2473;top:2308;width:43;height:56" type="#_x0000_t75" stroked="false">
              <v:imagedata r:id="rId319" o:title=""/>
            </v:shape>
            <v:shape style="position:absolute;left:2473;top:2308;width:43;height:57" coordorigin="2473,2308" coordsize="43,57" path="m2473,2336l2473,2352,2482,2364,2494,2364,2506,2364,2515,2352,2515,2336,2515,2321,2506,2308,2494,2308,2482,2308,2473,2321,2473,2336xe" filled="false" stroked="true" strokeweight=".529407pt" strokecolor="#1a466e">
              <v:path arrowok="t"/>
            </v:shape>
            <v:shape style="position:absolute;left:3641;top:3457;width:40;height:56" type="#_x0000_t75" stroked="false">
              <v:imagedata r:id="rId301" o:title=""/>
            </v:shape>
            <v:shape style="position:absolute;left:3641;top:3457;width:41;height:57" coordorigin="3641,3457" coordsize="41,57" path="m3641,3485l3641,3500,3650,3513,3660,3513,3672,3513,3681,3500,3681,3485,3681,3469,3672,3457,3660,3457,3650,3457,3641,3469,3641,3485xe" filled="false" stroked="true" strokeweight=".525856pt" strokecolor="#1a466e">
              <v:path arrowok="t"/>
            </v:shape>
            <v:shape style="position:absolute;left:2164;top:3656;width:40;height:53" type="#_x0000_t75" stroked="false">
              <v:imagedata r:id="rId109" o:title=""/>
            </v:shape>
            <v:shape style="position:absolute;left:2164;top:3656;width:41;height:53" coordorigin="2164,3656" coordsize="41,53" path="m2164,3681l2164,3697,2173,3709,2183,3709,2195,3709,2204,3697,2204,3681,2204,3669,2195,3656,2183,3656,2173,3656,2164,3669,2164,3681xe" filled="false" stroked="true" strokeweight=".529798pt" strokecolor="#1a466e">
              <v:path arrowok="t"/>
            </v:shape>
            <v:shape style="position:absolute;left:5086;top:1125;width:40;height:56" type="#_x0000_t75" stroked="false">
              <v:imagedata r:id="rId109" o:title=""/>
            </v:shape>
            <v:shape style="position:absolute;left:5086;top:1125;width:41;height:57" coordorigin="5086,1125" coordsize="41,57" path="m5086,1153l5086,1169,5096,1182,5105,1182,5117,1182,5127,1169,5127,1153,5127,1138,5117,1125,5105,1125,5096,1125,5086,1138,5086,1153xe" filled="false" stroked="true" strokeweight=".525958pt" strokecolor="#1a466e">
              <v:path arrowok="t"/>
            </v:shape>
            <v:shape style="position:absolute;left:4241;top:2165;width:40;height:56" type="#_x0000_t75" stroked="false">
              <v:imagedata r:id="rId298" o:title=""/>
            </v:shape>
            <v:shape style="position:absolute;left:4241;top:2165;width:41;height:57" coordorigin="4241,2165" coordsize="41,57" path="m4241,2193l4241,2208,4251,2221,4260,2221,4272,2221,4282,2208,4282,2193,4282,2177,4272,2165,4260,2165,4251,2165,4241,2177,4241,2193xe" filled="false" stroked="true" strokeweight=".52595pt" strokecolor="#1a466e">
              <v:path arrowok="t"/>
            </v:shape>
            <v:shape style="position:absolute;left:3251;top:2386;width:40;height:53" type="#_x0000_t75" stroked="false">
              <v:imagedata r:id="rId109" o:title=""/>
            </v:shape>
            <v:shape style="position:absolute;left:3251;top:2386;width:41;height:54" coordorigin="3251,2386" coordsize="41,54" path="m3251,2411l3251,2427,3261,2439,3270,2439,3282,2439,3292,2427,3292,2411,3292,2399,3282,2386,3270,2386,3261,2386,3251,2399,3251,2411xe" filled="false" stroked="true" strokeweight=".529695pt" strokecolor="#1a466e">
              <v:path arrowok="t"/>
            </v:shape>
            <v:shape style="position:absolute;left:3868;top:2374;width:40;height:53" type="#_x0000_t75" stroked="false">
              <v:imagedata r:id="rId96" o:title=""/>
            </v:shape>
            <v:shape style="position:absolute;left:3868;top:2374;width:41;height:53" coordorigin="3868,2374" coordsize="41,53" path="m3868,2399l3868,2414,3878,2427,3887,2427,3899,2427,3909,2414,3909,2399,3909,2386,3899,2374,3887,2374,3878,2374,3868,2386,3868,2399xe" filled="false" stroked="true" strokeweight=".530036pt" strokecolor="#1a466e">
              <v:path arrowok="t"/>
            </v:shape>
            <v:shape style="position:absolute;left:5395;top:3263;width:43;height:56" type="#_x0000_t75" stroked="false">
              <v:imagedata r:id="rId114" o:title=""/>
            </v:shape>
            <v:shape style="position:absolute;left:5395;top:3263;width:43;height:57" coordorigin="5395,3263" coordsize="43,57" path="m5395,3291l5395,3307,5404,3320,5416,3320,5428,3320,5438,3307,5438,3291,5438,3276,5428,3263,5416,3263,5404,3263,5395,3276,5395,3291xe" filled="false" stroked="true" strokeweight=".529536pt" strokecolor="#1a466e">
              <v:path arrowok="t"/>
            </v:shape>
            <v:shape style="position:absolute;left:2568;top:1896;width:43;height:53" type="#_x0000_t75" stroked="false">
              <v:imagedata r:id="rId109" o:title=""/>
            </v:shape>
            <v:shape style="position:absolute;left:2568;top:1896;width:43;height:54" coordorigin="2568,1896" coordsize="43,54" path="m2568,1921l2568,1937,2577,1949,2589,1949,2601,1949,2610,1937,2610,1921,2610,1909,2601,1896,2589,1896,2577,1896,2568,1909,2568,1921xe" filled="false" stroked="true" strokeweight=".533734pt" strokecolor="#1a466e">
              <v:path arrowok="t"/>
            </v:shape>
            <v:shape style="position:absolute;left:4305;top:2757;width:43;height:56" type="#_x0000_t75" stroked="false">
              <v:imagedata r:id="rId320" o:title=""/>
            </v:shape>
            <v:shape style="position:absolute;left:4305;top:2757;width:43;height:57" coordorigin="4305,2757" coordsize="43,57" path="m4305,2786l4305,2801,4315,2814,4327,2814,4339,2814,4348,2801,4348,2786,4348,2770,4339,2757,4327,2757,4315,2757,4305,2770,4305,2786xe" filled="false" stroked="true" strokeweight=".529856pt" strokecolor="#1a466e">
              <v:path arrowok="t"/>
            </v:shape>
            <v:shape style="position:absolute;left:5103;top:1518;width:40;height:53" type="#_x0000_t75" stroked="false">
              <v:imagedata r:id="rId96" o:title=""/>
            </v:shape>
            <v:shape style="position:absolute;left:5103;top:1518;width:41;height:53" coordorigin="5103,1518" coordsize="41,53" path="m5103,1543l5103,1559,5113,1571,5122,1571,5134,1571,5143,1559,5143,1543,5143,1531,5134,1518,5122,1518,5113,1518,5103,1531,5103,1543xe" filled="false" stroked="true" strokeweight=".529866pt" strokecolor="#1a466e">
              <v:path arrowok="t"/>
            </v:shape>
            <v:shape style="position:absolute;left:3249;top:2770;width:40;height:56" type="#_x0000_t75" stroked="false">
              <v:imagedata r:id="rId96" o:title=""/>
            </v:shape>
            <v:shape style="position:absolute;left:3249;top:2770;width:41;height:57" coordorigin="3249,2770" coordsize="41,57" path="m3249,2798l3249,2814,3258,2826,3268,2826,3280,2826,3289,2814,3289,2798,3289,2782,3280,2770,3268,2770,3258,2770,3249,2782,3249,2798xe" filled="false" stroked="true" strokeweight=".525485pt" strokecolor="#1a466e">
              <v:path arrowok="t"/>
            </v:shape>
            <v:shape style="position:absolute;left:3182;top:2389;width:43;height:53" type="#_x0000_t75" stroked="false">
              <v:imagedata r:id="rId95" o:title=""/>
            </v:shape>
            <v:shape style="position:absolute;left:3182;top:2389;width:43;height:54" coordorigin="3182,2389" coordsize="43,54" path="m3182,2414l3182,2430,3192,2442,3204,2442,3216,2442,3225,2430,3225,2414,3225,2402,3216,2389,3204,2389,3192,2389,3182,2402,3182,2414xe" filled="false" stroked="true" strokeweight=".533718pt" strokecolor="#1a466e">
              <v:path arrowok="t"/>
            </v:shape>
            <v:shape style="position:absolute;left:3463;top:2861;width:43;height:56" type="#_x0000_t75" stroked="false">
              <v:imagedata r:id="rId321" o:title=""/>
            </v:shape>
            <v:shape style="position:absolute;left:3463;top:2861;width:43;height:57" coordorigin="3463,2861" coordsize="43,57" path="m3463,2889l3463,2904,3472,2917,3484,2917,3496,2917,3505,2904,3505,2889,3505,2873,3496,2861,3484,2861,3472,2861,3463,2873,3463,2889xe" filled="false" stroked="true" strokeweight=".529856pt" strokecolor="#1a466e">
              <v:path arrowok="t"/>
            </v:shape>
            <v:shape style="position:absolute;left:3045;top:2729;width:43;height:53" type="#_x0000_t75" stroked="false">
              <v:imagedata r:id="rId322" o:title=""/>
            </v:shape>
            <v:shape style="position:absolute;left:3045;top:2729;width:43;height:54" coordorigin="3045,2729" coordsize="43,54" path="m3045,2754l3045,2770,3054,2782,3066,2782,3078,2782,3087,2770,3087,2754,3087,2742,3078,2729,3066,2729,3054,2729,3045,2742,3045,2754xe" filled="false" stroked="true" strokeweight=".533718pt" strokecolor="#1a466e">
              <v:path arrowok="t"/>
            </v:shape>
            <v:shape style="position:absolute;left:4752;top:2012;width:40;height:53" type="#_x0000_t75" stroked="false">
              <v:imagedata r:id="rId96" o:title=""/>
            </v:shape>
            <v:shape style="position:absolute;left:4752;top:2012;width:41;height:53" coordorigin="4752,2012" coordsize="41,53" path="m4752,2036l4752,2052,4761,2065,4771,2065,4782,2065,4792,2052,4792,2036,4792,2024,4782,2012,4771,2012,4761,2012,4752,2024,4752,2036xe" filled="false" stroked="true" strokeweight=".529866pt" strokecolor="#1a466e">
              <v:path arrowok="t"/>
            </v:shape>
            <v:shape style="position:absolute;left:3244;top:2339;width:40;height:53" type="#_x0000_t75" stroked="false">
              <v:imagedata r:id="rId323" o:title=""/>
            </v:shape>
            <v:shape style="position:absolute;left:3244;top:2339;width:41;height:53" coordorigin="3244,2339" coordsize="41,53" path="m3244,2364l3244,2380,3254,2392,3263,2392,3275,2392,3284,2380,3284,2364,3284,2352,3275,2339,3263,2339,3254,2339,3244,2352,3244,2364xe" filled="false" stroked="true" strokeweight=".529866pt" strokecolor="#1a466e">
              <v:path arrowok="t"/>
            </v:shape>
            <v:shape style="position:absolute;left:3745;top:2480;width:40;height:53" type="#_x0000_t75" stroked="false">
              <v:imagedata r:id="rId324" o:title=""/>
            </v:shape>
            <v:shape style="position:absolute;left:3745;top:2480;width:41;height:53" coordorigin="3745,2480" coordsize="41,53" path="m3745,2505l3745,2520,3754,2533,3764,2533,3776,2533,3785,2520,3785,2505,3785,2492,3776,2480,3764,2480,3754,2480,3745,2492,3745,2505xe" filled="false" stroked="true" strokeweight=".529866pt" strokecolor="#1a466e">
              <v:path arrowok="t"/>
            </v:shape>
            <v:shape style="position:absolute;left:3327;top:2770;width:43;height:56" type="#_x0000_t75" stroked="false">
              <v:imagedata r:id="rId96" o:title=""/>
            </v:shape>
            <v:shape style="position:absolute;left:3327;top:2770;width:43;height:57" coordorigin="3327,2770" coordsize="43,57" path="m3327,2798l3327,2814,3337,2826,3349,2826,3360,2826,3370,2814,3370,2798,3370,2782,3360,2770,3349,2770,3337,2770,3327,2782,3327,2798xe" filled="false" stroked="true" strokeweight=".529536pt" strokecolor="#1a466e">
              <v:path arrowok="t"/>
            </v:shape>
            <v:shape style="position:absolute;left:2563;top:3007;width:43;height:56" type="#_x0000_t75" stroked="false">
              <v:imagedata r:id="rId114" o:title=""/>
            </v:shape>
            <v:shape style="position:absolute;left:2563;top:3007;width:43;height:57" coordorigin="2563,3007" coordsize="43,57" path="m2563,3035l2563,3051,2572,3063,2584,3063,2596,3063,2606,3051,2606,3035,2606,3020,2596,3007,2584,3007,2572,3007,2563,3020,2563,3035xe" filled="false" stroked="true" strokeweight=".529728pt" strokecolor="#1a466e">
              <v:path arrowok="t"/>
            </v:shape>
            <v:shape style="position:absolute;left:3890;top:2121;width:40;height:53" type="#_x0000_t75" stroked="false">
              <v:imagedata r:id="rId96" o:title=""/>
            </v:shape>
            <v:shape style="position:absolute;left:3890;top:2121;width:41;height:54" coordorigin="3890,2121" coordsize="41,54" path="m3890,2146l3890,2162,3899,2174,3909,2174,3921,2174,3930,2162,3930,2146,3930,2133,3921,2121,3909,2121,3899,2121,3890,2133,3890,2146xe" filled="false" stroked="true" strokeweight=".529695pt" strokecolor="#1a466e">
              <v:path arrowok="t"/>
            </v:shape>
            <v:shape style="position:absolute;left:3415;top:2592;width:43;height:53" type="#_x0000_t75" stroked="false">
              <v:imagedata r:id="rId96" o:title=""/>
            </v:shape>
            <v:shape style="position:absolute;left:3415;top:2592;width:43;height:54" coordorigin="3415,2592" coordsize="43,54" path="m3415,2617l3415,2633,3425,2645,3436,2645,3448,2645,3458,2633,3458,2617,3458,2605,3448,2592,3436,2592,3425,2592,3415,2605,3415,2617xe" filled="false" stroked="true" strokeweight=".533718pt" strokecolor="#1a466e">
              <v:path arrowok="t"/>
            </v:shape>
            <v:shape style="position:absolute;left:3094;top:2873;width:43;height:56" type="#_x0000_t75" stroked="false">
              <v:imagedata r:id="rId114" o:title=""/>
            </v:shape>
            <v:shape style="position:absolute;left:3094;top:2873;width:43;height:57" coordorigin="3094,2873" coordsize="43,57" path="m3094,2901l3094,2917,3104,2929,3116,2929,3128,2929,3137,2917,3137,2901,3137,2886,3128,2873,3116,2873,3104,2873,3094,2886,3094,2901xe" filled="false" stroked="true" strokeweight=".529856pt" strokecolor="#1a466e">
              <v:path arrowok="t"/>
            </v:shape>
            <v:shape style="position:absolute;left:3332;top:2196;width:43;height:56" type="#_x0000_t75" stroked="false">
              <v:imagedata r:id="rId109" o:title=""/>
            </v:shape>
            <v:shape style="position:absolute;left:3332;top:2196;width:43;height:57" coordorigin="3332,2196" coordsize="43,57" path="m3332,2224l3332,2239,3341,2252,3353,2252,3365,2252,3375,2239,3375,2224,3375,2208,3365,2196,3353,2196,3341,2196,3332,2208,3332,2224xe" filled="false" stroked="true" strokeweight=".530017pt" strokecolor="#1a466e">
              <v:path arrowok="t"/>
            </v:shape>
            <v:shape style="position:absolute;left:3624;top:2330;width:40;height:56" type="#_x0000_t75" stroked="false">
              <v:imagedata r:id="rId96" o:title=""/>
            </v:shape>
            <v:shape style="position:absolute;left:3624;top:2330;width:41;height:57" coordorigin="3624,2330" coordsize="41,57" path="m3624,2358l3624,2374,3634,2386,3643,2386,3655,2386,3664,2374,3664,2358,3664,2343,3655,2330,3643,2330,3634,2330,3624,2343,3624,2358xe" filled="false" stroked="true" strokeweight=".525485pt" strokecolor="#1a466e">
              <v:path arrowok="t"/>
            </v:shape>
            <v:shape style="position:absolute;left:3292;top:2586;width:43;height:53" type="#_x0000_t75" stroked="false">
              <v:imagedata r:id="rId109" o:title=""/>
            </v:shape>
            <v:shape style="position:absolute;left:3292;top:2586;width:43;height:54" coordorigin="3292,2586" coordsize="43,54" path="m3292,2611l3292,2627,3301,2639,3313,2639,3325,2639,3334,2627,3334,2611,3334,2598,3325,2586,3313,2586,3301,2586,3292,2598,3292,2611xe" filled="false" stroked="true" strokeweight=".533718pt" strokecolor="#1a466e">
              <v:path arrowok="t"/>
            </v:shape>
            <v:shape style="position:absolute;left:3227;top:2508;width:40;height:56" type="#_x0000_t75" stroked="false">
              <v:imagedata r:id="rId325" o:title=""/>
            </v:shape>
            <v:shape style="position:absolute;left:3227;top:2508;width:41;height:57" coordorigin="3227,2508" coordsize="41,57" path="m3227,2536l3227,2551,3237,2564,3246,2564,3258,2564,3268,2551,3268,2536,3268,2520,3258,2508,3246,2508,3237,2508,3227,2520,3227,2536xe" filled="false" stroked="true" strokeweight=".52595pt" strokecolor="#1a466e">
              <v:path arrowok="t"/>
            </v:shape>
            <v:shape style="position:absolute;left:3531;top:2589;width:43;height:53" type="#_x0000_t75" stroked="false">
              <v:imagedata r:id="rId96" o:title=""/>
            </v:shape>
            <v:shape style="position:absolute;left:3531;top:2589;width:43;height:54" coordorigin="3531,2589" coordsize="43,54" path="m3531,2614l3531,2630,3541,2642,3553,2642,3565,2642,3574,2630,3574,2614,3574,2602,3565,2589,3553,2589,3541,2589,3531,2602,3531,2614xe" filled="false" stroked="true" strokeweight=".533883pt" strokecolor="#1a466e">
              <v:path arrowok="t"/>
            </v:shape>
            <v:shape style="position:absolute;left:773;top:4029;width:7014;height:4855" coordorigin="773,4029" coordsize="7014,4855" path="m2124,3869l2124,766m2124,3787l2083,3787m2124,3201l2083,3201m2124,2611l2083,2611m2124,2024l2083,2024m2124,1437l2083,1437m2124,847l2083,847m2124,3869l5552,3869m2437,3869l2437,3922m3199,3869l3199,3922m3963,3869l3963,3922m4725,3869l4725,3922m5490,3869l5490,3922e" filled="false" stroked="true" strokeweight=".274814pt" strokecolor="#000000">
              <v:path arrowok="t"/>
            </v:shape>
            <v:shape style="position:absolute;left:2366;top:3959;width:146;height:132" type="#_x0000_t202" filled="false" stroked="false">
              <v:textbox inset="0,0,0,0">
                <w:txbxContent>
                  <w:p>
                    <w:pPr>
                      <w:spacing w:line="131" w:lineRule="exact" w:before="0"/>
                      <w:ind w:left="0" w:right="-15" w:firstLine="0"/>
                      <w:jc w:val="left"/>
                      <w:rPr>
                        <w:rFonts w:ascii="Arial"/>
                        <w:sz w:val="13"/>
                      </w:rPr>
                    </w:pPr>
                    <w:r>
                      <w:rPr>
                        <w:rFonts w:ascii="Arial"/>
                        <w:w w:val="75"/>
                        <w:sz w:val="13"/>
                      </w:rPr>
                      <w:t>-20</w:t>
                    </w:r>
                  </w:p>
                </w:txbxContent>
              </v:textbox>
              <w10:wrap type="none"/>
            </v:shape>
            <v:shape style="position:absolute;left:3170;top:3959;width:56;height:132" type="#_x0000_t202" filled="false" stroked="false">
              <v:textbox inset="0,0,0,0">
                <w:txbxContent>
                  <w:p>
                    <w:pPr>
                      <w:spacing w:line="131" w:lineRule="exact" w:before="0"/>
                      <w:ind w:left="0" w:right="0" w:firstLine="0"/>
                      <w:jc w:val="left"/>
                      <w:rPr>
                        <w:rFonts w:ascii="Arial"/>
                        <w:sz w:val="13"/>
                      </w:rPr>
                    </w:pPr>
                    <w:r>
                      <w:rPr>
                        <w:rFonts w:ascii="Arial"/>
                        <w:w w:val="76"/>
                        <w:sz w:val="13"/>
                      </w:rPr>
                      <w:t>0</w:t>
                    </w:r>
                  </w:p>
                </w:txbxContent>
              </v:textbox>
              <w10:wrap type="none"/>
            </v:shape>
            <v:shape style="position:absolute;left:3909;top:3959;width:114;height:132" type="#_x0000_t202" filled="false" stroked="false">
              <v:textbox inset="0,0,0,0">
                <w:txbxContent>
                  <w:p>
                    <w:pPr>
                      <w:spacing w:line="131" w:lineRule="exact" w:before="0"/>
                      <w:ind w:left="0" w:right="-15" w:firstLine="0"/>
                      <w:jc w:val="left"/>
                      <w:rPr>
                        <w:rFonts w:ascii="Arial"/>
                        <w:sz w:val="13"/>
                      </w:rPr>
                    </w:pPr>
                    <w:r>
                      <w:rPr>
                        <w:rFonts w:ascii="Arial"/>
                        <w:w w:val="75"/>
                        <w:sz w:val="13"/>
                      </w:rPr>
                      <w:t>20</w:t>
                    </w:r>
                  </w:p>
                </w:txbxContent>
              </v:textbox>
              <w10:wrap type="none"/>
            </v:shape>
            <v:shape style="position:absolute;left:4671;top:3959;width:114;height:132" type="#_x0000_t202" filled="false" stroked="false">
              <v:textbox inset="0,0,0,0">
                <w:txbxContent>
                  <w:p>
                    <w:pPr>
                      <w:spacing w:line="131" w:lineRule="exact" w:before="0"/>
                      <w:ind w:left="0" w:right="-15" w:firstLine="0"/>
                      <w:jc w:val="left"/>
                      <w:rPr>
                        <w:rFonts w:ascii="Arial"/>
                        <w:sz w:val="13"/>
                      </w:rPr>
                    </w:pPr>
                    <w:r>
                      <w:rPr>
                        <w:rFonts w:ascii="Arial"/>
                        <w:w w:val="75"/>
                        <w:sz w:val="13"/>
                      </w:rPr>
                      <w:t>40</w:t>
                    </w:r>
                  </w:p>
                </w:txbxContent>
              </v:textbox>
              <w10:wrap type="none"/>
            </v:shape>
            <v:shape style="position:absolute;left:5435;top:3959;width:114;height:132" type="#_x0000_t202" filled="false" stroked="false">
              <v:textbox inset="0,0,0,0">
                <w:txbxContent>
                  <w:p>
                    <w:pPr>
                      <w:spacing w:line="131" w:lineRule="exact" w:before="0"/>
                      <w:ind w:left="0" w:right="-15" w:firstLine="0"/>
                      <w:jc w:val="left"/>
                      <w:rPr>
                        <w:rFonts w:ascii="Arial"/>
                        <w:sz w:val="13"/>
                      </w:rPr>
                    </w:pPr>
                    <w:r>
                      <w:rPr>
                        <w:rFonts w:ascii="Arial"/>
                        <w:w w:val="75"/>
                        <w:sz w:val="13"/>
                      </w:rPr>
                      <w:t>60</w:t>
                    </w:r>
                  </w:p>
                </w:txbxContent>
              </v:textbox>
              <w10:wrap type="none"/>
            </v:shape>
            <v:shape style="position:absolute;left:3014;top:4087;width:1646;height:132" type="#_x0000_t202" filled="false" stroked="false">
              <v:textbox inset="0,0,0,0">
                <w:txbxContent>
                  <w:p>
                    <w:pPr>
                      <w:spacing w:line="131" w:lineRule="exact" w:before="0"/>
                      <w:ind w:left="0" w:right="0" w:firstLine="0"/>
                      <w:jc w:val="left"/>
                      <w:rPr>
                        <w:rFonts w:ascii="Arial"/>
                        <w:sz w:val="13"/>
                      </w:rPr>
                    </w:pPr>
                    <w:r>
                      <w:rPr>
                        <w:rFonts w:ascii="Arial"/>
                        <w:w w:val="75"/>
                        <w:sz w:val="13"/>
                      </w:rPr>
                      <w:t>valor_agregado_miles_de_pesos_de</w:t>
                    </w:r>
                  </w:p>
                </w:txbxContent>
              </v:textbox>
              <w10:wrap type="none"/>
            </v:shape>
            <w10:wrap type="none"/>
          </v:group>
        </w:pict>
      </w:r>
      <w:r>
        <w:rPr/>
        <w:pict>
          <v:group style="position:absolute;margin-left:301.101013pt;margin-top:31.456347pt;width:196.15pt;height:187.6pt;mso-position-horizontal-relative:page;mso-position-vertical-relative:paragraph;z-index:8656" coordorigin="6022,629" coordsize="3923,3752">
            <v:rect style="position:absolute;left:6023;top:629;width:3922;height:3748" filled="true" fillcolor="#eaf1f3" stroked="false">
              <v:fill type="solid"/>
            </v:rect>
            <v:shape style="position:absolute;left:6025;top:635;width:3912;height:3742" type="#_x0000_t75" stroked="false">
              <v:imagedata r:id="rId326" o:title=""/>
            </v:shape>
            <v:rect style="position:absolute;left:6025;top:635;width:3912;height:3742" filled="false" stroked="true" strokeweight=".276474pt" strokecolor="#eaf1f3"/>
            <v:shape style="position:absolute;left:6412;top:766;width:3428;height:3102" type="#_x0000_t75" stroked="false">
              <v:imagedata r:id="rId327" o:title=""/>
            </v:shape>
            <v:rect style="position:absolute;left:6412;top:766;width:3428;height:3102" filled="false" stroked="true" strokeweight=".278527pt" strokecolor="#ffffff"/>
            <v:shape style="position:absolute;left:6412;top:841;width:3428;height:2953" coordorigin="6412,841" coordsize="3428,2953" path="m9840,3781l6412,3781,6412,3794,9840,3794,9840,3781m9840,3194l6412,3194,6412,3207,9840,3207,9840,3194m9840,2605l6412,2605,6412,2617,9840,2617,9840,2605m9840,2018l6412,2018,6412,2030,9840,2030,9840,2018m9840,1431l6412,1431,6412,1444,9840,1444,9840,1431m9840,841l6412,841,6412,854,9840,854,9840,841e" filled="true" fillcolor="#eaf1f3" stroked="false">
              <v:path arrowok="t"/>
              <v:fill type="solid"/>
            </v:shape>
            <v:shape style="position:absolute;left:7646;top:2736;width:40;height:53" type="#_x0000_t75" stroked="false">
              <v:imagedata r:id="rId292" o:title=""/>
            </v:shape>
            <v:shape style="position:absolute;left:7646;top:2736;width:41;height:54" coordorigin="7646,2736" coordsize="41,54" path="m7646,2761l7646,2776,7656,2789,7665,2789,7677,2789,7687,2776,7687,2761,7687,2748,7677,2736,7665,2736,7656,2736,7646,2748,7646,2761xe" filled="false" stroked="true" strokeweight=".529695pt" strokecolor="#1a466e">
              <v:path arrowok="t"/>
            </v:shape>
            <v:shape style="position:absolute;left:7822;top:2630;width:43;height:56" type="#_x0000_t75" stroked="false">
              <v:imagedata r:id="rId96" o:title=""/>
            </v:shape>
            <v:shape style="position:absolute;left:7822;top:2630;width:43;height:57" coordorigin="7822,2630" coordsize="43,57" path="m7822,2658l7822,2673,7832,2686,7844,2686,7855,2686,7865,2673,7865,2658,7865,2642,7855,2630,7844,2630,7832,2630,7822,2642,7822,2658xe" filled="false" stroked="true" strokeweight=".529856pt" strokecolor="#1a466e">
              <v:path arrowok="t"/>
            </v:shape>
            <v:shape style="position:absolute;left:7701;top:2842;width:43;height:53" type="#_x0000_t75" stroked="false">
              <v:imagedata r:id="rId328" o:title=""/>
            </v:shape>
            <v:shape style="position:absolute;left:7701;top:2842;width:43;height:53" coordorigin="7701,2842" coordsize="43,53" path="m7701,2867l7701,2882,7711,2895,7722,2895,7734,2895,7744,2882,7744,2867,7744,2854,7734,2842,7722,2842,7711,2842,7701,2854,7701,2867xe" filled="false" stroked="true" strokeweight=".533893pt" strokecolor="#1a466e">
              <v:path arrowok="t"/>
            </v:shape>
            <v:shape style="position:absolute;left:8045;top:2277;width:40;height:56" type="#_x0000_t75" stroked="false">
              <v:imagedata r:id="rId109" o:title=""/>
            </v:shape>
            <v:shape style="position:absolute;left:8045;top:2277;width:41;height:57" coordorigin="8045,2277" coordsize="41,57" path="m8045,2305l8045,2321,8055,2333,8064,2333,8076,2333,8086,2321,8086,2305,8086,2289,8076,2277,8064,2277,8055,2277,8045,2289,8045,2305xe" filled="false" stroked="true" strokeweight=".52595pt" strokecolor="#1a466e">
              <v:path arrowok="t"/>
            </v:shape>
            <v:shape style="position:absolute;left:7794;top:2480;width:40;height:53" type="#_x0000_t75" stroked="false">
              <v:imagedata r:id="rId309" o:title=""/>
            </v:shape>
            <v:shape style="position:absolute;left:7794;top:2480;width:41;height:53" coordorigin="7794,2480" coordsize="41,53" path="m7794,2505l7794,2520,7803,2533,7813,2533,7825,2533,7834,2520,7834,2505,7834,2492,7825,2480,7813,2480,7803,2480,7794,2492,7794,2505xe" filled="false" stroked="true" strokeweight=".529866pt" strokecolor="#1a466e">
              <v:path arrowok="t"/>
            </v:shape>
            <v:shape style="position:absolute;left:7822;top:2851;width:43;height:53" type="#_x0000_t75" stroked="false">
              <v:imagedata r:id="rId96" o:title=""/>
            </v:shape>
            <v:shape style="position:absolute;left:7822;top:2851;width:43;height:53" coordorigin="7822,2851" coordsize="43,53" path="m7822,2876l7822,2892,7832,2904,7844,2904,7855,2904,7865,2892,7865,2876,7865,2864,7855,2851,7844,2851,7832,2851,7822,2864,7822,2876xe" filled="false" stroked="true" strokeweight=".534058pt" strokecolor="#1a466e">
              <v:path arrowok="t"/>
            </v:shape>
            <v:shape style="position:absolute;left:7770;top:2602;width:40;height:53" type="#_x0000_t75" stroked="false">
              <v:imagedata r:id="rId96" o:title=""/>
            </v:shape>
            <v:shape style="position:absolute;left:7770;top:2602;width:41;height:54" coordorigin="7770,2602" coordsize="41,54" path="m7770,2627l7770,2642,7779,2655,7789,2655,7801,2655,7810,2642,7810,2627,7810,2614,7801,2602,7789,2602,7779,2602,7770,2614,7770,2627xe" filled="false" stroked="true" strokeweight=".529695pt" strokecolor="#1a466e">
              <v:path arrowok="t"/>
            </v:shape>
            <v:shape style="position:absolute;left:7635;top:2826;width:43;height:53" type="#_x0000_t75" stroked="false">
              <v:imagedata r:id="rId114" o:title=""/>
            </v:shape>
            <v:shape style="position:absolute;left:7635;top:2826;width:43;height:53" coordorigin="7635,2826" coordsize="43,53" path="m7635,2851l7635,2867,7644,2879,7656,2879,7668,2879,7677,2867,7677,2851,7677,2839,7668,2826,7656,2826,7644,2826,7635,2839,7635,2851xe" filled="false" stroked="true" strokeweight=".533893pt" strokecolor="#1a466e">
              <v:path arrowok="t"/>
            </v:shape>
            <v:shape style="position:absolute;left:7749;top:2545;width:43;height:56" type="#_x0000_t75" stroked="false">
              <v:imagedata r:id="rId109" o:title=""/>
            </v:shape>
            <v:shape style="position:absolute;left:7749;top:2545;width:43;height:57" coordorigin="7749,2545" coordsize="43,57" path="m7749,2573l7749,2589,7758,2602,7770,2602,7782,2602,7791,2589,7791,2573,7791,2558,7782,2545,7770,2545,7758,2545,7749,2558,7749,2573xe" filled="false" stroked="true" strokeweight=".529375pt" strokecolor="#1a466e">
              <v:path arrowok="t"/>
            </v:shape>
            <v:shape style="position:absolute;left:8330;top:2561;width:43;height:56" type="#_x0000_t75" stroked="false">
              <v:imagedata r:id="rId96" o:title=""/>
            </v:shape>
            <v:shape style="position:absolute;left:8330;top:2561;width:43;height:57" coordorigin="8330,2561" coordsize="43,57" path="m8330,2589l8330,2605,8340,2617,8351,2617,8363,2617,8373,2605,8373,2589,8373,2573,8363,2561,8351,2561,8340,2561,8330,2573,8330,2589xe" filled="false" stroked="true" strokeweight=".529375pt" strokecolor="#1a466e">
              <v:path arrowok="t"/>
            </v:shape>
            <v:shape style="position:absolute;left:7920;top:2430;width:40;height:56" type="#_x0000_t75" stroked="false">
              <v:imagedata r:id="rId96" o:title=""/>
            </v:shape>
            <v:shape style="position:absolute;left:7920;top:2430;width:41;height:57" coordorigin="7920,2430" coordsize="41,57" path="m7920,2458l7920,2474,7929,2486,7939,2486,7950,2486,7960,2474,7960,2458,7960,2442,7950,2430,7939,2430,7929,2430,7920,2442,7920,2458xe" filled="false" stroked="true" strokeweight=".525794pt" strokecolor="#1a466e">
              <v:path arrowok="t"/>
            </v:shape>
            <v:shape style="position:absolute;left:8107;top:2099;width:43;height:53" type="#_x0000_t75" stroked="false">
              <v:imagedata r:id="rId96" o:title=""/>
            </v:shape>
            <v:shape style="position:absolute;left:8107;top:2099;width:43;height:54" coordorigin="8107,2099" coordsize="43,54" path="m8107,2124l8107,2140,8116,2152,8128,2152,8140,2152,8150,2140,8150,2124,8150,2112,8140,2099,8128,2099,8116,2099,8107,2112,8107,2124xe" filled="false" stroked="true" strokeweight=".533718pt" strokecolor="#1a466e">
              <v:path arrowok="t"/>
            </v:shape>
            <v:shape style="position:absolute;left:7295;top:3207;width:40;height:53" type="#_x0000_t75" stroked="false">
              <v:imagedata r:id="rId297" o:title=""/>
            </v:shape>
            <v:shape style="position:absolute;left:7295;top:3207;width:41;height:53" coordorigin="7295,3207" coordsize="41,53" path="m7295,3232l7295,3247,7304,3260,7314,3260,7326,3260,7335,3247,7335,3232,7335,3219,7326,3207,7314,3207,7304,3207,7295,3219,7295,3232xe" filled="false" stroked="true" strokeweight=".529764pt" strokecolor="#1a466e">
              <v:path arrowok="t"/>
            </v:shape>
            <v:shape style="position:absolute;left:7967;top:1999;width:43;height:53" type="#_x0000_t75" stroked="false">
              <v:imagedata r:id="rId329" o:title=""/>
            </v:shape>
            <v:shape style="position:absolute;left:7967;top:1999;width:43;height:53" coordorigin="7967,1999" coordsize="43,53" path="m7967,2024l7967,2040,7977,2052,7988,2052,8000,2052,8010,2040,8010,2024,8010,2012,8000,1999,7988,1999,7977,1999,7967,2012,7967,2024xe" filled="false" stroked="true" strokeweight=".533562pt" strokecolor="#1a466e">
              <v:path arrowok="t"/>
            </v:shape>
            <v:shape style="position:absolute;left:7499;top:2186;width:43;height:56" type="#_x0000_t75" stroked="false">
              <v:imagedata r:id="rId109" o:title=""/>
            </v:shape>
            <v:shape style="position:absolute;left:7499;top:2186;width:43;height:57" coordorigin="7499,2186" coordsize="43,57" path="m7499,2214l7499,2230,7509,2243,7521,2243,7532,2243,7542,2230,7542,2214,7542,2199,7532,2186,7521,2186,7509,2186,7499,2199,7499,2214xe" filled="false" stroked="true" strokeweight=".529856pt" strokecolor="#1a466e">
              <v:path arrowok="t"/>
            </v:shape>
            <v:shape style="position:absolute;left:8406;top:2439;width:40;height:56" type="#_x0000_t75" stroked="false">
              <v:imagedata r:id="rId96" o:title=""/>
            </v:shape>
            <v:shape style="position:absolute;left:8406;top:2439;width:41;height:57" coordorigin="8406,2439" coordsize="41,57" path="m8406,2467l8406,2483,8416,2495,8425,2495,8437,2495,8447,2483,8447,2467,8447,2452,8437,2439,8425,2439,8416,2439,8406,2452,8406,2467xe" filled="false" stroked="true" strokeweight=".525794pt" strokecolor="#1a466e">
              <v:path arrowok="t"/>
            </v:shape>
            <v:shape style="position:absolute;left:7642;top:3066;width:40;height:53" type="#_x0000_t75" stroked="false">
              <v:imagedata r:id="rId109" o:title=""/>
            </v:shape>
            <v:shape style="position:absolute;left:7642;top:3066;width:41;height:54" coordorigin="7642,3066" coordsize="41,54" path="m7642,3092l7642,3107,7651,3120,7661,3120,7673,3120,7682,3107,7682,3092,7682,3079,7673,3066,7661,3066,7651,3066,7642,3079,7642,3092xe" filled="false" stroked="true" strokeweight=".529357pt" strokecolor="#1a466e">
              <v:path arrowok="t"/>
            </v:shape>
            <v:shape style="position:absolute;left:7984;top:2729;width:43;height:53" type="#_x0000_t75" stroked="false">
              <v:imagedata r:id="rId330" o:title=""/>
            </v:shape>
            <v:shape style="position:absolute;left:7984;top:2729;width:43;height:54" coordorigin="7984,2729" coordsize="43,54" path="m7984,2754l7984,2770,7993,2782,8005,2782,8017,2782,8026,2770,8026,2754,8026,2742,8017,2729,8005,2729,7993,2729,7984,2742,7984,2754xe" filled="false" stroked="true" strokeweight=".533387pt" strokecolor="#1a466e">
              <v:path arrowok="t"/>
            </v:shape>
            <v:shape style="position:absolute;left:7917;top:2492;width:40;height:53" type="#_x0000_t75" stroked="false">
              <v:imagedata r:id="rId331" o:title=""/>
            </v:shape>
            <v:shape style="position:absolute;left:7917;top:2492;width:41;height:53" coordorigin="7917,2492" coordsize="41,53" path="m7917,2517l7917,2533,7927,2545,7936,2545,7948,2545,7958,2533,7958,2517,7958,2505,7948,2492,7936,2492,7927,2492,7917,2505,7917,2517xe" filled="false" stroked="true" strokeweight=".529866pt" strokecolor="#1a466e">
              <v:path arrowok="t"/>
            </v:shape>
            <v:shape style="position:absolute;left:7782;top:2526;width:40;height:56" type="#_x0000_t75" stroked="false">
              <v:imagedata r:id="rId109" o:title=""/>
            </v:shape>
            <v:shape style="position:absolute;left:7782;top:2526;width:41;height:57" coordorigin="7782,2526" coordsize="41,57" path="m7782,2555l7782,2570,7791,2583,7801,2583,7813,2583,7822,2570,7822,2555,7822,2539,7813,2526,7801,2526,7791,2526,7782,2539,7782,2555xe" filled="false" stroked="true" strokeweight=".525485pt" strokecolor="#1a466e">
              <v:path arrowok="t"/>
            </v:shape>
            <v:shape style="position:absolute;left:7649;top:2667;width:40;height:56" type="#_x0000_t75" stroked="false">
              <v:imagedata r:id="rId109" o:title=""/>
            </v:shape>
            <v:shape style="position:absolute;left:7649;top:2667;width:41;height:57" coordorigin="7649,2667" coordsize="41,57" path="m7649,2695l7649,2711,7658,2723,7668,2723,7680,2723,7689,2711,7689,2695,7689,2680,7680,2667,7668,2667,7658,2667,7649,2680,7649,2695xe" filled="false" stroked="true" strokeweight=".52595pt" strokecolor="#1a466e">
              <v:path arrowok="t"/>
            </v:shape>
            <v:shape style="position:absolute;left:7834;top:2692;width:43;height:53" type="#_x0000_t75" stroked="false">
              <v:imagedata r:id="rId95" o:title=""/>
            </v:shape>
            <v:shape style="position:absolute;left:7834;top:2692;width:43;height:54" coordorigin="7834,2692" coordsize="43,54" path="m7834,2717l7834,2733,7844,2745,7855,2745,7867,2745,7877,2733,7877,2717,7877,2704,7867,2692,7855,2692,7844,2692,7834,2704,7834,2717xe" filled="false" stroked="true" strokeweight=".533883pt" strokecolor="#1a466e">
              <v:path arrowok="t"/>
            </v:shape>
            <v:shape style="position:absolute;left:7718;top:2814;width:43;height:53" type="#_x0000_t75" stroked="false">
              <v:imagedata r:id="rId332" o:title=""/>
            </v:shape>
            <v:shape style="position:absolute;left:7718;top:2814;width:43;height:54" coordorigin="7718,2814" coordsize="43,54" path="m7718,2839l7718,2854,7727,2867,7739,2867,7751,2867,7760,2854,7760,2839,7760,2826,7751,2814,7739,2814,7727,2814,7718,2826,7718,2839xe" filled="false" stroked="true" strokeweight=".533369pt" strokecolor="#1a466e">
              <v:path arrowok="t"/>
            </v:shape>
            <v:shape style="position:absolute;left:7924;top:2124;width:40;height:53" type="#_x0000_t75" stroked="false">
              <v:imagedata r:id="rId96" o:title=""/>
            </v:shape>
            <v:shape style="position:absolute;left:7924;top:2124;width:41;height:54" coordorigin="7924,2124" coordsize="41,54" path="m7924,2149l7924,2165,7934,2177,7943,2177,7955,2177,7965,2165,7965,2149,7965,2137,7955,2124,7943,2124,7934,2124,7924,2137,7924,2149xe" filled="false" stroked="true" strokeweight=".529695pt" strokecolor="#1a466e">
              <v:path arrowok="t"/>
            </v:shape>
            <v:shape style="position:absolute;left:7734;top:2548;width:43;height:56" type="#_x0000_t75" stroked="false">
              <v:imagedata r:id="rId303" o:title=""/>
            </v:shape>
            <v:shape style="position:absolute;left:7734;top:2548;width:43;height:57" coordorigin="7734,2548" coordsize="43,57" path="m7734,2576l7734,2592,7744,2605,7756,2605,7768,2605,7777,2592,7777,2576,7777,2561,7768,2548,7756,2548,7744,2548,7734,2561,7734,2576xe" filled="false" stroked="true" strokeweight=".529375pt" strokecolor="#1a466e">
              <v:path arrowok="t"/>
            </v:shape>
            <v:shape style="position:absolute;left:7832;top:2548;width:43;height:56" type="#_x0000_t75" stroked="false">
              <v:imagedata r:id="rId96" o:title=""/>
            </v:shape>
            <v:shape style="position:absolute;left:7832;top:2548;width:43;height:57" coordorigin="7832,2548" coordsize="43,57" path="m7832,2576l7832,2592,7841,2605,7853,2605,7865,2605,7874,2592,7874,2576,7874,2561,7865,2548,7853,2548,7841,2548,7832,2561,7832,2576xe" filled="false" stroked="true" strokeweight=".529536pt" strokecolor="#1a466e">
              <v:path arrowok="t"/>
            </v:shape>
            <v:shape style="position:absolute;left:7654;top:2704;width:40;height:53" type="#_x0000_t75" stroked="false">
              <v:imagedata r:id="rId96" o:title=""/>
            </v:shape>
            <v:shape style="position:absolute;left:7654;top:2704;width:41;height:54" coordorigin="7654,2704" coordsize="41,54" path="m7654,2729l7654,2745,7663,2757,7673,2757,7684,2757,7694,2745,7694,2729,7694,2717,7684,2704,7673,2704,7663,2704,7654,2717,7654,2729xe" filled="false" stroked="true" strokeweight=".529695pt" strokecolor="#1a466e">
              <v:path arrowok="t"/>
            </v:shape>
            <v:shape style="position:absolute;left:7822;top:2433;width:43;height:56" type="#_x0000_t75" stroked="false">
              <v:imagedata r:id="rId109" o:title=""/>
            </v:shape>
            <v:shape style="position:absolute;left:7822;top:2433;width:43;height:57" coordorigin="7822,2433" coordsize="43,57" path="m7822,2461l7822,2477,7832,2489,7844,2489,7855,2489,7865,2477,7865,2461,7865,2445,7855,2433,7844,2433,7832,2433,7822,2445,7822,2461xe" filled="false" stroked="true" strokeweight=".529856pt" strokecolor="#1a466e">
              <v:path arrowok="t"/>
            </v:shape>
            <v:shape style="position:absolute;left:7701;top:1388;width:43;height:56" type="#_x0000_t75" stroked="false">
              <v:imagedata r:id="rId333" o:title=""/>
            </v:shape>
            <v:shape style="position:absolute;left:7701;top:1388;width:43;height:57" coordorigin="7701,1388" coordsize="43,57" path="m7701,1416l7701,1431,7711,1444,7722,1444,7734,1444,7744,1431,7744,1416,7744,1400,7734,1388,7722,1388,7711,1388,7701,1400,7701,1416xe" filled="false" stroked="true" strokeweight=".529856pt" strokecolor="#1a466e">
              <v:path arrowok="t"/>
            </v:shape>
            <v:shape style="position:absolute;left:8178;top:3457;width:40;height:56" type="#_x0000_t75" stroked="false">
              <v:imagedata r:id="rId301" o:title=""/>
            </v:shape>
            <v:shape style="position:absolute;left:8178;top:3457;width:41;height:57" coordorigin="8178,3457" coordsize="41,57" path="m8178,3485l8178,3500,8188,3513,8197,3513,8209,3513,8219,3500,8219,3485,8219,3469,8209,3457,8197,3457,8188,3457,8178,3469,8178,3485xe" filled="false" stroked="true" strokeweight=".525856pt" strokecolor="#1a466e">
              <v:path arrowok="t"/>
            </v:shape>
            <v:shape style="position:absolute;left:7801;top:1231;width:40;height:56" type="#_x0000_t75" stroked="false">
              <v:imagedata r:id="rId309" o:title=""/>
            </v:shape>
            <v:shape style="position:absolute;left:7801;top:1231;width:41;height:57" coordorigin="7801,1231" coordsize="41,57" path="m7801,1259l7801,1275,7810,1287,7820,1287,7832,1287,7841,1275,7841,1259,7841,1244,7832,1231,7820,1231,7810,1231,7801,1244,7801,1259xe" filled="false" stroked="true" strokeweight=".525794pt" strokecolor="#1a466e">
              <v:path arrowok="t"/>
            </v:shape>
            <v:shape style="position:absolute;left:7981;top:3032;width:43;height:56" type="#_x0000_t75" stroked="false">
              <v:imagedata r:id="rId334" o:title=""/>
            </v:shape>
            <v:shape style="position:absolute;left:7981;top:3032;width:43;height:57" coordorigin="7981,3032" coordsize="43,57" path="m7981,3060l7981,3076,7991,3088,8002,3088,8014,3088,8024,3076,8024,3060,8024,3045,8014,3032,8002,3032,7991,3032,7981,3045,7981,3060xe" filled="false" stroked="true" strokeweight=".529055pt" strokecolor="#1a466e">
              <v:path arrowok="t"/>
            </v:shape>
            <v:shape style="position:absolute;left:7649;top:2598;width:40;height:53" type="#_x0000_t75" stroked="false">
              <v:imagedata r:id="rId96" o:title=""/>
            </v:shape>
            <v:shape style="position:absolute;left:7649;top:2598;width:41;height:54" coordorigin="7649,2598" coordsize="41,54" path="m7649,2623l7649,2639,7658,2652,7668,2652,7680,2652,7689,2639,7689,2623,7689,2611,7680,2598,7668,2598,7658,2598,7649,2611,7649,2623xe" filled="false" stroked="true" strokeweight=".529695pt" strokecolor="#1a466e">
              <v:path arrowok="t"/>
            </v:shape>
            <v:shape style="position:absolute;left:7772;top:2526;width:40;height:56" type="#_x0000_t75" stroked="false">
              <v:imagedata r:id="rId109" o:title=""/>
            </v:shape>
            <v:shape style="position:absolute;left:7772;top:2526;width:41;height:57" coordorigin="7772,2526" coordsize="41,57" path="m7772,2555l7772,2570,7782,2583,7791,2583,7803,2583,7813,2570,7813,2555,7813,2539,7803,2526,7791,2526,7782,2526,7772,2539,7772,2555xe" filled="false" stroked="true" strokeweight=".525485pt" strokecolor="#1a466e">
              <v:path arrowok="t"/>
            </v:shape>
            <v:shape style="position:absolute;left:7665;top:2427;width:40;height:56" type="#_x0000_t75" stroked="false">
              <v:imagedata r:id="rId109" o:title=""/>
            </v:shape>
            <v:shape style="position:absolute;left:7665;top:2427;width:41;height:57" coordorigin="7665,2427" coordsize="41,57" path="m7665,2455l7665,2470,7675,2483,7684,2483,7696,2483,7706,2470,7706,2455,7706,2439,7696,2427,7684,2427,7675,2427,7665,2439,7665,2455xe" filled="false" stroked="true" strokeweight=".525794pt" strokecolor="#1a466e">
              <v:path arrowok="t"/>
            </v:shape>
            <v:shape style="position:absolute;left:7689;top:2545;width:40;height:56" type="#_x0000_t75" stroked="false">
              <v:imagedata r:id="rId109" o:title=""/>
            </v:shape>
            <v:shape style="position:absolute;left:7689;top:2545;width:41;height:57" coordorigin="7689,2545" coordsize="41,57" path="m7689,2573l7689,2589,7699,2602,7708,2602,7720,2602,7730,2589,7730,2573,7730,2558,7720,2545,7708,2545,7699,2545,7689,2558,7689,2573xe" filled="false" stroked="true" strokeweight=".525485pt" strokecolor="#1a466e">
              <v:path arrowok="t"/>
            </v:shape>
            <v:shape style="position:absolute;left:7893;top:2548;width:40;height:56" type="#_x0000_t75" stroked="false">
              <v:imagedata r:id="rId96" o:title=""/>
            </v:shape>
            <v:shape style="position:absolute;left:7893;top:2548;width:41;height:57" coordorigin="7893,2548" coordsize="41,57" path="m7893,2576l7893,2592,7903,2605,7912,2605,7924,2605,7934,2592,7934,2576,7934,2561,7924,2548,7912,2548,7903,2548,7893,2561,7893,2576xe" filled="false" stroked="true" strokeweight=".525485pt" strokecolor="#1a466e">
              <v:path arrowok="t"/>
            </v:shape>
            <v:shape style="position:absolute;left:7955;top:2280;width:43;height:56" type="#_x0000_t75" stroked="false">
              <v:imagedata r:id="rId335" o:title=""/>
            </v:shape>
            <v:shape style="position:absolute;left:7955;top:2280;width:43;height:57" coordorigin="7955,2280" coordsize="43,57" path="m7955,2308l7955,2324,7965,2336,7977,2336,7988,2336,7998,2324,7998,2308,7998,2292,7988,2280,7977,2280,7965,2280,7955,2292,7955,2308xe" filled="false" stroked="true" strokeweight=".529055pt" strokecolor="#1a466e">
              <v:path arrowok="t"/>
            </v:shape>
            <v:shape style="position:absolute;left:7708;top:2770;width:43;height:56" type="#_x0000_t75" stroked="false">
              <v:imagedata r:id="rId336" o:title=""/>
            </v:shape>
            <v:shape style="position:absolute;left:7708;top:2770;width:43;height:57" coordorigin="7708,2770" coordsize="43,57" path="m7708,2798l7708,2814,7718,2826,7730,2826,7741,2826,7751,2814,7751,2798,7751,2782,7741,2770,7730,2770,7718,2770,7708,2782,7708,2798xe" filled="false" stroked="true" strokeweight=".529375pt" strokecolor="#1a466e">
              <v:path arrowok="t"/>
            </v:shape>
            <v:shape style="position:absolute;left:7779;top:2486;width:40;height:53" type="#_x0000_t75" stroked="false">
              <v:imagedata r:id="rId306" o:title=""/>
            </v:shape>
            <v:shape style="position:absolute;left:7779;top:2486;width:41;height:53" coordorigin="7779,2486" coordsize="41,53" path="m7779,2511l7779,2526,7789,2539,7798,2539,7810,2539,7820,2526,7820,2511,7820,2499,7810,2486,7798,2486,7789,2486,7779,2499,7779,2511xe" filled="false" stroked="true" strokeweight=".529866pt" strokecolor="#1a466e">
              <v:path arrowok="t"/>
            </v:shape>
            <v:shape style="position:absolute;left:7853;top:2608;width:43;height:53" type="#_x0000_t75" stroked="false">
              <v:imagedata r:id="rId114" o:title=""/>
            </v:shape>
            <v:shape style="position:absolute;left:7853;top:2608;width:43;height:54" coordorigin="7853,2608" coordsize="43,54" path="m7853,2633l7853,2648,7863,2661,7874,2661,7886,2661,7896,2648,7896,2633,7896,2620,7886,2608,7874,2608,7863,2608,7853,2620,7853,2633xe" filled="false" stroked="true" strokeweight=".533883pt" strokecolor="#1a466e">
              <v:path arrowok="t"/>
            </v:shape>
            <v:shape style="position:absolute;left:7920;top:2633;width:40;height:56" type="#_x0000_t75" stroked="false">
              <v:imagedata r:id="rId109" o:title=""/>
            </v:shape>
            <v:shape style="position:absolute;left:7920;top:2633;width:41;height:57" coordorigin="7920,2633" coordsize="41,57" path="m7920,2661l7920,2676,7929,2689,7939,2689,7950,2689,7960,2676,7960,2661,7960,2645,7950,2633,7939,2633,7929,2633,7920,2645,7920,2661xe" filled="false" stroked="true" strokeweight=".525794pt" strokecolor="#1a466e">
              <v:path arrowok="t"/>
            </v:shape>
            <v:shape style="position:absolute;left:8010;top:2692;width:40;height:53" type="#_x0000_t75" stroked="false">
              <v:imagedata r:id="rId96" o:title=""/>
            </v:shape>
            <v:shape style="position:absolute;left:8010;top:2692;width:41;height:54" coordorigin="8010,2692" coordsize="41,54" path="m8010,2717l8010,2733,8019,2745,8029,2745,8040,2745,8050,2733,8050,2717,8050,2704,8040,2692,8029,2692,8019,2692,8010,2704,8010,2717xe" filled="false" stroked="true" strokeweight=".529695pt" strokecolor="#1a466e">
              <v:path arrowok="t"/>
            </v:shape>
            <v:shape style="position:absolute;left:7404;top:2726;width:40;height:53" type="#_x0000_t75" stroked="false">
              <v:imagedata r:id="rId307" o:title=""/>
            </v:shape>
            <v:shape style="position:absolute;left:7404;top:2726;width:41;height:54" coordorigin="7404,2726" coordsize="41,54" path="m7404,2751l7404,2767,7414,2779,7423,2779,7435,2779,7445,2767,7445,2751,7445,2739,7435,2726,7423,2726,7414,2726,7404,2739,7404,2751xe" filled="false" stroked="true" strokeweight=".529865pt" strokecolor="#1a466e">
              <v:path arrowok="t"/>
            </v:shape>
            <v:shape style="position:absolute;left:7941;top:2483;width:40;height:53" type="#_x0000_t75" stroked="false">
              <v:imagedata r:id="rId337" o:title=""/>
            </v:shape>
            <v:shape style="position:absolute;left:7941;top:2483;width:41;height:53" coordorigin="7941,2483" coordsize="41,53" path="m7941,2508l7941,2523,7950,2536,7960,2536,7972,2536,7981,2523,7981,2508,7981,2495,7972,2483,7960,2483,7950,2483,7941,2495,7941,2508xe" filled="false" stroked="true" strokeweight=".529866pt" strokecolor="#1a466e">
              <v:path arrowok="t"/>
            </v:shape>
            <v:shape style="position:absolute;left:8055;top:2480;width:40;height:53" type="#_x0000_t75" stroked="false">
              <v:imagedata r:id="rId302" o:title=""/>
            </v:shape>
            <v:shape style="position:absolute;left:8055;top:2480;width:41;height:53" coordorigin="8055,2480" coordsize="41,53" path="m8055,2505l8055,2520,8064,2533,8074,2533,8086,2533,8095,2520,8095,2505,8095,2492,8086,2480,8074,2480,8064,2480,8055,2492,8055,2505xe" filled="false" stroked="true" strokeweight=".529866pt" strokecolor="#1a466e">
              <v:path arrowok="t"/>
            </v:shape>
            <v:shape style="position:absolute;left:7779;top:2652;width:40;height:56" type="#_x0000_t75" stroked="false">
              <v:imagedata r:id="rId96" o:title=""/>
            </v:shape>
            <v:shape style="position:absolute;left:7779;top:2652;width:41;height:57" coordorigin="7779,2652" coordsize="41,57" path="m7779,2680l7779,2695,7789,2708,7798,2708,7810,2708,7820,2695,7820,2680,7820,2664,7810,2652,7798,2652,7789,2652,7779,2664,7779,2680xe" filled="false" stroked="true" strokeweight=".52595pt" strokecolor="#1a466e">
              <v:path arrowok="t"/>
            </v:shape>
            <v:shape style="position:absolute;left:7855;top:2708;width:43;height:53" type="#_x0000_t75" stroked="false">
              <v:imagedata r:id="rId311" o:title=""/>
            </v:shape>
            <v:shape style="position:absolute;left:7855;top:2708;width:43;height:54" coordorigin="7855,2708" coordsize="43,54" path="m7855,2733l7855,2748,7865,2761,7877,2761,7889,2761,7898,2748,7898,2733,7898,2720,7889,2708,7877,2708,7865,2708,7855,2720,7855,2733xe" filled="false" stroked="true" strokeweight=".533718pt" strokecolor="#1a466e">
              <v:path arrowok="t"/>
            </v:shape>
            <v:shape style="position:absolute;left:7703;top:2261;width:43;height:53" type="#_x0000_t75" stroked="false">
              <v:imagedata r:id="rId338" o:title=""/>
            </v:shape>
            <v:shape style="position:absolute;left:7703;top:2261;width:43;height:54" coordorigin="7703,2261" coordsize="43,54" path="m7703,2286l7703,2302,7713,2314,7725,2314,7737,2314,7746,2302,7746,2286,7746,2274,7737,2261,7725,2261,7713,2261,7703,2274,7703,2286xe" filled="false" stroked="true" strokeweight=".533718pt" strokecolor="#1a466e">
              <v:path arrowok="t"/>
            </v:shape>
            <v:shape style="position:absolute;left:7936;top:2533;width:40;height:56" type="#_x0000_t75" stroked="false">
              <v:imagedata r:id="rId109" o:title=""/>
            </v:shape>
            <v:shape style="position:absolute;left:7936;top:2533;width:41;height:57" coordorigin="7936,2533" coordsize="41,57" path="m7936,2561l7936,2576,7946,2589,7955,2589,7967,2589,7977,2576,7977,2561,7977,2545,7967,2533,7955,2533,7946,2533,7936,2545,7936,2561xe" filled="false" stroked="true" strokeweight=".525485pt" strokecolor="#1a466e">
              <v:path arrowok="t"/>
            </v:shape>
            <v:shape style="position:absolute;left:8525;top:2605;width:40;height:53" type="#_x0000_t75" stroked="false">
              <v:imagedata r:id="rId95" o:title=""/>
            </v:shape>
            <v:shape style="position:absolute;left:8525;top:2605;width:41;height:54" coordorigin="8525,2605" coordsize="41,54" path="m8525,2630l8525,2645,8534,2658,8544,2658,8556,2658,8565,2645,8565,2630,8565,2617,8556,2605,8544,2605,8534,2605,8525,2617,8525,2630xe" filled="false" stroked="true" strokeweight=".529695pt" strokecolor="#1a466e">
              <v:path arrowok="t"/>
            </v:shape>
            <v:shape style="position:absolute;left:7625;top:2692;width:43;height:53" type="#_x0000_t75" stroked="false">
              <v:imagedata r:id="rId96" o:title=""/>
            </v:shape>
            <v:shape style="position:absolute;left:7625;top:2692;width:43;height:54" coordorigin="7625,2692" coordsize="43,54" path="m7625,2717l7625,2733,7635,2745,7646,2745,7658,2745,7668,2733,7668,2717,7668,2704,7658,2692,7646,2692,7635,2692,7625,2704,7625,2717xe" filled="false" stroked="true" strokeweight=".533883pt" strokecolor="#1a466e">
              <v:path arrowok="t"/>
            </v:shape>
            <v:shape style="position:absolute;left:7739;top:2786;width:43;height:56" type="#_x0000_t75" stroked="false">
              <v:imagedata r:id="rId339" o:title=""/>
            </v:shape>
            <v:shape style="position:absolute;left:7739;top:2786;width:43;height:57" coordorigin="7739,2786" coordsize="43,57" path="m7739,2814l7739,2830,7749,2842,7760,2842,7772,2842,7782,2830,7782,2814,7782,2798,7772,2786,7760,2786,7749,2786,7739,2798,7739,2814xe" filled="false" stroked="true" strokeweight=".529375pt" strokecolor="#1a466e">
              <v:path arrowok="t"/>
            </v:shape>
            <v:shape style="position:absolute;left:7789;top:2542;width:40;height:56" type="#_x0000_t75" stroked="false">
              <v:imagedata r:id="rId109" o:title=""/>
            </v:shape>
            <v:shape style="position:absolute;left:7789;top:2542;width:41;height:57" coordorigin="7789,2542" coordsize="41,57" path="m7789,2570l7789,2586,7798,2598,7808,2598,7820,2598,7829,2586,7829,2570,7829,2555,7820,2542,7808,2542,7798,2542,7789,2555,7789,2570xe" filled="false" stroked="true" strokeweight=".525485pt" strokecolor="#1a466e">
              <v:path arrowok="t"/>
            </v:shape>
            <v:shape style="position:absolute;left:7806;top:2445;width:40;height:56" type="#_x0000_t75" stroked="false">
              <v:imagedata r:id="rId109" o:title=""/>
            </v:shape>
            <v:shape style="position:absolute;left:7806;top:2445;width:41;height:57" coordorigin="7806,2445" coordsize="41,57" path="m7806,2474l7806,2489,7815,2502,7825,2502,7836,2502,7846,2489,7846,2474,7846,2458,7836,2445,7825,2445,7815,2445,7806,2458,7806,2474xe" filled="false" stroked="true" strokeweight=".525794pt" strokecolor="#1a466e">
              <v:path arrowok="t"/>
            </v:shape>
            <v:shape style="position:absolute;left:7779;top:2548;width:40;height:56" type="#_x0000_t75" stroked="false">
              <v:imagedata r:id="rId96" o:title=""/>
            </v:shape>
            <v:shape style="position:absolute;left:7779;top:2548;width:41;height:57" coordorigin="7779,2548" coordsize="41,57" path="m7779,2576l7779,2592,7789,2605,7798,2605,7810,2605,7820,2592,7820,2576,7820,2561,7810,2548,7798,2548,7789,2548,7779,2561,7779,2576xe" filled="false" stroked="true" strokeweight=".525485pt" strokecolor="#1a466e">
              <v:path arrowok="t"/>
            </v:shape>
            <v:shape style="position:absolute;left:7791;top:2333;width:40;height:53" type="#_x0000_t75" stroked="false">
              <v:imagedata r:id="rId96" o:title=""/>
            </v:shape>
            <v:shape style="position:absolute;left:7791;top:2333;width:41;height:54" coordorigin="7791,2333" coordsize="41,54" path="m7791,2358l7791,2374,7801,2386,7810,2386,7822,2386,7832,2374,7832,2358,7832,2346,7822,2333,7810,2333,7801,2333,7791,2346,7791,2358xe" filled="false" stroked="true" strokeweight=".529357pt" strokecolor="#1a466e">
              <v:path arrowok="t"/>
            </v:shape>
            <v:shape style="position:absolute;left:7753;top:2870;width:43;height:56" type="#_x0000_t75" stroked="false">
              <v:imagedata r:id="rId95" o:title=""/>
            </v:shape>
            <v:shape style="position:absolute;left:7753;top:2870;width:43;height:57" coordorigin="7753,2870" coordsize="43,57" path="m7753,2898l7753,2914,7763,2926,7775,2926,7787,2926,7796,2914,7796,2898,7796,2882,7787,2870,7775,2870,7763,2870,7753,2882,7753,2898xe" filled="false" stroked="true" strokeweight=".529856pt" strokecolor="#1a466e">
              <v:path arrowok="t"/>
            </v:shape>
            <v:shape style="position:absolute;left:7670;top:2576;width:40;height:53" type="#_x0000_t75" stroked="false">
              <v:imagedata r:id="rId109" o:title=""/>
            </v:shape>
            <v:shape style="position:absolute;left:7670;top:2576;width:41;height:54" coordorigin="7670,2576" coordsize="41,54" path="m7670,2602l7670,2617,7680,2630,7689,2630,7701,2630,7711,2617,7711,2602,7711,2589,7701,2576,7689,2576,7680,2576,7670,2589,7670,2602xe" filled="false" stroked="true" strokeweight=".529357pt" strokecolor="#1a466e">
              <v:path arrowok="t"/>
            </v:shape>
            <v:shape style="position:absolute;left:7936;top:2914;width:40;height:56" type="#_x0000_t75" stroked="false">
              <v:imagedata r:id="rId109" o:title=""/>
            </v:shape>
            <v:shape style="position:absolute;left:7936;top:2914;width:41;height:57" coordorigin="7936,2914" coordsize="41,57" path="m7936,2942l7936,2957,7946,2970,7955,2970,7967,2970,7977,2957,7977,2942,7977,2926,7967,2914,7955,2914,7946,2914,7936,2926,7936,2942xe" filled="false" stroked="true" strokeweight=".525794pt" strokecolor="#1a466e">
              <v:path arrowok="t"/>
            </v:shape>
            <v:shape style="position:absolute;left:7613;top:3063;width:43;height:53" type="#_x0000_t75" stroked="false">
              <v:imagedata r:id="rId95" o:title=""/>
            </v:shape>
            <v:shape style="position:absolute;left:7613;top:3063;width:43;height:54" coordorigin="7613,3063" coordsize="43,54" path="m7613,3088l7613,3104,7623,3117,7635,3117,7646,3117,7656,3104,7656,3088,7656,3076,7646,3063,7635,3063,7623,3063,7613,3076,7613,3088xe" filled="false" stroked="true" strokeweight=".533534pt" strokecolor="#1a466e">
              <v:path arrowok="t"/>
            </v:shape>
            <v:shape style="position:absolute;left:7316;top:3120;width:40;height:56" type="#_x0000_t75" stroked="false">
              <v:imagedata r:id="rId96" o:title=""/>
            </v:shape>
            <v:shape style="position:absolute;left:7316;top:3120;width:41;height:57" coordorigin="7316,3120" coordsize="41,57" path="m7316,3148l7316,3163,7326,3176,7335,3176,7347,3176,7357,3163,7357,3148,7357,3132,7347,3120,7335,3120,7326,3120,7316,3132,7316,3148xe" filled="false" stroked="true" strokeweight=".525856pt" strokecolor="#1a466e">
              <v:path arrowok="t"/>
            </v:shape>
            <v:shape style="position:absolute;left:7917;top:1859;width:40;height:56" type="#_x0000_t75" stroked="false">
              <v:imagedata r:id="rId96" o:title=""/>
            </v:shape>
            <v:shape style="position:absolute;left:7917;top:1859;width:41;height:57" coordorigin="7917,1859" coordsize="41,57" path="m7917,1887l7917,1902,7927,1915,7936,1915,7948,1915,7958,1902,7958,1887,7958,1871,7948,1859,7936,1859,7927,1859,7917,1871,7917,1887xe" filled="false" stroked="true" strokeweight=".52595pt" strokecolor="#1a466e">
              <v:path arrowok="t"/>
            </v:shape>
            <v:shape style="position:absolute;left:8026;top:2414;width:40;height:56" type="#_x0000_t75" stroked="false">
              <v:imagedata r:id="rId109" o:title=""/>
            </v:shape>
            <v:shape style="position:absolute;left:8026;top:2414;width:41;height:57" coordorigin="8026,2414" coordsize="41,57" path="m8026,2442l8026,2458,8036,2470,8045,2470,8057,2470,8067,2458,8067,2442,8067,2427,8057,2414,8045,2414,8036,2414,8026,2427,8026,2442xe" filled="false" stroked="true" strokeweight=".525794pt" strokecolor="#1a466e">
              <v:path arrowok="t"/>
            </v:shape>
            <v:shape style="position:absolute;left:7687;top:2661;width:40;height:56" type="#_x0000_t75" stroked="false">
              <v:imagedata r:id="rId96" o:title=""/>
            </v:shape>
            <v:shape style="position:absolute;left:7687;top:2661;width:41;height:57" coordorigin="7687,2661" coordsize="41,57" path="m7687,2689l7687,2704,7696,2717,7706,2717,7718,2717,7727,2704,7727,2689,7727,2673,7718,2661,7706,2661,7696,2661,7687,2673,7687,2689xe" filled="false" stroked="true" strokeweight=".52595pt" strokecolor="#1a466e">
              <v:path arrowok="t"/>
            </v:shape>
            <v:shape style="position:absolute;left:7851;top:2595;width:43;height:53" type="#_x0000_t75" stroked="false">
              <v:imagedata r:id="rId109" o:title=""/>
            </v:shape>
            <v:shape style="position:absolute;left:7851;top:2595;width:43;height:54" coordorigin="7851,2595" coordsize="43,54" path="m7851,2620l7851,2636,7860,2648,7872,2648,7884,2648,7893,2636,7893,2620,7893,2608,7884,2595,7872,2595,7860,2595,7851,2608,7851,2620xe" filled="false" stroked="true" strokeweight=".533883pt" strokecolor="#1a466e">
              <v:path arrowok="t"/>
            </v:shape>
            <v:shape style="position:absolute;left:7661;top:2573;width:40;height:53" type="#_x0000_t75" stroked="false">
              <v:imagedata r:id="rId96" o:title=""/>
            </v:shape>
            <v:shape style="position:absolute;left:7661;top:2573;width:41;height:54" coordorigin="7661,2573" coordsize="41,54" path="m7661,2598l7661,2614,7670,2627,7680,2627,7692,2627,7701,2614,7701,2598,7701,2586,7692,2573,7680,2573,7670,2573,7661,2586,7661,2598xe" filled="false" stroked="true" strokeweight=".529357pt" strokecolor="#1a466e">
              <v:path arrowok="t"/>
            </v:shape>
            <v:shape style="position:absolute;left:7675;top:3007;width:40;height:56" type="#_x0000_t75" stroked="false">
              <v:imagedata r:id="rId114" o:title=""/>
            </v:shape>
            <v:shape style="position:absolute;left:7675;top:3007;width:41;height:57" coordorigin="7675,3007" coordsize="41,57" path="m7675,3035l7675,3051,7684,3063,7694,3063,7706,3063,7715,3051,7715,3035,7715,3020,7706,3007,7694,3007,7684,3007,7675,3020,7675,3035xe" filled="false" stroked="true" strokeweight=".525794pt" strokecolor="#1a466e">
              <v:path arrowok="t"/>
            </v:shape>
            <v:shape style="position:absolute;left:8337;top:2021;width:43;height:53" type="#_x0000_t75" stroked="false">
              <v:imagedata r:id="rId96" o:title=""/>
            </v:shape>
            <v:shape style="position:absolute;left:8337;top:2021;width:43;height:54" coordorigin="8337,2021" coordsize="43,54" path="m8337,2046l8337,2061,8347,2074,8359,2074,8370,2074,8380,2061,8380,2046,8380,2033,8370,2021,8359,2021,8347,2021,8337,2033,8337,2046xe" filled="false" stroked="true" strokeweight=".533718pt" strokecolor="#1a466e">
              <v:path arrowok="t"/>
            </v:shape>
            <v:shape style="position:absolute;left:7846;top:2576;width:43;height:53" type="#_x0000_t75" stroked="false">
              <v:imagedata r:id="rId109" o:title=""/>
            </v:shape>
            <v:shape style="position:absolute;left:7846;top:2576;width:43;height:54" coordorigin="7846,2576" coordsize="43,54" path="m7846,2602l7846,2617,7855,2630,7867,2630,7879,2630,7889,2617,7889,2602,7889,2589,7879,2576,7867,2576,7855,2576,7846,2589,7846,2602xe" filled="false" stroked="true" strokeweight=".533534pt" strokecolor="#1a466e">
              <v:path arrowok="t"/>
            </v:shape>
            <v:shape style="position:absolute;left:7896;top:2495;width:40;height:53" type="#_x0000_t75" stroked="false">
              <v:imagedata r:id="rId340" o:title=""/>
            </v:shape>
            <v:shape style="position:absolute;left:7896;top:2495;width:41;height:53" coordorigin="7896,2495" coordsize="41,53" path="m7896,2520l7896,2536,7905,2548,7915,2548,7927,2548,7936,2536,7936,2520,7936,2508,7927,2495,7915,2495,7905,2495,7896,2508,7896,2520xe" filled="false" stroked="true" strokeweight=".529866pt" strokecolor="#1a466e">
              <v:path arrowok="t"/>
            </v:shape>
            <v:shape style="position:absolute;left:7727;top:2514;width:43;height:56" type="#_x0000_t75" stroked="false">
              <v:imagedata r:id="rId341" o:title=""/>
            </v:shape>
            <v:shape style="position:absolute;left:7727;top:2514;width:43;height:57" coordorigin="7727,2514" coordsize="43,57" path="m7727,2542l7727,2558,7737,2570,7749,2570,7760,2570,7770,2558,7770,2542,7770,2526,7760,2514,7749,2514,7737,2514,7727,2526,7727,2542xe" filled="false" stroked="true" strokeweight=".529695pt" strokecolor="#1a466e">
              <v:path arrowok="t"/>
            </v:shape>
            <v:shape style="position:absolute;left:7908;top:2711;width:40;height:53" type="#_x0000_t75" stroked="false">
              <v:imagedata r:id="rId342" o:title=""/>
            </v:shape>
            <v:shape style="position:absolute;left:7908;top:2711;width:41;height:54" coordorigin="7908,2711" coordsize="41,54" path="m7908,2736l7908,2751,7917,2764,7927,2764,7939,2764,7948,2751,7948,2736,7948,2723,7939,2711,7927,2711,7917,2711,7908,2723,7908,2736xe" filled="false" stroked="true" strokeweight=".529695pt" strokecolor="#1a466e">
              <v:path arrowok="t"/>
            </v:shape>
            <v:shape style="position:absolute;left:6965;top:2308;width:43;height:56" type="#_x0000_t75" stroked="false">
              <v:imagedata r:id="rId343" o:title=""/>
            </v:shape>
            <v:shape style="position:absolute;left:6965;top:2308;width:43;height:57" coordorigin="6965,2308" coordsize="43,57" path="m6965,2336l6965,2352,6975,2364,6987,2364,6998,2364,7008,2352,7008,2336,7008,2321,6998,2308,6987,2308,6975,2308,6965,2321,6965,2336xe" filled="false" stroked="true" strokeweight=".529391pt" strokecolor="#1a466e">
              <v:path arrowok="t"/>
            </v:shape>
            <v:shape style="position:absolute;left:8487;top:3457;width:43;height:56" type="#_x0000_t75" stroked="false">
              <v:imagedata r:id="rId344" o:title=""/>
            </v:shape>
            <v:shape style="position:absolute;left:8487;top:3457;width:43;height:57" coordorigin="8487,3457" coordsize="43,57" path="m8487,3485l8487,3500,8496,3513,8508,3513,8520,3513,8530,3500,8530,3485,8530,3469,8520,3457,8508,3457,8496,3457,8487,3469,8487,3485xe" filled="false" stroked="true" strokeweight=".52976pt" strokecolor="#1a466e">
              <v:path arrowok="t"/>
            </v:shape>
            <v:shape style="position:absolute;left:8515;top:3656;width:40;height:53" type="#_x0000_t75" stroked="false">
              <v:imagedata r:id="rId109" o:title=""/>
            </v:shape>
            <v:shape style="position:absolute;left:8515;top:3656;width:41;height:53" coordorigin="8515,3656" coordsize="41,53" path="m8515,3681l8515,3697,8525,3709,8534,3709,8546,3709,8556,3697,8556,3681,8556,3669,8546,3656,8534,3656,8525,3656,8515,3669,8515,3681xe" filled="false" stroked="true" strokeweight=".529781pt" strokecolor="#1a466e">
              <v:path arrowok="t"/>
            </v:shape>
            <v:shape style="position:absolute;left:8840;top:1125;width:43;height:56" type="#_x0000_t75" stroked="false">
              <v:imagedata r:id="rId109" o:title=""/>
            </v:shape>
            <v:shape style="position:absolute;left:8840;top:1125;width:43;height:57" coordorigin="8840,1125" coordsize="43,57" path="m8840,1153l8840,1169,8850,1182,8862,1182,8874,1182,8883,1169,8883,1153,8883,1138,8874,1125,8862,1125,8850,1125,8840,1138,8840,1153xe" filled="false" stroked="true" strokeweight=".529695pt" strokecolor="#1a466e">
              <v:path arrowok="t"/>
            </v:shape>
            <v:shape style="position:absolute;left:8290;top:2165;width:40;height:56" type="#_x0000_t75" stroked="false">
              <v:imagedata r:id="rId109" o:title=""/>
            </v:shape>
            <v:shape style="position:absolute;left:8290;top:2165;width:41;height:57" coordorigin="8290,2165" coordsize="41,57" path="m8290,2193l8290,2208,8299,2221,8309,2221,8321,2221,8330,2208,8330,2193,8330,2177,8321,2165,8309,2165,8299,2165,8290,2177,8290,2193xe" filled="false" stroked="true" strokeweight=".52595pt" strokecolor="#1a466e">
              <v:path arrowok="t"/>
            </v:shape>
            <v:shape style="position:absolute;left:7827;top:2386;width:43;height:53" type="#_x0000_t75" stroked="false">
              <v:imagedata r:id="rId109" o:title=""/>
            </v:shape>
            <v:shape style="position:absolute;left:7827;top:2386;width:43;height:54" coordorigin="7827,2386" coordsize="43,54" path="m7827,2411l7827,2427,7836,2439,7848,2439,7860,2439,7870,2427,7870,2411,7870,2399,7860,2386,7848,2386,7836,2386,7827,2399,7827,2411xe" filled="false" stroked="true" strokeweight=".533883pt" strokecolor="#1a466e">
              <v:path arrowok="t"/>
            </v:shape>
            <v:shape style="position:absolute;left:7995;top:2374;width:43;height:53" type="#_x0000_t75" stroked="false">
              <v:imagedata r:id="rId96" o:title=""/>
            </v:shape>
            <v:shape style="position:absolute;left:7995;top:2374;width:43;height:53" coordorigin="7995,2374" coordsize="43,53" path="m7995,2399l7995,2414,8005,2427,8017,2427,8029,2427,8038,2414,8038,2399,8038,2386,8029,2374,8017,2374,8005,2374,7995,2386,7995,2399xe" filled="false" stroked="true" strokeweight=".533893pt" strokecolor="#1a466e">
              <v:path arrowok="t"/>
            </v:shape>
            <v:shape style="position:absolute;left:6452;top:1896;width:40;height:53" type="#_x0000_t75" stroked="false">
              <v:imagedata r:id="rId345" o:title=""/>
            </v:shape>
            <v:shape style="position:absolute;left:6452;top:1896;width:41;height:54" coordorigin="6452,1896" coordsize="41,54" path="m6452,1921l6452,1937,6462,1949,6471,1949,6483,1949,6493,1937,6493,1921,6493,1909,6483,1896,6471,1896,6462,1896,6452,1909,6452,1921xe" filled="false" stroked="true" strokeweight=".529712pt" strokecolor="#1a466e">
              <v:path arrowok="t"/>
            </v:shape>
            <v:shape style="position:absolute;left:7060;top:1518;width:40;height:53" type="#_x0000_t75" stroked="false">
              <v:imagedata r:id="rId96" o:title=""/>
            </v:shape>
            <v:shape style="position:absolute;left:7060;top:1518;width:41;height:53" coordorigin="7060,1518" coordsize="41,53" path="m7060,1543l7060,1559,7070,1571,7079,1571,7091,1571,7101,1559,7101,1543,7101,1531,7091,1518,7079,1518,7070,1518,7060,1531,7060,1543xe" filled="false" stroked="true" strokeweight=".530036pt" strokecolor="#1a466e">
              <v:path arrowok="t"/>
            </v:shape>
            <v:shape style="position:absolute;left:7796;top:2770;width:40;height:56" type="#_x0000_t75" stroked="false">
              <v:imagedata r:id="rId96" o:title=""/>
            </v:shape>
            <v:shape style="position:absolute;left:7796;top:2770;width:41;height:57" coordorigin="7796,2770" coordsize="41,57" path="m7796,2798l7796,2814,7806,2826,7815,2826,7827,2826,7836,2814,7836,2798,7836,2782,7827,2770,7815,2770,7806,2770,7796,2782,7796,2798xe" filled="false" stroked="true" strokeweight=".525485pt" strokecolor="#1a466e">
              <v:path arrowok="t"/>
            </v:shape>
            <v:shape style="position:absolute;left:9510;top:2389;width:40;height:53" type="#_x0000_t75" stroked="false">
              <v:imagedata r:id="rId96" o:title=""/>
            </v:shape>
            <v:shape style="position:absolute;left:9510;top:2389;width:41;height:54" coordorigin="9510,2389" coordsize="41,54" path="m9510,2414l9510,2430,9520,2442,9529,2442,9541,2442,9550,2430,9550,2414,9550,2402,9541,2389,9529,2389,9520,2389,9510,2402,9510,2414xe" filled="false" stroked="true" strokeweight=".529695pt" strokecolor="#1a466e">
              <v:path arrowok="t"/>
            </v:shape>
            <v:shape style="position:absolute;left:7905;top:2861;width:40;height:56" type="#_x0000_t75" stroked="false">
              <v:imagedata r:id="rId96" o:title=""/>
            </v:shape>
            <v:shape style="position:absolute;left:7905;top:2861;width:41;height:57" coordorigin="7905,2861" coordsize="41,57" path="m7905,2889l7905,2904,7915,2917,7924,2917,7936,2917,7946,2904,7946,2889,7946,2873,7936,2861,7924,2861,7915,2861,7905,2873,7905,2889xe" filled="false" stroked="true" strokeweight=".52595pt" strokecolor="#1a466e">
              <v:path arrowok="t"/>
            </v:shape>
            <v:shape style="position:absolute;left:7879;top:2729;width:43;height:53" type="#_x0000_t75" stroked="false">
              <v:imagedata r:id="rId223" o:title=""/>
            </v:shape>
            <v:shape style="position:absolute;left:7879;top:2729;width:43;height:54" coordorigin="7879,2729" coordsize="43,54" path="m7879,2754l7879,2770,7889,2782,7901,2782,7912,2782,7922,2770,7922,2754,7922,2742,7912,2729,7901,2729,7889,2729,7879,2742,7879,2754xe" filled="false" stroked="true" strokeweight=".533718pt" strokecolor="#1a466e">
              <v:path arrowok="t"/>
            </v:shape>
            <v:shape style="position:absolute;left:7922;top:2012;width:40;height:53" type="#_x0000_t75" stroked="false">
              <v:imagedata r:id="rId96" o:title=""/>
            </v:shape>
            <v:shape style="position:absolute;left:7922;top:2012;width:41;height:53" coordorigin="7922,2012" coordsize="41,53" path="m7922,2036l7922,2052,7931,2065,7941,2065,7953,2065,7962,2052,7962,2036,7962,2024,7953,2012,7941,2012,7931,2012,7922,2024,7922,2036xe" filled="false" stroked="true" strokeweight=".529866pt" strokecolor="#1a466e">
              <v:path arrowok="t"/>
            </v:shape>
            <v:shape style="position:absolute;left:7924;top:2339;width:40;height:53" type="#_x0000_t75" stroked="false">
              <v:imagedata r:id="rId96" o:title=""/>
            </v:shape>
            <v:shape style="position:absolute;left:7924;top:2339;width:41;height:53" coordorigin="7924,2339" coordsize="41,53" path="m7924,2364l7924,2380,7934,2392,7943,2392,7955,2392,7965,2380,7965,2364,7965,2352,7955,2339,7943,2339,7934,2339,7924,2352,7924,2364xe" filled="false" stroked="true" strokeweight=".529866pt" strokecolor="#1a466e">
              <v:path arrowok="t"/>
            </v:shape>
            <v:shape style="position:absolute;left:7661;top:2480;width:40;height:53" type="#_x0000_t75" stroked="false">
              <v:imagedata r:id="rId309" o:title=""/>
            </v:shape>
            <v:shape style="position:absolute;left:7661;top:2480;width:41;height:53" coordorigin="7661,2480" coordsize="41,53" path="m7661,2505l7661,2520,7670,2533,7680,2533,7692,2533,7701,2520,7701,2505,7701,2492,7692,2480,7680,2480,7670,2480,7661,2492,7661,2505xe" filled="false" stroked="true" strokeweight=".529866pt" strokecolor="#1a466e">
              <v:path arrowok="t"/>
            </v:shape>
            <v:shape style="position:absolute;left:8150;top:2770;width:40;height:56" type="#_x0000_t75" stroked="false">
              <v:imagedata r:id="rId96" o:title=""/>
            </v:shape>
            <v:shape style="position:absolute;left:8150;top:2770;width:41;height:57" coordorigin="8150,2770" coordsize="41,57" path="m8150,2798l8150,2814,8159,2826,8169,2826,8181,2826,8190,2814,8190,2798,8190,2782,8181,2770,8169,2770,8159,2770,8150,2782,8150,2798xe" filled="false" stroked="true" strokeweight=".525648pt" strokecolor="#1a466e">
              <v:path arrowok="t"/>
            </v:shape>
            <v:shape style="position:absolute;left:7632;top:3007;width:43;height:56" type="#_x0000_t75" stroked="false">
              <v:imagedata r:id="rId109" o:title=""/>
            </v:shape>
            <v:shape style="position:absolute;left:7632;top:3007;width:43;height:57" coordorigin="7632,3007" coordsize="43,57" path="m7632,3035l7632,3051,7642,3063,7654,3063,7665,3063,7675,3051,7675,3035,7675,3020,7665,3007,7654,3007,7642,3007,7632,3020,7632,3035xe" filled="false" stroked="true" strokeweight=".529695pt" strokecolor="#1a466e">
              <v:path arrowok="t"/>
            </v:shape>
            <v:shape style="position:absolute;left:7934;top:2121;width:40;height:53" type="#_x0000_t75" stroked="false">
              <v:imagedata r:id="rId96" o:title=""/>
            </v:shape>
            <v:shape style="position:absolute;left:7934;top:2121;width:41;height:54" coordorigin="7934,2121" coordsize="41,54" path="m7934,2146l7934,2162,7943,2174,7953,2174,7965,2174,7974,2162,7974,2146,7974,2133,7965,2121,7953,2121,7943,2121,7934,2133,7934,2146xe" filled="false" stroked="true" strokeweight=".529695pt" strokecolor="#1a466e">
              <v:path arrowok="t"/>
            </v:shape>
            <v:shape style="position:absolute;left:7637;top:2592;width:40;height:53" type="#_x0000_t75" stroked="false">
              <v:imagedata r:id="rId96" o:title=""/>
            </v:shape>
            <v:shape style="position:absolute;left:7637;top:2592;width:41;height:54" coordorigin="7637,2592" coordsize="41,54" path="m7637,2617l7637,2633,7646,2645,7656,2645,7668,2645,7677,2633,7677,2617,7677,2605,7668,2592,7656,2592,7646,2592,7637,2605,7637,2617xe" filled="false" stroked="true" strokeweight=".529695pt" strokecolor="#1a466e">
              <v:path arrowok="t"/>
            </v:shape>
            <v:shape style="position:absolute;left:8221;top:2873;width:43;height:56" type="#_x0000_t75" stroked="false">
              <v:imagedata r:id="rId346" o:title=""/>
            </v:shape>
            <v:shape style="position:absolute;left:8221;top:2873;width:43;height:57" coordorigin="8221,2873" coordsize="43,57" path="m8221,2901l8221,2917,8230,2929,8242,2929,8254,2929,8264,2917,8264,2901,8264,2886,8254,2873,8242,2873,8230,2873,8221,2886,8221,2901xe" filled="false" stroked="true" strokeweight=".529695pt" strokecolor="#1a466e">
              <v:path arrowok="t"/>
            </v:shape>
            <v:shape style="position:absolute;left:7687;top:2196;width:40;height:56" type="#_x0000_t75" stroked="false">
              <v:imagedata r:id="rId109" o:title=""/>
            </v:shape>
            <v:shape style="position:absolute;left:7687;top:2196;width:41;height:57" coordorigin="7687,2196" coordsize="41,57" path="m7687,2224l7687,2239,7696,2252,7706,2252,7718,2252,7727,2239,7727,2224,7727,2208,7718,2196,7706,2196,7696,2196,7687,2208,7687,2224xe" filled="false" stroked="true" strokeweight=".52595pt" strokecolor="#1a466e">
              <v:path arrowok="t"/>
            </v:shape>
            <v:shape style="position:absolute;left:7839;top:2330;width:43;height:56" type="#_x0000_t75" stroked="false">
              <v:imagedata r:id="rId96" o:title=""/>
            </v:shape>
            <v:shape style="position:absolute;left:7839;top:2330;width:43;height:57" coordorigin="7839,2330" coordsize="43,57" path="m7839,2358l7839,2374,7848,2386,7860,2386,7872,2386,7882,2374,7882,2358,7882,2343,7872,2330,7860,2330,7848,2330,7839,2343,7839,2358xe" filled="false" stroked="true" strokeweight=".529536pt" strokecolor="#1a466e">
              <v:path arrowok="t"/>
            </v:shape>
            <v:shape style="position:absolute;left:7879;top:2586;width:43;height:53" type="#_x0000_t75" stroked="false">
              <v:imagedata r:id="rId109" o:title=""/>
            </v:shape>
            <v:shape style="position:absolute;left:7879;top:2586;width:43;height:54" coordorigin="7879,2586" coordsize="43,54" path="m7879,2611l7879,2627,7889,2639,7901,2639,7912,2639,7922,2627,7922,2611,7922,2598,7912,2586,7901,2586,7889,2586,7879,2598,7879,2611xe" filled="false" stroked="true" strokeweight=".533718pt" strokecolor="#1a466e">
              <v:path arrowok="t"/>
            </v:shape>
            <v:shape style="position:absolute;left:7815;top:2508;width:40;height:56" type="#_x0000_t75" stroked="false">
              <v:imagedata r:id="rId347" o:title=""/>
            </v:shape>
            <v:shape style="position:absolute;left:7815;top:2508;width:41;height:57" coordorigin="7815,2508" coordsize="41,57" path="m7815,2536l7815,2551,7825,2564,7834,2564,7846,2564,7855,2551,7855,2536,7855,2520,7846,2508,7834,2508,7825,2508,7815,2520,7815,2536xe" filled="false" stroked="true" strokeweight=".526114pt" strokecolor="#1a466e">
              <v:path arrowok="t"/>
            </v:shape>
            <v:shape style="position:absolute;left:7884;top:2589;width:40;height:53" type="#_x0000_t75" stroked="false">
              <v:imagedata r:id="rId96" o:title=""/>
            </v:shape>
            <v:shape style="position:absolute;left:7884;top:2589;width:41;height:54" coordorigin="7884,2589" coordsize="41,54" path="m7884,2614l7884,2630,7893,2642,7903,2642,7915,2642,7924,2630,7924,2614,7924,2602,7915,2589,7903,2589,7893,2589,7884,2602,7884,2614xe" filled="false" stroked="true" strokeweight=".529695pt" strokecolor="#1a466e">
              <v:path arrowok="t"/>
            </v:shape>
            <v:shape style="position:absolute;left:773;top:4029;width:7014;height:4855" coordorigin="773,4029" coordsize="7014,4855" path="m6412,3869l6412,766m6412,3787l6372,3787m6412,3201l6372,3201m6412,2611l6372,2611m6412,2024l6372,2024m6412,1437l6372,1437m6412,847l6372,847m6412,3869l9840,3869m6474,3869l6474,3922m7134,3869l7134,3922m7796,3869l7796,3922m8456,3869l8456,3922m9116,3869l9116,3922m9778,3869l9778,3922e" filled="false" stroked="true" strokeweight=".274814pt" strokecolor="#000000">
              <v:path arrowok="t"/>
            </v:shape>
            <v:shape style="position:absolute;left:6374;top:3959;width:201;height:132" type="#_x0000_t202" filled="false" stroked="false">
              <v:textbox inset="0,0,0,0">
                <w:txbxContent>
                  <w:p>
                    <w:pPr>
                      <w:spacing w:line="131" w:lineRule="exact" w:before="0"/>
                      <w:ind w:left="0" w:right="-15" w:firstLine="0"/>
                      <w:jc w:val="left"/>
                      <w:rPr>
                        <w:rFonts w:ascii="Arial"/>
                        <w:sz w:val="13"/>
                      </w:rPr>
                    </w:pPr>
                    <w:r>
                      <w:rPr>
                        <w:rFonts w:ascii="Arial"/>
                        <w:w w:val="75"/>
                        <w:sz w:val="13"/>
                      </w:rPr>
                      <w:t>-100</w:t>
                    </w:r>
                  </w:p>
                </w:txbxContent>
              </v:textbox>
              <w10:wrap type="none"/>
            </v:shape>
            <v:shape style="position:absolute;left:7062;top:3959;width:146;height:132" type="#_x0000_t202" filled="false" stroked="false">
              <v:textbox inset="0,0,0,0">
                <w:txbxContent>
                  <w:p>
                    <w:pPr>
                      <w:spacing w:line="131" w:lineRule="exact" w:before="0"/>
                      <w:ind w:left="0" w:right="-15" w:firstLine="0"/>
                      <w:jc w:val="left"/>
                      <w:rPr>
                        <w:rFonts w:ascii="Arial"/>
                        <w:sz w:val="13"/>
                      </w:rPr>
                    </w:pPr>
                    <w:r>
                      <w:rPr>
                        <w:rFonts w:ascii="Arial"/>
                        <w:w w:val="75"/>
                        <w:sz w:val="13"/>
                      </w:rPr>
                      <w:t>-50</w:t>
                    </w:r>
                  </w:p>
                </w:txbxContent>
              </v:textbox>
              <w10:wrap type="none"/>
            </v:shape>
            <v:shape style="position:absolute;left:7768;top:3959;width:56;height:132" type="#_x0000_t202" filled="false" stroked="false">
              <v:textbox inset="0,0,0,0">
                <w:txbxContent>
                  <w:p>
                    <w:pPr>
                      <w:spacing w:line="131" w:lineRule="exact" w:before="0"/>
                      <w:ind w:left="0" w:right="0" w:firstLine="0"/>
                      <w:jc w:val="left"/>
                      <w:rPr>
                        <w:rFonts w:ascii="Arial"/>
                        <w:sz w:val="13"/>
                      </w:rPr>
                    </w:pPr>
                    <w:r>
                      <w:rPr>
                        <w:rFonts w:ascii="Arial"/>
                        <w:w w:val="76"/>
                        <w:sz w:val="13"/>
                      </w:rPr>
                      <w:t>0</w:t>
                    </w:r>
                  </w:p>
                </w:txbxContent>
              </v:textbox>
              <w10:wrap type="none"/>
            </v:shape>
            <v:shape style="position:absolute;left:8401;top:3959;width:114;height:132" type="#_x0000_t202" filled="false" stroked="false">
              <v:textbox inset="0,0,0,0">
                <w:txbxContent>
                  <w:p>
                    <w:pPr>
                      <w:spacing w:line="131" w:lineRule="exact" w:before="0"/>
                      <w:ind w:left="0" w:right="-15" w:firstLine="0"/>
                      <w:jc w:val="left"/>
                      <w:rPr>
                        <w:rFonts w:ascii="Arial"/>
                        <w:sz w:val="13"/>
                      </w:rPr>
                    </w:pPr>
                    <w:r>
                      <w:rPr>
                        <w:rFonts w:ascii="Arial"/>
                        <w:w w:val="75"/>
                        <w:sz w:val="13"/>
                      </w:rPr>
                      <w:t>50</w:t>
                    </w:r>
                  </w:p>
                </w:txbxContent>
              </v:textbox>
              <w10:wrap type="none"/>
            </v:shape>
            <v:shape style="position:absolute;left:9033;top:3959;width:167;height:132" type="#_x0000_t202" filled="false" stroked="false">
              <v:textbox inset="0,0,0,0">
                <w:txbxContent>
                  <w:p>
                    <w:pPr>
                      <w:spacing w:line="131" w:lineRule="exact" w:before="0"/>
                      <w:ind w:left="0" w:right="-16" w:firstLine="0"/>
                      <w:jc w:val="left"/>
                      <w:rPr>
                        <w:rFonts w:ascii="Arial"/>
                        <w:sz w:val="13"/>
                      </w:rPr>
                    </w:pPr>
                    <w:r>
                      <w:rPr>
                        <w:rFonts w:ascii="Arial"/>
                        <w:w w:val="75"/>
                        <w:sz w:val="13"/>
                      </w:rPr>
                      <w:t>100</w:t>
                    </w:r>
                  </w:p>
                </w:txbxContent>
              </v:textbox>
              <w10:wrap type="none"/>
            </v:shape>
            <v:shape style="position:absolute;left:9695;top:3959;width:167;height:132" type="#_x0000_t202" filled="false" stroked="false">
              <v:textbox inset="0,0,0,0">
                <w:txbxContent>
                  <w:p>
                    <w:pPr>
                      <w:spacing w:line="131" w:lineRule="exact" w:before="0"/>
                      <w:ind w:left="0" w:right="-16" w:firstLine="0"/>
                      <w:jc w:val="left"/>
                      <w:rPr>
                        <w:rFonts w:ascii="Arial"/>
                        <w:sz w:val="13"/>
                      </w:rPr>
                    </w:pPr>
                    <w:r>
                      <w:rPr>
                        <w:rFonts w:ascii="Arial"/>
                        <w:w w:val="75"/>
                        <w:sz w:val="13"/>
                      </w:rPr>
                      <w:t>150</w:t>
                    </w:r>
                  </w:p>
                </w:txbxContent>
              </v:textbox>
              <w10:wrap type="none"/>
            </v:shape>
            <v:shape style="position:absolute;left:7988;top:4087;width:274;height:132" type="#_x0000_t202" filled="false" stroked="false">
              <v:textbox inset="0,0,0,0">
                <w:txbxContent>
                  <w:p>
                    <w:pPr>
                      <w:spacing w:line="131" w:lineRule="exact" w:before="0"/>
                      <w:ind w:left="0" w:right="-12" w:firstLine="0"/>
                      <w:jc w:val="left"/>
                      <w:rPr>
                        <w:rFonts w:ascii="Arial"/>
                        <w:sz w:val="13"/>
                      </w:rPr>
                    </w:pPr>
                    <w:r>
                      <w:rPr>
                        <w:rFonts w:ascii="Arial"/>
                        <w:w w:val="75"/>
                        <w:sz w:val="13"/>
                      </w:rPr>
                      <w:t>va_35</w:t>
                    </w:r>
                  </w:p>
                </w:txbxContent>
              </v:textbox>
              <w10:wrap type="none"/>
            </v:shape>
            <w10:wrap type="none"/>
          </v:group>
        </w:pict>
      </w:r>
      <w:r>
        <w:rPr/>
        <w:pict>
          <v:shape style="position:absolute;margin-left:88.832809pt;margin-top:-79.502518pt;width:6.95pt;height:10.85pt;mso-position-horizontal-relative:page;mso-position-vertical-relative:paragraph;z-index:8752" type="#_x0000_t202" filled="false" stroked="false">
            <v:textbox inset="0,0,0,0" style="layout-flow:vertical;mso-layout-flow-alt:bottom-to-top">
              <w:txbxContent>
                <w:p>
                  <w:pPr>
                    <w:spacing w:before="5"/>
                    <w:ind w:left="20" w:right="-78" w:firstLine="0"/>
                    <w:jc w:val="left"/>
                    <w:rPr>
                      <w:rFonts w:ascii="Arial"/>
                      <w:sz w:val="10"/>
                    </w:rPr>
                  </w:pPr>
                  <w:r>
                    <w:rPr>
                      <w:rFonts w:ascii="Arial"/>
                      <w:w w:val="122"/>
                      <w:sz w:val="10"/>
                    </w:rPr>
                    <w:t>-</w:t>
                  </w:r>
                  <w:r>
                    <w:rPr>
                      <w:rFonts w:ascii="Arial"/>
                      <w:spacing w:val="-1"/>
                      <w:w w:val="122"/>
                      <w:sz w:val="10"/>
                    </w:rPr>
                    <w:t>2</w:t>
                  </w:r>
                  <w:r>
                    <w:rPr>
                      <w:rFonts w:ascii="Arial"/>
                      <w:w w:val="122"/>
                      <w:sz w:val="10"/>
                    </w:rPr>
                    <w:t>0</w:t>
                  </w:r>
                </w:p>
              </w:txbxContent>
            </v:textbox>
            <w10:wrap type="none"/>
          </v:shape>
        </w:pict>
      </w:r>
      <w:r>
        <w:rPr/>
        <w:pict>
          <v:shape style="position:absolute;margin-left:93.070221pt;margin-top:96.620125pt;width:7pt;height:9.2pt;mso-position-horizontal-relative:page;mso-position-vertical-relative:paragraph;z-index:8776" type="#_x0000_t202" filled="false" stroked="false">
            <v:textbox inset="0,0,0,0" style="layout-flow:vertical;mso-layout-flow-alt:bottom-to-top">
              <w:txbxContent>
                <w:p>
                  <w:pPr>
                    <w:spacing w:before="7"/>
                    <w:ind w:left="20" w:right="-42" w:firstLine="0"/>
                    <w:jc w:val="left"/>
                    <w:rPr>
                      <w:rFonts w:ascii="Arial"/>
                      <w:sz w:val="10"/>
                    </w:rPr>
                  </w:pPr>
                  <w:r>
                    <w:rPr>
                      <w:rFonts w:ascii="Arial"/>
                      <w:spacing w:val="-2"/>
                      <w:w w:val="131"/>
                      <w:sz w:val="10"/>
                    </w:rPr>
                    <w:t>20</w:t>
                  </w:r>
                </w:p>
              </w:txbxContent>
            </v:textbox>
            <w10:wrap type="none"/>
          </v:shape>
        </w:pict>
      </w:r>
      <w:r>
        <w:rPr/>
        <w:pict>
          <v:shape style="position:absolute;margin-left:93.070221pt;margin-top:67.276894pt;width:7pt;height:9.2pt;mso-position-horizontal-relative:page;mso-position-vertical-relative:paragraph;z-index:8800" type="#_x0000_t202" filled="false" stroked="false">
            <v:textbox inset="0,0,0,0" style="layout-flow:vertical;mso-layout-flow-alt:bottom-to-top">
              <w:txbxContent>
                <w:p>
                  <w:pPr>
                    <w:spacing w:before="7"/>
                    <w:ind w:left="20" w:right="-42" w:firstLine="0"/>
                    <w:jc w:val="left"/>
                    <w:rPr>
                      <w:rFonts w:ascii="Arial"/>
                      <w:sz w:val="10"/>
                    </w:rPr>
                  </w:pPr>
                  <w:r>
                    <w:rPr>
                      <w:rFonts w:ascii="Arial"/>
                      <w:spacing w:val="-2"/>
                      <w:w w:val="131"/>
                      <w:sz w:val="10"/>
                    </w:rPr>
                    <w:t>40</w:t>
                  </w:r>
                </w:p>
              </w:txbxContent>
            </v:textbox>
            <w10:wrap type="none"/>
          </v:shape>
        </w:pict>
      </w:r>
      <w:r>
        <w:rPr/>
        <w:pict>
          <v:shape style="position:absolute;margin-left:92.951538pt;margin-top:37.784157pt;width:7pt;height:9.2pt;mso-position-horizontal-relative:page;mso-position-vertical-relative:paragraph;z-index:8824" type="#_x0000_t202" filled="false" stroked="false">
            <v:textbox inset="0,0,0,0" style="layout-flow:vertical;mso-layout-flow-alt:bottom-to-top">
              <w:txbxContent>
                <w:p>
                  <w:pPr>
                    <w:spacing w:before="7"/>
                    <w:ind w:left="20" w:right="-42" w:firstLine="0"/>
                    <w:jc w:val="left"/>
                    <w:rPr>
                      <w:rFonts w:ascii="Arial"/>
                      <w:sz w:val="10"/>
                    </w:rPr>
                  </w:pPr>
                  <w:r>
                    <w:rPr>
                      <w:rFonts w:ascii="Arial"/>
                      <w:spacing w:val="-2"/>
                      <w:w w:val="131"/>
                      <w:sz w:val="10"/>
                    </w:rPr>
                    <w:t>60</w:t>
                  </w:r>
                </w:p>
              </w:txbxContent>
            </v:textbox>
            <w10:wrap type="none"/>
          </v:shape>
        </w:pict>
      </w:r>
      <w:r>
        <w:rPr/>
        <w:pict>
          <v:shape style="position:absolute;margin-left:307.490234pt;margin-top:96.620125pt;width:7pt;height:9.2pt;mso-position-horizontal-relative:page;mso-position-vertical-relative:paragraph;z-index:8992" type="#_x0000_t202" filled="false" stroked="false">
            <v:textbox inset="0,0,0,0" style="layout-flow:vertical;mso-layout-flow-alt:bottom-to-top">
              <w:txbxContent>
                <w:p>
                  <w:pPr>
                    <w:spacing w:before="7"/>
                    <w:ind w:left="20" w:right="-42" w:firstLine="0"/>
                    <w:jc w:val="left"/>
                    <w:rPr>
                      <w:rFonts w:ascii="Arial"/>
                      <w:sz w:val="10"/>
                    </w:rPr>
                  </w:pPr>
                  <w:r>
                    <w:rPr>
                      <w:rFonts w:ascii="Arial"/>
                      <w:spacing w:val="-2"/>
                      <w:w w:val="131"/>
                      <w:sz w:val="10"/>
                    </w:rPr>
                    <w:t>20</w:t>
                  </w:r>
                </w:p>
              </w:txbxContent>
            </v:textbox>
            <w10:wrap type="none"/>
          </v:shape>
        </w:pict>
      </w:r>
      <w:r>
        <w:rPr/>
        <w:pict>
          <v:shape style="position:absolute;margin-left:307.490234pt;margin-top:67.276894pt;width:7pt;height:9.2pt;mso-position-horizontal-relative:page;mso-position-vertical-relative:paragraph;z-index:9016" type="#_x0000_t202" filled="false" stroked="false">
            <v:textbox inset="0,0,0,0" style="layout-flow:vertical;mso-layout-flow-alt:bottom-to-top">
              <w:txbxContent>
                <w:p>
                  <w:pPr>
                    <w:spacing w:before="7"/>
                    <w:ind w:left="20" w:right="-42" w:firstLine="0"/>
                    <w:jc w:val="left"/>
                    <w:rPr>
                      <w:rFonts w:ascii="Arial"/>
                      <w:sz w:val="10"/>
                    </w:rPr>
                  </w:pPr>
                  <w:r>
                    <w:rPr>
                      <w:rFonts w:ascii="Arial"/>
                      <w:spacing w:val="-2"/>
                      <w:w w:val="131"/>
                      <w:sz w:val="10"/>
                    </w:rPr>
                    <w:t>40</w:t>
                  </w:r>
                </w:p>
              </w:txbxContent>
            </v:textbox>
            <w10:wrap type="none"/>
          </v:shape>
        </w:pict>
      </w:r>
      <w:r>
        <w:rPr/>
        <w:pict>
          <v:shape style="position:absolute;margin-left:307.371552pt;margin-top:37.784157pt;width:7pt;height:9.2pt;mso-position-horizontal-relative:page;mso-position-vertical-relative:paragraph;z-index:9040" type="#_x0000_t202" filled="false" stroked="false">
            <v:textbox inset="0,0,0,0" style="layout-flow:vertical;mso-layout-flow-alt:bottom-to-top">
              <w:txbxContent>
                <w:p>
                  <w:pPr>
                    <w:spacing w:before="7"/>
                    <w:ind w:left="20" w:right="-42" w:firstLine="0"/>
                    <w:jc w:val="left"/>
                    <w:rPr>
                      <w:rFonts w:ascii="Arial"/>
                      <w:sz w:val="10"/>
                    </w:rPr>
                  </w:pPr>
                  <w:r>
                    <w:rPr>
                      <w:rFonts w:ascii="Arial"/>
                      <w:spacing w:val="-2"/>
                      <w:w w:val="131"/>
                      <w:sz w:val="10"/>
                    </w:rPr>
                    <w:t>60</w:t>
                  </w:r>
                </w:p>
              </w:txbxContent>
            </v:textbox>
            <w10:wrap type="none"/>
          </v:shape>
        </w:pict>
      </w:r>
      <w:r>
        <w:rPr>
          <w:rFonts w:ascii="Arial" w:hAnsi="Arial"/>
        </w:rPr>
        <w:t>Región Toluca-Lerma y Valle de México</w:t>
      </w:r>
    </w:p>
    <w:p>
      <w:pPr>
        <w:spacing w:after="0"/>
        <w:rPr>
          <w:rFonts w:ascii="Arial" w:hAnsi="Arial"/>
        </w:rPr>
        <w:sectPr>
          <w:pgSz w:w="12240" w:h="15840"/>
          <w:pgMar w:header="0" w:footer="1003" w:top="1500" w:bottom="1200" w:left="1620" w:right="0"/>
        </w:sectPr>
      </w:pPr>
    </w:p>
    <w:p>
      <w:pPr>
        <w:pStyle w:val="BodyText"/>
        <w:spacing w:before="4"/>
        <w:rPr>
          <w:sz w:val="17"/>
        </w:rPr>
      </w:pPr>
      <w:r>
        <w:rPr/>
        <w:pict>
          <v:group style="position:absolute;margin-left:86.710823pt;margin-top:72.803276pt;width:199.4pt;height:180.2pt;mso-position-horizontal-relative:page;mso-position-vertical-relative:page;z-index:9208" coordorigin="1734,1456" coordsize="3988,3604">
            <v:rect style="position:absolute;left:1735;top:1456;width:3987;height:3601" filled="true" fillcolor="#eaf1f3" stroked="false">
              <v:fill type="solid"/>
            </v:rect>
            <v:shape style="position:absolute;left:1737;top:1462;width:3978;height:3595" type="#_x0000_t75" stroked="false">
              <v:imagedata r:id="rId348" o:title=""/>
            </v:shape>
            <v:rect style="position:absolute;left:1737;top:1462;width:3978;height:3595" filled="false" stroked="true" strokeweight=".273599pt" strokecolor="#eaf1f3"/>
            <v:shape style="position:absolute;left:2131;top:1588;width:3485;height:2980" type="#_x0000_t75" stroked="false">
              <v:imagedata r:id="rId349" o:title=""/>
            </v:shape>
            <v:rect style="position:absolute;left:2131;top:1588;width:3485;height:2980" filled="false" stroked="true" strokeweight=".275187pt" strokecolor="#ffffff"/>
            <v:shape style="position:absolute;left:2131;top:1660;width:3486;height:2837" coordorigin="2131,1660" coordsize="3486,2837" path="m5616,4484l2131,4484,2131,4496,5616,4496,5616,4484m5616,3920l2131,3920,2131,3932,5616,3932,5616,3920m5616,3354l2131,3354,2131,3366,5616,3366,5616,3354m5616,2790l2131,2790,2131,2802,5616,2802,5616,2790m5616,2226l2131,2226,2131,2238,5616,2238,5616,2226m5616,1660l2131,1660,2131,1672,5616,1672,5616,1660e" filled="true" fillcolor="#eaf1f3" stroked="false">
              <v:path arrowok="t"/>
              <v:fill type="solid"/>
            </v:shape>
            <v:shape style="position:absolute;left:2790;top:3480;width:41;height:51" type="#_x0000_t75" stroked="false">
              <v:imagedata r:id="rId96" o:title=""/>
            </v:shape>
            <v:shape style="position:absolute;left:2790;top:3480;width:42;height:51" coordorigin="2790,3480" coordsize="42,51" path="m2790,3504l2790,3519,2799,3531,2809,3531,2821,3531,2831,3519,2831,3504,2831,3492,2821,3480,2809,3480,2799,3480,2790,3492,2790,3504xe" filled="false" stroked="true" strokeweight=".528974pt" strokecolor="#1a466e">
              <v:path arrowok="t"/>
            </v:shape>
            <v:shape style="position:absolute;left:2843;top:3378;width:43;height:54" type="#_x0000_t75" stroked="false">
              <v:imagedata r:id="rId95" o:title=""/>
            </v:shape>
            <v:shape style="position:absolute;left:2843;top:3378;width:44;height:54" coordorigin="2843,3378" coordsize="44,54" path="m2843,3405l2843,3420,2852,3432,2865,3432,2877,3432,2886,3420,2886,3405,2886,3390,2877,3378,2865,3378,2852,3378,2843,3390,2843,3405xe" filled="false" stroked="true" strokeweight=".528838pt" strokecolor="#1a466e">
              <v:path arrowok="t"/>
            </v:shape>
            <v:shape style="position:absolute;left:2601;top:3582;width:43;height:51" type="#_x0000_t75" stroked="false">
              <v:imagedata r:id="rId96" o:title=""/>
            </v:shape>
            <v:shape style="position:absolute;left:2601;top:3582;width:44;height:51" coordorigin="2601,3582" coordsize="44,51" path="m2601,3606l2601,3621,2611,3633,2623,3633,2635,3633,2645,3621,2645,3606,2645,3594,2635,3582,2623,3582,2611,3582,2601,3594,2601,3606xe" filled="false" stroked="true" strokeweight=".532227pt" strokecolor="#1a466e">
              <v:path arrowok="t"/>
            </v:shape>
            <v:shape style="position:absolute;left:2845;top:3039;width:43;height:54" type="#_x0000_t75" stroked="false">
              <v:imagedata r:id="rId96" o:title=""/>
            </v:shape>
            <v:shape style="position:absolute;left:2845;top:3039;width:44;height:54" coordorigin="2845,3039" coordsize="44,54" path="m2845,3066l2845,3081,2855,3093,2867,3093,2879,3093,2889,3081,2889,3066,2889,3051,2879,3039,2867,3039,2855,3039,2845,3051,2845,3066xe" filled="false" stroked="true" strokeweight=".528967pt" strokecolor="#1a466e">
              <v:path arrowok="t"/>
            </v:shape>
            <v:shape style="position:absolute;left:2879;top:3234;width:41;height:51" type="#_x0000_t75" stroked="false">
              <v:imagedata r:id="rId96" o:title=""/>
            </v:shape>
            <v:shape style="position:absolute;left:2879;top:3234;width:42;height:51" coordorigin="2879,3234" coordsize="42,51" path="m2879,3258l2879,3273,2889,3285,2898,3285,2910,3285,2920,3273,2920,3258,2920,3246,2910,3234,2898,3234,2889,3234,2879,3246,2879,3258xe" filled="false" stroked="true" strokeweight=".528975pt" strokecolor="#1a466e">
              <v:path arrowok="t"/>
            </v:shape>
            <v:shape style="position:absolute;left:2790;top:3591;width:41;height:51" type="#_x0000_t75" stroked="false">
              <v:imagedata r:id="rId96" o:title=""/>
            </v:shape>
            <v:shape style="position:absolute;left:2790;top:3591;width:42;height:51" coordorigin="2790,3591" coordsize="42,51" path="m2790,3615l2790,3630,2799,3642,2809,3642,2821,3642,2831,3630,2831,3615,2831,3603,2821,3591,2809,3591,2799,3591,2790,3603,2790,3615xe" filled="false" stroked="true" strokeweight=".529111pt" strokecolor="#1a466e">
              <v:path arrowok="t"/>
            </v:shape>
            <v:shape style="position:absolute;left:2809;top:3351;width:41;height:51" type="#_x0000_t75" stroked="false">
              <v:imagedata r:id="rId96" o:title=""/>
            </v:shape>
            <v:shape style="position:absolute;left:2809;top:3351;width:42;height:51" coordorigin="2809,3351" coordsize="42,51" path="m2809,3375l2809,3390,2819,3402,2828,3402,2840,3402,2850,3390,2850,3375,2850,3363,2840,3351,2828,3351,2819,3351,2809,3363,2809,3375xe" filled="false" stroked="true" strokeweight=".528974pt" strokecolor="#1a466e">
              <v:path arrowok="t"/>
            </v:shape>
            <v:shape style="position:absolute;left:2698;top:3567;width:43;height:51" type="#_x0000_t75" stroked="false">
              <v:imagedata r:id="rId96" o:title=""/>
            </v:shape>
            <v:shape style="position:absolute;left:2698;top:3567;width:44;height:51" coordorigin="2698,3567" coordsize="44,51" path="m2698,3591l2698,3606,2708,3618,2720,3618,2732,3618,2741,3606,2741,3591,2741,3579,2732,3567,2720,3567,2708,3567,2698,3579,2698,3591xe" filled="false" stroked="true" strokeweight=".532201pt" strokecolor="#1a466e">
              <v:path arrowok="t"/>
            </v:shape>
            <v:shape style="position:absolute;left:2751;top:3297;width:43;height:54" type="#_x0000_t75" stroked="false">
              <v:imagedata r:id="rId96" o:title=""/>
            </v:shape>
            <v:shape style="position:absolute;left:2751;top:3297;width:44;height:55" coordorigin="2751,3297" coordsize="44,55" path="m2751,3324l2751,3339,2761,3351,2773,3351,2785,3351,2794,3339,2794,3324,2794,3309,2785,3297,2773,3297,2761,3297,2751,3309,2751,3324xe" filled="false" stroked="true" strokeweight=".528581pt" strokecolor="#1a466e">
              <v:path arrowok="t"/>
            </v:shape>
            <v:shape style="position:absolute;left:2642;top:3312;width:41;height:54" type="#_x0000_t75" stroked="false">
              <v:imagedata r:id="rId109" o:title=""/>
            </v:shape>
            <v:shape style="position:absolute;left:2642;top:3312;width:42;height:55" coordorigin="2642,3312" coordsize="42,55" path="m2642,3339l2642,3354,2652,3366,2662,3366,2674,3366,2683,3354,2683,3339,2683,3324,2674,3312,2662,3312,2652,3312,2642,3324,2642,3339xe" filled="false" stroked="true" strokeweight=".525469pt" strokecolor="#1a466e">
              <v:path arrowok="t"/>
            </v:shape>
            <v:shape style="position:absolute;left:2915;top:3186;width:41;height:54" type="#_x0000_t75" stroked="false">
              <v:imagedata r:id="rId350" o:title=""/>
            </v:shape>
            <v:shape style="position:absolute;left:2915;top:3186;width:41;height:54" coordorigin="2915,3186" coordsize="41,54" path="m2915,3213l2915,3228,2925,3240,2935,3240,2946,3240,2956,3228,2956,3213,2956,3198,2946,3186,2935,3186,2925,3186,2915,3198,2915,3213xe" filled="false" stroked="true" strokeweight=".525426pt" strokecolor="#1a466e">
              <v:path arrowok="t"/>
            </v:shape>
            <v:shape style="position:absolute;left:2809;top:2868;width:41;height:51" type="#_x0000_t75" stroked="false">
              <v:imagedata r:id="rId96" o:title=""/>
            </v:shape>
            <v:shape style="position:absolute;left:2809;top:2868;width:42;height:51" coordorigin="2809,2868" coordsize="42,51" path="m2809,2892l2809,2907,2819,2919,2828,2919,2840,2919,2850,2907,2850,2892,2850,2880,2840,2868,2828,2868,2819,2868,2809,2880,2809,2892xe" filled="false" stroked="true" strokeweight=".528974pt" strokecolor="#1a466e">
              <v:path arrowok="t"/>
            </v:shape>
            <v:shape style="position:absolute;left:2698;top:3932;width:43;height:51" type="#_x0000_t75" stroked="false">
              <v:imagedata r:id="rId351" o:title=""/>
            </v:shape>
            <v:shape style="position:absolute;left:2698;top:3932;width:44;height:51" coordorigin="2698,3932" coordsize="44,51" path="m2698,3956l2698,3971,2708,3983,2720,3983,2732,3983,2741,3971,2741,3956,2741,3944,2732,3932,2720,3932,2708,3932,2698,3944,2698,3956xe" filled="false" stroked="true" strokeweight=".532117pt" strokecolor="#1a466e">
              <v:path arrowok="t"/>
            </v:shape>
            <v:shape style="position:absolute;left:2898;top:2772;width:41;height:51" type="#_x0000_t75" stroked="false">
              <v:imagedata r:id="rId96" o:title=""/>
            </v:shape>
            <v:shape style="position:absolute;left:2898;top:2772;width:41;height:51" coordorigin="2898,2772" coordsize="41,51" path="m2898,2796l2898,2811,2908,2823,2918,2823,2930,2823,2939,2811,2939,2796,2939,2784,2930,2772,2918,2772,2908,2772,2898,2784,2898,2796xe" filled="false" stroked="true" strokeweight=".528701pt" strokecolor="#1a466e">
              <v:path arrowok="t"/>
            </v:shape>
            <v:shape style="position:absolute;left:3511;top:2952;width:41;height:54" type="#_x0000_t75" stroked="false">
              <v:imagedata r:id="rId352" o:title=""/>
            </v:shape>
            <v:shape style="position:absolute;left:3511;top:2952;width:42;height:54" coordorigin="3511,2952" coordsize="42,54" path="m3511,2979l3511,2994,3521,3006,3531,3006,3543,3006,3552,2994,3552,2979,3552,2964,3543,2952,3531,2952,3521,2952,3511,2964,3511,2979xe" filled="false" stroked="true" strokeweight=".525818pt" strokecolor="#1a466e">
              <v:path arrowok="t"/>
            </v:shape>
            <v:shape style="position:absolute;left:2662;top:3195;width:41;height:54" type="#_x0000_t75" stroked="false">
              <v:imagedata r:id="rId353" o:title=""/>
            </v:shape>
            <v:shape style="position:absolute;left:2662;top:3195;width:42;height:54" coordorigin="2662,3195" coordsize="42,54" path="m2662,3222l2662,3237,2671,3249,2681,3249,2693,3249,2703,3237,2703,3222,2703,3207,2693,3195,2681,3195,2671,3195,2662,3207,2662,3222xe" filled="false" stroked="true" strokeweight=".525719pt" strokecolor="#1a466e">
              <v:path arrowok="t"/>
            </v:shape>
            <v:shape style="position:absolute;left:3021;top:3797;width:41;height:51" type="#_x0000_t75" stroked="false">
              <v:imagedata r:id="rId96" o:title=""/>
            </v:shape>
            <v:shape style="position:absolute;left:3021;top:3797;width:42;height:52" coordorigin="3021,3797" coordsize="42,52" path="m3021,3822l3021,3837,3031,3849,3041,3849,3053,3849,3062,3837,3062,3822,3062,3810,3053,3797,3041,3797,3031,3797,3021,3810,3021,3822xe" filled="false" stroked="true" strokeweight=".528565pt" strokecolor="#1a466e">
              <v:path arrowok="t"/>
            </v:shape>
            <v:shape style="position:absolute;left:2705;top:3474;width:43;height:51" type="#_x0000_t75" stroked="false">
              <v:imagedata r:id="rId354" o:title=""/>
            </v:shape>
            <v:shape style="position:absolute;left:2705;top:3474;width:44;height:51" coordorigin="2705,3474" coordsize="44,51" path="m2705,3498l2705,3513,2715,3525,2727,3525,2739,3525,2749,3513,2749,3498,2749,3486,2739,3474,2727,3474,2715,3474,2705,3486,2705,3498xe" filled="false" stroked="true" strokeweight=".532061pt" strokecolor="#1a466e">
              <v:path arrowok="t"/>
            </v:shape>
            <v:shape style="position:absolute;left:2845;top:3246;width:43;height:51" type="#_x0000_t75" stroked="false">
              <v:imagedata r:id="rId96" o:title=""/>
            </v:shape>
            <v:shape style="position:absolute;left:2845;top:3246;width:44;height:51" coordorigin="2845,3246" coordsize="44,51" path="m2845,3270l2845,3285,2855,3297,2867,3297,2879,3297,2889,3285,2889,3270,2889,3258,2879,3246,2867,3246,2855,3246,2845,3258,2845,3270xe" filled="false" stroked="true" strokeweight=".532201pt" strokecolor="#1a466e">
              <v:path arrowok="t"/>
            </v:shape>
            <v:shape style="position:absolute;left:2741;top:3279;width:43;height:54" type="#_x0000_t75" stroked="false">
              <v:imagedata r:id="rId272" o:title=""/>
            </v:shape>
            <v:shape style="position:absolute;left:2741;top:3279;width:44;height:55" coordorigin="2741,3279" coordsize="44,55" path="m2741,3306l2741,3321,2751,3333,2763,3333,2775,3333,2785,3321,2785,3306,2785,3291,2775,3279,2763,3279,2751,3279,2741,3291,2741,3306xe" filled="false" stroked="true" strokeweight=".528581pt" strokecolor="#1a466e">
              <v:path arrowok="t"/>
            </v:shape>
            <v:shape style="position:absolute;left:2765;top:3414;width:41;height:54" type="#_x0000_t75" stroked="false">
              <v:imagedata r:id="rId355" o:title=""/>
            </v:shape>
            <v:shape style="position:absolute;left:2765;top:3414;width:42;height:54" coordorigin="2765,3414" coordsize="42,54" path="m2765,3441l2765,3456,2775,3468,2785,3468,2797,3468,2807,3456,2807,3441,2807,3426,2797,3414,2785,3414,2775,3414,2765,3426,2765,3441xe" filled="false" stroked="true" strokeweight=".525818pt" strokecolor="#1a466e">
              <v:path arrowok="t"/>
            </v:shape>
            <v:shape style="position:absolute;left:2855;top:3438;width:43;height:51" type="#_x0000_t75" stroked="false">
              <v:imagedata r:id="rId356" o:title=""/>
            </v:shape>
            <v:shape style="position:absolute;left:2855;top:3438;width:44;height:51" coordorigin="2855,3438" coordsize="44,51" path="m2855,3462l2855,3477,2865,3489,2877,3489,2889,3489,2898,3477,2898,3462,2898,3450,2889,3438,2877,3438,2865,3438,2855,3450,2855,3462xe" filled="false" stroked="true" strokeweight=".532061pt" strokecolor="#1a466e">
              <v:path arrowok="t"/>
            </v:shape>
            <v:shape style="position:absolute;left:2683;top:3555;width:41;height:51" type="#_x0000_t75" stroked="false">
              <v:imagedata r:id="rId109" o:title=""/>
            </v:shape>
            <v:shape style="position:absolute;left:2683;top:3555;width:42;height:52" coordorigin="2683,3555" coordsize="42,52" path="m2683,3579l2683,3594,2693,3606,2703,3606,2715,3606,2724,3594,2724,3579,2724,3567,2715,3555,2703,3555,2693,3555,2683,3567,2683,3579xe" filled="false" stroked="true" strokeweight=".528579pt" strokecolor="#1a466e">
              <v:path arrowok="t"/>
            </v:shape>
            <v:shape style="position:absolute;left:2782;top:2892;width:41;height:51" type="#_x0000_t75" stroked="false">
              <v:imagedata r:id="rId96" o:title=""/>
            </v:shape>
            <v:shape style="position:absolute;left:2782;top:2892;width:42;height:51" coordorigin="2782,2892" coordsize="42,51" path="m2782,2916l2782,2931,2792,2943,2802,2943,2814,2943,2824,2931,2824,2916,2824,2904,2814,2892,2802,2892,2792,2892,2782,2904,2782,2916xe" filled="false" stroked="true" strokeweight=".528974pt" strokecolor="#1a466e">
              <v:path arrowok="t"/>
            </v:shape>
            <v:shape style="position:absolute;left:2797;top:3300;width:41;height:54" type="#_x0000_t75" stroked="false">
              <v:imagedata r:id="rId96" o:title=""/>
            </v:shape>
            <v:shape style="position:absolute;left:2797;top:3300;width:42;height:55" coordorigin="2797,3300" coordsize="42,55" path="m2797,3327l2797,3342,2807,3354,2816,3354,2828,3354,2838,3342,2838,3327,2838,3312,2828,3300,2816,3300,2807,3300,2797,3312,2797,3327xe" filled="false" stroked="true" strokeweight=".525575pt" strokecolor="#1a466e">
              <v:path arrowok="t"/>
            </v:shape>
            <v:shape style="position:absolute;left:2828;top:3300;width:43;height:54" type="#_x0000_t75" stroked="false">
              <v:imagedata r:id="rId96" o:title=""/>
            </v:shape>
            <v:shape style="position:absolute;left:2828;top:3300;width:44;height:55" coordorigin="2828,3300" coordsize="44,55" path="m2828,3327l2828,3342,2838,3354,2850,3354,2862,3354,2872,3342,2872,3327,2872,3312,2862,3300,2850,3300,2838,3300,2828,3312,2828,3327xe" filled="false" stroked="true" strokeweight=".528581pt" strokecolor="#1a466e">
              <v:path arrowok="t"/>
            </v:shape>
            <v:shape style="position:absolute;left:2758;top:3450;width:41;height:51" type="#_x0000_t75" stroked="false">
              <v:imagedata r:id="rId357" o:title=""/>
            </v:shape>
            <v:shape style="position:absolute;left:2758;top:3450;width:42;height:51" coordorigin="2758,3450" coordsize="42,51" path="m2758,3474l2758,3489,2768,3501,2778,3501,2790,3501,2799,3489,2799,3474,2799,3462,2790,3450,2778,3450,2768,3450,2758,3462,2758,3474xe" filled="false" stroked="true" strokeweight=".528838pt" strokecolor="#1a466e">
              <v:path arrowok="t"/>
            </v:shape>
            <v:shape style="position:absolute;left:2809;top:3189;width:41;height:54" type="#_x0000_t75" stroked="false">
              <v:imagedata r:id="rId358" o:title=""/>
            </v:shape>
            <v:shape style="position:absolute;left:2809;top:3189;width:42;height:54" coordorigin="2809,3189" coordsize="42,54" path="m2809,3216l2809,3231,2819,3243,2828,3243,2840,3243,2850,3231,2850,3216,2850,3201,2840,3189,2828,3189,2819,3189,2809,3201,2809,3216xe" filled="false" stroked="true" strokeweight=".525825pt" strokecolor="#1a466e">
              <v:path arrowok="t"/>
            </v:shape>
            <v:shape style="position:absolute;left:2384;top:2185;width:41;height:54" type="#_x0000_t75" stroked="false">
              <v:imagedata r:id="rId359" o:title=""/>
            </v:shape>
            <v:shape style="position:absolute;left:2384;top:2185;width:42;height:54" coordorigin="2384,2185" coordsize="42,54" path="m2384,2211l2384,2226,2394,2238,2403,2238,2415,2238,2425,2226,2425,2211,2425,2196,2415,2185,2403,2185,2394,2185,2384,2196,2384,2211xe" filled="false" stroked="true" strokeweight=".525845pt" strokecolor="#1a466e">
              <v:path arrowok="t"/>
            </v:shape>
            <v:shape style="position:absolute;left:4597;top:4172;width:43;height:54" type="#_x0000_t75" stroked="false">
              <v:imagedata r:id="rId360" o:title=""/>
            </v:shape>
            <v:shape style="position:absolute;left:4597;top:4172;width:44;height:54" coordorigin="4597,4172" coordsize="44,54" path="m4597,4199l4597,4214,4607,4226,4619,4226,4631,4226,4641,4214,4641,4199,4641,4184,4631,4172,4619,4172,4607,4172,4597,4184,4597,4199xe" filled="false" stroked="true" strokeweight=".52889pt" strokecolor="#1a466e">
              <v:path arrowok="t"/>
            </v:shape>
            <v:shape style="position:absolute;left:2664;top:2035;width:41;height:54" type="#_x0000_t75" stroked="false">
              <v:imagedata r:id="rId114" o:title=""/>
            </v:shape>
            <v:shape style="position:absolute;left:2664;top:2035;width:42;height:54" coordorigin="2664,2035" coordsize="42,54" path="m2664,2061l2664,2076,2674,2088,2683,2088,2696,2088,2705,2076,2705,2061,2705,2046,2696,2035,2683,2035,2674,2035,2664,2046,2664,2061xe" filled="false" stroked="true" strokeweight=".525719pt" strokecolor="#1a466e">
              <v:path arrowok="t"/>
            </v:shape>
            <v:shape style="position:absolute;left:2855;top:3764;width:43;height:54" type="#_x0000_t75" stroked="false">
              <v:imagedata r:id="rId114" o:title=""/>
            </v:shape>
            <v:shape style="position:absolute;left:2855;top:3764;width:44;height:55" coordorigin="2855,3764" coordsize="44,55" path="m2855,3791l2855,3807,2865,3819,2877,3819,2889,3819,2898,3807,2898,3791,2898,3776,2889,3764,2877,3764,2865,3764,2855,3776,2855,3791xe" filled="false" stroked="true" strokeweight=".528581pt" strokecolor="#1a466e">
              <v:path arrowok="t"/>
            </v:shape>
            <v:shape style="position:absolute;left:2799;top:3348;width:41;height:51" type="#_x0000_t75" stroked="false">
              <v:imagedata r:id="rId96" o:title=""/>
            </v:shape>
            <v:shape style="position:absolute;left:2799;top:3348;width:42;height:51" coordorigin="2799,3348" coordsize="42,51" path="m2799,3372l2799,3387,2809,3399,2819,3399,2831,3399,2840,3387,2840,3372,2840,3360,2831,3348,2819,3348,2809,3348,2799,3360,2799,3372xe" filled="false" stroked="true" strokeweight=".528974pt" strokecolor="#1a466e">
              <v:path arrowok="t"/>
            </v:shape>
            <v:shape style="position:absolute;left:2693;top:3279;width:43;height:54" type="#_x0000_t75" stroked="false">
              <v:imagedata r:id="rId95" o:title=""/>
            </v:shape>
            <v:shape style="position:absolute;left:2693;top:3279;width:44;height:55" coordorigin="2693,3279" coordsize="44,55" path="m2693,3306l2693,3321,2703,3333,2715,3333,2727,3333,2737,3321,2737,3306,2737,3291,2727,3279,2715,3279,2703,3279,2693,3291,2693,3306xe" filled="false" stroked="true" strokeweight=".528593pt" strokecolor="#1a466e">
              <v:path arrowok="t"/>
            </v:shape>
            <v:shape style="position:absolute;left:2804;top:3183;width:41;height:54" type="#_x0000_t75" stroked="false">
              <v:imagedata r:id="rId361" o:title=""/>
            </v:shape>
            <v:shape style="position:absolute;left:2804;top:3183;width:42;height:54" coordorigin="2804,3183" coordsize="42,54" path="m2804,3210l2804,3225,2814,3237,2824,3237,2836,3237,2845,3225,2845,3210,2845,3195,2836,3183,2824,3183,2814,3183,2804,3195,2804,3210xe" filled="false" stroked="true" strokeweight=".525825pt" strokecolor="#1a466e">
              <v:path arrowok="t"/>
            </v:shape>
            <v:shape style="position:absolute;left:2833;top:3492;width:43;height:54" type="#_x0000_t75" stroked="false">
              <v:imagedata r:id="rId114" o:title=""/>
            </v:shape>
            <v:shape style="position:absolute;left:2833;top:3492;width:44;height:54" coordorigin="2833,3492" coordsize="44,54" path="m2833,3519l2833,3534,2843,3546,2855,3546,2867,3546,2877,3534,2877,3519,2877,3504,2867,3492,2855,3492,2843,3492,2833,3504,2833,3519xe" filled="false" stroked="true" strokeweight=".528838pt" strokecolor="#1a466e">
              <v:path arrowok="t"/>
            </v:shape>
            <v:shape style="position:absolute;left:2753;top:3297;width:41;height:54" type="#_x0000_t75" stroked="false">
              <v:imagedata r:id="rId96" o:title=""/>
            </v:shape>
            <v:shape style="position:absolute;left:2753;top:3297;width:42;height:55" coordorigin="2753,3297" coordsize="42,55" path="m2753,3324l2753,3339,2763,3351,2773,3351,2785,3351,2794,3339,2794,3324,2794,3309,2785,3297,2773,3297,2763,3297,2753,3309,2753,3324xe" filled="false" stroked="true" strokeweight=".525442pt" strokecolor="#1a466e">
              <v:path arrowok="t"/>
            </v:shape>
            <v:shape style="position:absolute;left:2746;top:3300;width:43;height:54" type="#_x0000_t75" stroked="false">
              <v:imagedata r:id="rId254" o:title=""/>
            </v:shape>
            <v:shape style="position:absolute;left:2746;top:3300;width:44;height:55" coordorigin="2746,3300" coordsize="44,55" path="m2746,3327l2746,3342,2756,3354,2768,3354,2780,3354,2790,3342,2790,3327,2790,3312,2780,3300,2768,3300,2756,3300,2746,3312,2746,3327xe" filled="false" stroked="true" strokeweight=".528581pt" strokecolor="#1a466e">
              <v:path arrowok="t"/>
            </v:shape>
            <v:shape style="position:absolute;left:2814;top:3042;width:41;height:54" type="#_x0000_t75" stroked="false">
              <v:imagedata r:id="rId109" o:title=""/>
            </v:shape>
            <v:shape style="position:absolute;left:2814;top:3042;width:42;height:55" coordorigin="2814,3042" coordsize="42,55" path="m2814,3069l2814,3084,2824,3096,2833,3096,2845,3096,2855,3084,2855,3069,2855,3054,2845,3042,2833,3042,2824,3042,2814,3054,2814,3069xe" filled="false" stroked="true" strokeweight=".525575pt" strokecolor="#1a466e">
              <v:path arrowok="t"/>
            </v:shape>
            <v:shape style="position:absolute;left:2792;top:3513;width:41;height:54" type="#_x0000_t75" stroked="false">
              <v:imagedata r:id="rId109" o:title=""/>
            </v:shape>
            <v:shape style="position:absolute;left:2792;top:3513;width:42;height:55" coordorigin="2792,3513" coordsize="42,55" path="m2792,3540l2792,3555,2802,3567,2811,3567,2824,3567,2833,3555,2833,3540,2833,3525,2824,3513,2811,3513,2802,3513,2792,3525,2792,3540xe" filled="false" stroked="true" strokeweight=".525575pt" strokecolor="#1a466e">
              <v:path arrowok="t"/>
            </v:shape>
            <v:shape style="position:absolute;left:2787;top:3240;width:41;height:51" type="#_x0000_t75" stroked="false">
              <v:imagedata r:id="rId96" o:title=""/>
            </v:shape>
            <v:shape style="position:absolute;left:2787;top:3240;width:42;height:51" coordorigin="2787,3240" coordsize="42,51" path="m2787,3264l2787,3279,2797,3291,2807,3291,2819,3291,2828,3279,2828,3264,2828,3252,2819,3240,2807,3240,2797,3240,2787,3252,2787,3264xe" filled="false" stroked="true" strokeweight=".529111pt" strokecolor="#1a466e">
              <v:path arrowok="t"/>
            </v:shape>
            <v:shape style="position:absolute;left:2768;top:3357;width:41;height:51" type="#_x0000_t75" stroked="false">
              <v:imagedata r:id="rId96" o:title=""/>
            </v:shape>
            <v:shape style="position:absolute;left:2768;top:3357;width:42;height:51" coordorigin="2768,3357" coordsize="42,51" path="m2768,3381l2768,3396,2778,3408,2787,3408,2799,3408,2809,3396,2809,3381,2809,3369,2799,3357,2787,3357,2778,3357,2768,3369,2768,3381xe" filled="false" stroked="true" strokeweight=".528838pt" strokecolor="#1a466e">
              <v:path arrowok="t"/>
            </v:shape>
            <v:shape style="position:absolute;left:2915;top:3381;width:41;height:54" type="#_x0000_t75" stroked="false">
              <v:imagedata r:id="rId96" o:title=""/>
            </v:shape>
            <v:shape style="position:absolute;left:2915;top:3381;width:41;height:54" coordorigin="2915,3381" coordsize="41,54" path="m2915,3408l2915,3423,2925,3435,2935,3435,2946,3435,2956,3423,2956,3408,2956,3393,2946,3381,2935,3381,2925,3381,2915,3393,2915,3408xe" filled="false" stroked="true" strokeweight=".525426pt" strokecolor="#1a466e">
              <v:path arrowok="t"/>
            </v:shape>
            <v:shape style="position:absolute;left:2761;top:3438;width:41;height:51" type="#_x0000_t75" stroked="false">
              <v:imagedata r:id="rId362" o:title=""/>
            </v:shape>
            <v:shape style="position:absolute;left:2761;top:3438;width:42;height:51" coordorigin="2761,3438" coordsize="42,51" path="m2761,3462l2761,3477,2770,3489,2780,3489,2792,3489,2802,3477,2802,3462,2802,3450,2792,3438,2780,3438,2770,3438,2761,3450,2761,3462xe" filled="false" stroked="true" strokeweight=".528838pt" strokecolor="#1a466e">
              <v:path arrowok="t"/>
            </v:shape>
            <v:shape style="position:absolute;left:2773;top:3471;width:41;height:51" type="#_x0000_t75" stroked="false">
              <v:imagedata r:id="rId96" o:title=""/>
            </v:shape>
            <v:shape style="position:absolute;left:2773;top:3471;width:42;height:51" coordorigin="2773,3471" coordsize="42,51" path="m2773,3495l2773,3510,2782,3522,2792,3522,2804,3522,2814,3510,2814,3495,2814,3483,2804,3471,2792,3471,2782,3471,2773,3483,2773,3495xe" filled="false" stroked="true" strokeweight=".528838pt" strokecolor="#1a466e">
              <v:path arrowok="t"/>
            </v:shape>
            <v:shape style="position:absolute;left:2927;top:3237;width:41;height:51" type="#_x0000_t75" stroked="false">
              <v:imagedata r:id="rId96" o:title=""/>
            </v:shape>
            <v:shape style="position:absolute;left:2927;top:3237;width:41;height:51" coordorigin="2927,3237" coordsize="41,51" path="m2927,3261l2927,3276,2937,3288,2946,3288,2958,3288,2968,3276,2968,3261,2968,3249,2958,3237,2946,3237,2937,3237,2927,3249,2927,3261xe" filled="false" stroked="true" strokeweight=".528701pt" strokecolor="#1a466e">
              <v:path arrowok="t"/>
            </v:shape>
            <v:shape style="position:absolute;left:2802;top:3234;width:41;height:51" type="#_x0000_t75" stroked="false">
              <v:imagedata r:id="rId96" o:title=""/>
            </v:shape>
            <v:shape style="position:absolute;left:2802;top:3234;width:42;height:51" coordorigin="2802,3234" coordsize="42,51" path="m2802,3258l2802,3273,2811,3285,2821,3285,2833,3285,2843,3273,2843,3258,2843,3246,2833,3234,2821,3234,2811,3234,2802,3246,2802,3258xe" filled="false" stroked="true" strokeweight=".529111pt" strokecolor="#1a466e">
              <v:path arrowok="t"/>
            </v:shape>
            <v:shape style="position:absolute;left:2807;top:3399;width:41;height:54" type="#_x0000_t75" stroked="false">
              <v:imagedata r:id="rId96" o:title=""/>
            </v:shape>
            <v:shape style="position:absolute;left:2807;top:3399;width:42;height:54" coordorigin="2807,3399" coordsize="42,54" path="m2807,3426l2807,3441,2816,3453,2826,3453,2838,3453,2848,3441,2848,3426,2848,3411,2838,3399,2826,3399,2816,3399,2807,3411,2807,3426xe" filled="false" stroked="true" strokeweight=".525951pt" strokecolor="#1a466e">
              <v:path arrowok="t"/>
            </v:shape>
            <v:shape style="position:absolute;left:2751;top:3453;width:43;height:51" type="#_x0000_t75" stroked="false">
              <v:imagedata r:id="rId363" o:title=""/>
            </v:shape>
            <v:shape style="position:absolute;left:2751;top:3453;width:44;height:51" coordorigin="2751,3453" coordsize="44,51" path="m2751,3477l2751,3492,2761,3504,2773,3504,2785,3504,2794,3492,2794,3477,2794,3465,2785,3453,2773,3453,2761,3453,2751,3465,2751,3477xe" filled="false" stroked="true" strokeweight=".532061pt" strokecolor="#1a466e">
              <v:path arrowok="t"/>
            </v:shape>
            <v:shape style="position:absolute;left:3181;top:3000;width:41;height:51" type="#_x0000_t75" stroked="false">
              <v:imagedata r:id="rId96" o:title=""/>
            </v:shape>
            <v:shape style="position:absolute;left:3181;top:3000;width:42;height:51" coordorigin="3181,3000" coordsize="42,51" path="m3181,3024l3181,3039,3190,3051,3200,3051,3212,3051,3222,3039,3222,3024,3222,3012,3212,3000,3200,3000,3190,3000,3181,3012,3181,3024xe" filled="false" stroked="true" strokeweight=".528838pt" strokecolor="#1a466e">
              <v:path arrowok="t"/>
            </v:shape>
            <v:shape style="position:absolute;left:2751;top:3264;width:43;height:54" type="#_x0000_t75" stroked="false">
              <v:imagedata r:id="rId109" o:title=""/>
            </v:shape>
            <v:shape style="position:absolute;left:2751;top:3264;width:44;height:54" coordorigin="2751,3264" coordsize="44,54" path="m2751,3291l2751,3306,2761,3318,2773,3318,2785,3318,2794,3306,2794,3291,2794,3276,2785,3264,2773,3264,2761,3264,2751,3276,2751,3291xe" filled="false" stroked="true" strokeweight=".528838pt" strokecolor="#1a466e">
              <v:path arrowok="t"/>
            </v:shape>
            <v:shape style="position:absolute;left:2529;top:3669;width:41;height:51" type="#_x0000_t75" stroked="false">
              <v:imagedata r:id="rId364" o:title=""/>
            </v:shape>
            <v:shape style="position:absolute;left:2529;top:3669;width:42;height:51" coordorigin="2529,3669" coordsize="42,51" path="m2529,3693l2529,3708,2539,3719,2548,3719,2560,3719,2570,3708,2570,3693,2570,3681,2560,3669,2548,3669,2539,3669,2529,3681,2529,3693xe" filled="false" stroked="true" strokeweight=".528865pt" strokecolor="#1a466e">
              <v:path arrowok="t"/>
            </v:shape>
            <v:shape style="position:absolute;left:3123;top:3024;width:44;height:51" type="#_x0000_t75" stroked="false">
              <v:imagedata r:id="rId95" o:title=""/>
            </v:shape>
            <v:shape style="position:absolute;left:3123;top:3024;width:44;height:51" coordorigin="3123,3024" coordsize="44,51" path="m3123,3048l3123,3063,3132,3075,3144,3075,3156,3075,3166,3063,3166,3048,3166,3036,3156,3024,3144,3024,3132,3024,3123,3036,3123,3048xe" filled="false" stroked="true" strokeweight=".532193pt" strokecolor="#1a466e">
              <v:path arrowok="t"/>
            </v:shape>
            <v:shape style="position:absolute;left:2913;top:3285;width:41;height:54" type="#_x0000_t75" stroked="false">
              <v:imagedata r:id="rId109" o:title=""/>
            </v:shape>
            <v:shape style="position:absolute;left:2913;top:3285;width:41;height:55" coordorigin="2913,3285" coordsize="41,55" path="m2913,3312l2913,3327,2922,3339,2932,3339,2944,3339,2954,3327,2954,3312,2954,3297,2944,3285,2932,3285,2922,3285,2913,3297,2913,3312xe" filled="false" stroked="true" strokeweight=".525177pt" strokecolor="#1a466e">
              <v:path arrowok="t"/>
            </v:shape>
            <v:shape style="position:absolute;left:2705;top:3354;width:43;height:51" type="#_x0000_t75" stroked="false">
              <v:imagedata r:id="rId354" o:title=""/>
            </v:shape>
            <v:shape style="position:absolute;left:2705;top:3354;width:44;height:51" coordorigin="2705,3354" coordsize="44,51" path="m2705,3378l2705,3393,2715,3405,2727,3405,2739,3405,2749,3393,2749,3378,2749,3366,2739,3354,2727,3354,2715,3354,2705,3366,2705,3378xe" filled="false" stroked="true" strokeweight=".532061pt" strokecolor="#1a466e">
              <v:path arrowok="t"/>
            </v:shape>
            <v:shape style="position:absolute;left:2930;top:3438;width:41;height:51" type="#_x0000_t75" stroked="false">
              <v:imagedata r:id="rId362" o:title=""/>
            </v:shape>
            <v:shape style="position:absolute;left:2930;top:3438;width:41;height:51" coordorigin="2930,3438" coordsize="41,51" path="m2930,3462l2930,3477,2939,3489,2949,3489,2961,3489,2971,3477,2971,3462,2971,3450,2961,3438,2949,3438,2939,3438,2930,3450,2930,3462xe" filled="false" stroked="true" strokeweight=".528564pt" strokecolor="#1a466e">
              <v:path arrowok="t"/>
            </v:shape>
            <v:shape style="position:absolute;left:2824;top:3528;width:43;height:54" type="#_x0000_t75" stroked="false">
              <v:imagedata r:id="rId95" o:title=""/>
            </v:shape>
            <v:shape style="position:absolute;left:2824;top:3528;width:44;height:55" coordorigin="2824,3528" coordsize="44,55" path="m2824,3555l2824,3570,2833,3582,2845,3582,2857,3582,2867,3570,2867,3555,2867,3540,2857,3528,2845,3528,2833,3528,2824,3540,2824,3555xe" filled="false" stroked="true" strokeweight=".528581pt" strokecolor="#1a466e">
              <v:path arrowok="t"/>
            </v:shape>
            <v:shape style="position:absolute;left:2758;top:3294;width:41;height:54" type="#_x0000_t75" stroked="false">
              <v:imagedata r:id="rId109" o:title=""/>
            </v:shape>
            <v:shape style="position:absolute;left:2758;top:3294;width:42;height:55" coordorigin="2758,3294" coordsize="42,55" path="m2758,3321l2758,3336,2768,3348,2778,3348,2790,3348,2799,3336,2799,3321,2799,3306,2790,3294,2778,3294,2768,3294,2758,3306,2758,3321xe" filled="false" stroked="true" strokeweight=".525442pt" strokecolor="#1a466e">
              <v:path arrowok="t"/>
            </v:shape>
            <v:shape style="position:absolute;left:2782;top:3201;width:41;height:54" type="#_x0000_t75" stroked="false">
              <v:imagedata r:id="rId365" o:title=""/>
            </v:shape>
            <v:shape style="position:absolute;left:2782;top:3201;width:42;height:54" coordorigin="2782,3201" coordsize="42,54" path="m2782,3228l2782,3243,2792,3255,2802,3255,2814,3255,2824,3243,2824,3228,2824,3213,2814,3201,2802,3201,2792,3201,2782,3213,2782,3228xe" filled="false" stroked="true" strokeweight=".525825pt" strokecolor="#1a466e">
              <v:path arrowok="t"/>
            </v:shape>
            <v:shape style="position:absolute;left:2828;top:3300;width:43;height:54" type="#_x0000_t75" stroked="false">
              <v:imagedata r:id="rId96" o:title=""/>
            </v:shape>
            <v:shape style="position:absolute;left:2828;top:3300;width:44;height:55" coordorigin="2828,3300" coordsize="44,55" path="m2828,3327l2828,3342,2838,3354,2850,3354,2862,3354,2872,3342,2872,3327,2872,3312,2862,3300,2850,3300,2838,3300,2828,3312,2828,3327xe" filled="false" stroked="true" strokeweight=".528581pt" strokecolor="#1a466e">
              <v:path arrowok="t"/>
            </v:shape>
            <v:shape style="position:absolute;left:2850;top:3093;width:43;height:51" type="#_x0000_t75" stroked="false">
              <v:imagedata r:id="rId96" o:title=""/>
            </v:shape>
            <v:shape style="position:absolute;left:2850;top:3093;width:44;height:52" coordorigin="2850,3093" coordsize="44,52" path="m2850,3117l2850,3132,2860,3144,2872,3144,2884,3144,2894,3132,2894,3117,2894,3105,2884,3093,2872,3093,2860,3093,2850,3105,2850,3117xe" filled="false" stroked="true" strokeweight=".531783pt" strokecolor="#1a466e">
              <v:path arrowok="t"/>
            </v:shape>
            <v:shape style="position:absolute;left:2640;top:3609;width:41;height:54" type="#_x0000_t75" stroked="false">
              <v:imagedata r:id="rId96" o:title=""/>
            </v:shape>
            <v:shape style="position:absolute;left:2640;top:3609;width:42;height:54" coordorigin="2640,3609" coordsize="42,54" path="m2640,3636l2640,3651,2650,3663,2659,3663,2671,3663,2681,3651,2681,3636,2681,3621,2671,3609,2659,3609,2650,3609,2640,3621,2640,3636xe" filled="false" stroked="true" strokeweight=".525845pt" strokecolor="#1a466e">
              <v:path arrowok="t"/>
            </v:shape>
            <v:shape style="position:absolute;left:2816;top:3327;width:44;height:51" type="#_x0000_t75" stroked="false">
              <v:imagedata r:id="rId96" o:title=""/>
            </v:shape>
            <v:shape style="position:absolute;left:2816;top:3327;width:44;height:52" coordorigin="2816,3327" coordsize="44,52" path="m2816,3351l2816,3366,2826,3378,2838,3378,2850,3378,2860,3366,2860,3351,2860,3339,2850,3327,2838,3327,2826,3327,2816,3339,2816,3351xe" filled="false" stroked="true" strokeweight=".531914pt" strokecolor="#1a466e">
              <v:path arrowok="t"/>
            </v:shape>
            <v:shape style="position:absolute;left:2792;top:3651;width:41;height:54" type="#_x0000_t75" stroked="false">
              <v:imagedata r:id="rId96" o:title=""/>
            </v:shape>
            <v:shape style="position:absolute;left:2792;top:3651;width:42;height:54" coordorigin="2792,3651" coordsize="42,54" path="m2792,3678l2792,3693,2802,3705,2811,3705,2824,3705,2833,3693,2833,3678,2833,3663,2824,3651,2811,3651,2802,3651,2792,3663,2792,3678xe" filled="false" stroked="true" strokeweight=".525825pt" strokecolor="#1a466e">
              <v:path arrowok="t"/>
            </v:shape>
            <v:shape style="position:absolute;left:2650;top:3794;width:41;height:51" type="#_x0000_t75" stroked="false">
              <v:imagedata r:id="rId109" o:title=""/>
            </v:shape>
            <v:shape style="position:absolute;left:2650;top:3794;width:42;height:52" coordorigin="2650,3794" coordsize="42,52" path="m2650,3819l2650,3834,2659,3846,2669,3846,2681,3846,2691,3834,2691,3819,2691,3807,2681,3794,2669,3794,2659,3794,2650,3807,2650,3819xe" filled="false" stroked="true" strokeweight=".528579pt" strokecolor="#1a466e">
              <v:path arrowok="t"/>
            </v:shape>
            <v:shape style="position:absolute;left:2775;top:3849;width:41;height:54" type="#_x0000_t75" stroked="false">
              <v:imagedata r:id="rId96" o:title=""/>
            </v:shape>
            <v:shape style="position:absolute;left:2775;top:3849;width:42;height:54" coordorigin="2775,3849" coordsize="42,54" path="m2775,3875l2775,3890,2785,3902,2794,3902,2807,3902,2816,3890,2816,3875,2816,3860,2807,3849,2794,3849,2785,3849,2775,3860,2775,3875xe" filled="false" stroked="true" strokeweight=".525743pt" strokecolor="#1a466e">
              <v:path arrowok="t"/>
            </v:shape>
            <v:shape style="position:absolute;left:2975;top:2637;width:43;height:54" type="#_x0000_t75" stroked="false">
              <v:imagedata r:id="rId366" o:title=""/>
            </v:shape>
            <v:shape style="position:absolute;left:2975;top:2637;width:44;height:54" coordorigin="2975,2637" coordsize="44,54" path="m2975,2664l2975,2679,2985,2691,2997,2691,3009,2691,3019,2679,3019,2664,3019,2649,3009,2637,2997,2637,2985,2637,2975,2649,2975,2664xe" filled="false" stroked="true" strokeweight=".528967pt" strokecolor="#1a466e">
              <v:path arrowok="t"/>
            </v:shape>
            <v:shape style="position:absolute;left:2761;top:3171;width:41;height:54" type="#_x0000_t75" stroked="false">
              <v:imagedata r:id="rId367" o:title=""/>
            </v:shape>
            <v:shape style="position:absolute;left:2761;top:3171;width:42;height:54" coordorigin="2761,3171" coordsize="42,54" path="m2761,3198l2761,3213,2770,3225,2780,3225,2792,3225,2802,3213,2802,3198,2802,3183,2792,3171,2780,3171,2770,3171,2761,3183,2761,3198xe" filled="false" stroked="true" strokeweight=".525692pt" strokecolor="#1a466e">
              <v:path arrowok="t"/>
            </v:shape>
            <v:shape style="position:absolute;left:2838;top:3408;width:43;height:54" type="#_x0000_t75" stroked="false">
              <v:imagedata r:id="rId368" o:title=""/>
            </v:shape>
            <v:shape style="position:absolute;left:2838;top:3408;width:44;height:54" coordorigin="2838,3408" coordsize="44,54" path="m2838,3435l2838,3450,2848,3462,2860,3462,2872,3462,2881,3450,2881,3435,2881,3420,2872,3408,2860,3408,2848,3408,2838,3420,2838,3435xe" filled="false" stroked="true" strokeweight=".528967pt" strokecolor="#1a466e">
              <v:path arrowok="t"/>
            </v:shape>
            <v:shape style="position:absolute;left:2780;top:3345;width:41;height:51" type="#_x0000_t75" stroked="false">
              <v:imagedata r:id="rId109" o:title=""/>
            </v:shape>
            <v:shape style="position:absolute;left:2780;top:3345;width:42;height:51" coordorigin="2780,3345" coordsize="42,51" path="m2780,3369l2780,3384,2790,3396,2799,3396,2811,3396,2821,3384,2821,3369,2821,3357,2811,3345,2799,3345,2790,3345,2780,3357,2780,3369xe" filled="false" stroked="true" strokeweight=".528974pt" strokecolor="#1a466e">
              <v:path arrowok="t"/>
            </v:shape>
            <v:shape style="position:absolute;left:2727;top:3324;width:43;height:51" type="#_x0000_t75" stroked="false">
              <v:imagedata r:id="rId369" o:title=""/>
            </v:shape>
            <v:shape style="position:absolute;left:2727;top:3324;width:44;height:52" coordorigin="2727,3324" coordsize="44,52" path="m2727,3348l2727,3363,2737,3375,2749,3375,2761,3375,2770,3363,2770,3348,2770,3336,2761,3324,2749,3324,2737,3324,2727,3336,2727,3348xe" filled="false" stroked="true" strokeweight=".531783pt" strokecolor="#1a466e">
              <v:path arrowok="t"/>
            </v:shape>
            <v:shape style="position:absolute;left:3115;top:3740;width:44;height:54" type="#_x0000_t75" stroked="false">
              <v:imagedata r:id="rId96" o:title=""/>
            </v:shape>
            <v:shape style="position:absolute;left:3115;top:3740;width:44;height:54" coordorigin="3115,3740" coordsize="44,54" path="m3115,3767l3115,3782,3125,3794,3137,3794,3149,3794,3159,3782,3159,3767,3159,3752,3149,3740,3137,3740,3125,3740,3115,3752,3115,3767xe" filled="false" stroked="true" strokeweight=".528967pt" strokecolor="#1a466e">
              <v:path arrowok="t"/>
            </v:shape>
            <v:shape style="position:absolute;left:2843;top:2793;width:43;height:51" type="#_x0000_t75" stroked="false">
              <v:imagedata r:id="rId95" o:title=""/>
            </v:shape>
            <v:shape style="position:absolute;left:2843;top:2793;width:44;height:51" coordorigin="2843,2793" coordsize="44,51" path="m2843,2817l2843,2832,2852,2844,2865,2844,2877,2844,2886,2832,2886,2817,2886,2805,2877,2793,2865,2793,2852,2793,2843,2805,2843,2817xe" filled="false" stroked="true" strokeweight=".532061pt" strokecolor="#1a466e">
              <v:path arrowok="t"/>
            </v:shape>
            <v:shape style="position:absolute;left:2792;top:3327;width:41;height:51" type="#_x0000_t75" stroked="false">
              <v:imagedata r:id="rId96" o:title=""/>
            </v:shape>
            <v:shape style="position:absolute;left:2792;top:3327;width:42;height:52" coordorigin="2792,3327" coordsize="42,52" path="m2792,3351l2792,3366,2802,3378,2811,3378,2824,3378,2833,3366,2833,3351,2833,3339,2824,3327,2811,3327,2802,3327,2792,3339,2792,3351xe" filled="false" stroked="true" strokeweight=".528702pt" strokecolor="#1a466e">
              <v:path arrowok="t"/>
            </v:shape>
            <v:shape style="position:absolute;left:2799;top:3249;width:41;height:51" type="#_x0000_t75" stroked="false">
              <v:imagedata r:id="rId96" o:title=""/>
            </v:shape>
            <v:shape style="position:absolute;left:2799;top:3249;width:42;height:51" coordorigin="2799,3249" coordsize="42,51" path="m2799,3273l2799,3288,2809,3300,2819,3300,2831,3300,2840,3288,2840,3273,2840,3261,2831,3249,2819,3249,2809,3249,2799,3261,2799,3273xe" filled="false" stroked="true" strokeweight=".529111pt" strokecolor="#1a466e">
              <v:path arrowok="t"/>
            </v:shape>
            <v:shape style="position:absolute;left:2790;top:3267;width:41;height:54" type="#_x0000_t75" stroked="false">
              <v:imagedata r:id="rId96" o:title=""/>
            </v:shape>
            <v:shape style="position:absolute;left:2790;top:3267;width:42;height:54" coordorigin="2790,3267" coordsize="42,54" path="m2790,3294l2790,3309,2799,3321,2809,3321,2821,3321,2831,3309,2831,3294,2831,3279,2821,3267,2809,3267,2799,3267,2790,3279,2790,3294xe" filled="false" stroked="true" strokeweight=".525825pt" strokecolor="#1a466e">
              <v:path arrowok="t"/>
            </v:shape>
            <v:shape style="position:absolute;left:2920;top:3456;width:41;height:51" type="#_x0000_t75" stroked="false">
              <v:imagedata r:id="rId370" o:title=""/>
            </v:shape>
            <v:shape style="position:absolute;left:2920;top:3456;width:41;height:51" coordorigin="2920,3456" coordsize="41,51" path="m2920,3480l2920,3495,2930,3507,2939,3507,2951,3507,2961,3495,2961,3480,2961,3468,2951,3456,2939,3456,2930,3456,2920,3468,2920,3480xe" filled="false" stroked="true" strokeweight=".528564pt" strokecolor="#1a466e">
              <v:path arrowok="t"/>
            </v:shape>
            <v:shape style="position:absolute;left:2362;top:3069;width:43;height:54" type="#_x0000_t75" stroked="false">
              <v:imagedata r:id="rId95" o:title=""/>
            </v:shape>
            <v:shape style="position:absolute;left:2362;top:3069;width:44;height:55" coordorigin="2362,3069" coordsize="44,55" path="m2362,3096l2362,3111,2372,3123,2384,3123,2396,3123,2406,3111,2406,3096,2406,3081,2396,3069,2384,3069,2372,3069,2362,3081,2362,3096xe" filled="false" stroked="true" strokeweight=".528606pt" strokecolor="#1a466e">
              <v:path arrowok="t"/>
            </v:shape>
            <v:shape style="position:absolute;left:4076;top:4172;width:43;height:54" type="#_x0000_t75" stroked="false">
              <v:imagedata r:id="rId360" o:title=""/>
            </v:shape>
            <v:shape style="position:absolute;left:4076;top:4172;width:44;height:54" coordorigin="4076,4172" coordsize="44,54" path="m4076,4199l4076,4214,4086,4226,4098,4226,4110,4226,4119,4214,4119,4199,4119,4184,4110,4172,4098,4172,4086,4172,4076,4184,4076,4199xe" filled="false" stroked="true" strokeweight=".52889pt" strokecolor="#1a466e">
              <v:path arrowok="t"/>
            </v:shape>
            <v:shape style="position:absolute;left:2514;top:4364;width:41;height:51" type="#_x0000_t75" stroked="false">
              <v:imagedata r:id="rId114" o:title=""/>
            </v:shape>
            <v:shape style="position:absolute;left:2514;top:4364;width:42;height:51" coordorigin="2514,4364" coordsize="42,51" path="m2514,4388l2514,4403,2524,4415,2534,4415,2546,4415,2555,4403,2555,4388,2555,4376,2546,4364,2534,4364,2524,4364,2514,4376,2514,4388xe" filled="false" stroked="true" strokeweight=".528920pt" strokecolor="#1a466e">
              <v:path arrowok="t"/>
            </v:shape>
            <v:shape style="position:absolute;left:3089;top:1933;width:43;height:54" type="#_x0000_t75" stroked="false">
              <v:imagedata r:id="rId371" o:title=""/>
            </v:shape>
            <v:shape style="position:absolute;left:3089;top:1933;width:44;height:54" coordorigin="3089,1933" coordsize="44,54" path="m3089,1960l3089,1975,3098,1987,3111,1987,3123,1987,3132,1975,3132,1960,3132,1945,3123,1933,3111,1933,3098,1933,3089,1945,3089,1960xe" filled="false" stroked="true" strokeweight=".528838pt" strokecolor="#1a466e">
              <v:path arrowok="t"/>
            </v:shape>
            <v:shape style="position:absolute;left:2819;top:2931;width:44;height:54" type="#_x0000_t75" stroked="false">
              <v:imagedata r:id="rId372" o:title=""/>
            </v:shape>
            <v:shape style="position:absolute;left:2819;top:2931;width:44;height:54" coordorigin="2819,2931" coordsize="44,54" path="m2819,2958l2819,2973,2828,2985,2840,2985,2852,2985,2862,2973,2862,2958,2862,2943,2852,2931,2840,2931,2828,2931,2819,2943,2819,2958xe" filled="false" stroked="true" strokeweight=".529096pt" strokecolor="#1a466e">
              <v:path arrowok="t"/>
            </v:shape>
            <v:shape style="position:absolute;left:2592;top:3144;width:43;height:51" type="#_x0000_t75" stroked="false">
              <v:imagedata r:id="rId95" o:title=""/>
            </v:shape>
            <v:shape style="position:absolute;left:2592;top:3144;width:44;height:51" coordorigin="2592,3144" coordsize="44,51" path="m2592,3168l2592,3183,2601,3195,2613,3195,2625,3195,2635,3183,2635,3168,2635,3156,2625,3144,2613,3144,2601,3144,2592,3156,2592,3168xe" filled="false" stroked="true" strokeweight=".532087pt" strokecolor="#1a466e">
              <v:path arrowok="t"/>
            </v:shape>
            <v:shape style="position:absolute;left:3026;top:3132;width:41;height:51" type="#_x0000_t75" stroked="false">
              <v:imagedata r:id="rId96" o:title=""/>
            </v:shape>
            <v:shape style="position:absolute;left:3026;top:3132;width:42;height:51" coordorigin="3026,3132" coordsize="42,51" path="m3026,3156l3026,3171,3036,3183,3045,3183,3057,3183,3067,3171,3067,3156,3067,3144,3057,3132,3045,3132,3036,3132,3026,3144,3026,3156xe" filled="false" stroked="true" strokeweight=".528975pt" strokecolor="#1a466e">
              <v:path arrowok="t"/>
            </v:shape>
            <v:shape style="position:absolute;left:5532;top:3986;width:41;height:54" type="#_x0000_t75" stroked="false">
              <v:imagedata r:id="rId96" o:title=""/>
            </v:shape>
            <v:shape style="position:absolute;left:5532;top:3986;width:42;height:55" coordorigin="5532,3986" coordsize="42,55" path="m5532,4013l5532,4028,5541,4040,5551,4040,5563,4040,5573,4028,5573,4013,5573,3998,5563,3986,5551,3986,5541,3986,5532,3998,5532,4013xe" filled="false" stroked="true" strokeweight=".525442pt" strokecolor="#1a466e">
              <v:path arrowok="t"/>
            </v:shape>
            <v:shape style="position:absolute;left:2357;top:2673;width:43;height:51" type="#_x0000_t75" stroked="false">
              <v:imagedata r:id="rId373" o:title=""/>
            </v:shape>
            <v:shape style="position:absolute;left:2357;top:2673;width:44;height:51" coordorigin="2357,2673" coordsize="44,51" path="m2357,2697l2357,2712,2367,2724,2379,2724,2391,2724,2401,2712,2401,2697,2401,2685,2391,2673,2379,2673,2367,2673,2357,2685,2357,2697xe" filled="false" stroked="true" strokeweight=".532087pt" strokecolor="#1a466e">
              <v:path arrowok="t"/>
            </v:shape>
            <v:shape style="position:absolute;left:2770;top:3501;width:41;height:54" type="#_x0000_t75" stroked="false">
              <v:imagedata r:id="rId96" o:title=""/>
            </v:shape>
            <v:shape style="position:absolute;left:2770;top:3501;width:42;height:54" coordorigin="2770,3501" coordsize="42,54" path="m2770,3528l2770,3543,2780,3555,2790,3555,2802,3555,2811,3543,2811,3528,2811,3513,2802,3501,2790,3501,2780,3501,2770,3513,2770,3528xe" filled="false" stroked="true" strokeweight=".525692pt" strokecolor="#1a466e">
              <v:path arrowok="t"/>
            </v:shape>
            <v:shape style="position:absolute;left:3598;top:2310;width:43;height:51" type="#_x0000_t75" stroked="false">
              <v:imagedata r:id="rId96" o:title=""/>
            </v:shape>
            <v:shape style="position:absolute;left:3598;top:2310;width:44;height:51" coordorigin="3598,2310" coordsize="44,51" path="m3598,2334l3598,2349,3608,2361,3620,2361,3632,2361,3642,2349,3642,2334,3642,2322,3632,2310,3620,2310,3608,2310,3598,2322,3598,2334xe" filled="false" stroked="true" strokeweight=".532201pt" strokecolor="#1a466e">
              <v:path arrowok="t"/>
            </v:shape>
            <v:shape style="position:absolute;left:2850;top:3513;width:43;height:54" type="#_x0000_t75" stroked="false">
              <v:imagedata r:id="rId109" o:title=""/>
            </v:shape>
            <v:shape style="position:absolute;left:2850;top:3513;width:44;height:55" coordorigin="2850,3513" coordsize="44,55" path="m2850,3540l2850,3555,2860,3567,2872,3567,2884,3567,2894,3555,2894,3540,2894,3525,2884,3513,2872,3513,2860,3513,2850,3525,2850,3540xe" filled="false" stroked="true" strokeweight=".528581pt" strokecolor="#1a466e">
              <v:path arrowok="t"/>
            </v:shape>
            <v:shape style="position:absolute;left:2688;top:3147;width:41;height:51" type="#_x0000_t75" stroked="false">
              <v:imagedata r:id="rId96" o:title=""/>
            </v:shape>
            <v:shape style="position:absolute;left:2688;top:3147;width:42;height:51" coordorigin="2688,3147" coordsize="42,51" path="m2688,3171l2688,3186,2698,3198,2708,3198,2720,3198,2729,3186,2729,3171,2729,3159,2720,3147,2708,3147,2698,3147,2688,3159,2688,3171xe" filled="false" stroked="true" strokeweight=".528852pt" strokecolor="#1a466e">
              <v:path arrowok="t"/>
            </v:shape>
            <v:shape style="position:absolute;left:2949;top:3600;width:43;height:54" type="#_x0000_t75" stroked="false">
              <v:imagedata r:id="rId96" o:title=""/>
            </v:shape>
            <v:shape style="position:absolute;left:2949;top:3600;width:44;height:54" coordorigin="2949,3600" coordsize="44,54" path="m2949,3627l2949,3642,2958,3654,2971,3654,2983,3654,2992,3642,2992,3627,2992,3612,2983,3600,2971,3600,2958,3600,2949,3612,2949,3627xe" filled="false" stroked="true" strokeweight=".528967pt" strokecolor="#1a466e">
              <v:path arrowok="t"/>
            </v:shape>
            <v:shape style="position:absolute;left:2587;top:3474;width:43;height:51" type="#_x0000_t75" stroked="false">
              <v:imagedata r:id="rId96" o:title=""/>
            </v:shape>
            <v:shape style="position:absolute;left:2587;top:3474;width:44;height:51" coordorigin="2587,3474" coordsize="44,51" path="m2587,3498l2587,3513,2597,3525,2609,3525,2621,3525,2630,3513,2630,3498,2630,3486,2621,3474,2609,3474,2597,3474,2587,3486,2587,3498xe" filled="false" stroked="true" strokeweight=".532087pt" strokecolor="#1a466e">
              <v:path arrowok="t"/>
            </v:shape>
            <v:shape style="position:absolute;left:3395;top:2784;width:41;height:51" type="#_x0000_t75" stroked="false">
              <v:imagedata r:id="rId96" o:title=""/>
            </v:shape>
            <v:shape style="position:absolute;left:3395;top:2784;width:42;height:51" coordorigin="3395,2784" coordsize="42,51" path="m3395,2808l3395,2823,3405,2835,3415,2835,3427,2835,3437,2823,3437,2808,3437,2796,3427,2784,3415,2784,3405,2784,3395,2796,3395,2808xe" filled="false" stroked="true" strokeweight=".528975pt" strokecolor="#1a466e">
              <v:path arrowok="t"/>
            </v:shape>
            <v:shape style="position:absolute;left:2862;top:3099;width:43;height:51" type="#_x0000_t75" stroked="false">
              <v:imagedata r:id="rId95" o:title=""/>
            </v:shape>
            <v:shape style="position:absolute;left:2862;top:3099;width:44;height:51" coordorigin="2862,3099" coordsize="44,51" path="m2862,3123l2862,3138,2872,3150,2884,3150,2896,3150,2906,3138,2906,3123,2906,3111,2896,3099,2884,3099,2872,3099,2862,3111,2862,3123xe" filled="false" stroked="true" strokeweight=".532201pt" strokecolor="#1a466e">
              <v:path arrowok="t"/>
            </v:shape>
            <v:shape style="position:absolute;left:2932;top:3234;width:41;height:51" type="#_x0000_t75" stroked="false">
              <v:imagedata r:id="rId96" o:title=""/>
            </v:shape>
            <v:shape style="position:absolute;left:2932;top:3234;width:41;height:51" coordorigin="2932,3234" coordsize="41,51" path="m2932,3258l2932,3273,2942,3285,2951,3285,2963,3285,2973,3273,2973,3258,2973,3246,2963,3234,2951,3234,2942,3234,2932,3246,2932,3258xe" filled="false" stroked="true" strokeweight=".528701pt" strokecolor="#1a466e">
              <v:path arrowok="t"/>
            </v:shape>
            <v:shape style="position:absolute;left:2807;top:3513;width:41;height:54" type="#_x0000_t75" stroked="false">
              <v:imagedata r:id="rId109" o:title=""/>
            </v:shape>
            <v:shape style="position:absolute;left:2807;top:3513;width:42;height:55" coordorigin="2807,3513" coordsize="42,55" path="m2807,3540l2807,3555,2816,3567,2826,3567,2838,3567,2848,3555,2848,3540,2848,3525,2838,3513,2826,3513,2816,3513,2807,3525,2807,3540xe" filled="false" stroked="true" strokeweight=".525575pt" strokecolor="#1a466e">
              <v:path arrowok="t"/>
            </v:shape>
            <v:shape style="position:absolute;left:2659;top:3740;width:41;height:54" type="#_x0000_t75" stroked="false">
              <v:imagedata r:id="rId96" o:title=""/>
            </v:shape>
            <v:shape style="position:absolute;left:2659;top:3740;width:42;height:54" coordorigin="2659,3740" coordsize="42,54" path="m2659,3767l2659,3782,2669,3794,2679,3794,2691,3794,2700,3782,2700,3767,2700,3752,2691,3740,2679,3740,2669,3740,2659,3752,2659,3767xe" filled="false" stroked="true" strokeweight=".525719pt" strokecolor="#1a466e">
              <v:path arrowok="t"/>
            </v:shape>
            <v:shape style="position:absolute;left:2968;top:2889;width:43;height:51" type="#_x0000_t75" stroked="false">
              <v:imagedata r:id="rId374" o:title=""/>
            </v:shape>
            <v:shape style="position:absolute;left:2968;top:2889;width:44;height:51" coordorigin="2968,2889" coordsize="44,51" path="m2968,2913l2968,2928,2978,2940,2990,2940,3002,2940,3012,2928,3012,2913,3012,2901,3002,2889,2990,2889,2978,2889,2968,2901,2968,2913xe" filled="false" stroked="true" strokeweight=".532061pt" strokecolor="#1a466e">
              <v:path arrowok="t"/>
            </v:shape>
            <v:shape style="position:absolute;left:2840;top:3342;width:43;height:51" type="#_x0000_t75" stroked="false">
              <v:imagedata r:id="rId96" o:title=""/>
            </v:shape>
            <v:shape style="position:absolute;left:2840;top:3342;width:44;height:51" coordorigin="2840,3342" coordsize="44,51" path="m2840,3366l2840,3381,2850,3393,2862,3393,2874,3393,2884,3381,2884,3366,2884,3354,2874,3342,2862,3342,2850,3342,2840,3354,2840,3366xe" filled="false" stroked="true" strokeweight=".532061pt" strokecolor="#1a466e">
              <v:path arrowok="t"/>
            </v:shape>
            <v:shape style="position:absolute;left:2749;top:3612;width:43;height:54" type="#_x0000_t75" stroked="false">
              <v:imagedata r:id="rId109" o:title=""/>
            </v:shape>
            <v:shape style="position:absolute;left:2749;top:3612;width:44;height:54" coordorigin="2749,3612" coordsize="44,54" path="m2749,3639l2749,3654,2758,3666,2770,3666,2782,3666,2792,3654,2792,3639,2792,3624,2782,3612,2770,3612,2758,3612,2749,3624,2749,3639xe" filled="false" stroked="true" strokeweight=".528838pt" strokecolor="#1a466e">
              <v:path arrowok="t"/>
            </v:shape>
            <v:shape style="position:absolute;left:2852;top:2961;width:43;height:54" type="#_x0000_t75" stroked="false">
              <v:imagedata r:id="rId95" o:title=""/>
            </v:shape>
            <v:shape style="position:absolute;left:2852;top:2961;width:44;height:54" coordorigin="2852,2961" coordsize="44,54" path="m2852,2988l2852,3003,2862,3015,2874,3015,2886,3015,2896,3003,2896,2988,2896,2973,2886,2961,2874,2961,2862,2961,2852,2973,2852,2988xe" filled="false" stroked="true" strokeweight=".528967pt" strokecolor="#1a466e">
              <v:path arrowok="t"/>
            </v:shape>
            <v:shape style="position:absolute;left:2884;top:3090;width:41;height:54" type="#_x0000_t75" stroked="false">
              <v:imagedata r:id="rId96" o:title=""/>
            </v:shape>
            <v:shape style="position:absolute;left:2884;top:3090;width:42;height:55" coordorigin="2884,3090" coordsize="42,55" path="m2884,3117l2884,3132,2894,3144,2903,3144,2915,3144,2925,3132,2925,3117,2925,3102,2915,3090,2903,3090,2894,3090,2884,3102,2884,3117xe" filled="false" stroked="true" strokeweight=".525442pt" strokecolor="#1a466e">
              <v:path arrowok="t"/>
            </v:shape>
            <v:shape style="position:absolute;left:2809;top:3336;width:41;height:51" type="#_x0000_t75" stroked="false">
              <v:imagedata r:id="rId96" o:title=""/>
            </v:shape>
            <v:shape style="position:absolute;left:2809;top:3336;width:42;height:51" coordorigin="2809,3336" coordsize="42,51" path="m2809,3360l2809,3375,2819,3387,2828,3387,2840,3387,2850,3375,2850,3360,2850,3348,2840,3336,2828,3336,2819,3336,2809,3348,2809,3360xe" filled="false" stroked="true" strokeweight=".528974pt" strokecolor="#1a466e">
              <v:path arrowok="t"/>
            </v:shape>
            <v:shape style="position:absolute;left:2780;top:3261;width:41;height:54" type="#_x0000_t75" stroked="false">
              <v:imagedata r:id="rId96" o:title=""/>
            </v:shape>
            <v:shape style="position:absolute;left:2780;top:3261;width:42;height:54" coordorigin="2780,3261" coordsize="42,54" path="m2780,3288l2780,3303,2790,3315,2799,3315,2811,3315,2821,3303,2821,3288,2821,3273,2811,3261,2799,3261,2790,3261,2780,3273,2780,3288xe" filled="false" stroked="true" strokeweight=".525951pt" strokecolor="#1a466e">
              <v:path arrowok="t"/>
            </v:shape>
            <v:shape style="position:absolute;left:2799;top:3339;width:41;height:51" type="#_x0000_t75" stroked="false">
              <v:imagedata r:id="rId96" o:title=""/>
            </v:shape>
            <v:shape style="position:absolute;left:2799;top:3339;width:42;height:51" coordorigin="2799,3339" coordsize="42,51" path="m2799,3363l2799,3378,2809,3390,2819,3390,2831,3390,2840,3378,2840,3363,2840,3351,2831,3339,2819,3339,2809,3339,2799,3351,2799,3363xe" filled="false" stroked="true" strokeweight=".528974pt" strokecolor="#1a466e">
              <v:path arrowok="t"/>
            </v:shape>
            <v:shape style="position:absolute;left:773;top:10215;width:7014;height:4855" coordorigin="773,10215" coordsize="7014,4855" path="m2131,4568l2131,1588m2131,4490l2090,4490m2131,3926l2090,3926m2131,3360l2090,3360m2131,2796l2090,2796m2131,2232l2090,2232m2131,1666l2090,1666m2131,4568l5616,4568m2193,4568l2193,4619m2816,4568l2816,4619m3439,4568l3439,4619m4062,4568l4062,4619m4684,4568l4684,4619m5310,4568l5310,4619e" filled="false" stroked="true" strokeweight=".270651pt" strokecolor="#000000">
              <v:path arrowok="t"/>
            </v:shape>
            <v:shape style="position:absolute;left:2092;top:4655;width:204;height:126" type="#_x0000_t202" filled="false" stroked="false">
              <v:textbox inset="0,0,0,0">
                <w:txbxContent>
                  <w:p>
                    <w:pPr>
                      <w:spacing w:line="126" w:lineRule="exact" w:before="0"/>
                      <w:ind w:left="0" w:right="-9" w:firstLine="0"/>
                      <w:jc w:val="left"/>
                      <w:rPr>
                        <w:rFonts w:ascii="Arial"/>
                        <w:sz w:val="12"/>
                      </w:rPr>
                    </w:pPr>
                    <w:r>
                      <w:rPr>
                        <w:rFonts w:ascii="Arial"/>
                        <w:w w:val="80"/>
                        <w:sz w:val="12"/>
                      </w:rPr>
                      <w:t>-100</w:t>
                    </w:r>
                  </w:p>
                </w:txbxContent>
              </v:textbox>
              <w10:wrap type="none"/>
            </v:shape>
            <v:shape style="position:absolute;left:2787;top:4655;width:57;height:126" type="#_x0000_t202" filled="false" stroked="false">
              <v:textbox inset="0,0,0,0">
                <w:txbxContent>
                  <w:p>
                    <w:pPr>
                      <w:spacing w:line="126" w:lineRule="exact" w:before="0"/>
                      <w:ind w:left="0" w:right="0" w:firstLine="0"/>
                      <w:jc w:val="left"/>
                      <w:rPr>
                        <w:rFonts w:ascii="Arial"/>
                        <w:sz w:val="12"/>
                      </w:rPr>
                    </w:pPr>
                    <w:r>
                      <w:rPr>
                        <w:rFonts w:ascii="Arial"/>
                        <w:w w:val="84"/>
                        <w:sz w:val="12"/>
                      </w:rPr>
                      <w:t>0</w:t>
                    </w:r>
                  </w:p>
                </w:txbxContent>
              </v:textbox>
              <w10:wrap type="none"/>
            </v:shape>
            <v:shape style="position:absolute;left:3354;top:4655;width:793;height:249" type="#_x0000_t202" filled="false" stroked="false">
              <v:textbox inset="0,0,0,0">
                <w:txbxContent>
                  <w:p>
                    <w:pPr>
                      <w:tabs>
                        <w:tab w:pos="622" w:val="left" w:leader="none"/>
                      </w:tabs>
                      <w:spacing w:line="120" w:lineRule="exact" w:before="0"/>
                      <w:ind w:left="0" w:right="0" w:firstLine="0"/>
                      <w:jc w:val="left"/>
                      <w:rPr>
                        <w:rFonts w:ascii="Arial"/>
                        <w:sz w:val="12"/>
                      </w:rPr>
                    </w:pPr>
                    <w:r>
                      <w:rPr>
                        <w:rFonts w:ascii="Arial"/>
                        <w:w w:val="95"/>
                        <w:sz w:val="12"/>
                      </w:rPr>
                      <w:t>100</w:t>
                      <w:tab/>
                    </w:r>
                    <w:r>
                      <w:rPr>
                        <w:rFonts w:ascii="Arial"/>
                        <w:w w:val="85"/>
                        <w:sz w:val="12"/>
                      </w:rPr>
                      <w:t>200</w:t>
                    </w:r>
                  </w:p>
                  <w:p>
                    <w:pPr>
                      <w:spacing w:line="129" w:lineRule="exact" w:before="0"/>
                      <w:ind w:left="379" w:right="0" w:firstLine="0"/>
                      <w:jc w:val="left"/>
                      <w:rPr>
                        <w:rFonts w:ascii="Arial"/>
                        <w:sz w:val="12"/>
                      </w:rPr>
                    </w:pPr>
                    <w:r>
                      <w:rPr>
                        <w:rFonts w:ascii="Arial"/>
                        <w:w w:val="95"/>
                        <w:sz w:val="12"/>
                      </w:rPr>
                      <w:t>va_38</w:t>
                    </w:r>
                  </w:p>
                </w:txbxContent>
              </v:textbox>
              <w10:wrap type="none"/>
            </v:shape>
            <v:shape style="position:absolute;left:4600;top:4655;width:170;height:126" type="#_x0000_t202" filled="false" stroked="false">
              <v:textbox inset="0,0,0,0">
                <w:txbxContent>
                  <w:p>
                    <w:pPr>
                      <w:spacing w:line="126" w:lineRule="exact" w:before="0"/>
                      <w:ind w:left="0" w:right="-11" w:firstLine="0"/>
                      <w:jc w:val="left"/>
                      <w:rPr>
                        <w:rFonts w:ascii="Arial"/>
                        <w:sz w:val="12"/>
                      </w:rPr>
                    </w:pPr>
                    <w:r>
                      <w:rPr>
                        <w:rFonts w:ascii="Arial"/>
                        <w:w w:val="80"/>
                        <w:sz w:val="12"/>
                      </w:rPr>
                      <w:t>300</w:t>
                    </w:r>
                  </w:p>
                </w:txbxContent>
              </v:textbox>
              <w10:wrap type="none"/>
            </v:shape>
            <v:shape style="position:absolute;left:5225;top:4655;width:170;height:126" type="#_x0000_t202" filled="false" stroked="false">
              <v:textbox inset="0,0,0,0">
                <w:txbxContent>
                  <w:p>
                    <w:pPr>
                      <w:spacing w:line="126" w:lineRule="exact" w:before="0"/>
                      <w:ind w:left="0" w:right="-11" w:firstLine="0"/>
                      <w:jc w:val="left"/>
                      <w:rPr>
                        <w:rFonts w:ascii="Arial"/>
                        <w:sz w:val="12"/>
                      </w:rPr>
                    </w:pPr>
                    <w:r>
                      <w:rPr>
                        <w:rFonts w:ascii="Arial"/>
                        <w:w w:val="80"/>
                        <w:sz w:val="12"/>
                      </w:rPr>
                      <w:t>400</w:t>
                    </w:r>
                  </w:p>
                </w:txbxContent>
              </v:textbox>
              <w10:wrap type="none"/>
            </v:shape>
            <w10:wrap type="none"/>
          </v:group>
        </w:pict>
      </w:r>
      <w:r>
        <w:rPr/>
        <w:pict>
          <v:group style="position:absolute;margin-left:301.636108pt;margin-top:78.098518pt;width:187.9pt;height:175.3pt;mso-position-horizontal-relative:page;mso-position-vertical-relative:page;z-index:9400" coordorigin="6033,1562" coordsize="3758,3506">
            <v:rect style="position:absolute;left:6033;top:1562;width:3757;height:3503" filled="true" fillcolor="#eaf1f3" stroked="false">
              <v:fill type="solid"/>
            </v:rect>
            <v:shape style="position:absolute;left:6036;top:1568;width:3748;height:3497" type="#_x0000_t75" stroked="false">
              <v:imagedata r:id="rId375" o:title=""/>
            </v:shape>
            <v:rect style="position:absolute;left:6036;top:1568;width:3748;height:3497" filled="false" stroked="true" strokeweight=".261806pt" strokecolor="#eaf1f3"/>
            <v:shape style="position:absolute;left:6407;top:1690;width:3284;height:2899" type="#_x0000_t75" stroked="false">
              <v:imagedata r:id="rId376" o:title=""/>
            </v:shape>
            <v:rect style="position:absolute;left:6407;top:1690;width:3284;height:2899" filled="false" stroked="true" strokeweight=".263564pt" strokecolor="#ffffff"/>
            <v:shape style="position:absolute;left:6407;top:1760;width:3284;height:2550" coordorigin="6407,1760" coordsize="3284,2550" path="m9690,4298l6407,4298,6407,4309,9690,4309,9690,4298m9690,3665l6407,3665,6407,3676,9690,3676,9690,3665m9690,3029l6407,3029,6407,3040,9690,3040,9690,3029m9690,2396l6407,2396,6407,2407,9690,2407,9690,2396m9690,1760l6407,1760,6407,1772,9690,1772,9690,1760e" filled="true" fillcolor="#eaf1f3" stroked="false">
              <v:path arrowok="t"/>
              <v:fill type="solid"/>
            </v:shape>
            <v:shape style="position:absolute;left:7589;top:3685;width:39;height:52" type="#_x0000_t75" stroked="false">
              <v:imagedata r:id="rId377" o:title=""/>
            </v:shape>
            <v:shape style="position:absolute;left:7589;top:3685;width:39;height:53" coordorigin="7589,3685" coordsize="39,53" path="m7589,3711l7589,3726,7598,3737,7607,3737,7619,3737,7628,3726,7628,3711,7628,3697,7619,3685,7607,3685,7598,3685,7589,3697,7589,3711xe" filled="false" stroked="true" strokeweight=".500123pt" strokecolor="#1a466e">
              <v:path arrowok="t"/>
            </v:shape>
            <v:shape style="position:absolute;left:7757;top:3399;width:41;height:50" type="#_x0000_t75" stroked="false">
              <v:imagedata r:id="rId96" o:title=""/>
            </v:shape>
            <v:shape style="position:absolute;left:7757;top:3399;width:42;height:50" coordorigin="7757,3399" coordsize="42,50" path="m7757,3423l7757,3437,7766,3449,7778,3449,7789,3449,7798,3437,7798,3423,7798,3411,7789,3399,7778,3399,7766,3399,7757,3411,7757,3423xe" filled="false" stroked="true" strokeweight=".507165pt" strokecolor="#1a466e">
              <v:path arrowok="t"/>
            </v:shape>
            <v:shape style="position:absolute;left:7641;top:4108;width:41;height:52" type="#_x0000_t75" stroked="false">
              <v:imagedata r:id="rId96" o:title=""/>
            </v:shape>
            <v:shape style="position:absolute;left:7641;top:4108;width:41;height:53" coordorigin="7641,4108" coordsize="41,53" path="m7641,4134l7641,4149,7650,4160,7662,4160,7673,4160,7682,4149,7682,4134,7682,4120,7673,4108,7662,4108,7650,4108,7641,4120,7641,4134xe" filled="false" stroked="true" strokeweight=".50358pt" strokecolor="#1a466e">
              <v:path arrowok="t"/>
            </v:shape>
            <v:shape style="position:absolute;left:7971;top:3163;width:39;height:49" type="#_x0000_t75" stroked="false">
              <v:imagedata r:id="rId378" o:title=""/>
            </v:shape>
            <v:shape style="position:absolute;left:7971;top:3163;width:39;height:50" coordorigin="7971,3163" coordsize="39,50" path="m7971,3186l7971,3201,7980,3213,7989,3213,8000,3213,8010,3201,8010,3186,8010,3175,8000,3163,7989,3163,7980,3163,7971,3175,7971,3186xe" filled="false" stroked="true" strokeweight=".503673pt" strokecolor="#1a466e">
              <v:path arrowok="t"/>
            </v:shape>
            <v:shape style="position:absolute;left:7730;top:3396;width:39;height:50" type="#_x0000_t75" stroked="false">
              <v:imagedata r:id="rId379" o:title=""/>
            </v:shape>
            <v:shape style="position:absolute;left:7730;top:3396;width:39;height:50" coordorigin="7730,3396" coordsize="39,50" path="m7730,3420l7730,3434,7739,3446,7748,3446,7760,3446,7769,3434,7769,3420,7769,3408,7760,3396,7748,3396,7739,3396,7730,3408,7730,3420xe" filled="false" stroked="true" strokeweight=".503524pt" strokecolor="#1a466e">
              <v:path arrowok="t"/>
            </v:shape>
            <v:shape style="position:absolute;left:7757;top:3796;width:41;height:53" type="#_x0000_t75" stroked="false">
              <v:imagedata r:id="rId96" o:title=""/>
            </v:shape>
            <v:shape style="position:absolute;left:7757;top:3796;width:42;height:53" coordorigin="7757,3796" coordsize="42,53" path="m7757,3822l7757,3836,7766,3848,7778,3848,7789,3848,7798,3836,7798,3822,7798,3807,7789,3796,7778,3796,7766,3796,7757,3807,7757,3822xe" filled="false" stroked="true" strokeweight=".503385pt" strokecolor="#1a466e">
              <v:path arrowok="t"/>
            </v:shape>
            <v:shape style="position:absolute;left:7707;top:3735;width:39;height:49" type="#_x0000_t75" stroked="false">
              <v:imagedata r:id="rId380" o:title=""/>
            </v:shape>
            <v:shape style="position:absolute;left:7707;top:3735;width:39;height:50" coordorigin="7707,3735" coordsize="39,50" path="m7707,3758l7707,3772,7716,3784,7725,3784,7737,3784,7746,3772,7746,3758,7746,3746,7737,3735,7725,3735,7716,3735,7707,3746,7707,3758xe" filled="false" stroked="true" strokeweight=".503673pt" strokecolor="#1a466e">
              <v:path arrowok="t"/>
            </v:shape>
            <v:shape style="position:absolute;left:7578;top:4012;width:41;height:52" type="#_x0000_t75" stroked="false">
              <v:imagedata r:id="rId96" o:title=""/>
            </v:shape>
            <v:shape style="position:absolute;left:7578;top:4012;width:41;height:53" coordorigin="7578,4012" coordsize="41,53" path="m7578,4038l7578,4052,7587,4064,7598,4064,7609,4064,7619,4052,7619,4038,7619,4023,7609,4012,7598,4012,7587,4012,7578,4023,7578,4038xe" filled="false" stroked="true" strokeweight=".50358pt" strokecolor="#1a466e">
              <v:path arrowok="t"/>
            </v:shape>
            <v:shape style="position:absolute;left:7687;top:3559;width:41;height:52" type="#_x0000_t75" stroked="false">
              <v:imagedata r:id="rId96" o:title=""/>
            </v:shape>
            <v:shape style="position:absolute;left:7687;top:3559;width:41;height:53" coordorigin="7687,3559" coordsize="41,53" path="m7687,3586l7687,3600,7696,3612,7707,3612,7719,3612,7728,3600,7728,3586,7728,3571,7719,3559,7707,3559,7696,3559,7687,3571,7687,3586xe" filled="false" stroked="true" strokeweight=".503664pt" strokecolor="#1a466e">
              <v:path arrowok="t"/>
            </v:shape>
            <v:shape style="position:absolute;left:8244;top:2801;width:41;height:52" type="#_x0000_t75" stroked="false">
              <v:imagedata r:id="rId96" o:title=""/>
            </v:shape>
            <v:shape style="position:absolute;left:8244;top:2801;width:41;height:53" coordorigin="8244,2801" coordsize="41,53" path="m8244,2828l8244,2842,8253,2854,8264,2854,8276,2854,8285,2842,8285,2828,8285,2813,8276,2801,8264,2801,8253,2801,8244,2813,8244,2828xe" filled="false" stroked="true" strokeweight=".503524pt" strokecolor="#1a466e">
              <v:path arrowok="t"/>
            </v:shape>
            <v:shape style="position:absolute;left:7851;top:3594;width:39;height:50" type="#_x0000_t75" stroked="false">
              <v:imagedata r:id="rId96" o:title=""/>
            </v:shape>
            <v:shape style="position:absolute;left:7851;top:3594;width:39;height:50" coordorigin="7851,3594" coordsize="39,50" path="m7851,3618l7851,3633,7860,3644,7869,3644,7880,3644,7889,3633,7889,3618,7889,3606,7880,3594,7869,3594,7860,3594,7851,3606,7851,3618xe" filled="false" stroked="true" strokeweight=".503229pt" strokecolor="#1a466e">
              <v:path arrowok="t"/>
            </v:shape>
            <v:shape style="position:absolute;left:8030;top:3093;width:41;height:50" type="#_x0000_t75" stroked="false">
              <v:imagedata r:id="rId96" o:title=""/>
            </v:shape>
            <v:shape style="position:absolute;left:8030;top:3093;width:41;height:50" coordorigin="8030,3093" coordsize="41,50" path="m8030,3116l8030,3131,8039,3142,8050,3142,8062,3142,8071,3131,8071,3116,8071,3105,8062,3093,8050,3093,8039,3093,8030,3105,8030,3116xe" filled="false" stroked="true" strokeweight=".507021pt" strokecolor="#1a466e">
              <v:path arrowok="t"/>
            </v:shape>
            <v:shape style="position:absolute;left:7252;top:4344;width:39;height:52" type="#_x0000_t75" stroked="false">
              <v:imagedata r:id="rId109" o:title=""/>
            </v:shape>
            <v:shape style="position:absolute;left:7252;top:4344;width:39;height:53" coordorigin="7252,4344" coordsize="39,53" path="m7252,4370l7252,4385,7261,4397,7270,4397,7282,4397,7291,4385,7291,4370,7291,4356,7282,4344,7270,4344,7261,4344,7252,4356,7252,4370xe" filled="false" stroked="true" strokeweight=".500177pt" strokecolor="#1a466e">
              <v:path arrowok="t"/>
            </v:shape>
            <v:shape style="position:absolute;left:7896;top:3151;width:41;height:53" type="#_x0000_t75" stroked="false">
              <v:imagedata r:id="rId96" o:title=""/>
            </v:shape>
            <v:shape style="position:absolute;left:7896;top:3151;width:41;height:53" coordorigin="7896,3151" coordsize="41,53" path="m7896,3178l7896,3192,7905,3204,7917,3204,7928,3204,7937,3192,7937,3178,7937,3163,7928,3151,7917,3151,7905,3151,7896,3163,7896,3178xe" filled="false" stroked="true" strokeweight=".502966pt" strokecolor="#1a466e">
              <v:path arrowok="t"/>
            </v:shape>
            <v:shape style="position:absolute;left:7448;top:2763;width:41;height:50" type="#_x0000_t75" stroked="false">
              <v:imagedata r:id="rId96" o:title=""/>
            </v:shape>
            <v:shape style="position:absolute;left:7448;top:2763;width:41;height:50" coordorigin="7448,2763" coordsize="41,50" path="m7448,2787l7448,2801,7457,2813,7468,2813,7480,2813,7489,2801,7489,2787,7489,2775,7480,2763,7468,2763,7457,2763,7448,2775,7448,2787xe" filled="false" stroked="true" strokeweight=".507021pt" strokecolor="#1a466e">
              <v:path arrowok="t"/>
            </v:shape>
            <v:shape style="position:absolute;left:8317;top:3163;width:39;height:49" type="#_x0000_t75" stroked="false">
              <v:imagedata r:id="rId381" o:title=""/>
            </v:shape>
            <v:shape style="position:absolute;left:8317;top:3163;width:39;height:50" coordorigin="8317,3163" coordsize="39,50" path="m8317,3186l8317,3201,8326,3213,8335,3213,8346,3213,8355,3201,8355,3186,8355,3175,8346,3163,8335,3163,8326,3163,8317,3175,8317,3186xe" filled="false" stroked="true" strokeweight=".503673pt" strokecolor="#1a466e">
              <v:path arrowok="t"/>
            </v:shape>
            <v:shape style="position:absolute;left:7584;top:3752;width:39;height:49" type="#_x0000_t75" stroked="false">
              <v:imagedata r:id="rId96" o:title=""/>
            </v:shape>
            <v:shape style="position:absolute;left:7584;top:3752;width:39;height:50" coordorigin="7584,3752" coordsize="39,50" path="m7584,3775l7584,3790,7594,3801,7603,3801,7614,3801,7623,3790,7623,3775,7623,3764,7614,3752,7603,3752,7594,3752,7584,3764,7584,3775xe" filled="false" stroked="true" strokeweight=".503673pt" strokecolor="#1a466e">
              <v:path arrowok="t"/>
            </v:shape>
            <v:shape style="position:absolute;left:7912;top:3711;width:41;height:50" type="#_x0000_t75" stroked="false">
              <v:imagedata r:id="rId96" o:title=""/>
            </v:shape>
            <v:shape style="position:absolute;left:7912;top:3711;width:41;height:50" coordorigin="7912,3711" coordsize="41,50" path="m7912,3735l7912,3749,7921,3761,7932,3761,7944,3761,7953,3749,7953,3735,7953,3723,7944,3711,7932,3711,7921,3711,7912,3723,7912,3735xe" filled="false" stroked="true" strokeweight=".506734pt" strokecolor="#1a466e">
              <v:path arrowok="t"/>
            </v:shape>
            <v:shape style="position:absolute;left:7848;top:3408;width:39;height:50" type="#_x0000_t75" stroked="false">
              <v:imagedata r:id="rId96" o:title=""/>
            </v:shape>
            <v:shape style="position:absolute;left:7848;top:3408;width:39;height:50" coordorigin="7848,3408" coordsize="39,50" path="m7848,3431l7848,3446,7857,3458,7866,3458,7878,3458,7887,3446,7887,3431,7887,3420,7878,3408,7866,3408,7857,3408,7848,3420,7848,3431xe" filled="false" stroked="true" strokeweight=".503524pt" strokecolor="#1a466e">
              <v:path arrowok="t"/>
            </v:shape>
            <v:shape style="position:absolute;left:7719;top:3670;width:39;height:52" type="#_x0000_t75" stroked="false">
              <v:imagedata r:id="rId382" o:title=""/>
            </v:shape>
            <v:shape style="position:absolute;left:7719;top:3670;width:39;height:53" coordorigin="7719,3670" coordsize="39,53" path="m7719,3697l7719,3711,7728,3723,7737,3723,7748,3723,7757,3711,7757,3697,7757,3682,7748,3670,7737,3670,7728,3670,7719,3682,7719,3697xe" filled="false" stroked="true" strokeweight=".500123pt" strokecolor="#1a466e">
              <v:path arrowok="t"/>
            </v:shape>
            <v:shape style="position:absolute;left:7591;top:3775;width:39;height:52" type="#_x0000_t75" stroked="false">
              <v:imagedata r:id="rId96" o:title=""/>
            </v:shape>
            <v:shape style="position:absolute;left:7591;top:3775;width:39;height:53" coordorigin="7591,3775" coordsize="39,53" path="m7591,3801l7591,3816,7600,3828,7609,3828,7621,3828,7630,3816,7630,3801,7630,3787,7621,3775,7609,3775,7600,3775,7591,3787,7591,3801xe" filled="false" stroked="true" strokeweight=".500259pt" strokecolor="#1a466e">
              <v:path arrowok="t"/>
            </v:shape>
            <v:shape style="position:absolute;left:7769;top:3542;width:41;height:52" type="#_x0000_t75" stroked="false">
              <v:imagedata r:id="rId96" o:title=""/>
            </v:shape>
            <v:shape style="position:absolute;left:7769;top:3542;width:42;height:53" coordorigin="7769,3542" coordsize="42,53" path="m7769,3568l7769,3583,7778,3594,7789,3594,7801,3594,7810,3583,7810,3568,7810,3554,7801,3542,7789,3542,7778,3542,7769,3554,7769,3568xe" filled="false" stroked="true" strokeweight=".503664pt" strokecolor="#1a466e">
              <v:path arrowok="t"/>
            </v:shape>
            <v:shape style="position:absolute;left:7657;top:3924;width:41;height:50" type="#_x0000_t75" stroked="false">
              <v:imagedata r:id="rId383" o:title=""/>
            </v:shape>
            <v:shape style="position:absolute;left:7657;top:3924;width:41;height:50" coordorigin="7657,3924" coordsize="41,50" path="m7657,3947l7657,3962,7666,3974,7678,3974,7689,3974,7698,3962,7698,3947,7698,3936,7689,3924,7678,3924,7666,3924,7657,3936,7657,3947xe" filled="false" stroked="true" strokeweight=".507082pt" strokecolor="#1a466e">
              <v:path arrowok="t"/>
            </v:shape>
            <v:shape style="position:absolute;left:7855;top:3172;width:39;height:49" type="#_x0000_t75" stroked="false">
              <v:imagedata r:id="rId384" o:title=""/>
            </v:shape>
            <v:shape style="position:absolute;left:7855;top:3172;width:39;height:50" coordorigin="7855,3172" coordsize="39,50" path="m7855,3195l7855,3210,7864,3221,7873,3221,7885,3221,7894,3210,7894,3195,7894,3184,7885,3172,7873,3172,7864,3172,7855,3184,7855,3195xe" filled="false" stroked="true" strokeweight=".503673pt" strokecolor="#1a466e">
              <v:path arrowok="t"/>
            </v:shape>
            <v:shape style="position:absolute;left:7673;top:3618;width:41;height:49" type="#_x0000_t75" stroked="false">
              <v:imagedata r:id="rId96" o:title=""/>
            </v:shape>
            <v:shape style="position:absolute;left:7673;top:3618;width:41;height:50" coordorigin="7673,3618" coordsize="41,50" path="m7673,3641l7673,3656,7682,3667,7694,3667,7705,3667,7714,3656,7714,3641,7714,3630,7705,3618,7694,3618,7682,3618,7673,3630,7673,3641xe" filled="false" stroked="true" strokeweight=".507173pt" strokecolor="#1a466e">
              <v:path arrowok="t"/>
            </v:shape>
            <v:shape style="position:absolute;left:7766;top:3487;width:41;height:49" type="#_x0000_t75" stroked="false">
              <v:imagedata r:id="rId96" o:title=""/>
            </v:shape>
            <v:shape style="position:absolute;left:7766;top:3487;width:42;height:50" coordorigin="7766,3487" coordsize="42,50" path="m7766,3510l7766,3525,7775,3536,7787,3536,7798,3536,7807,3525,7807,3510,7807,3498,7798,3487,7787,3487,7775,3487,7766,3498,7766,3510xe" filled="false" stroked="true" strokeweight=".507317pt" strokecolor="#1a466e">
              <v:path arrowok="t"/>
            </v:shape>
            <v:shape style="position:absolute;left:7596;top:3880;width:39;height:52" type="#_x0000_t75" stroked="false">
              <v:imagedata r:id="rId132" o:title=""/>
            </v:shape>
            <v:shape style="position:absolute;left:7596;top:3880;width:39;height:53" coordorigin="7596,3880" coordsize="39,53" path="m7596,3907l7596,3921,7605,3933,7614,3933,7625,3933,7634,3921,7634,3907,7634,3892,7625,3880,7614,3880,7605,3880,7596,3892,7596,3907xe" filled="false" stroked="true" strokeweight=".500177pt" strokecolor="#1a466e">
              <v:path arrowok="t"/>
            </v:shape>
            <v:shape style="position:absolute;left:7757;top:3440;width:41;height:52" type="#_x0000_t75" stroked="false">
              <v:imagedata r:id="rId385" o:title=""/>
            </v:shape>
            <v:shape style="position:absolute;left:7757;top:3440;width:42;height:53" coordorigin="7757,3440" coordsize="42,53" path="m7757,3466l7757,3481,7766,3492,7778,3492,7789,3492,7798,3481,7798,3466,7798,3452,7789,3440,7778,3440,7766,3440,7757,3452,7757,3466xe" filled="false" stroked="true" strokeweight=".503804pt" strokecolor="#1a466e">
              <v:path arrowok="t"/>
            </v:shape>
            <v:shape style="position:absolute;left:7641;top:2909;width:41;height:53" type="#_x0000_t75" stroked="false">
              <v:imagedata r:id="rId386" o:title=""/>
            </v:shape>
            <v:shape style="position:absolute;left:7641;top:2909;width:41;height:53" coordorigin="7641,2909" coordsize="41,53" path="m7641,2936l7641,2950,7650,2962,7662,2962,7673,2962,7682,2950,7682,2936,7682,2921,7673,2909,7662,2909,7650,2909,7641,2921,7641,2936xe" filled="false" stroked="true" strokeweight=".503246pt" strokecolor="#1a466e">
              <v:path arrowok="t"/>
            </v:shape>
            <v:shape style="position:absolute;left:8098;top:3892;width:39;height:52" type="#_x0000_t75" stroked="false">
              <v:imagedata r:id="rId96" o:title=""/>
            </v:shape>
            <v:shape style="position:absolute;left:8098;top:3892;width:39;height:53" coordorigin="8098,3892" coordsize="39,53" path="m8098,3918l8098,3933,8107,3945,8117,3945,8128,3945,8137,3933,8137,3918,8137,3904,8128,3892,8117,3892,8107,3892,8098,3904,8098,3918xe" filled="false" stroked="true" strokeweight=".500191pt" strokecolor="#1a466e">
              <v:path arrowok="t"/>
            </v:shape>
            <v:shape style="position:absolute;left:7737;top:2101;width:39;height:49" type="#_x0000_t75" stroked="false">
              <v:imagedata r:id="rId387" o:title=""/>
            </v:shape>
            <v:shape style="position:absolute;left:7737;top:2101;width:39;height:50" coordorigin="7737,2101" coordsize="39,50" path="m7737,2125l7737,2139,7746,2151,7755,2151,7766,2151,7775,2139,7775,2125,7775,2113,7766,2101,7755,2101,7746,2101,7737,2113,7737,2125xe" filled="false" stroked="true" strokeweight=".503673pt" strokecolor="#1a466e">
              <v:path arrowok="t"/>
            </v:shape>
            <v:shape style="position:absolute;left:7910;top:3889;width:41;height:52" type="#_x0000_t75" stroked="false">
              <v:imagedata r:id="rId96" o:title=""/>
            </v:shape>
            <v:shape style="position:absolute;left:7910;top:3889;width:41;height:53" coordorigin="7910,3889" coordsize="41,53" path="m7910,3915l7910,3930,7919,3942,7930,3942,7941,3942,7950,3930,7950,3915,7950,3901,7941,3889,7930,3889,7919,3889,7910,3901,7910,3915xe" filled="false" stroked="true" strokeweight=".5033pt" strokecolor="#1a466e">
              <v:path arrowok="t"/>
            </v:shape>
            <v:shape style="position:absolute;left:7591;top:3796;width:39;height:53" type="#_x0000_t75" stroked="false">
              <v:imagedata r:id="rId96" o:title=""/>
            </v:shape>
            <v:shape style="position:absolute;left:7591;top:3796;width:39;height:53" coordorigin="7591,3796" coordsize="39,53" path="m7591,3822l7591,3836,7600,3848,7609,3848,7621,3848,7630,3836,7630,3822,7630,3807,7621,3796,7609,3796,7600,3796,7591,3807,7591,3822xe" filled="false" stroked="true" strokeweight=".499853pt" strokecolor="#1a466e">
              <v:path arrowok="t"/>
            </v:shape>
            <v:shape style="position:absolute;left:7710;top:3583;width:39;height:53" type="#_x0000_t75" stroked="false">
              <v:imagedata r:id="rId388" o:title=""/>
            </v:shape>
            <v:shape style="position:absolute;left:7710;top:3583;width:39;height:53" coordorigin="7710,3583" coordsize="39,53" path="m7710,3609l7710,3624,7719,3636,7728,3636,7739,3636,7748,3624,7748,3609,7748,3594,7739,3583,7728,3583,7719,3583,7710,3594,7710,3609xe" filled="false" stroked="true" strokeweight=".499853pt" strokecolor="#1a466e">
              <v:path arrowok="t"/>
            </v:shape>
            <v:shape style="position:absolute;left:7607;top:3452;width:39;height:52" type="#_x0000_t75" stroked="false">
              <v:imagedata r:id="rId389" o:title=""/>
            </v:shape>
            <v:shape style="position:absolute;left:7607;top:3452;width:39;height:53" coordorigin="7607,3452" coordsize="39,53" path="m7607,3478l7607,3492,7616,3504,7625,3504,7637,3504,7646,3492,7646,3478,7646,3463,7637,3452,7625,3452,7616,3452,7607,3463,7607,3478xe" filled="false" stroked="true" strokeweight=".500259pt" strokecolor="#1a466e">
              <v:path arrowok="t"/>
            </v:shape>
            <v:shape style="position:absolute;left:7630;top:3685;width:39;height:52" type="#_x0000_t75" stroked="false">
              <v:imagedata r:id="rId377" o:title=""/>
            </v:shape>
            <v:shape style="position:absolute;left:7630;top:3685;width:39;height:53" coordorigin="7630,3685" coordsize="39,53" path="m7630,3711l7630,3726,7639,3737,7648,3737,7659,3737,7669,3726,7669,3711,7669,3697,7659,3685,7648,3685,7639,3685,7630,3697,7630,3711xe" filled="false" stroked="true" strokeweight=".500123pt" strokecolor="#1a466e">
              <v:path arrowok="t"/>
            </v:shape>
            <v:shape style="position:absolute;left:7826;top:3618;width:39;height:49" type="#_x0000_t75" stroked="false">
              <v:imagedata r:id="rId132" o:title=""/>
            </v:shape>
            <v:shape style="position:absolute;left:7826;top:3618;width:39;height:50" coordorigin="7826,3618" coordsize="39,50" path="m7826,3641l7826,3656,7835,3667,7844,3667,7855,3667,7864,3656,7864,3641,7864,3630,7855,3618,7844,3618,7835,3618,7826,3630,7826,3641xe" filled="false" stroked="true" strokeweight=".503673pt" strokecolor="#1a466e">
              <v:path arrowok="t"/>
            </v:shape>
            <v:shape style="position:absolute;left:7885;top:3379;width:41;height:50" type="#_x0000_t75" stroked="false">
              <v:imagedata r:id="rId95" o:title=""/>
            </v:shape>
            <v:shape style="position:absolute;left:7885;top:3379;width:41;height:50" coordorigin="7885,3379" coordsize="41,50" path="m7885,3402l7885,3417,7894,3428,7905,3428,7917,3428,7925,3417,7925,3402,7925,3391,7917,3379,7905,3379,7894,3379,7885,3391,7885,3402xe" filled="false" stroked="true" strokeweight=".506433pt" strokecolor="#1a466e">
              <v:path arrowok="t"/>
            </v:shape>
            <v:shape style="position:absolute;left:7648;top:3801;width:41;height:53" type="#_x0000_t75" stroked="false">
              <v:imagedata r:id="rId96" o:title=""/>
            </v:shape>
            <v:shape style="position:absolute;left:7648;top:3801;width:41;height:53" coordorigin="7648,3801" coordsize="41,53" path="m7648,3828l7648,3842,7657,3854,7669,3854,7680,3854,7689,3842,7689,3828,7689,3813,7680,3801,7669,3801,7657,3801,7648,3813,7648,3828xe" filled="false" stroked="true" strokeweight=".503246pt" strokecolor="#1a466e">
              <v:path arrowok="t"/>
            </v:shape>
            <v:shape style="position:absolute;left:7716;top:3705;width:39;height:50" type="#_x0000_t75" stroked="false">
              <v:imagedata r:id="rId390" o:title=""/>
            </v:shape>
            <v:shape style="position:absolute;left:7716;top:3705;width:39;height:50" coordorigin="7716,3705" coordsize="39,50" path="m7716,3729l7716,3743,7725,3755,7735,3755,7746,3755,7755,3743,7755,3729,7755,3717,7746,3705,7735,3705,7725,3705,7716,3717,7716,3729xe" filled="false" stroked="true" strokeweight=".503524pt" strokecolor="#1a466e">
              <v:path arrowok="t"/>
            </v:shape>
            <v:shape style="position:absolute;left:7787;top:3755;width:41;height:52" type="#_x0000_t75" stroked="false">
              <v:imagedata r:id="rId109" o:title=""/>
            </v:shape>
            <v:shape style="position:absolute;left:7787;top:3755;width:42;height:53" coordorigin="7787,3755" coordsize="42,53" path="m7787,3781l7787,3796,7796,3807,7807,3807,7819,3807,7828,3796,7828,3781,7828,3767,7819,3755,7807,3755,7796,3755,7787,3767,7787,3781xe" filled="false" stroked="true" strokeweight=".503804pt" strokecolor="#1a466e">
              <v:path arrowok="t"/>
            </v:shape>
            <v:shape style="position:absolute;left:7851;top:3347;width:39;height:53" type="#_x0000_t75" stroked="false">
              <v:imagedata r:id="rId96" o:title=""/>
            </v:shape>
            <v:shape style="position:absolute;left:7851;top:3347;width:39;height:53" coordorigin="7851,3347" coordsize="39,53" path="m7851,3373l7851,3388,7860,3399,7869,3399,7880,3399,7889,3388,7889,3373,7889,3358,7880,3347,7869,3347,7860,3347,7851,3358,7851,3373xe" filled="false" stroked="true" strokeweight=".499853pt" strokecolor="#1a466e">
              <v:path arrowok="t"/>
            </v:shape>
            <v:shape style="position:absolute;left:7937;top:3580;width:39;height:53" type="#_x0000_t75" stroked="false">
              <v:imagedata r:id="rId96" o:title=""/>
            </v:shape>
            <v:shape style="position:absolute;left:7937;top:3580;width:39;height:53" coordorigin="7937,3580" coordsize="39,53" path="m7937,3606l7937,3621,7946,3633,7955,3633,7966,3633,7975,3621,7975,3606,7975,3592,7966,3580,7955,3580,7946,3580,7937,3592,7937,3606xe" filled="false" stroked="true" strokeweight=".499853pt" strokecolor="#1a466e">
              <v:path arrowok="t"/>
            </v:shape>
            <v:shape style="position:absolute;left:7357;top:3740;width:39;height:49" type="#_x0000_t75" stroked="false">
              <v:imagedata r:id="rId96" o:title=""/>
            </v:shape>
            <v:shape style="position:absolute;left:7357;top:3740;width:39;height:50" coordorigin="7357,3740" coordsize="39,50" path="m7357,3764l7357,3778,7366,3790,7375,3790,7387,3790,7396,3778,7396,3764,7396,3752,7387,3740,7375,3740,7366,3740,7357,3752,7357,3764xe" filled="false" stroked="true" strokeweight=".503821pt" strokecolor="#1a466e">
              <v:path arrowok="t"/>
            </v:shape>
            <v:shape style="position:absolute;left:7871;top:3178;width:39;height:49" type="#_x0000_t75" stroked="false">
              <v:imagedata r:id="rId391" o:title=""/>
            </v:shape>
            <v:shape style="position:absolute;left:7871;top:3178;width:39;height:50" coordorigin="7871,3178" coordsize="39,50" path="m7871,3201l7871,3215,7880,3227,7889,3227,7901,3227,7910,3215,7910,3201,7910,3189,7901,3178,7889,3178,7880,3178,7871,3189,7871,3201xe" filled="false" stroked="true" strokeweight=".503673pt" strokecolor="#1a466e">
              <v:path arrowok="t"/>
            </v:shape>
            <v:shape style="position:absolute;left:7980;top:3355;width:39;height:53" type="#_x0000_t75" stroked="false">
              <v:imagedata r:id="rId392" o:title=""/>
            </v:shape>
            <v:shape style="position:absolute;left:7980;top:3355;width:39;height:53" coordorigin="7980,3355" coordsize="39,53" path="m7980,3382l7980,3396,7989,3408,7998,3408,8010,3408,8019,3396,8019,3382,8019,3367,8010,3355,7998,3355,7989,3355,7980,3367,7980,3382xe" filled="false" stroked="true" strokeweight=".499853pt" strokecolor="#1a466e">
              <v:path arrowok="t"/>
            </v:shape>
            <v:shape style="position:absolute;left:7716;top:3804;width:39;height:53" type="#_x0000_t75" stroked="false">
              <v:imagedata r:id="rId393" o:title=""/>
            </v:shape>
            <v:shape style="position:absolute;left:7716;top:3804;width:39;height:53" coordorigin="7716,3804" coordsize="39,53" path="m7716,3831l7716,3845,7725,3857,7735,3857,7746,3857,7755,3845,7755,3831,7755,3816,7746,3804,7735,3804,7725,3804,7716,3816,7716,3831xe" filled="false" stroked="true" strokeweight=".499853pt" strokecolor="#1a466e">
              <v:path arrowok="t"/>
            </v:shape>
            <v:shape style="position:absolute;left:7789;top:3697;width:41;height:52" type="#_x0000_t75" stroked="false">
              <v:imagedata r:id="rId394" o:title=""/>
            </v:shape>
            <v:shape style="position:absolute;left:7789;top:3697;width:41;height:53" coordorigin="7789,3697" coordsize="41,53" path="m7789,3723l7789,3737,7798,3749,7810,3749,7821,3749,7830,3737,7830,3723,7830,3708,7821,3697,7810,3697,7798,3697,7789,3708,7789,3723xe" filled="false" stroked="true" strokeweight=".503524pt" strokecolor="#1a466e">
              <v:path arrowok="t"/>
            </v:shape>
            <v:shape style="position:absolute;left:7644;top:2886;width:41;height:53" type="#_x0000_t75" stroked="false">
              <v:imagedata r:id="rId96" o:title=""/>
            </v:shape>
            <v:shape style="position:absolute;left:7644;top:2886;width:41;height:53" coordorigin="7644,2886" coordsize="41,53" path="m7644,2912l7644,2927,7653,2938,7664,2938,7675,2938,7684,2927,7684,2912,7684,2897,7675,2886,7664,2886,7653,2886,7644,2897,7644,2912xe" filled="false" stroked="true" strokeweight=".503246pt" strokecolor="#1a466e">
              <v:path arrowok="t"/>
            </v:shape>
            <v:shape style="position:absolute;left:7866;top:3606;width:39;height:50" type="#_x0000_t75" stroked="false">
              <v:imagedata r:id="rId96" o:title=""/>
            </v:shape>
            <v:shape style="position:absolute;left:7866;top:3606;width:39;height:50" coordorigin="7866,3606" coordsize="39,50" path="m7866,3630l7866,3644,7876,3656,7885,3656,7896,3656,7905,3644,7905,3630,7905,3618,7896,3606,7885,3606,7876,3606,7866,3618,7866,3630xe" filled="false" stroked="true" strokeweight=".503229pt" strokecolor="#1a466e">
              <v:path arrowok="t"/>
            </v:shape>
            <v:shape style="position:absolute;left:8430;top:3478;width:39;height:52" type="#_x0000_t75" stroked="false">
              <v:imagedata r:id="rId96" o:title=""/>
            </v:shape>
            <v:shape style="position:absolute;left:8430;top:3478;width:39;height:53" coordorigin="8430,3478" coordsize="39,53" path="m8430,3504l8430,3519,8439,3530,8449,3530,8460,3530,8469,3519,8469,3504,8469,3490,8460,3478,8449,3478,8439,3478,8430,3490,8430,3504xe" filled="false" stroked="true" strokeweight=".500259pt" strokecolor="#1a466e">
              <v:path arrowok="t"/>
            </v:shape>
            <v:shape style="position:absolute;left:7568;top:3586;width:41;height:53" type="#_x0000_t75" stroked="false">
              <v:imagedata r:id="rId96" o:title=""/>
            </v:shape>
            <v:shape style="position:absolute;left:7568;top:3586;width:42;height:53" coordorigin="7568,3586" coordsize="42,53" path="m7568,3612l7568,3627,7578,3638,7589,3638,7600,3638,7609,3627,7609,3612,7609,3597,7600,3586,7589,3586,7578,3586,7568,3597,7568,3612xe" filled="false" stroked="true" strokeweight=".503385pt" strokecolor="#1a466e">
              <v:path arrowok="t"/>
            </v:shape>
            <v:shape style="position:absolute;left:7678;top:3688;width:41;height:52" type="#_x0000_t75" stroked="false">
              <v:imagedata r:id="rId395" o:title=""/>
            </v:shape>
            <v:shape style="position:absolute;left:7678;top:3688;width:41;height:53" coordorigin="7678,3688" coordsize="41,53" path="m7678,3714l7678,3729,7687,3740,7698,3740,7710,3740,7719,3729,7719,3714,7719,3700,7710,3688,7698,3688,7687,3688,7678,3700,7678,3714xe" filled="false" stroked="true" strokeweight=".503524pt" strokecolor="#1a466e">
              <v:path arrowok="t"/>
            </v:shape>
            <v:shape style="position:absolute;left:7725;top:3603;width:39;height:50" type="#_x0000_t75" stroked="false">
              <v:imagedata r:id="rId396" o:title=""/>
            </v:shape>
            <v:shape style="position:absolute;left:7725;top:3603;width:39;height:50" coordorigin="7725,3603" coordsize="39,50" path="m7725,3627l7725,3641,7735,3653,7744,3653,7755,3653,7764,3641,7764,3627,7764,3615,7755,3603,7744,3603,7735,3603,7725,3615,7725,3627xe" filled="false" stroked="true" strokeweight=".503229pt" strokecolor="#1a466e">
              <v:path arrowok="t"/>
            </v:shape>
            <v:shape style="position:absolute;left:7741;top:3624;width:39;height:49" type="#_x0000_t75" stroked="false">
              <v:imagedata r:id="rId96" o:title=""/>
            </v:shape>
            <v:shape style="position:absolute;left:7741;top:3624;width:39;height:50" coordorigin="7741,3624" coordsize="39,50" path="m7741,3647l7741,3662,7750,3673,7760,3673,7771,3673,7780,3662,7780,3647,7780,3636,7771,3624,7760,3624,7750,3624,7741,3636,7741,3647xe" filled="false" stroked="true" strokeweight=".503673pt" strokecolor="#1a466e">
              <v:path arrowok="t"/>
            </v:shape>
            <v:shape style="position:absolute;left:7716;top:3615;width:39;height:49" type="#_x0000_t75" stroked="false">
              <v:imagedata r:id="rId397" o:title=""/>
            </v:shape>
            <v:shape style="position:absolute;left:7716;top:3615;width:39;height:50" coordorigin="7716,3615" coordsize="39,50" path="m7716,3638l7716,3653,7725,3665,7735,3665,7746,3665,7755,3653,7755,3638,7755,3627,7746,3615,7735,3615,7725,3615,7716,3627,7716,3638xe" filled="false" stroked="true" strokeweight=".503673pt" strokecolor="#1a466e">
              <v:path arrowok="t"/>
            </v:shape>
            <v:shape style="position:absolute;left:7728;top:3426;width:39;height:50" type="#_x0000_t75" stroked="false">
              <v:imagedata r:id="rId398" o:title=""/>
            </v:shape>
            <v:shape style="position:absolute;left:7728;top:3426;width:39;height:50" coordorigin="7728,3426" coordsize="39,50" path="m7728,3449l7728,3463,7737,3475,7746,3475,7757,3475,7766,3463,7766,3449,7766,3437,7757,3426,7746,3426,7737,3426,7728,3437,7728,3449xe" filled="false" stroked="true" strokeweight=".503524pt" strokecolor="#1a466e">
              <v:path arrowok="t"/>
            </v:shape>
            <v:shape style="position:absolute;left:7691;top:4044;width:41;height:50" type="#_x0000_t75" stroked="false">
              <v:imagedata r:id="rId96" o:title=""/>
            </v:shape>
            <v:shape style="position:absolute;left:7691;top:4044;width:41;height:50" coordorigin="7691,4044" coordsize="41,50" path="m7691,4067l7691,4082,7700,4093,7712,4093,7723,4093,7732,4082,7732,4067,7732,4055,7723,4044,7712,4044,7700,4044,7691,4055,7691,4067xe" filled="false" stroked="true" strokeweight=".506719pt" strokecolor="#1a466e">
              <v:path arrowok="t"/>
            </v:shape>
            <v:shape style="position:absolute;left:7612;top:3740;width:39;height:49" type="#_x0000_t75" stroked="false">
              <v:imagedata r:id="rId96" o:title=""/>
            </v:shape>
            <v:shape style="position:absolute;left:7612;top:3740;width:39;height:50" coordorigin="7612,3740" coordsize="39,50" path="m7612,3764l7612,3778,7621,3790,7630,3790,7641,3790,7650,3778,7650,3764,7650,3752,7641,3740,7630,3740,7621,3740,7612,3752,7612,3764xe" filled="false" stroked="true" strokeweight=".503673pt" strokecolor="#1a466e">
              <v:path arrowok="t"/>
            </v:shape>
            <v:shape style="position:absolute;left:7866;top:3650;width:39;height:52" type="#_x0000_t75" stroked="false">
              <v:imagedata r:id="rId96" o:title=""/>
            </v:shape>
            <v:shape style="position:absolute;left:7866;top:3650;width:39;height:53" coordorigin="7866,3650" coordsize="39,53" path="m7866,3676l7866,3691,7876,3702,7885,3702,7896,3702,7905,3691,7905,3676,7905,3662,7896,3650,7885,3650,7876,3650,7866,3662,7866,3676xe" filled="false" stroked="true" strokeweight=".500259pt" strokecolor="#1a466e">
              <v:path arrowok="t"/>
            </v:shape>
            <v:shape style="position:absolute;left:7557;top:4128;width:41;height:52" type="#_x0000_t75" stroked="false">
              <v:imagedata r:id="rId96" o:title=""/>
            </v:shape>
            <v:shape style="position:absolute;left:7557;top:4128;width:42;height:53" coordorigin="7557,4128" coordsize="42,53" path="m7557,4155l7557,4169,7566,4181,7578,4181,7589,4181,7598,4169,7598,4155,7598,4140,7589,4128,7578,4128,7566,4128,7557,4140,7557,4155xe" filled="false" stroked="true" strokeweight=".503720pt" strokecolor="#1a466e">
              <v:path arrowok="t"/>
            </v:shape>
            <v:shape style="position:absolute;left:7273;top:4382;width:39;height:50" type="#_x0000_t75" stroked="false">
              <v:imagedata r:id="rId96" o:title=""/>
            </v:shape>
            <v:shape style="position:absolute;left:7273;top:4382;width:39;height:50" coordorigin="7273,4382" coordsize="39,50" path="m7273,4405l7273,4420,7282,4432,7291,4432,7302,4432,7311,4420,7311,4405,7311,4394,7302,4382,7291,4382,7282,4382,7273,4394,7273,4405xe" filled="false" stroked="true" strokeweight=".503584pt" strokecolor="#1a466e">
              <v:path arrowok="t"/>
            </v:shape>
            <v:shape style="position:absolute;left:7848;top:3008;width:39;height:52" type="#_x0000_t75" stroked="false">
              <v:imagedata r:id="rId96" o:title=""/>
            </v:shape>
            <v:shape style="position:absolute;left:7848;top:3008;width:39;height:53" coordorigin="7848,3008" coordsize="39,53" path="m7848,3035l7848,3049,7857,3061,7866,3061,7878,3061,7887,3049,7887,3035,7887,3020,7878,3008,7866,3008,7857,3008,7848,3020,7848,3035xe" filled="false" stroked="true" strokeweight=".500259pt" strokecolor="#1a466e">
              <v:path arrowok="t"/>
            </v:shape>
            <v:shape style="position:absolute;left:7953;top:3303;width:39;height:49" type="#_x0000_t75" stroked="false">
              <v:imagedata r:id="rId399" o:title=""/>
            </v:shape>
            <v:shape style="position:absolute;left:7953;top:3303;width:39;height:50" coordorigin="7953,3303" coordsize="39,50" path="m7953,3326l7953,3341,7962,3352,7971,3352,7982,3352,7991,3341,7991,3326,7991,3315,7982,3303,7971,3303,7962,3303,7953,3315,7953,3326xe" filled="false" stroked="true" strokeweight=".503673pt" strokecolor="#1a466e">
              <v:path arrowok="t"/>
            </v:shape>
            <v:shape style="position:absolute;left:7628;top:3583;width:39;height:53" type="#_x0000_t75" stroked="false">
              <v:imagedata r:id="rId109" o:title=""/>
            </v:shape>
            <v:shape style="position:absolute;left:7628;top:3583;width:39;height:53" coordorigin="7628,3583" coordsize="39,53" path="m7628,3609l7628,3624,7637,3636,7646,3636,7657,3636,7666,3624,7666,3609,7666,3594,7657,3583,7646,3583,7637,3583,7628,3594,7628,3609xe" filled="false" stroked="true" strokeweight=".499853pt" strokecolor="#1a466e">
              <v:path arrowok="t"/>
            </v:shape>
            <v:shape style="position:absolute;left:7785;top:3472;width:41;height:52" type="#_x0000_t75" stroked="false">
              <v:imagedata r:id="rId95" o:title=""/>
            </v:shape>
            <v:shape style="position:absolute;left:7785;top:3472;width:42;height:53" coordorigin="7785,3472" coordsize="42,53" path="m7785,3498l7785,3513,7794,3525,7805,3525,7816,3525,7826,3513,7826,3498,7826,3484,7816,3472,7805,3472,7794,3472,7785,3484,7785,3498xe" filled="false" stroked="true" strokeweight=".503804pt" strokecolor="#1a466e">
              <v:path arrowok="t"/>
            </v:shape>
            <v:shape style="position:absolute;left:7603;top:3836;width:39;height:50" type="#_x0000_t75" stroked="false">
              <v:imagedata r:id="rId96" o:title=""/>
            </v:shape>
            <v:shape style="position:absolute;left:7603;top:3836;width:39;height:50" coordorigin="7603,3836" coordsize="39,50" path="m7603,3860l7603,3875,7612,3886,7621,3886,7632,3886,7641,3875,7641,3860,7641,3848,7632,3836,7621,3836,7612,3836,7603,3848,7603,3860xe" filled="false" stroked="true" strokeweight=".503229pt" strokecolor="#1a466e">
              <v:path arrowok="t"/>
            </v:shape>
            <v:shape style="position:absolute;left:7616;top:3367;width:39;height:53" type="#_x0000_t75" stroked="false">
              <v:imagedata r:id="rId132" o:title=""/>
            </v:shape>
            <v:shape style="position:absolute;left:7616;top:3367;width:39;height:53" coordorigin="7616,3367" coordsize="39,53" path="m7616,3393l7616,3408,7625,3420,7634,3420,7646,3420,7655,3408,7655,3393,7655,3379,7646,3367,7634,3367,7625,3367,7616,3379,7616,3393xe" filled="false" stroked="true" strokeweight=".499853pt" strokecolor="#1a466e">
              <v:path arrowok="t"/>
            </v:shape>
            <v:shape style="position:absolute;left:8251;top:2918;width:41;height:53" type="#_x0000_t75" stroked="false">
              <v:imagedata r:id="rId96" o:title=""/>
            </v:shape>
            <v:shape style="position:absolute;left:8251;top:2918;width:41;height:53" coordorigin="8251,2918" coordsize="41,53" path="m8251,2944l8251,2959,8260,2971,8271,2971,8282,2971,8292,2959,8292,2944,8292,2930,8282,2918,8271,2918,8260,2918,8251,2930,8251,2944xe" filled="false" stroked="true" strokeweight=".503246pt" strokecolor="#1a466e">
              <v:path arrowok="t"/>
            </v:shape>
            <v:shape style="position:absolute;left:7780;top:3568;width:41;height:53" type="#_x0000_t75" stroked="false">
              <v:imagedata r:id="rId96" o:title=""/>
            </v:shape>
            <v:shape style="position:absolute;left:7780;top:3568;width:42;height:53" coordorigin="7780,3568" coordsize="42,53" path="m7780,3594l7780,3609,7789,3621,7801,3621,7812,3621,7821,3609,7821,3594,7821,3580,7812,3568,7801,3568,7789,3568,7780,3580,7780,3594xe" filled="false" stroked="true" strokeweight=".503385pt" strokecolor="#1a466e">
              <v:path arrowok="t"/>
            </v:shape>
            <v:shape style="position:absolute;left:7828;top:3516;width:39;height:50" type="#_x0000_t75" stroked="false">
              <v:imagedata r:id="rId96" o:title=""/>
            </v:shape>
            <v:shape style="position:absolute;left:7828;top:3516;width:39;height:50" coordorigin="7828,3516" coordsize="39,50" path="m7828,3539l7828,3554,7837,3565,7846,3565,7857,3565,7866,3554,7866,3539,7866,3527,7857,3516,7846,3516,7837,3516,7828,3527,7828,3539xe" filled="false" stroked="true" strokeweight=".503524pt" strokecolor="#1a466e">
              <v:path arrowok="t"/>
            </v:shape>
            <v:shape style="position:absolute;left:7666;top:3533;width:41;height:50" type="#_x0000_t75" stroked="false">
              <v:imagedata r:id="rId96" o:title=""/>
            </v:shape>
            <v:shape style="position:absolute;left:7666;top:3533;width:41;height:50" coordorigin="7666,3533" coordsize="41,50" path="m7666,3557l7666,3571,7675,3583,7687,3583,7698,3583,7707,3571,7707,3557,7707,3545,7698,3533,7687,3533,7675,3533,7666,3545,7666,3557xe" filled="false" stroked="true" strokeweight=".507021pt" strokecolor="#1a466e">
              <v:path arrowok="t"/>
            </v:shape>
            <v:shape style="position:absolute;left:7839;top:3452;width:39;height:52" type="#_x0000_t75" stroked="false">
              <v:imagedata r:id="rId389" o:title=""/>
            </v:shape>
            <v:shape style="position:absolute;left:7839;top:3452;width:39;height:53" coordorigin="7839,3452" coordsize="39,53" path="m7839,3478l7839,3492,7848,3504,7857,3504,7869,3504,7878,3492,7878,3478,7878,3463,7869,3452,7857,3452,7848,3452,7839,3463,7839,3478xe" filled="false" stroked="true" strokeweight=".500259pt" strokecolor="#1a466e">
              <v:path arrowok="t"/>
            </v:shape>
            <v:shape style="position:absolute;left:6936;top:4230;width:41;height:52" type="#_x0000_t75" stroked="false">
              <v:imagedata r:id="rId96" o:title=""/>
            </v:shape>
            <v:shape style="position:absolute;left:6936;top:4230;width:41;height:53" coordorigin="6936,4230" coordsize="41,53" path="m6936,4257l6936,4271,6945,4283,6957,4283,6968,4283,6977,4271,6977,4257,6977,4242,6968,4230,6957,4230,6945,4230,6936,4242,6936,4257xe" filled="false" stroked="true" strokeweight=".503608pt" strokecolor="#1a466e">
              <v:path arrowok="t"/>
            </v:shape>
            <v:shape style="position:absolute;left:8394;top:3259;width:41;height:52" type="#_x0000_t75" stroked="false">
              <v:imagedata r:id="rId96" o:title=""/>
            </v:shape>
            <v:shape style="position:absolute;left:8394;top:3259;width:41;height:53" coordorigin="8394,3259" coordsize="41,53" path="m8394,3285l8394,3300,8403,3312,8414,3312,8426,3312,8435,3300,8435,3285,8435,3271,8426,3259,8414,3259,8403,3259,8394,3271,8394,3285xe" filled="false" stroked="true" strokeweight=".503524pt" strokecolor="#1a466e">
              <v:path arrowok="t"/>
            </v:shape>
            <v:shape style="position:absolute;left:8421;top:4487;width:39;height:50" type="#_x0000_t75" stroked="false">
              <v:imagedata r:id="rId96" o:title=""/>
            </v:shape>
            <v:shape style="position:absolute;left:8421;top:4487;width:39;height:50" coordorigin="8421,4487" coordsize="39,50" path="m8421,4510l8421,4525,8430,4537,8439,4537,8451,4537,8460,4525,8460,4510,8460,4499,8451,4487,8439,4487,8430,4487,8421,4499,8421,4510xe" filled="false" stroked="true" strokeweight=".503244pt" strokecolor="#1a466e">
              <v:path arrowok="t"/>
            </v:shape>
            <v:shape style="position:absolute;left:8733;top:2058;width:41;height:52" type="#_x0000_t75" stroked="false">
              <v:imagedata r:id="rId400" o:title=""/>
            </v:shape>
            <v:shape style="position:absolute;left:8733;top:2058;width:41;height:53" coordorigin="8733,2058" coordsize="41,53" path="m8733,2084l8733,2099,8742,2110,8753,2110,8765,2110,8774,2099,8774,2084,8774,2069,8765,2058,8753,2058,8742,2058,8733,2069,8733,2084xe" filled="false" stroked="true" strokeweight=".503664pt" strokecolor="#1a466e">
              <v:path arrowok="t"/>
            </v:shape>
            <v:shape style="position:absolute;left:8205;top:2760;width:39;height:50" type="#_x0000_t75" stroked="false">
              <v:imagedata r:id="rId401" o:title=""/>
            </v:shape>
            <v:shape style="position:absolute;left:8205;top:2760;width:39;height:50" coordorigin="8205,2760" coordsize="39,50" path="m8205,2784l8205,2798,8214,2810,8223,2810,8235,2810,8244,2798,8244,2784,8244,2772,8235,2760,8223,2760,8214,2760,8205,2772,8205,2784xe" filled="false" stroked="true" strokeweight=".503524pt" strokecolor="#1a466e">
              <v:path arrowok="t"/>
            </v:shape>
            <v:shape style="position:absolute;left:7762;top:3583;width:41;height:53" type="#_x0000_t75" stroked="false">
              <v:imagedata r:id="rId109" o:title=""/>
            </v:shape>
            <v:shape style="position:absolute;left:7762;top:3583;width:42;height:53" coordorigin="7762,3583" coordsize="42,53" path="m7762,3609l7762,3624,7771,3636,7782,3636,7794,3636,7803,3624,7803,3609,7803,3594,7794,3583,7782,3583,7771,3583,7762,3594,7762,3609xe" filled="false" stroked="true" strokeweight=".503385pt" strokecolor="#1a466e">
              <v:path arrowok="t"/>
            </v:shape>
            <v:shape style="position:absolute;left:7923;top:3070;width:41;height:50" type="#_x0000_t75" stroked="false">
              <v:imagedata r:id="rId96" o:title=""/>
            </v:shape>
            <v:shape style="position:absolute;left:7923;top:3070;width:41;height:50" coordorigin="7923,3070" coordsize="41,50" path="m7923,3093l7923,3107,7932,3119,7944,3119,7955,3119,7964,3107,7964,3093,7964,3081,7955,3070,7944,3070,7932,3070,7923,3081,7923,3093xe" filled="false" stroked="true" strokeweight=".507021pt" strokecolor="#1a466e">
              <v:path arrowok="t"/>
            </v:shape>
            <v:shape style="position:absolute;left:6445;top:4152;width:39;height:50" type="#_x0000_t75" stroked="false">
              <v:imagedata r:id="rId96" o:title=""/>
            </v:shape>
            <v:shape style="position:absolute;left:6445;top:4152;width:39;height:50" coordorigin="6445,4152" coordsize="39,50" path="m6445,4175l6445,4190,6454,4201,6463,4201,6475,4201,6484,4190,6484,4175,6484,4163,6475,4152,6463,4152,6454,4152,6445,4163,6445,4175xe" filled="false" stroked="true" strokeweight=".503598pt" strokecolor="#1a466e">
              <v:path arrowok="t"/>
            </v:shape>
            <v:shape style="position:absolute;left:7027;top:2043;width:39;height:52" type="#_x0000_t75" stroked="false">
              <v:imagedata r:id="rId109" o:title=""/>
            </v:shape>
            <v:shape style="position:absolute;left:7027;top:2043;width:39;height:53" coordorigin="7027,2043" coordsize="39,53" path="m7027,2069l7027,2084,7036,2096,7045,2096,7057,2096,7066,2084,7066,2069,7066,2055,7057,2043,7045,2043,7036,2043,7027,2055,7027,2069xe" filled="false" stroked="true" strokeweight=".500266pt" strokecolor="#1a466e">
              <v:path arrowok="t"/>
            </v:shape>
            <v:shape style="position:absolute;left:7732;top:3583;width:39;height:53" type="#_x0000_t75" stroked="false">
              <v:imagedata r:id="rId170" o:title=""/>
            </v:shape>
            <v:shape style="position:absolute;left:7732;top:3583;width:39;height:53" coordorigin="7732,3583" coordsize="39,53" path="m7732,3609l7732,3624,7741,3636,7750,3636,7762,3636,7771,3624,7771,3609,7771,3594,7762,3583,7750,3583,7741,3583,7732,3594,7732,3609xe" filled="false" stroked="true" strokeweight=".499853pt" strokecolor="#1a466e">
              <v:path arrowok="t"/>
            </v:shape>
            <v:shape style="position:absolute;left:9374;top:3641;width:39;height:49" type="#_x0000_t75" stroked="false">
              <v:imagedata r:id="rId96" o:title=""/>
            </v:shape>
            <v:shape style="position:absolute;left:9374;top:3641;width:39;height:50" coordorigin="9374,3641" coordsize="39,50" path="m9374,3665l9374,3679,9383,3691,9392,3691,9404,3691,9413,3679,9413,3665,9413,3653,9404,3641,9392,3641,9383,3641,9374,3653,9374,3665xe" filled="false" stroked="true" strokeweight=".503673pt" strokecolor="#1a466e">
              <v:path arrowok="t"/>
            </v:shape>
            <v:shape style="position:absolute;left:7837;top:3408;width:39;height:50" type="#_x0000_t75" stroked="false">
              <v:imagedata r:id="rId96" o:title=""/>
            </v:shape>
            <v:shape style="position:absolute;left:7837;top:3408;width:39;height:50" coordorigin="7837,3408" coordsize="39,50" path="m7837,3431l7837,3446,7846,3458,7855,3458,7866,3458,7876,3446,7876,3431,7876,3420,7866,3408,7855,3408,7846,3408,7837,3420,7837,3431xe" filled="false" stroked="true" strokeweight=".503524pt" strokecolor="#1a466e">
              <v:path arrowok="t"/>
            </v:shape>
            <v:shape style="position:absolute;left:7812;top:3755;width:41;height:52" type="#_x0000_t75" stroked="false">
              <v:imagedata r:id="rId109" o:title=""/>
            </v:shape>
            <v:shape style="position:absolute;left:7812;top:3755;width:41;height:53" coordorigin="7812,3755" coordsize="41,53" path="m7812,3781l7812,3796,7821,3807,7832,3807,7844,3807,7853,3796,7853,3781,7853,3767,7844,3755,7832,3755,7821,3755,7812,3767,7812,3781xe" filled="false" stroked="true" strokeweight=".503664pt" strokecolor="#1a466e">
              <v:path arrowok="t"/>
            </v:shape>
            <v:shape style="position:absolute;left:7853;top:2338;width:39;height:52" type="#_x0000_t75" stroked="false">
              <v:imagedata r:id="rId96" o:title=""/>
            </v:shape>
            <v:shape style="position:absolute;left:7853;top:2338;width:39;height:53" coordorigin="7853,2338" coordsize="39,53" path="m7853,2364l7853,2378,7862,2390,7871,2390,7882,2390,7892,2378,7892,2364,7892,2349,7882,2338,7871,2338,7862,2338,7853,2349,7853,2364xe" filled="false" stroked="true" strokeweight=".500123pt" strokecolor="#1a466e">
              <v:path arrowok="t"/>
            </v:shape>
            <v:shape style="position:absolute;left:7855;top:3589;width:39;height:53" type="#_x0000_t75" stroked="false">
              <v:imagedata r:id="rId132" o:title=""/>
            </v:shape>
            <v:shape style="position:absolute;left:7855;top:3589;width:39;height:53" coordorigin="7855,3589" coordsize="39,53" path="m7855,3615l7855,3630,7864,3641,7873,3641,7885,3641,7894,3630,7894,3615,7894,3600,7885,3589,7873,3589,7864,3589,7855,3600,7855,3615xe" filled="false" stroked="true" strokeweight=".499853pt" strokecolor="#1a466e">
              <v:path arrowok="t"/>
            </v:shape>
            <v:shape style="position:absolute;left:7603;top:3172;width:39;height:49" type="#_x0000_t75" stroked="false">
              <v:imagedata r:id="rId402" o:title=""/>
            </v:shape>
            <v:shape style="position:absolute;left:7603;top:3172;width:39;height:50" coordorigin="7603,3172" coordsize="39,50" path="m7603,3195l7603,3210,7612,3221,7621,3221,7632,3221,7641,3210,7641,3195,7641,3184,7632,3172,7621,3172,7612,3172,7603,3184,7603,3195xe" filled="false" stroked="true" strokeweight=".503673pt" strokecolor="#1a466e">
              <v:path arrowok="t"/>
            </v:shape>
            <v:shape style="position:absolute;left:8071;top:3519;width:39;height:50" type="#_x0000_t75" stroked="false">
              <v:imagedata r:id="rId96" o:title=""/>
            </v:shape>
            <v:shape style="position:absolute;left:8071;top:3519;width:39;height:50" coordorigin="8071,3519" coordsize="39,50" path="m8071,3542l8071,3557,8080,3568,8089,3568,8101,3568,8110,3557,8110,3542,8110,3530,8101,3519,8089,3519,8080,3519,8071,3530,8071,3542xe" filled="false" stroked="true" strokeweight=".503672pt" strokecolor="#1a466e">
              <v:path arrowok="t"/>
            </v:shape>
            <v:shape style="position:absolute;left:7575;top:4155;width:41;height:50" type="#_x0000_t75" stroked="false">
              <v:imagedata r:id="rId96" o:title=""/>
            </v:shape>
            <v:shape style="position:absolute;left:7575;top:4155;width:41;height:50" coordorigin="7575,4155" coordsize="41,50" path="m7575,4178l7575,4192,7584,4204,7596,4204,7607,4204,7616,4192,7616,4178,7616,4166,7607,4155,7596,4155,7584,4155,7575,4166,7575,4178xe" filled="false" stroked="true" strokeweight=".507082pt" strokecolor="#1a466e">
              <v:path arrowok="t"/>
            </v:shape>
            <v:shape style="position:absolute;left:7864;top:3052;width:39;height:50" type="#_x0000_t75" stroked="false">
              <v:imagedata r:id="rId96" o:title=""/>
            </v:shape>
            <v:shape style="position:absolute;left:7864;top:3052;width:39;height:50" coordorigin="7864,3052" coordsize="39,50" path="m7864,3075l7864,3090,7873,3102,7882,3102,7894,3102,7903,3090,7903,3075,7903,3064,7894,3052,7882,3052,7873,3052,7864,3064,7864,3075xe" filled="false" stroked="true" strokeweight=".503524pt" strokecolor="#1a466e">
              <v:path arrowok="t"/>
            </v:shape>
            <v:shape style="position:absolute;left:7580;top:3449;width:39;height:52" type="#_x0000_t75" stroked="false">
              <v:imagedata r:id="rId403" o:title=""/>
            </v:shape>
            <v:shape style="position:absolute;left:7580;top:3449;width:39;height:53" coordorigin="7580,3449" coordsize="39,53" path="m7580,3475l7580,3490,7589,3501,7598,3501,7609,3501,7619,3490,7619,3475,7619,3460,7609,3449,7598,3449,7589,3449,7580,3460,7580,3475xe" filled="false" stroked="true" strokeweight=".500259pt" strokecolor="#1a466e">
              <v:path arrowok="t"/>
            </v:shape>
            <v:shape style="position:absolute;left:8139;top:3714;width:41;height:50" type="#_x0000_t75" stroked="false">
              <v:imagedata r:id="rId96" o:title=""/>
            </v:shape>
            <v:shape style="position:absolute;left:8139;top:3714;width:41;height:50" coordorigin="8139,3714" coordsize="41,50" path="m8139,3737l8139,3752,8148,3764,8160,3764,8171,3764,8180,3752,8180,3737,8180,3726,8171,3714,8160,3714,8148,3714,8139,3726,8139,3737xe" filled="false" stroked="true" strokeweight=".507021pt" strokecolor="#1a466e">
              <v:path arrowok="t"/>
            </v:shape>
            <v:shape style="position:absolute;left:7628;top:3516;width:39;height:50" type="#_x0000_t75" stroked="false">
              <v:imagedata r:id="rId96" o:title=""/>
            </v:shape>
            <v:shape style="position:absolute;left:7628;top:3516;width:39;height:50" coordorigin="7628,3516" coordsize="39,50" path="m7628,3539l7628,3554,7637,3565,7646,3565,7657,3565,7666,3554,7666,3539,7666,3527,7657,3516,7646,3516,7637,3516,7628,3527,7628,3539xe" filled="false" stroked="true" strokeweight=".503524pt" strokecolor="#1a466e">
              <v:path arrowok="t"/>
            </v:shape>
            <v:shape style="position:absolute;left:7773;top:3274;width:41;height:49" type="#_x0000_t75" stroked="false">
              <v:imagedata r:id="rId96" o:title=""/>
            </v:shape>
            <v:shape style="position:absolute;left:7773;top:3274;width:42;height:50" coordorigin="7773,3274" coordsize="42,50" path="m7773,3297l7773,3312,7782,3323,7794,3323,7805,3323,7814,3312,7814,3297,7814,3285,7805,3274,7794,3274,7782,3274,7773,3285,7773,3297xe" filled="false" stroked="true" strokeweight=".507317pt" strokecolor="#1a466e">
              <v:path arrowok="t"/>
            </v:shape>
            <v:shape style="position:absolute;left:7812;top:3548;width:41;height:52" type="#_x0000_t75" stroked="false">
              <v:imagedata r:id="rId96" o:title=""/>
            </v:shape>
            <v:shape style="position:absolute;left:7812;top:3548;width:41;height:53" coordorigin="7812,3548" coordsize="41,53" path="m7812,3574l7812,3589,7821,3600,7832,3600,7844,3600,7853,3589,7853,3574,7853,3559,7844,3548,7832,3548,7821,3548,7812,3559,7812,3574xe" filled="false" stroked="true" strokeweight=".503524pt" strokecolor="#1a466e">
              <v:path arrowok="t"/>
            </v:shape>
            <v:shape style="position:absolute;left:7750;top:3603;width:39;height:50" type="#_x0000_t75" stroked="false">
              <v:imagedata r:id="rId96" o:title=""/>
            </v:shape>
            <v:shape style="position:absolute;left:7750;top:3603;width:39;height:50" coordorigin="7750,3603" coordsize="39,50" path="m7750,3627l7750,3641,7760,3653,7769,3653,7780,3653,7789,3641,7789,3627,7789,3615,7780,3603,7769,3603,7760,3603,7750,3615,7750,3627xe" filled="false" stroked="true" strokeweight=".503377pt" strokecolor="#1a466e">
              <v:path arrowok="t"/>
            </v:shape>
            <v:shape style="position:absolute;left:7816;top:3349;width:39;height:53" type="#_x0000_t75" stroked="false">
              <v:imagedata r:id="rId96" o:title=""/>
            </v:shape>
            <v:shape style="position:absolute;left:7816;top:3349;width:39;height:53" coordorigin="7816,3349" coordsize="39,53" path="m7816,3376l7816,3391,7826,3402,7835,3402,7846,3402,7855,3391,7855,3376,7855,3361,7846,3349,7835,3349,7826,3349,7816,3361,7816,3376xe" filled="false" stroked="true" strokeweight=".499853pt" strokecolor="#1a466e">
              <v:path arrowok="t"/>
            </v:shape>
            <v:shape style="position:absolute;left:773;top:10215;width:7014;height:4855" coordorigin="773,10215" coordsize="7014,4855" path="m6407,4589l6407,1690m6407,4303l6368,4303m6407,3670l6368,3670m6407,3035l6368,3035m6407,2402l6368,2402m6407,1766l6368,1766m6407,4589l9690,4589m6465,4589l6465,4639m7098,4589l7098,4639m7732,4589l7732,4639m8364,4589l8364,4639m8997,4589l8997,4639m9631,4589l9631,4639e" filled="false" stroked="true" strokeweight=".259584pt" strokecolor="#000000">
              <v:path arrowok="t"/>
            </v:shape>
            <v:shape style="position:absolute;left:6370;top:4674;width:192;height:123" type="#_x0000_t202" filled="false" stroked="false">
              <v:textbox inset="0,0,0,0">
                <w:txbxContent>
                  <w:p>
                    <w:pPr>
                      <w:spacing w:line="123" w:lineRule="exact" w:before="0"/>
                      <w:ind w:left="0" w:right="-9" w:firstLine="0"/>
                      <w:jc w:val="left"/>
                      <w:rPr>
                        <w:rFonts w:ascii="Arial"/>
                        <w:sz w:val="12"/>
                      </w:rPr>
                    </w:pPr>
                    <w:r>
                      <w:rPr>
                        <w:rFonts w:ascii="Arial"/>
                        <w:w w:val="75"/>
                        <w:sz w:val="12"/>
                      </w:rPr>
                      <w:t>-100</w:t>
                    </w:r>
                  </w:p>
                </w:txbxContent>
              </v:textbox>
              <w10:wrap type="none"/>
            </v:shape>
            <v:shape style="position:absolute;left:7030;top:4674;width:140;height:123" type="#_x0000_t202" filled="false" stroked="false">
              <v:textbox inset="0,0,0,0">
                <w:txbxContent>
                  <w:p>
                    <w:pPr>
                      <w:spacing w:line="123" w:lineRule="exact" w:before="0"/>
                      <w:ind w:left="0" w:right="-19" w:firstLine="0"/>
                      <w:jc w:val="left"/>
                      <w:rPr>
                        <w:rFonts w:ascii="Arial"/>
                        <w:sz w:val="12"/>
                      </w:rPr>
                    </w:pPr>
                    <w:r>
                      <w:rPr>
                        <w:rFonts w:ascii="Arial"/>
                        <w:w w:val="80"/>
                        <w:sz w:val="12"/>
                      </w:rPr>
                      <w:t>-50</w:t>
                    </w:r>
                  </w:p>
                </w:txbxContent>
              </v:textbox>
              <w10:wrap type="none"/>
            </v:shape>
            <v:shape style="position:absolute;left:7705;top:4674;width:54;height:123" type="#_x0000_t202" filled="false" stroked="false">
              <v:textbox inset="0,0,0,0">
                <w:txbxContent>
                  <w:p>
                    <w:pPr>
                      <w:spacing w:line="123" w:lineRule="exact" w:before="0"/>
                      <w:ind w:left="0" w:right="0" w:firstLine="0"/>
                      <w:jc w:val="left"/>
                      <w:rPr>
                        <w:rFonts w:ascii="Arial"/>
                        <w:sz w:val="12"/>
                      </w:rPr>
                    </w:pPr>
                    <w:r>
                      <w:rPr>
                        <w:rFonts w:ascii="Arial"/>
                        <w:w w:val="79"/>
                        <w:sz w:val="12"/>
                      </w:rPr>
                      <w:t>0</w:t>
                    </w:r>
                  </w:p>
                </w:txbxContent>
              </v:textbox>
              <w10:wrap type="none"/>
            </v:shape>
            <v:shape style="position:absolute;left:8312;top:4674;width:110;height:123" type="#_x0000_t202" filled="false" stroked="false">
              <v:textbox inset="0,0,0,0">
                <w:txbxContent>
                  <w:p>
                    <w:pPr>
                      <w:spacing w:line="123" w:lineRule="exact" w:before="0"/>
                      <w:ind w:left="0" w:right="-17" w:firstLine="0"/>
                      <w:jc w:val="left"/>
                      <w:rPr>
                        <w:rFonts w:ascii="Arial"/>
                        <w:sz w:val="12"/>
                      </w:rPr>
                    </w:pPr>
                    <w:r>
                      <w:rPr>
                        <w:rFonts w:ascii="Arial"/>
                        <w:w w:val="80"/>
                        <w:sz w:val="12"/>
                      </w:rPr>
                      <w:t>50</w:t>
                    </w:r>
                  </w:p>
                </w:txbxContent>
              </v:textbox>
              <w10:wrap type="none"/>
            </v:shape>
            <v:shape style="position:absolute;left:8917;top:4674;width:160;height:123" type="#_x0000_t202" filled="false" stroked="false">
              <v:textbox inset="0,0,0,0">
                <w:txbxContent>
                  <w:p>
                    <w:pPr>
                      <w:spacing w:line="123" w:lineRule="exact" w:before="0"/>
                      <w:ind w:left="0" w:right="-11" w:firstLine="0"/>
                      <w:jc w:val="left"/>
                      <w:rPr>
                        <w:rFonts w:ascii="Arial"/>
                        <w:sz w:val="12"/>
                      </w:rPr>
                    </w:pPr>
                    <w:r>
                      <w:rPr>
                        <w:rFonts w:ascii="Arial"/>
                        <w:w w:val="75"/>
                        <w:sz w:val="12"/>
                      </w:rPr>
                      <w:t>100</w:t>
                    </w:r>
                  </w:p>
                </w:txbxContent>
              </v:textbox>
              <w10:wrap type="none"/>
            </v:shape>
            <v:shape style="position:absolute;left:9551;top:4674;width:160;height:123" type="#_x0000_t202" filled="false" stroked="false">
              <v:textbox inset="0,0,0,0">
                <w:txbxContent>
                  <w:p>
                    <w:pPr>
                      <w:spacing w:line="123" w:lineRule="exact" w:before="0"/>
                      <w:ind w:left="0" w:right="-11" w:firstLine="0"/>
                      <w:jc w:val="left"/>
                      <w:rPr>
                        <w:rFonts w:ascii="Arial"/>
                        <w:sz w:val="12"/>
                      </w:rPr>
                    </w:pPr>
                    <w:r>
                      <w:rPr>
                        <w:rFonts w:ascii="Arial"/>
                        <w:w w:val="75"/>
                        <w:sz w:val="12"/>
                      </w:rPr>
                      <w:t>150</w:t>
                    </w:r>
                  </w:p>
                </w:txbxContent>
              </v:textbox>
              <w10:wrap type="none"/>
            </v:shape>
            <v:shape style="position:absolute;left:7917;top:4793;width:263;height:123" type="#_x0000_t202" filled="false" stroked="false">
              <v:textbox inset="0,0,0,0">
                <w:txbxContent>
                  <w:p>
                    <w:pPr>
                      <w:spacing w:line="123" w:lineRule="exact" w:before="0"/>
                      <w:ind w:left="0" w:right="-19" w:firstLine="0"/>
                      <w:jc w:val="left"/>
                      <w:rPr>
                        <w:rFonts w:ascii="Arial"/>
                        <w:sz w:val="12"/>
                      </w:rPr>
                    </w:pPr>
                    <w:r>
                      <w:rPr>
                        <w:rFonts w:ascii="Arial"/>
                        <w:w w:val="80"/>
                        <w:sz w:val="12"/>
                      </w:rPr>
                      <w:t>va_35</w:t>
                    </w:r>
                  </w:p>
                </w:txbxContent>
              </v:textbox>
              <w10:wrap type="none"/>
            </v:shape>
            <w10:wrap type="none"/>
          </v:group>
        </w:pict>
      </w:r>
      <w:r>
        <w:rPr/>
        <w:pict>
          <v:group style="position:absolute;margin-left:86.800674pt;margin-top:320.271088pt;width:209.3pt;height:186.75pt;mso-position-horizontal-relative:page;mso-position-vertical-relative:page;z-index:9544" coordorigin="1736,6405" coordsize="4186,3735">
            <v:rect style="position:absolute;left:1736;top:6405;width:4185;height:3732" filled="true" fillcolor="#eaf1f3" stroked="false">
              <v:fill type="solid"/>
            </v:rect>
            <v:shape style="position:absolute;left:1739;top:6412;width:4175;height:3725" type="#_x0000_t75" stroked="false">
              <v:imagedata r:id="rId404" o:title=""/>
            </v:shape>
            <v:rect style="position:absolute;left:1739;top:6412;width:4175;height:3725" filled="false" stroked="true" strokeweight=".285353pt" strokecolor="#eaf1f3"/>
            <v:shape style="position:absolute;left:2152;top:6542;width:3658;height:3089" type="#_x0000_t75" stroked="false">
              <v:imagedata r:id="rId405" o:title=""/>
            </v:shape>
            <v:rect style="position:absolute;left:2152;top:6542;width:3658;height:3089" filled="false" stroked="true" strokeweight=".286906pt" strokecolor="#ffffff"/>
            <v:shape style="position:absolute;left:2152;top:6616;width:3659;height:2716" coordorigin="2152,6616" coordsize="3659,2716" path="m5810,9320l2152,9320,2152,9332,5810,9332,5810,9320m5810,8646l2152,8646,2152,8658,5810,8658,5810,8646m5810,7968l2152,7968,2152,7981,5810,7981,5810,7968m5810,7294l2152,7294,2152,7306,5810,7306,5810,7294m5810,6616l2152,6616,2152,6629,5810,6629,5810,6616e" filled="true" fillcolor="#eaf1f3" stroked="false">
              <v:path arrowok="t"/>
              <v:fill type="solid"/>
            </v:shape>
            <v:shape style="position:absolute;left:2844;top:8667;width:43;height:56" type="#_x0000_t75" stroked="false">
              <v:imagedata r:id="rId406" o:title=""/>
            </v:shape>
            <v:shape style="position:absolute;left:2844;top:8667;width:44;height:56" coordorigin="2844,8667" coordsize="44,56" path="m2844,8695l2844,8711,2854,8723,2864,8723,2877,8723,2887,8711,2887,8695,2887,8680,2877,8667,2864,8667,2854,8667,2844,8680,2844,8695xe" filled="false" stroked="true" strokeweight=".549681pt" strokecolor="#1a466e">
              <v:path arrowok="t"/>
            </v:shape>
            <v:shape style="position:absolute;left:2899;top:8363;width:46;height:53" type="#_x0000_t75" stroked="false">
              <v:imagedata r:id="rId114" o:title=""/>
            </v:shape>
            <v:shape style="position:absolute;left:2899;top:8363;width:46;height:53" coordorigin="2899,8363" coordsize="46,53" path="m2899,8388l2899,8403,2910,8416,2922,8416,2935,8416,2945,8403,2945,8388,2945,8375,2935,8363,2922,8363,2910,8363,2899,8375,2899,8388xe" filled="false" stroked="true" strokeweight=".555835pt" strokecolor="#1a466e">
              <v:path arrowok="t"/>
            </v:shape>
            <v:shape style="position:absolute;left:2646;top:9118;width:46;height:56" type="#_x0000_t75" stroked="false">
              <v:imagedata r:id="rId96" o:title=""/>
            </v:shape>
            <v:shape style="position:absolute;left:2646;top:9118;width:46;height:56" coordorigin="2646,9118" coordsize="46,56" path="m2646,9146l2646,9161,2656,9174,2669,9174,2681,9174,2692,9161,2692,9146,2692,9130,2681,9118,2669,9118,2656,9118,2646,9130,2646,9146xe" filled="false" stroked="true" strokeweight=".552733pt" strokecolor="#1a466e">
              <v:path arrowok="t"/>
            </v:shape>
            <v:shape style="position:absolute;left:2902;top:8111;width:46;height:53" type="#_x0000_t75" stroked="false">
              <v:imagedata r:id="rId95" o:title=""/>
            </v:shape>
            <v:shape style="position:absolute;left:2902;top:8111;width:46;height:53" coordorigin="2902,8111" coordsize="46,53" path="m2902,8136l2902,8152,2912,8164,2925,8164,2937,8164,2948,8152,2948,8136,2948,8124,2937,8111,2925,8111,2912,8111,2902,8124,2902,8136xe" filled="false" stroked="true" strokeweight=".555973pt" strokecolor="#1a466e">
              <v:path arrowok="t"/>
            </v:shape>
            <v:shape style="position:absolute;left:2937;top:8360;width:43;height:53" type="#_x0000_t75" stroked="false">
              <v:imagedata r:id="rId96" o:title=""/>
            </v:shape>
            <v:shape style="position:absolute;left:2937;top:8360;width:44;height:53" coordorigin="2937,8360" coordsize="44,53" path="m2937,8385l2937,8400,2948,8413,2958,8413,2970,8413,2981,8400,2981,8385,2981,8372,2970,8360,2958,8360,2948,8360,2937,8372,2937,8385xe" filled="false" stroked="true" strokeweight=".552656pt" strokecolor="#1a466e">
              <v:path arrowok="t"/>
            </v:shape>
            <v:shape style="position:absolute;left:2844;top:8785;width:43;height:56" type="#_x0000_t75" stroked="false">
              <v:imagedata r:id="rId95" o:title=""/>
            </v:shape>
            <v:shape style="position:absolute;left:2844;top:8785;width:44;height:57" coordorigin="2844,8785" coordsize="44,57" path="m2844,8813l2844,8829,2854,8841,2864,8841,2877,8841,2887,8829,2887,8813,2887,8798,2877,8785,2864,8785,2854,8785,2844,8798,2844,8813xe" filled="false" stroked="true" strokeweight=".549434pt" strokecolor="#1a466e">
              <v:path arrowok="t"/>
            </v:shape>
            <v:shape style="position:absolute;left:2864;top:8720;width:43;height:53" type="#_x0000_t75" stroked="false">
              <v:imagedata r:id="rId95" o:title=""/>
            </v:shape>
            <v:shape style="position:absolute;left:2864;top:8720;width:44;height:53" coordorigin="2864,8720" coordsize="44,53" path="m2864,8745l2864,8761,2874,8773,2884,8773,2897,8773,2907,8761,2907,8745,2907,8733,2897,8720,2884,8720,2874,8720,2864,8733,2864,8745xe" filled="false" stroked="true" strokeweight=".552926pt" strokecolor="#1a466e">
              <v:path arrowok="t"/>
            </v:shape>
            <v:shape style="position:absolute;left:2747;top:9015;width:46;height:56" type="#_x0000_t75" stroked="false">
              <v:imagedata r:id="rId96" o:title=""/>
            </v:shape>
            <v:shape style="position:absolute;left:2747;top:9015;width:46;height:56" coordorigin="2747,9015" coordsize="46,56" path="m2747,9043l2747,9059,2758,9071,2770,9071,2783,9071,2793,9059,2793,9043,2793,9028,2783,9015,2770,9015,2758,9015,2747,9028,2747,9043xe" filled="false" stroked="true" strokeweight=".552707pt" strokecolor="#1a466e">
              <v:path arrowok="t"/>
            </v:shape>
            <v:shape style="position:absolute;left:2803;top:8534;width:46;height:56" type="#_x0000_t75" stroked="false">
              <v:imagedata r:id="rId114" o:title=""/>
            </v:shape>
            <v:shape style="position:absolute;left:2803;top:8534;width:46;height:56" coordorigin="2803,8534" coordsize="46,56" path="m2803,8562l2803,8577,2813,8589,2826,8589,2839,8589,2849,8577,2849,8562,2849,8546,2839,8534,2826,8534,2813,8534,2803,8546,2803,8562xe" filled="false" stroked="true" strokeweight=".552784pt" strokecolor="#1a466e">
              <v:path arrowok="t"/>
            </v:shape>
            <v:shape style="position:absolute;left:2689;top:7726;width:43;height:56" type="#_x0000_t75" stroked="false">
              <v:imagedata r:id="rId96" o:title=""/>
            </v:shape>
            <v:shape style="position:absolute;left:2689;top:7726;width:44;height:56" coordorigin="2689,7726" coordsize="44,56" path="m2689,7754l2689,7769,2699,7782,2709,7782,2722,7782,2732,7769,2732,7754,2732,7738,2722,7726,2709,7726,2699,7726,2689,7738,2689,7754xe" filled="false" stroked="true" strokeweight=".549576pt" strokecolor="#1a466e">
              <v:path arrowok="t"/>
            </v:shape>
            <v:shape style="position:absolute;left:2975;top:8571;width:43;height:53" type="#_x0000_t75" stroked="false">
              <v:imagedata r:id="rId407" o:title=""/>
            </v:shape>
            <v:shape style="position:absolute;left:2975;top:8571;width:43;height:54" coordorigin="2975,8571" coordsize="43,54" path="m2975,8596l2975,8612,2986,8624,2996,8624,3008,8624,3018,8612,3018,8596,3018,8583,3008,8571,2996,8571,2986,8571,2975,8583,2975,8596xe" filled="false" stroked="true" strokeweight=".552118pt" strokecolor="#1a466e">
              <v:path arrowok="t"/>
            </v:shape>
            <v:shape style="position:absolute;left:2864;top:8037;width:43;height:53" type="#_x0000_t75" stroked="false">
              <v:imagedata r:id="rId95" o:title=""/>
            </v:shape>
            <v:shape style="position:absolute;left:2864;top:8037;width:44;height:53" coordorigin="2864,8037" coordsize="44,53" path="m2864,8061l2864,8077,2874,8089,2884,8089,2897,8089,2907,8077,2907,8061,2907,8049,2897,8037,2884,8037,2874,8037,2864,8049,2864,8061xe" filled="false" stroked="true" strokeweight=".552791pt" strokecolor="#1a466e">
              <v:path arrowok="t"/>
            </v:shape>
            <v:shape style="position:absolute;left:2747;top:9370;width:46;height:56" type="#_x0000_t75" stroked="false">
              <v:imagedata r:id="rId109" o:title=""/>
            </v:shape>
            <v:shape style="position:absolute;left:2747;top:9370;width:46;height:56" coordorigin="2747,9370" coordsize="46,56" path="m2747,9398l2747,9413,2758,9426,2770,9426,2783,9426,2793,9413,2793,9398,2793,9382,2783,9370,2770,9370,2758,9370,2747,9382,2747,9398xe" filled="false" stroked="true" strokeweight=".552707pt" strokecolor="#1a466e">
              <v:path arrowok="t"/>
            </v:shape>
            <v:shape style="position:absolute;left:2958;top:8099;width:43;height:56" type="#_x0000_t75" stroked="false">
              <v:imagedata r:id="rId408" o:title=""/>
            </v:shape>
            <v:shape style="position:absolute;left:2958;top:8099;width:43;height:57" coordorigin="2958,8099" coordsize="43,57" path="m2958,8127l2958,8142,2968,8155,2978,8155,2991,8155,3001,8142,3001,8127,3001,8111,2991,8099,2978,8099,2968,8099,2958,8111,2958,8127xe" filled="false" stroked="true" strokeweight=".54904pt" strokecolor="#1a466e">
              <v:path arrowok="t"/>
            </v:shape>
            <v:shape style="position:absolute;left:3601;top:7685;width:43;height:53" type="#_x0000_t75" stroked="false">
              <v:imagedata r:id="rId409" o:title=""/>
            </v:shape>
            <v:shape style="position:absolute;left:3601;top:7685;width:44;height:53" coordorigin="3601,7685" coordsize="44,53" path="m3601,7710l3601,7726,3611,7738,3621,7738,3634,7738,3644,7726,3644,7710,3644,7698,3634,7685,3621,7685,3611,7685,3601,7698,3601,7710xe" filled="false" stroked="true" strokeweight=".552656pt" strokecolor="#1a466e">
              <v:path arrowok="t"/>
            </v:shape>
            <v:shape style="position:absolute;left:2709;top:8111;width:43;height:53" type="#_x0000_t75" stroked="false">
              <v:imagedata r:id="rId305" o:title=""/>
            </v:shape>
            <v:shape style="position:absolute;left:2709;top:8111;width:44;height:53" coordorigin="2709,8111" coordsize="44,53" path="m2709,8136l2709,8152,2719,8164,2730,8164,2742,8164,2752,8152,2752,8136,2752,8124,2742,8111,2730,8111,2719,8111,2709,8124,2709,8136xe" filled="false" stroked="true" strokeweight=".552818pt" strokecolor="#1a466e">
              <v:path arrowok="t"/>
            </v:shape>
            <v:shape style="position:absolute;left:3087;top:8739;width:43;height:53" type="#_x0000_t75" stroked="false">
              <v:imagedata r:id="rId96" o:title=""/>
            </v:shape>
            <v:shape style="position:absolute;left:3087;top:8739;width:44;height:53" coordorigin="3087,8739" coordsize="44,53" path="m3087,8764l3087,8779,3097,8791,3107,8791,3120,8791,3130,8779,3130,8764,3130,8751,3120,8739,3107,8739,3097,8739,3087,8751,3087,8764xe" filled="false" stroked="true" strokeweight=".552791pt" strokecolor="#1a466e">
              <v:path arrowok="t"/>
            </v:shape>
            <v:shape style="position:absolute;left:2755;top:8695;width:46;height:53" type="#_x0000_t75" stroked="false">
              <v:imagedata r:id="rId95" o:title=""/>
            </v:shape>
            <v:shape style="position:absolute;left:2755;top:8695;width:46;height:53" coordorigin="2755,8695" coordsize="46,53" path="m2755,8720l2755,8736,2765,8748,2778,8748,2790,8748,2801,8736,2801,8720,2801,8708,2790,8695,2778,8695,2765,8695,2755,8708,2755,8720xe" filled="false" stroked="true" strokeweight=".555835pt" strokecolor="#1a466e">
              <v:path arrowok="t"/>
            </v:shape>
            <v:shape style="position:absolute;left:2902;top:8372;width:46;height:53" type="#_x0000_t75" stroked="false">
              <v:imagedata r:id="rId114" o:title=""/>
            </v:shape>
            <v:shape style="position:absolute;left:2902;top:8372;width:46;height:53" coordorigin="2902,8372" coordsize="46,53" path="m2902,8397l2902,8413,2912,8425,2925,8425,2937,8425,2948,8413,2948,8397,2948,8385,2937,8372,2925,8372,2912,8372,2902,8385,2902,8397xe" filled="false" stroked="true" strokeweight=".555835pt" strokecolor="#1a466e">
              <v:path arrowok="t"/>
            </v:shape>
            <v:shape style="position:absolute;left:2793;top:8652;width:46;height:56" type="#_x0000_t75" stroked="false">
              <v:imagedata r:id="rId410" o:title=""/>
            </v:shape>
            <v:shape style="position:absolute;left:2793;top:8652;width:46;height:56" coordorigin="2793,8652" coordsize="46,56" path="m2793,8680l2793,8695,2803,8708,2816,8708,2828,8708,2839,8695,2839,8680,2839,8664,2828,8652,2816,8652,2803,8652,2793,8664,2793,8680xe" filled="false" stroked="true" strokeweight=".552656pt" strokecolor="#1a466e">
              <v:path arrowok="t"/>
            </v:shape>
            <v:shape style="position:absolute;left:2818;top:8764;width:43;height:56" type="#_x0000_t75" stroked="false">
              <v:imagedata r:id="rId109" o:title=""/>
            </v:shape>
            <v:shape style="position:absolute;left:2818;top:8764;width:44;height:56" coordorigin="2818,8764" coordsize="44,56" path="m2818,8791l2818,8807,2828,8819,2839,8819,2851,8819,2861,8807,2861,8791,2861,8776,2851,8764,2839,8764,2828,8764,2818,8776,2818,8791xe" filled="false" stroked="true" strokeweight=".549674pt" strokecolor="#1a466e">
              <v:path arrowok="t"/>
            </v:shape>
            <v:shape style="position:absolute;left:2912;top:8515;width:46;height:56" type="#_x0000_t75" stroked="false">
              <v:imagedata r:id="rId95" o:title=""/>
            </v:shape>
            <v:shape style="position:absolute;left:2912;top:8515;width:46;height:56" coordorigin="2912,8515" coordsize="46,56" path="m2912,8543l2912,8559,2922,8571,2935,8571,2948,8571,2958,8559,2958,8543,2958,8527,2948,8515,2935,8515,2922,8515,2912,8527,2912,8543xe" filled="false" stroked="true" strokeweight=".552656pt" strokecolor="#1a466e">
              <v:path arrowok="t"/>
            </v:shape>
            <v:shape style="position:absolute;left:2732;top:8922;width:43;height:53" type="#_x0000_t75" stroked="false">
              <v:imagedata r:id="rId411" o:title=""/>
            </v:shape>
            <v:shape style="position:absolute;left:2732;top:8922;width:44;height:53" coordorigin="2732,8922" coordsize="44,53" path="m2732,8947l2732,8963,2742,8975,2752,8975,2765,8975,2775,8963,2775,8947,2775,8935,2765,8922,2752,8922,2742,8922,2732,8935,2732,8947xe" filled="false" stroked="true" strokeweight=".552724pt" strokecolor="#1a466e">
              <v:path arrowok="t"/>
            </v:shape>
            <v:shape style="position:absolute;left:2836;top:8121;width:43;height:53" type="#_x0000_t75" stroked="false">
              <v:imagedata r:id="rId96" o:title=""/>
            </v:shape>
            <v:shape style="position:absolute;left:2836;top:8121;width:44;height:53" coordorigin="2836,8121" coordsize="44,53" path="m2836,8145l2836,8161,2846,8173,2856,8173,2869,8173,2879,8161,2879,8145,2879,8133,2869,8121,2856,8121,2846,8121,2836,8133,2836,8145xe" filled="false" stroked="true" strokeweight=".552926pt" strokecolor="#1a466e">
              <v:path arrowok="t"/>
            </v:shape>
            <v:shape style="position:absolute;left:2851;top:8596;width:43;height:53" type="#_x0000_t75" stroked="false">
              <v:imagedata r:id="rId96" o:title=""/>
            </v:shape>
            <v:shape style="position:absolute;left:2851;top:8596;width:44;height:53" coordorigin="2851,8596" coordsize="44,53" path="m2851,8621l2851,8636,2861,8649,2872,8649,2884,8649,2894,8636,2894,8621,2894,8608,2884,8596,2872,8596,2861,8596,2851,8608,2851,8621xe" filled="false" stroked="true" strokeweight=".552926pt" strokecolor="#1a466e">
              <v:path arrowok="t"/>
            </v:shape>
            <v:shape style="position:absolute;left:2884;top:8456;width:46;height:53" type="#_x0000_t75" stroked="false">
              <v:imagedata r:id="rId95" o:title=""/>
            </v:shape>
            <v:shape style="position:absolute;left:2884;top:8456;width:46;height:53" coordorigin="2884,8456" coordsize="46,53" path="m2884,8481l2884,8496,2894,8509,2907,8509,2920,8509,2930,8496,2930,8481,2930,8468,2920,8456,2907,8456,2894,8456,2884,8468,2884,8481xe" filled="false" stroked="true" strokeweight=".555973pt" strokecolor="#1a466e">
              <v:path arrowok="t"/>
            </v:shape>
            <v:shape style="position:absolute;left:2811;top:8876;width:43;height:56" type="#_x0000_t75" stroked="false">
              <v:imagedata r:id="rId96" o:title=""/>
            </v:shape>
            <v:shape style="position:absolute;left:2811;top:8876;width:44;height:56" coordorigin="2811,8876" coordsize="44,56" path="m2811,8904l2811,8919,2821,8931,2831,8931,2844,8931,2854,8919,2854,8904,2854,8888,2844,8876,2831,8876,2821,8876,2811,8888,2811,8904xe" filled="false" stroked="true" strokeweight=".5496pt" strokecolor="#1a466e">
              <v:path arrowok="t"/>
            </v:shape>
            <v:shape style="position:absolute;left:2864;top:8406;width:43;height:56" type="#_x0000_t75" stroked="false">
              <v:imagedata r:id="rId412" o:title=""/>
            </v:shape>
            <v:shape style="position:absolute;left:2864;top:8406;width:44;height:56" coordorigin="2864,8406" coordsize="44,56" path="m2864,8434l2864,8450,2874,8462,2884,8462,2897,8462,2907,8450,2907,8434,2907,8419,2897,8406,2884,8406,2874,8406,2864,8419,2864,8434xe" filled="false" stroked="true" strokeweight=".549806pt" strokecolor="#1a466e">
              <v:path arrowok="t"/>
            </v:shape>
            <v:shape style="position:absolute;left:2418;top:7841;width:43;height:56" type="#_x0000_t75" stroked="false">
              <v:imagedata r:id="rId109" o:title=""/>
            </v:shape>
            <v:shape style="position:absolute;left:2418;top:7841;width:44;height:57" coordorigin="2418,7841" coordsize="44,57" path="m2418,7869l2418,7884,2428,7897,2438,7897,2451,7897,2461,7884,2461,7869,2461,7853,2451,7841,2438,7841,2428,7841,2418,7853,2418,7869xe" filled="false" stroked="true" strokeweight=".549329pt" strokecolor="#1a466e">
              <v:path arrowok="t"/>
            </v:shape>
            <v:shape style="position:absolute;left:4741;top:8888;width:46;height:56" type="#_x0000_t75" stroked="false">
              <v:imagedata r:id="rId413" o:title=""/>
            </v:shape>
            <v:shape style="position:absolute;left:4741;top:8888;width:46;height:56" coordorigin="4741,8888" coordsize="46,56" path="m4741,8916l4741,8931,4751,8944,4764,8944,4777,8944,4787,8931,4787,8916,4787,8900,4777,8888,4764,8888,4751,8888,4741,8900,4741,8916xe" filled="false" stroked="true" strokeweight=".55272pt" strokecolor="#1a466e">
              <v:path arrowok="t"/>
            </v:shape>
            <v:shape style="position:absolute;left:2712;top:6980;width:43;height:53" type="#_x0000_t75" stroked="false">
              <v:imagedata r:id="rId414" o:title=""/>
            </v:shape>
            <v:shape style="position:absolute;left:2712;top:6980;width:44;height:53" coordorigin="2712,6980" coordsize="44,53" path="m2712,7005l2712,7020,2722,7033,2732,7033,2745,7033,2755,7020,2755,7005,2755,6992,2745,6980,2732,6980,2722,6980,2712,6992,2712,7005xe" filled="false" stroked="true" strokeweight=".552818pt" strokecolor="#1a466e">
              <v:path arrowok="t"/>
            </v:shape>
            <v:shape style="position:absolute;left:2912;top:8885;width:46;height:56" type="#_x0000_t75" stroked="false">
              <v:imagedata r:id="rId114" o:title=""/>
            </v:shape>
            <v:shape style="position:absolute;left:2912;top:8885;width:46;height:56" coordorigin="2912,8885" coordsize="46,56" path="m2912,8913l2912,8928,2922,8941,2935,8941,2948,8941,2958,8928,2958,8913,2958,8897,2948,8885,2935,8885,2922,8885,2912,8897,2912,8913xe" filled="false" stroked="true" strokeweight=".552707pt" strokecolor="#1a466e">
              <v:path arrowok="t"/>
            </v:shape>
            <v:shape style="position:absolute;left:2854;top:8785;width:43;height:56" type="#_x0000_t75" stroked="false">
              <v:imagedata r:id="rId95" o:title=""/>
            </v:shape>
            <v:shape style="position:absolute;left:2854;top:8785;width:44;height:57" coordorigin="2854,8785" coordsize="44,57" path="m2854,8813l2854,8829,2864,8841,2874,8841,2887,8841,2897,8829,2897,8813,2897,8798,2887,8785,2874,8785,2864,8785,2854,8798,2854,8813xe" filled="false" stroked="true" strokeweight=".549434pt" strokecolor="#1a466e">
              <v:path arrowok="t"/>
            </v:shape>
            <v:shape style="position:absolute;left:2742;top:8559;width:46;height:56" type="#_x0000_t75" stroked="false">
              <v:imagedata r:id="rId415" o:title=""/>
            </v:shape>
            <v:shape style="position:absolute;left:2742;top:8559;width:46;height:57" coordorigin="2742,8559" coordsize="46,57" path="m2742,8586l2742,8602,2752,8615,2765,8615,2778,8615,2788,8602,2788,8586,2788,8571,2778,8559,2765,8559,2752,8559,2742,8571,2742,8586xe" filled="false" stroked="true" strokeweight=".552415pt" strokecolor="#1a466e">
              <v:path arrowok="t"/>
            </v:shape>
            <v:shape style="position:absolute;left:2859;top:8419;width:43;height:56" type="#_x0000_t75" stroked="false">
              <v:imagedata r:id="rId416" o:title=""/>
            </v:shape>
            <v:shape style="position:absolute;left:2859;top:8419;width:44;height:56" coordorigin="2859,8419" coordsize="44,56" path="m2859,8447l2859,8462,2869,8475,2879,8475,2892,8475,2902,8462,2902,8447,2902,8431,2892,8419,2879,8419,2869,8419,2859,8431,2859,8447xe" filled="false" stroked="true" strokeweight=".549806pt" strokecolor="#1a466e">
              <v:path arrowok="t"/>
            </v:shape>
            <v:shape style="position:absolute;left:2889;top:8686;width:46;height:53" type="#_x0000_t75" stroked="false">
              <v:imagedata r:id="rId417" o:title=""/>
            </v:shape>
            <v:shape style="position:absolute;left:2889;top:8686;width:46;height:53" coordorigin="2889,8686" coordsize="46,53" path="m2889,8711l2889,8726,2899,8739,2912,8739,2925,8739,2935,8726,2935,8711,2935,8698,2925,8686,2912,8686,2899,8686,2889,8698,2889,8711xe" filled="false" stroked="true" strokeweight=".555835pt" strokecolor="#1a466e">
              <v:path arrowok="t"/>
            </v:shape>
            <v:shape style="position:absolute;left:2806;top:8667;width:43;height:56" type="#_x0000_t75" stroked="false">
              <v:imagedata r:id="rId418" o:title=""/>
            </v:shape>
            <v:shape style="position:absolute;left:2806;top:8667;width:44;height:56" coordorigin="2806,8667" coordsize="44,56" path="m2806,8695l2806,8711,2816,8723,2826,8723,2839,8723,2849,8711,2849,8695,2849,8680,2839,8667,2826,8667,2816,8667,2806,8680,2806,8695xe" filled="false" stroked="true" strokeweight=".54955pt" strokecolor="#1a466e">
              <v:path arrowok="t"/>
            </v:shape>
            <v:shape style="position:absolute;left:2798;top:8596;width:46;height:53" type="#_x0000_t75" stroked="false">
              <v:imagedata r:id="rId96" o:title=""/>
            </v:shape>
            <v:shape style="position:absolute;left:2798;top:8596;width:46;height:53" coordorigin="2798,8596" coordsize="46,53" path="m2798,8621l2798,8636,2808,8649,2821,8649,2834,8649,2844,8636,2844,8621,2844,8608,2834,8596,2821,8596,2808,8596,2798,8608,2798,8621xe" filled="false" stroked="true" strokeweight=".555973pt" strokecolor="#1a466e">
              <v:path arrowok="t"/>
            </v:shape>
            <v:shape style="position:absolute;left:2869;top:8341;width:43;height:53" type="#_x0000_t75" stroked="false">
              <v:imagedata r:id="rId96" o:title=""/>
            </v:shape>
            <v:shape style="position:absolute;left:2869;top:8341;width:44;height:54" coordorigin="2869,8341" coordsize="44,54" path="m2869,8366l2869,8382,2879,8394,2889,8394,2902,8394,2912,8382,2912,8366,2912,8354,2902,8341,2889,8341,2879,8341,2869,8354,2869,8366xe" filled="false" stroked="true" strokeweight=".552522pt" strokecolor="#1a466e">
              <v:path arrowok="t"/>
            </v:shape>
            <v:shape style="position:absolute;left:2846;top:8791;width:43;height:56" type="#_x0000_t75" stroked="false">
              <v:imagedata r:id="rId109" o:title=""/>
            </v:shape>
            <v:shape style="position:absolute;left:2846;top:8791;width:44;height:57" coordorigin="2846,8791" coordsize="44,57" path="m2846,8819l2846,8835,2856,8848,2866,8848,2879,8848,2889,8835,2889,8819,2889,8804,2879,8791,2866,8791,2856,8791,2846,8804,2846,8819xe" filled="false" stroked="true" strokeweight=".549434pt" strokecolor="#1a466e">
              <v:path arrowok="t"/>
            </v:shape>
            <v:shape style="position:absolute;left:2841;top:8689;width:43;height:53" type="#_x0000_t75" stroked="false">
              <v:imagedata r:id="rId419" o:title=""/>
            </v:shape>
            <v:shape style="position:absolute;left:2841;top:8689;width:44;height:53" coordorigin="2841,8689" coordsize="44,53" path="m2841,8714l2841,8729,2851,8742,2861,8742,2874,8742,2884,8729,2884,8714,2884,8702,2874,8689,2861,8689,2851,8689,2841,8702,2841,8714xe" filled="false" stroked="true" strokeweight=".552791pt" strokecolor="#1a466e">
              <v:path arrowok="t"/>
            </v:shape>
            <v:shape style="position:absolute;left:2821;top:8742;width:43;height:56" type="#_x0000_t75" stroked="false">
              <v:imagedata r:id="rId109" o:title=""/>
            </v:shape>
            <v:shape style="position:absolute;left:2821;top:8742;width:44;height:56" coordorigin="2821,8742" coordsize="44,56" path="m2821,8770l2821,8785,2831,8798,2841,8798,2854,8798,2864,8785,2864,8770,2864,8754,2854,8742,2841,8742,2831,8742,2821,8754,2821,8770xe" filled="false" stroked="true" strokeweight=".549674pt" strokecolor="#1a466e">
              <v:path arrowok="t"/>
            </v:shape>
            <v:shape style="position:absolute;left:2975;top:8307;width:43;height:56" type="#_x0000_t75" stroked="false">
              <v:imagedata r:id="rId407" o:title=""/>
            </v:shape>
            <v:shape style="position:absolute;left:2975;top:8307;width:43;height:57" coordorigin="2975,8307" coordsize="43,57" path="m2975,8335l2975,8351,2986,8363,2996,8363,3008,8363,3018,8351,3018,8335,3018,8319,3008,8307,2996,8307,2986,8307,2975,8319,2975,8335xe" filled="false" stroked="true" strokeweight=".54904pt" strokecolor="#1a466e">
              <v:path arrowok="t"/>
            </v:shape>
            <v:shape style="position:absolute;left:2813;top:8555;width:43;height:56" type="#_x0000_t75" stroked="false">
              <v:imagedata r:id="rId95" o:title=""/>
            </v:shape>
            <v:shape style="position:absolute;left:2813;top:8555;width:44;height:57" coordorigin="2813,8555" coordsize="44,57" path="m2813,8583l2813,8599,2823,8612,2834,8612,2846,8612,2856,8599,2856,8583,2856,8568,2846,8555,2834,8555,2823,8555,2813,8568,2813,8583xe" filled="false" stroked="true" strokeweight=".549303pt" strokecolor="#1a466e">
              <v:path arrowok="t"/>
            </v:shape>
            <v:shape style="position:absolute;left:2826;top:8726;width:43;height:53" type="#_x0000_t75" stroked="false">
              <v:imagedata r:id="rId96" o:title=""/>
            </v:shape>
            <v:shape style="position:absolute;left:2826;top:8726;width:44;height:53" coordorigin="2826,8726" coordsize="44,53" path="m2826,8751l2826,8767,2836,8779,2846,8779,2859,8779,2869,8767,2869,8751,2869,8739,2859,8726,2846,8726,2836,8726,2826,8739,2826,8751xe" filled="false" stroked="true" strokeweight=".552791pt" strokecolor="#1a466e">
              <v:path arrowok="t"/>
            </v:shape>
            <v:shape style="position:absolute;left:2988;top:8127;width:43;height:53" type="#_x0000_t75" stroked="false">
              <v:imagedata r:id="rId420" o:title=""/>
            </v:shape>
            <v:shape style="position:absolute;left:2988;top:8127;width:43;height:53" coordorigin="2988,8127" coordsize="43,53" path="m2988,8152l2988,8167,2998,8180,3008,8180,3021,8180,3031,8167,3031,8152,3031,8139,3021,8127,3008,8127,2998,8127,2988,8139,2988,8152xe" filled="false" stroked="true" strokeweight=".552521pt" strokecolor="#1a466e">
              <v:path arrowok="t"/>
            </v:shape>
            <v:shape style="position:absolute;left:2856;top:8316;width:43;height:56" type="#_x0000_t75" stroked="false">
              <v:imagedata r:id="rId96" o:title=""/>
            </v:shape>
            <v:shape style="position:absolute;left:2856;top:8316;width:44;height:57" coordorigin="2856,8316" coordsize="44,57" path="m2856,8344l2856,8360,2866,8372,2877,8372,2889,8372,2899,8360,2899,8344,2899,8329,2889,8316,2877,8316,2866,8316,2856,8329,2856,8344xe" filled="false" stroked="true" strokeweight=".549434pt" strokecolor="#1a466e">
              <v:path arrowok="t"/>
            </v:shape>
            <v:shape style="position:absolute;left:2861;top:8795;width:43;height:56" type="#_x0000_t75" stroked="false">
              <v:imagedata r:id="rId109" o:title=""/>
            </v:shape>
            <v:shape style="position:absolute;left:2861;top:8795;width:44;height:57" coordorigin="2861,8795" coordsize="44,57" path="m2861,8823l2861,8838,2872,8851,2882,8851,2894,8851,2905,8838,2905,8823,2905,8807,2894,8795,2882,8795,2872,8795,2861,8807,2861,8823xe" filled="false" stroked="true" strokeweight=".549434pt" strokecolor="#1a466e">
              <v:path arrowok="t"/>
            </v:shape>
            <v:shape style="position:absolute;left:2803;top:8680;width:46;height:56" type="#_x0000_t75" stroked="false">
              <v:imagedata r:id="rId421" o:title=""/>
            </v:shape>
            <v:shape style="position:absolute;left:2803;top:8680;width:46;height:56" coordorigin="2803,8680" coordsize="46,56" path="m2803,8708l2803,8723,2813,8736,2826,8736,2839,8736,2849,8723,2849,8708,2849,8692,2839,8680,2826,8680,2813,8680,2803,8692,2803,8708xe" filled="false" stroked="true" strokeweight=".552656pt" strokecolor="#1a466e">
              <v:path arrowok="t"/>
            </v:shape>
            <v:shape style="position:absolute;left:3254;top:7266;width:43;height:56" type="#_x0000_t75" stroked="false">
              <v:imagedata r:id="rId95" o:title=""/>
            </v:shape>
            <v:shape style="position:absolute;left:3254;top:7266;width:44;height:56" coordorigin="3254,7266" coordsize="44,56" path="m3254,7294l3254,7309,3264,7322,3274,7322,3287,7322,3297,7309,3297,7294,3297,7278,3287,7266,3274,7266,3264,7266,3254,7278,3254,7294xe" filled="false" stroked="true" strokeweight=".549674pt" strokecolor="#1a466e">
              <v:path arrowok="t"/>
            </v:shape>
            <v:shape style="position:absolute;left:2803;top:8055;width:46;height:56" type="#_x0000_t75" stroked="false">
              <v:imagedata r:id="rId95" o:title=""/>
            </v:shape>
            <v:shape style="position:absolute;left:2803;top:8055;width:46;height:57" coordorigin="2803,8055" coordsize="46,57" path="m2803,8083l2803,8099,2813,8111,2826,8111,2839,8111,2849,8099,2849,8083,2849,8068,2839,8055,2826,8055,2813,8055,2803,8068,2803,8083xe" filled="false" stroked="true" strokeweight=".552402pt" strokecolor="#1a466e">
              <v:path arrowok="t"/>
            </v:shape>
            <v:shape style="position:absolute;left:2570;top:9112;width:43;height:56" type="#_x0000_t75" stroked="false">
              <v:imagedata r:id="rId109" o:title=""/>
            </v:shape>
            <v:shape style="position:absolute;left:2570;top:9112;width:44;height:56" coordorigin="2570,9112" coordsize="44,56" path="m2570,9140l2570,9155,2580,9168,2590,9168,2603,9168,2613,9155,2613,9140,2613,9124,2603,9112,2590,9112,2580,9112,2570,9124,2570,9140xe" filled="false" stroked="true" strokeweight=".549626pt" strokecolor="#1a466e">
              <v:path arrowok="t"/>
            </v:shape>
            <v:shape style="position:absolute;left:3193;top:7816;width:46;height:56" type="#_x0000_t75" stroked="false">
              <v:imagedata r:id="rId95" o:title=""/>
            </v:shape>
            <v:shape style="position:absolute;left:3193;top:7816;width:46;height:57" coordorigin="3193,7816" coordsize="46,57" path="m3193,7844l3193,7860,3203,7872,3216,7872,3229,7872,3239,7860,3239,7844,3239,7828,3229,7816,3216,7816,3203,7816,3193,7828,3193,7844xe" filled="false" stroked="true" strokeweight=".552529pt" strokecolor="#1a466e">
              <v:path arrowok="t"/>
            </v:shape>
            <v:shape style="position:absolute;left:2973;top:8583;width:43;height:53" type="#_x0000_t75" stroked="false">
              <v:imagedata r:id="rId422" o:title=""/>
            </v:shape>
            <v:shape style="position:absolute;left:2973;top:8583;width:43;height:54" coordorigin="2973,8583" coordsize="43,54" path="m2973,8608l2973,8624,2983,8636,2993,8636,3006,8636,3016,8624,3016,8608,3016,8596,3006,8583,2993,8583,2983,8583,2973,8596,2973,8608xe" filled="false" stroked="true" strokeweight=".552118pt" strokecolor="#1a466e">
              <v:path arrowok="t"/>
            </v:shape>
            <v:shape style="position:absolute;left:2755;top:8447;width:46;height:56" type="#_x0000_t75" stroked="false">
              <v:imagedata r:id="rId95" o:title=""/>
            </v:shape>
            <v:shape style="position:absolute;left:2755;top:8447;width:46;height:56" coordorigin="2755,8447" coordsize="46,56" path="m2755,8475l2755,8490,2765,8503,2778,8503,2790,8503,2801,8490,2801,8475,2801,8459,2790,8447,2778,8447,2765,8447,2755,8459,2755,8475xe" filled="false" stroked="true" strokeweight=".552784pt" strokecolor="#1a466e">
              <v:path arrowok="t"/>
            </v:shape>
            <v:shape style="position:absolute;left:2991;top:8562;width:43;height:56" type="#_x0000_t75" stroked="false">
              <v:imagedata r:id="rId423" o:title=""/>
            </v:shape>
            <v:shape style="position:absolute;left:2991;top:8562;width:43;height:57" coordorigin="2991,8562" coordsize="43,57" path="m2991,8589l2991,8605,3001,8618,3011,8618,3023,8618,3034,8605,3034,8589,3034,8574,3023,8562,3011,8562,3001,8562,2991,8574,2991,8589xe" filled="false" stroked="true" strokeweight=".54904pt" strokecolor="#1a466e">
              <v:path arrowok="t"/>
            </v:shape>
            <v:shape style="position:absolute;left:2879;top:8670;width:46;height:56" type="#_x0000_t75" stroked="false">
              <v:imagedata r:id="rId377" o:title=""/>
            </v:shape>
            <v:shape style="position:absolute;left:2879;top:8670;width:46;height:56" coordorigin="2879,8670" coordsize="46,56" path="m2879,8698l2879,8714,2889,8726,2902,8726,2915,8726,2925,8714,2925,8698,2925,8683,2915,8670,2902,8670,2889,8670,2879,8683,2879,8698xe" filled="false" stroked="true" strokeweight=".552656pt" strokecolor="#1a466e">
              <v:path arrowok="t"/>
            </v:shape>
            <v:shape style="position:absolute;left:2811;top:8580;width:43;height:53" type="#_x0000_t75" stroked="false">
              <v:imagedata r:id="rId96" o:title=""/>
            </v:shape>
            <v:shape style="position:absolute;left:2811;top:8580;width:44;height:54" coordorigin="2811,8580" coordsize="44,54" path="m2811,8605l2811,8621,2821,8633,2831,8633,2844,8633,2854,8621,2854,8605,2854,8593,2844,8580,2831,8580,2821,8580,2811,8593,2811,8605xe" filled="false" stroked="true" strokeweight=".552387pt" strokecolor="#1a466e">
              <v:path arrowok="t"/>
            </v:shape>
            <v:shape style="position:absolute;left:2836;top:8602;width:43;height:53" type="#_x0000_t75" stroked="false">
              <v:imagedata r:id="rId96" o:title=""/>
            </v:shape>
            <v:shape style="position:absolute;left:2836;top:8602;width:44;height:53" coordorigin="2836,8602" coordsize="44,53" path="m2836,8627l2836,8643,2846,8655,2856,8655,2869,8655,2879,8643,2879,8627,2879,8615,2869,8602,2856,8602,2846,8602,2836,8615,2836,8627xe" filled="false" stroked="true" strokeweight=".552926pt" strokecolor="#1a466e">
              <v:path arrowok="t"/>
            </v:shape>
            <v:shape style="position:absolute;left:2884;top:8593;width:46;height:53" type="#_x0000_t75" stroked="false">
              <v:imagedata r:id="rId114" o:title=""/>
            </v:shape>
            <v:shape style="position:absolute;left:2884;top:8593;width:46;height:53" coordorigin="2884,8593" coordsize="46,53" path="m2884,8618l2884,8633,2894,8646,2907,8646,2920,8646,2930,8633,2930,8618,2930,8605,2920,8593,2907,8593,2894,8593,2884,8605,2884,8618xe" filled="false" stroked="true" strokeweight=".555973pt" strokecolor="#1a466e">
              <v:path arrowok="t"/>
            </v:shape>
            <v:shape style="position:absolute;left:2907;top:8391;width:46;height:53" type="#_x0000_t75" stroked="false">
              <v:imagedata r:id="rId96" o:title=""/>
            </v:shape>
            <v:shape style="position:absolute;left:2907;top:8391;width:46;height:53" coordorigin="2907,8391" coordsize="46,53" path="m2907,8416l2907,8431,2917,8444,2930,8444,2943,8444,2953,8431,2953,8416,2953,8403,2943,8391,2930,8391,2917,8391,2907,8403,2907,8416xe" filled="false" stroked="true" strokeweight=".555835pt" strokecolor="#1a466e">
              <v:path arrowok="t"/>
            </v:shape>
            <v:shape style="position:absolute;left:2687;top:9049;width:43;height:53" type="#_x0000_t75" stroked="false">
              <v:imagedata r:id="rId96" o:title=""/>
            </v:shape>
            <v:shape style="position:absolute;left:2687;top:9049;width:44;height:54" coordorigin="2687,9049" coordsize="44,54" path="m2687,9074l2687,9090,2697,9102,2707,9102,2719,9102,2730,9090,2730,9074,2730,9062,2719,9049,2707,9049,2697,9049,2687,9062,2687,9074xe" filled="false" stroked="true" strokeweight=".552414pt" strokecolor="#1a466e">
              <v:path arrowok="t"/>
            </v:shape>
            <v:shape style="position:absolute;left:2872;top:8726;width:46;height:53" type="#_x0000_t75" stroked="false">
              <v:imagedata r:id="rId95" o:title=""/>
            </v:shape>
            <v:shape style="position:absolute;left:2872;top:8726;width:46;height:53" coordorigin="2872,8726" coordsize="46,53" path="m2872,8751l2872,8767,2882,8779,2894,8779,2907,8779,2917,8767,2917,8751,2917,8739,2907,8726,2894,8726,2882,8726,2872,8739,2872,8751xe" filled="false" stroked="true" strokeweight=".556103pt" strokecolor="#1a466e">
              <v:path arrowok="t"/>
            </v:shape>
            <v:shape style="position:absolute;left:2846;top:8630;width:43;height:56" type="#_x0000_t75" stroked="false">
              <v:imagedata r:id="rId109" o:title=""/>
            </v:shape>
            <v:shape style="position:absolute;left:2846;top:8630;width:44;height:56" coordorigin="2846,8630" coordsize="44,56" path="m2846,8658l2846,8674,2856,8686,2866,8686,2879,8686,2889,8674,2889,8658,2889,8643,2879,8630,2866,8630,2856,8630,2846,8643,2846,8658xe" filled="false" stroked="true" strokeweight=".549806pt" strokecolor="#1a466e">
              <v:path arrowok="t"/>
            </v:shape>
            <v:shape style="position:absolute;left:2697;top:9140;width:43;height:56" type="#_x0000_t75" stroked="false">
              <v:imagedata r:id="rId424" o:title=""/>
            </v:shape>
            <v:shape style="position:absolute;left:2697;top:9140;width:44;height:56" coordorigin="2697,9140" coordsize="44,56" path="m2697,9168l2697,9183,2707,9196,2717,9196,2730,9196,2740,9183,2740,9168,2740,9152,2730,9140,2717,9140,2707,9140,2697,9152,2697,9168xe" filled="false" stroked="true" strokeweight=".549613pt" strokecolor="#1a466e">
              <v:path arrowok="t"/>
            </v:shape>
            <v:shape style="position:absolute;left:2828;top:9410;width:43;height:53" type="#_x0000_t75" stroked="false">
              <v:imagedata r:id="rId425" o:title=""/>
            </v:shape>
            <v:shape style="position:absolute;left:2828;top:9410;width:44;height:53" coordorigin="2828,9410" coordsize="44,53" path="m2828,9435l2828,9450,2839,9463,2849,9463,2861,9463,2872,9450,2872,9435,2872,9422,2861,9410,2849,9410,2839,9410,2828,9422,2828,9435xe" filled="false" stroked="true" strokeweight=".55271pt" strokecolor="#1a466e">
              <v:path arrowok="t"/>
            </v:shape>
            <v:shape style="position:absolute;left:3039;top:7947;width:46;height:56" type="#_x0000_t75" stroked="false">
              <v:imagedata r:id="rId426" o:title=""/>
            </v:shape>
            <v:shape style="position:absolute;left:3039;top:7947;width:46;height:56" coordorigin="3039,7947" coordsize="46,56" path="m3039,7974l3039,7990,3049,8002,3061,8002,3074,8002,3084,7990,3084,7974,3084,7959,3074,7947,3061,7947,3049,7947,3039,7959,3039,7974xe" filled="false" stroked="true" strokeweight=".552784pt" strokecolor="#1a466e">
              <v:path arrowok="t"/>
            </v:shape>
            <v:shape style="position:absolute;left:2813;top:8260;width:43;height:53" type="#_x0000_t75" stroked="false">
              <v:imagedata r:id="rId95" o:title=""/>
            </v:shape>
            <v:shape style="position:absolute;left:2813;top:8260;width:44;height:53" coordorigin="2813,8260" coordsize="44,53" path="m2813,8285l2813,8301,2823,8313,2834,8313,2846,8313,2856,8301,2856,8285,2856,8273,2846,8260,2834,8260,2823,8260,2813,8273,2813,8285xe" filled="false" stroked="true" strokeweight=".552791pt" strokecolor="#1a466e">
              <v:path arrowok="t"/>
            </v:shape>
            <v:shape style="position:absolute;left:2894;top:8559;width:46;height:56" type="#_x0000_t75" stroked="false">
              <v:imagedata r:id="rId95" o:title=""/>
            </v:shape>
            <v:shape style="position:absolute;left:2894;top:8559;width:46;height:57" coordorigin="2894,8559" coordsize="46,57" path="m2894,8586l2894,8602,2905,8615,2917,8615,2930,8615,2940,8602,2940,8586,2940,8571,2930,8559,2917,8559,2905,8559,2894,8571,2894,8586xe" filled="false" stroked="true" strokeweight=".552402pt" strokecolor="#1a466e">
              <v:path arrowok="t"/>
            </v:shape>
            <v:shape style="position:absolute;left:2834;top:8441;width:43;height:56" type="#_x0000_t75" stroked="false">
              <v:imagedata r:id="rId427" o:title=""/>
            </v:shape>
            <v:shape style="position:absolute;left:2834;top:8441;width:44;height:56" coordorigin="2834,8441" coordsize="44,56" path="m2834,8468l2834,8484,2844,8496,2854,8496,2866,8496,2877,8484,2877,8468,2877,8453,2866,8441,2854,8441,2844,8441,2834,8453,2834,8468xe" filled="false" stroked="true" strokeweight=".549806pt" strokecolor="#1a466e">
              <v:path arrowok="t"/>
            </v:shape>
            <v:shape style="position:absolute;left:2778;top:8829;width:46;height:53" type="#_x0000_t75" stroked="false">
              <v:imagedata r:id="rId96" o:title=""/>
            </v:shape>
            <v:shape style="position:absolute;left:2778;top:8829;width:46;height:54" coordorigin="2778,8829" coordsize="46,54" path="m2778,8854l2778,8869,2788,8882,2801,8882,2813,8882,2823,8869,2823,8854,2823,8841,2813,8829,2801,8829,2788,8829,2778,8841,2778,8854xe" filled="false" stroked="true" strokeweight=".555561pt" strokecolor="#1a466e">
              <v:path arrowok="t"/>
            </v:shape>
            <v:shape style="position:absolute;left:3186;top:8329;width:46;height:56" type="#_x0000_t75" stroked="false">
              <v:imagedata r:id="rId96" o:title=""/>
            </v:shape>
            <v:shape style="position:absolute;left:3186;top:8329;width:46;height:57" coordorigin="3186,8329" coordsize="46,57" path="m3186,8357l3186,8372,3196,8385,3208,8385,3221,8385,3231,8372,3231,8357,3231,8341,3221,8329,3208,8329,3196,8329,3186,8341,3186,8357xe" filled="false" stroked="true" strokeweight=".552529pt" strokecolor="#1a466e">
              <v:path arrowok="t"/>
            </v:shape>
            <v:shape style="position:absolute;left:2899;top:7850;width:46;height:56" type="#_x0000_t75" stroked="false">
              <v:imagedata r:id="rId114" o:title=""/>
            </v:shape>
            <v:shape style="position:absolute;left:2899;top:7850;width:46;height:57" coordorigin="2899,7850" coordsize="46,57" path="m2899,7878l2899,7894,2910,7906,2922,7906,2935,7906,2945,7894,2945,7878,2945,7863,2935,7850,2922,7850,2910,7850,2899,7863,2899,7878xe" filled="false" stroked="true" strokeweight=".552402pt" strokecolor="#1a466e">
              <v:path arrowok="t"/>
            </v:shape>
            <v:shape style="position:absolute;left:2846;top:8543;width:43;height:56" type="#_x0000_t75" stroked="false">
              <v:imagedata r:id="rId109" o:title=""/>
            </v:shape>
            <v:shape style="position:absolute;left:2846;top:8543;width:44;height:57" coordorigin="2846,8543" coordsize="44,57" path="m2846,8571l2846,8586,2856,8599,2866,8599,2879,8599,2889,8586,2889,8571,2889,8555,2879,8543,2866,8543,2856,8543,2846,8555,2846,8571xe" filled="false" stroked="true" strokeweight=".549434pt" strokecolor="#1a466e">
              <v:path arrowok="t"/>
            </v:shape>
            <v:shape style="position:absolute;left:2854;top:8487;width:43;height:53" type="#_x0000_t75" stroked="false">
              <v:imagedata r:id="rId95" o:title=""/>
            </v:shape>
            <v:shape style="position:absolute;left:2854;top:8487;width:44;height:53" coordorigin="2854,8487" coordsize="44,53" path="m2854,8512l2854,8527,2864,8540,2874,8540,2887,8540,2897,8527,2897,8512,2897,8499,2887,8487,2874,8487,2864,8487,2854,8499,2854,8512xe" filled="false" stroked="true" strokeweight=".552791pt" strokecolor="#1a466e">
              <v:path arrowok="t"/>
            </v:shape>
            <v:shape style="position:absolute;left:2844;top:8506;width:43;height:53" type="#_x0000_t75" stroked="false">
              <v:imagedata r:id="rId95" o:title=""/>
            </v:shape>
            <v:shape style="position:absolute;left:2844;top:8506;width:44;height:53" coordorigin="2844,8506" coordsize="44,53" path="m2844,8531l2844,8546,2854,8559,2864,8559,2877,8559,2887,8546,2887,8531,2887,8518,2877,8506,2864,8506,2854,8506,2844,8518,2844,8531xe" filled="false" stroked="true" strokeweight=".552791pt" strokecolor="#1a466e">
              <v:path arrowok="t"/>
            </v:shape>
            <v:shape style="position:absolute;left:2981;top:8419;width:43;height:56" type="#_x0000_t75" stroked="false">
              <v:imagedata r:id="rId428" o:title=""/>
            </v:shape>
            <v:shape style="position:absolute;left:2981;top:8419;width:43;height:56" coordorigin="2981,8419" coordsize="43,56" path="m2981,8447l2981,8462,2991,8475,3001,8475,3013,8475,3023,8462,3023,8447,3023,8431,3013,8419,3001,8419,2991,8419,2981,8431,2981,8447xe" filled="false" stroked="true" strokeweight=".549411pt" strokecolor="#1a466e">
              <v:path arrowok="t"/>
            </v:shape>
            <v:shape style="position:absolute;left:2395;top:9248;width:46;height:56" type="#_x0000_t75" stroked="false">
              <v:imagedata r:id="rId96" o:title=""/>
            </v:shape>
            <v:shape style="position:absolute;left:2395;top:9248;width:46;height:56" coordorigin="2395,9248" coordsize="46,56" path="m2395,9276l2395,9292,2405,9304,2418,9304,2431,9304,2441,9292,2441,9276,2441,9261,2431,9248,2418,9248,2405,9248,2395,9261,2395,9276xe" filled="false" stroked="true" strokeweight=".552746pt" strokecolor="#1a466e">
              <v:path arrowok="t"/>
            </v:shape>
            <v:shape style="position:absolute;left:4194;top:8214;width:46;height:56" type="#_x0000_t75" stroked="false">
              <v:imagedata r:id="rId114" o:title=""/>
            </v:shape>
            <v:shape style="position:absolute;left:4194;top:8214;width:46;height:56" coordorigin="4194,8214" coordsize="46,56" path="m4194,8242l4194,8257,4204,8270,4217,8270,4229,8270,4239,8257,4239,8242,4239,8226,4229,8214,4217,8214,4204,8214,4194,8226,4194,8242xe" filled="false" stroked="true" strokeweight=".552656pt" strokecolor="#1a466e">
              <v:path arrowok="t"/>
            </v:shape>
            <v:shape style="position:absolute;left:2555;top:9522;width:43;height:53" type="#_x0000_t75" stroked="false">
              <v:imagedata r:id="rId95" o:title=""/>
            </v:shape>
            <v:shape style="position:absolute;left:2555;top:9522;width:44;height:54" coordorigin="2555,9522" coordsize="44,54" path="m2555,9547l2555,9562,2565,9575,2575,9575,2588,9575,2598,9562,2598,9547,2598,9534,2588,9522,2575,9522,2565,9522,2555,9534,2555,9547xe" filled="false" stroked="true" strokeweight=".552414pt" strokecolor="#1a466e">
              <v:path arrowok="t"/>
            </v:shape>
            <v:shape style="position:absolute;left:3158;top:6934;width:46;height:56" type="#_x0000_t75" stroked="false">
              <v:imagedata r:id="rId429" o:title=""/>
            </v:shape>
            <v:shape style="position:absolute;left:3158;top:6934;width:46;height:56" coordorigin="3158,6934" coordsize="46,56" path="m3158,6962l3158,6977,3168,6989,3180,6989,3193,6989,3203,6977,3203,6962,3203,6946,3193,6934,3180,6934,3168,6934,3158,6946,3158,6962xe" filled="false" stroked="true" strokeweight=".552784pt" strokecolor="#1a466e">
              <v:path arrowok="t"/>
            </v:shape>
            <v:shape style="position:absolute;left:2874;top:7682;width:46;height:53" type="#_x0000_t75" stroked="false">
              <v:imagedata r:id="rId430" o:title=""/>
            </v:shape>
            <v:shape style="position:absolute;left:2874;top:7682;width:46;height:53" coordorigin="2874,7682" coordsize="46,53" path="m2874,7707l2874,7723,2884,7735,2897,7735,2910,7735,2920,7723,2920,7707,2920,7695,2910,7682,2897,7682,2884,7682,2874,7695,2874,7707xe" filled="false" stroked="true" strokeweight=".555965pt" strokecolor="#1a466e">
              <v:path arrowok="t"/>
            </v:shape>
            <v:shape style="position:absolute;left:2636;top:8559;width:46;height:56" type="#_x0000_t75" stroked="false">
              <v:imagedata r:id="rId96" o:title=""/>
            </v:shape>
            <v:shape style="position:absolute;left:2636;top:8559;width:46;height:57" coordorigin="2636,8559" coordsize="46,57" path="m2636,8586l2636,8602,2646,8615,2659,8615,2671,8615,2681,8602,2681,8586,2681,8571,2671,8559,2659,8559,2646,8559,2636,8571,2636,8586xe" filled="false" stroked="true" strokeweight=".552428pt" strokecolor="#1a466e">
              <v:path arrowok="t"/>
            </v:shape>
            <v:shape style="position:absolute;left:3092;top:8012;width:43;height:53" type="#_x0000_t75" stroked="false">
              <v:imagedata r:id="rId96" o:title=""/>
            </v:shape>
            <v:shape style="position:absolute;left:3092;top:8012;width:44;height:53" coordorigin="3092,8012" coordsize="44,53" path="m3092,8037l3092,8052,3102,8064,3112,8064,3125,8064,3135,8052,3135,8037,3135,8024,3125,8012,3112,8012,3102,8012,3092,8024,3092,8037xe" filled="false" stroked="true" strokeweight=".552656pt" strokecolor="#1a466e">
              <v:path arrowok="t"/>
            </v:shape>
            <v:shape style="position:absolute;left:5722;top:6660;width:43;height:56" type="#_x0000_t75" stroked="false">
              <v:imagedata r:id="rId431" o:title=""/>
            </v:shape>
            <v:shape style="position:absolute;left:5722;top:6660;width:44;height:56" coordorigin="5722,6660" coordsize="44,56" path="m5722,6688l5722,6704,5732,6716,5742,6716,5754,6716,5765,6704,5765,6688,5765,6673,5754,6660,5742,6660,5732,6660,5722,6673,5722,6688xe" filled="false" stroked="true" strokeweight=".549674pt" strokecolor="#1a466e">
              <v:path arrowok="t"/>
            </v:shape>
            <v:shape style="position:absolute;left:2390;top:9165;width:46;height:53" type="#_x0000_t75" stroked="false">
              <v:imagedata r:id="rId432" o:title=""/>
            </v:shape>
            <v:shape style="position:absolute;left:2390;top:9165;width:46;height:53" coordorigin="2390,9165" coordsize="46,53" path="m2390,9189l2390,9205,2400,9217,2413,9217,2426,9217,2436,9205,2436,9189,2436,9177,2426,9165,2413,9165,2400,9165,2390,9177,2390,9189xe" filled="false" stroked="true" strokeweight=".555916pt" strokecolor="#1a466e">
              <v:path arrowok="t"/>
            </v:shape>
            <v:shape style="position:absolute;left:2823;top:7627;width:43;height:56" type="#_x0000_t75" stroked="false">
              <v:imagedata r:id="rId95" o:title=""/>
            </v:shape>
            <v:shape style="position:absolute;left:2823;top:7627;width:44;height:56" coordorigin="2823,7627" coordsize="44,56" path="m2823,7655l2823,7670,2834,7682,2844,7682,2856,7682,2866,7670,2866,7655,2866,7639,2856,7627,2844,7627,2834,7627,2823,7639,2823,7655xe" filled="false" stroked="true" strokeweight=".549674pt" strokecolor="#1a466e">
              <v:path arrowok="t"/>
            </v:shape>
            <v:shape style="position:absolute;left:3692;top:6918;width:46;height:56" type="#_x0000_t75" stroked="false">
              <v:imagedata r:id="rId433" o:title=""/>
            </v:shape>
            <v:shape style="position:absolute;left:3692;top:6918;width:46;height:56" coordorigin="3692,6918" coordsize="46,56" path="m3692,6946l3692,6962,3703,6974,3715,6974,3728,6974,3738,6962,3738,6946,3738,6930,3728,6918,3715,6918,3703,6918,3692,6930,3692,6946xe" filled="false" stroked="true" strokeweight=".552656pt" strokecolor="#1a466e">
              <v:path arrowok="t"/>
            </v:shape>
            <v:shape style="position:absolute;left:2907;top:8559;width:46;height:56" type="#_x0000_t75" stroked="false">
              <v:imagedata r:id="rId96" o:title=""/>
            </v:shape>
            <v:shape style="position:absolute;left:2907;top:8559;width:46;height:57" coordorigin="2907,8559" coordsize="46,57" path="m2907,8586l2907,8602,2917,8615,2930,8615,2943,8615,2953,8602,2953,8586,2953,8571,2943,8559,2930,8559,2917,8559,2907,8571,2907,8586xe" filled="false" stroked="true" strokeweight=".552402pt" strokecolor="#1a466e">
              <v:path arrowok="t"/>
            </v:shape>
            <v:shape style="position:absolute;left:2737;top:8621;width:43;height:53" type="#_x0000_t75" stroked="false">
              <v:imagedata r:id="rId434" o:title=""/>
            </v:shape>
            <v:shape style="position:absolute;left:2737;top:8621;width:44;height:53" coordorigin="2737,8621" coordsize="44,53" path="m2737,8646l2737,8661,2747,8674,2758,8674,2770,8674,2780,8661,2780,8646,2780,8633,2770,8621,2758,8621,2747,8621,2737,8633,2737,8646xe" filled="false" stroked="true" strokeweight=".552805pt" strokecolor="#1a466e">
              <v:path arrowok="t"/>
            </v:shape>
            <v:shape style="position:absolute;left:3011;top:8372;width:46;height:53" type="#_x0000_t75" stroked="false">
              <v:imagedata r:id="rId114" o:title=""/>
            </v:shape>
            <v:shape style="position:absolute;left:3011;top:8372;width:46;height:53" coordorigin="3011,8372" coordsize="46,53" path="m3011,8397l3011,8413,3021,8425,3034,8425,3046,8425,3056,8413,3056,8397,3056,8385,3046,8372,3034,8372,3021,8372,3011,8385,3011,8397xe" filled="false" stroked="true" strokeweight=".555835pt" strokecolor="#1a466e">
              <v:path arrowok="t"/>
            </v:shape>
            <v:shape style="position:absolute;left:2631;top:8742;width:46;height:56" type="#_x0000_t75" stroked="false">
              <v:imagedata r:id="rId114" o:title=""/>
            </v:shape>
            <v:shape style="position:absolute;left:2631;top:8742;width:46;height:56" coordorigin="2631,8742" coordsize="46,56" path="m2631,8770l2631,8785,2641,8798,2654,8798,2666,8798,2676,8785,2676,8770,2676,8754,2666,8742,2654,8742,2641,8742,2631,8754,2631,8770xe" filled="false" stroked="true" strokeweight=".552809pt" strokecolor="#1a466e">
              <v:path arrowok="t"/>
            </v:shape>
            <v:shape style="position:absolute;left:3480;top:7232;width:43;height:56" type="#_x0000_t75" stroked="false">
              <v:imagedata r:id="rId435" o:title=""/>
            </v:shape>
            <v:shape style="position:absolute;left:3480;top:7232;width:44;height:56" coordorigin="3480,7232" coordsize="44,56" path="m3480,7260l3480,7275,3490,7288,3500,7288,3512,7288,3523,7275,3523,7260,3523,7244,3512,7232,3500,7232,3490,7232,3480,7244,3480,7260xe" filled="false" stroked="true" strokeweight=".54955pt" strokecolor="#1a466e">
              <v:path arrowok="t"/>
            </v:shape>
            <v:shape style="position:absolute;left:2920;top:8565;width:46;height:56" type="#_x0000_t75" stroked="false">
              <v:imagedata r:id="rId114" o:title=""/>
            </v:shape>
            <v:shape style="position:absolute;left:2920;top:8565;width:46;height:57" coordorigin="2920,8565" coordsize="46,57" path="m2920,8593l2920,8608,2930,8621,2943,8621,2955,8621,2965,8608,2965,8593,2965,8577,2955,8565,2943,8565,2930,8565,2920,8577,2920,8593xe" filled="false" stroked="true" strokeweight=".552402pt" strokecolor="#1a466e">
              <v:path arrowok="t"/>
            </v:shape>
            <v:shape style="position:absolute;left:2993;top:8121;width:43;height:53" type="#_x0000_t75" stroked="false">
              <v:imagedata r:id="rId436" o:title=""/>
            </v:shape>
            <v:shape style="position:absolute;left:2993;top:8121;width:43;height:53" coordorigin="2993,8121" coordsize="43,53" path="m2993,8145l2993,8161,3003,8173,3013,8173,3026,8173,3036,8161,3036,8145,3036,8133,3026,8121,3013,8121,3003,8121,2993,8133,2993,8145xe" filled="false" stroked="true" strokeweight=".552521pt" strokecolor="#1a466e">
              <v:path arrowok="t"/>
            </v:shape>
            <v:shape style="position:absolute;left:2861;top:8490;width:43;height:53" type="#_x0000_t75" stroked="false">
              <v:imagedata r:id="rId96" o:title=""/>
            </v:shape>
            <v:shape style="position:absolute;left:2861;top:8490;width:44;height:53" coordorigin="2861,8490" coordsize="44,53" path="m2861,8515l2861,8531,2872,8543,2882,8543,2894,8543,2905,8531,2905,8515,2905,8503,2894,8490,2882,8490,2872,8490,2861,8503,2861,8515xe" filled="false" stroked="true" strokeweight=".552791pt" strokecolor="#1a466e">
              <v:path arrowok="t"/>
            </v:shape>
            <v:shape style="position:absolute;left:2707;top:9168;width:43;height:53" type="#_x0000_t75" stroked="false">
              <v:imagedata r:id="rId437" o:title=""/>
            </v:shape>
            <v:shape style="position:absolute;left:2707;top:9168;width:44;height:53" coordorigin="2707,9168" coordsize="44,53" path="m2707,9192l2707,9208,2717,9220,2727,9220,2740,9220,2750,9208,2750,9192,2750,9180,2740,9168,2727,9168,2717,9168,2707,9180,2707,9192xe" filled="false" stroked="true" strokeweight=".552737pt" strokecolor="#1a466e">
              <v:path arrowok="t"/>
            </v:shape>
            <v:shape style="position:absolute;left:3031;top:7993;width:46;height:53" type="#_x0000_t75" stroked="false">
              <v:imagedata r:id="rId114" o:title=""/>
            </v:shape>
            <v:shape style="position:absolute;left:3031;top:7993;width:46;height:53" coordorigin="3031,7993" coordsize="46,53" path="m3031,8018l3031,8033,3041,8046,3054,8046,3066,8046,3077,8033,3077,8018,3077,8005,3066,7993,3054,7993,3041,7993,3031,8005,3031,8018xe" filled="false" stroked="true" strokeweight=".555835pt" strokecolor="#1a466e">
              <v:path arrowok="t"/>
            </v:shape>
            <v:shape style="position:absolute;left:2897;top:8416;width:46;height:56" type="#_x0000_t75" stroked="false">
              <v:imagedata r:id="rId309" o:title=""/>
            </v:shape>
            <v:shape style="position:absolute;left:2897;top:8416;width:46;height:56" coordorigin="2897,8416" coordsize="46,56" path="m2897,8444l2897,8459,2907,8472,2920,8472,2932,8472,2943,8459,2943,8444,2943,8428,2932,8416,2920,8416,2907,8416,2897,8428,2897,8444xe" filled="false" stroked="true" strokeweight=".552784pt" strokecolor="#1a466e">
              <v:path arrowok="t"/>
            </v:shape>
            <v:shape style="position:absolute;left:2801;top:8698;width:46;height:53" type="#_x0000_t75" stroked="false">
              <v:imagedata r:id="rId95" o:title=""/>
            </v:shape>
            <v:shape style="position:absolute;left:2801;top:8698;width:46;height:53" coordorigin="2801,8698" coordsize="46,53" path="m2801,8723l2801,8739,2811,8751,2823,8751,2836,8751,2846,8739,2846,8723,2846,8711,2836,8698,2823,8698,2811,8698,2801,8711,2801,8723xe" filled="false" stroked="true" strokeweight=".555835pt" strokecolor="#1a466e">
              <v:path arrowok="t"/>
            </v:shape>
            <v:shape style="position:absolute;left:2910;top:8487;width:46;height:53" type="#_x0000_t75" stroked="false">
              <v:imagedata r:id="rId95" o:title=""/>
            </v:shape>
            <v:shape style="position:absolute;left:2910;top:8487;width:46;height:53" coordorigin="2910,8487" coordsize="46,53" path="m2910,8512l2910,8527,2920,8540,2932,8540,2945,8540,2955,8527,2955,8512,2955,8499,2945,8487,2932,8487,2920,8487,2910,8499,2910,8512xe" filled="false" stroked="true" strokeweight=".555835pt" strokecolor="#1a466e">
              <v:path arrowok="t"/>
            </v:shape>
            <v:shape style="position:absolute;left:2943;top:8229;width:43;height:53" type="#_x0000_t75" stroked="false">
              <v:imagedata r:id="rId95" o:title=""/>
            </v:shape>
            <v:shape style="position:absolute;left:2943;top:8229;width:44;height:53" coordorigin="2943,8229" coordsize="44,53" path="m2943,8254l2943,8270,2953,8282,2963,8282,2975,8282,2986,8270,2986,8254,2986,8242,2975,8229,2963,8229,2953,8229,2943,8242,2943,8254xe" filled="false" stroked="true" strokeweight=".552791pt" strokecolor="#1a466e">
              <v:path arrowok="t"/>
            </v:shape>
            <v:shape style="position:absolute;left:2864;top:8521;width:43;height:56" type="#_x0000_t75" stroked="false">
              <v:imagedata r:id="rId114" o:title=""/>
            </v:shape>
            <v:shape style="position:absolute;left:2864;top:8521;width:44;height:56" coordorigin="2864,8521" coordsize="44,56" path="m2864,8549l2864,8565,2874,8577,2884,8577,2897,8577,2907,8565,2907,8549,2907,8534,2897,8521,2884,8521,2874,8521,2864,8534,2864,8549xe" filled="false" stroked="true" strokeweight=".549681pt" strokecolor="#1a466e">
              <v:path arrowok="t"/>
            </v:shape>
            <v:shape style="position:absolute;left:2834;top:8580;width:43;height:53" type="#_x0000_t75" stroked="false">
              <v:imagedata r:id="rId95" o:title=""/>
            </v:shape>
            <v:shape style="position:absolute;left:2834;top:8580;width:44;height:54" coordorigin="2834,8580" coordsize="44,54" path="m2834,8605l2834,8621,2844,8633,2854,8633,2866,8633,2877,8621,2877,8605,2877,8593,2866,8580,2854,8580,2844,8580,2834,8593,2834,8605xe" filled="false" stroked="true" strokeweight=".552522pt" strokecolor="#1a466e">
              <v:path arrowok="t"/>
            </v:shape>
            <v:shape style="position:absolute;left:2854;top:8310;width:43;height:56" type="#_x0000_t75" stroked="false">
              <v:imagedata r:id="rId114" o:title=""/>
            </v:shape>
            <v:shape style="position:absolute;left:2854;top:8310;width:44;height:57" coordorigin="2854,8310" coordsize="44,57" path="m2854,8338l2854,8354,2864,8366,2874,8366,2887,8366,2897,8354,2897,8338,2897,8322,2887,8310,2874,8310,2864,8310,2854,8322,2854,8338xe" filled="false" stroked="true" strokeweight=".549434pt" strokecolor="#1a466e">
              <v:path arrowok="t"/>
            </v:shape>
            <v:shape style="position:absolute;left:773;top:10215;width:7014;height:4855" coordorigin="773,10215" coordsize="7014,4855" path="m2152,9631l2152,6542m2152,9326l2109,9326m2152,8652l2109,8652m2152,7974l2109,7974m2152,7300l2109,7300m2152,6623l2109,6623m2152,9631l5810,9631m2218,9631l2218,9683m2872,9631l2872,9683m3525,9631l3525,9683m4179,9631l4179,9683m4832,9631l4832,9683m5489,9631l5489,9683e" filled="false" stroked="true" strokeweight=".282099pt" strokecolor="#000000">
              <v:path arrowok="t"/>
            </v:shape>
            <v:shape style="position:absolute;left:2112;top:9721;width:214;height:131" type="#_x0000_t202" filled="false" stroked="false">
              <v:textbox inset="0,0,0,0">
                <w:txbxContent>
                  <w:p>
                    <w:pPr>
                      <w:spacing w:line="131" w:lineRule="exact" w:before="0"/>
                      <w:ind w:left="0" w:right="-15" w:firstLine="0"/>
                      <w:jc w:val="left"/>
                      <w:rPr>
                        <w:rFonts w:ascii="Arial"/>
                        <w:sz w:val="13"/>
                      </w:rPr>
                    </w:pPr>
                    <w:r>
                      <w:rPr>
                        <w:rFonts w:ascii="Arial"/>
                        <w:w w:val="80"/>
                        <w:sz w:val="13"/>
                      </w:rPr>
                      <w:t>-100</w:t>
                    </w:r>
                  </w:p>
                </w:txbxContent>
              </v:textbox>
              <w10:wrap type="none"/>
            </v:shape>
            <v:shape style="position:absolute;left:2841;top:9721;width:60;height:131" type="#_x0000_t202" filled="false" stroked="false">
              <v:textbox inset="0,0,0,0">
                <w:txbxContent>
                  <w:p>
                    <w:pPr>
                      <w:spacing w:line="131" w:lineRule="exact" w:before="0"/>
                      <w:ind w:left="0" w:right="0" w:firstLine="0"/>
                      <w:jc w:val="left"/>
                      <w:rPr>
                        <w:rFonts w:ascii="Arial"/>
                        <w:sz w:val="13"/>
                      </w:rPr>
                    </w:pPr>
                    <w:r>
                      <w:rPr>
                        <w:rFonts w:ascii="Arial"/>
                        <w:w w:val="81"/>
                        <w:sz w:val="13"/>
                      </w:rPr>
                      <w:t>0</w:t>
                    </w:r>
                  </w:p>
                </w:txbxContent>
              </v:textbox>
              <w10:wrap type="none"/>
            </v:shape>
            <v:shape style="position:absolute;left:3436;top:9721;width:832;height:258" type="#_x0000_t202" filled="false" stroked="false">
              <v:textbox inset="0,0,0,0">
                <w:txbxContent>
                  <w:p>
                    <w:pPr>
                      <w:tabs>
                        <w:tab w:pos="653" w:val="left" w:leader="none"/>
                      </w:tabs>
                      <w:spacing w:line="122" w:lineRule="exact" w:before="0"/>
                      <w:ind w:left="0" w:right="0" w:firstLine="0"/>
                      <w:jc w:val="left"/>
                      <w:rPr>
                        <w:rFonts w:ascii="Arial"/>
                        <w:sz w:val="13"/>
                      </w:rPr>
                    </w:pPr>
                    <w:r>
                      <w:rPr>
                        <w:rFonts w:ascii="Arial"/>
                        <w:w w:val="90"/>
                        <w:sz w:val="13"/>
                      </w:rPr>
                      <w:t>100</w:t>
                      <w:tab/>
                    </w:r>
                    <w:r>
                      <w:rPr>
                        <w:rFonts w:ascii="Arial"/>
                        <w:w w:val="80"/>
                        <w:sz w:val="13"/>
                      </w:rPr>
                      <w:t>200</w:t>
                    </w:r>
                  </w:p>
                  <w:p>
                    <w:pPr>
                      <w:spacing w:line="136" w:lineRule="exact" w:before="0"/>
                      <w:ind w:left="397" w:right="0" w:firstLine="0"/>
                      <w:jc w:val="left"/>
                      <w:rPr>
                        <w:rFonts w:ascii="Arial"/>
                        <w:sz w:val="13"/>
                      </w:rPr>
                    </w:pPr>
                    <w:r>
                      <w:rPr>
                        <w:rFonts w:ascii="Arial"/>
                        <w:w w:val="90"/>
                        <w:sz w:val="13"/>
                      </w:rPr>
                      <w:t>va_38</w:t>
                    </w:r>
                  </w:p>
                </w:txbxContent>
              </v:textbox>
              <w10:wrap type="none"/>
            </v:shape>
            <v:shape style="position:absolute;left:4744;top:9721;width:179;height:131" type="#_x0000_t202" filled="false" stroked="false">
              <v:textbox inset="0,0,0,0">
                <w:txbxContent>
                  <w:p>
                    <w:pPr>
                      <w:spacing w:line="131" w:lineRule="exact" w:before="0"/>
                      <w:ind w:left="0" w:right="-15" w:firstLine="0"/>
                      <w:jc w:val="left"/>
                      <w:rPr>
                        <w:rFonts w:ascii="Arial"/>
                        <w:sz w:val="13"/>
                      </w:rPr>
                    </w:pPr>
                    <w:r>
                      <w:rPr>
                        <w:rFonts w:ascii="Arial"/>
                        <w:w w:val="80"/>
                        <w:sz w:val="13"/>
                      </w:rPr>
                      <w:t>300</w:t>
                    </w:r>
                  </w:p>
                </w:txbxContent>
              </v:textbox>
              <w10:wrap type="none"/>
            </v:shape>
            <v:shape style="position:absolute;left:5400;top:9721;width:179;height:131" type="#_x0000_t202" filled="false" stroked="false">
              <v:textbox inset="0,0,0,0">
                <w:txbxContent>
                  <w:p>
                    <w:pPr>
                      <w:spacing w:line="131" w:lineRule="exact" w:before="0"/>
                      <w:ind w:left="0" w:right="-15" w:firstLine="0"/>
                      <w:jc w:val="left"/>
                      <w:rPr>
                        <w:rFonts w:ascii="Arial"/>
                        <w:sz w:val="13"/>
                      </w:rPr>
                    </w:pPr>
                    <w:r>
                      <w:rPr>
                        <w:rFonts w:ascii="Arial"/>
                        <w:w w:val="80"/>
                        <w:sz w:val="13"/>
                      </w:rPr>
                      <w:t>400</w:t>
                    </w:r>
                  </w:p>
                </w:txbxContent>
              </v:textbox>
              <w10:wrap type="none"/>
            </v:shape>
            <w10:wrap type="none"/>
          </v:group>
        </w:pict>
      </w:r>
      <w:r>
        <w:rPr/>
        <w:pict>
          <v:shape style="position:absolute;margin-left:89.241173pt;margin-top:460.588959pt;width:7.35pt;height:11.4pt;mso-position-horizontal-relative:page;mso-position-vertical-relative:page;z-index:9568" type="#_x0000_t202" filled="false" stroked="false">
            <v:textbox inset="0,0,0,0" style="layout-flow:vertical;mso-layout-flow-alt:bottom-to-top">
              <w:txbxContent>
                <w:p>
                  <w:pPr>
                    <w:spacing w:before="12"/>
                    <w:ind w:left="20" w:right="-80" w:firstLine="0"/>
                    <w:jc w:val="left"/>
                    <w:rPr>
                      <w:rFonts w:ascii="Arial"/>
                      <w:sz w:val="10"/>
                    </w:rPr>
                  </w:pPr>
                  <w:r>
                    <w:rPr>
                      <w:rFonts w:ascii="Arial"/>
                      <w:w w:val="130"/>
                      <w:sz w:val="10"/>
                    </w:rPr>
                    <w:t>-</w:t>
                  </w:r>
                  <w:r>
                    <w:rPr>
                      <w:rFonts w:ascii="Arial"/>
                      <w:spacing w:val="-2"/>
                      <w:w w:val="130"/>
                      <w:sz w:val="10"/>
                    </w:rPr>
                    <w:t>2</w:t>
                  </w:r>
                  <w:r>
                    <w:rPr>
                      <w:rFonts w:ascii="Arial"/>
                      <w:w w:val="130"/>
                      <w:sz w:val="10"/>
                    </w:rPr>
                    <w:t>0</w:t>
                  </w:r>
                </w:p>
              </w:txbxContent>
            </v:textbox>
            <w10:wrap type="none"/>
          </v:shape>
        </w:pict>
      </w:r>
      <w:r>
        <w:rPr/>
        <w:pict>
          <v:shape style="position:absolute;margin-left:88.995766pt;margin-top:218.951721pt;width:7.1pt;height:11.05pt;mso-position-horizontal-relative:page;mso-position-vertical-relative:page;z-index:9592" type="#_x0000_t202" filled="false" stroked="false">
            <v:textbox inset="0,0,0,0" style="layout-flow:vertical;mso-layout-flow-alt:bottom-to-top">
              <w:txbxContent>
                <w:p>
                  <w:pPr>
                    <w:spacing w:before="8"/>
                    <w:ind w:left="20" w:right="-79" w:firstLine="0"/>
                    <w:jc w:val="left"/>
                    <w:rPr>
                      <w:rFonts w:ascii="Arial"/>
                      <w:sz w:val="10"/>
                    </w:rPr>
                  </w:pPr>
                  <w:r>
                    <w:rPr>
                      <w:rFonts w:ascii="Arial"/>
                      <w:w w:val="125"/>
                      <w:sz w:val="10"/>
                    </w:rPr>
                    <w:t>-</w:t>
                  </w:r>
                  <w:r>
                    <w:rPr>
                      <w:rFonts w:ascii="Arial"/>
                      <w:spacing w:val="-1"/>
                      <w:w w:val="125"/>
                      <w:sz w:val="10"/>
                    </w:rPr>
                    <w:t>4</w:t>
                  </w:r>
                  <w:r>
                    <w:rPr>
                      <w:rFonts w:ascii="Arial"/>
                      <w:w w:val="125"/>
                      <w:sz w:val="10"/>
                    </w:rPr>
                    <w:t>0</w:t>
                  </w:r>
                </w:p>
              </w:txbxContent>
            </v:textbox>
            <w10:wrap type="none"/>
          </v:shape>
        </w:pict>
      </w:r>
      <w:r>
        <w:rPr/>
        <w:pict>
          <v:shape style="position:absolute;margin-left:88.995766pt;margin-top:190.760223pt;width:7.1pt;height:11.05pt;mso-position-horizontal-relative:page;mso-position-vertical-relative:page;z-index:9616" type="#_x0000_t202" filled="false" stroked="false">
            <v:textbox inset="0,0,0,0" style="layout-flow:vertical;mso-layout-flow-alt:bottom-to-top">
              <w:txbxContent>
                <w:p>
                  <w:pPr>
                    <w:spacing w:before="8"/>
                    <w:ind w:left="20" w:right="-79" w:firstLine="0"/>
                    <w:jc w:val="left"/>
                    <w:rPr>
                      <w:rFonts w:ascii="Arial"/>
                      <w:sz w:val="10"/>
                    </w:rPr>
                  </w:pPr>
                  <w:r>
                    <w:rPr>
                      <w:rFonts w:ascii="Arial"/>
                      <w:w w:val="125"/>
                      <w:sz w:val="10"/>
                    </w:rPr>
                    <w:t>-</w:t>
                  </w:r>
                  <w:r>
                    <w:rPr>
                      <w:rFonts w:ascii="Arial"/>
                      <w:spacing w:val="-1"/>
                      <w:w w:val="125"/>
                      <w:sz w:val="10"/>
                    </w:rPr>
                    <w:t>2</w:t>
                  </w:r>
                  <w:r>
                    <w:rPr>
                      <w:rFonts w:ascii="Arial"/>
                      <w:w w:val="125"/>
                      <w:sz w:val="10"/>
                    </w:rPr>
                    <w:t>0</w:t>
                  </w:r>
                </w:p>
              </w:txbxContent>
            </v:textbox>
            <w10:wrap type="none"/>
          </v:shape>
        </w:pict>
      </w:r>
      <w:r>
        <w:rPr/>
        <w:pict>
          <v:shape style="position:absolute;margin-left:93.221153pt;margin-top:135.360260pt;width:7.1pt;height:8.9pt;mso-position-horizontal-relative:page;mso-position-vertical-relative:page;z-index:9640" type="#_x0000_t202" filled="false" stroked="false">
            <v:textbox inset="0,0,0,0" style="layout-flow:vertical;mso-layout-flow-alt:bottom-to-top">
              <w:txbxContent>
                <w:p>
                  <w:pPr>
                    <w:spacing w:before="8"/>
                    <w:ind w:left="20" w:right="-35" w:firstLine="0"/>
                    <w:jc w:val="left"/>
                    <w:rPr>
                      <w:rFonts w:ascii="Arial"/>
                      <w:sz w:val="10"/>
                    </w:rPr>
                  </w:pPr>
                  <w:r>
                    <w:rPr>
                      <w:rFonts w:ascii="Arial"/>
                      <w:spacing w:val="-2"/>
                      <w:w w:val="125"/>
                      <w:sz w:val="10"/>
                    </w:rPr>
                    <w:t>20</w:t>
                  </w:r>
                </w:p>
              </w:txbxContent>
            </v:textbox>
            <w10:wrap type="none"/>
          </v:shape>
        </w:pict>
      </w:r>
      <w:r>
        <w:rPr/>
        <w:pict>
          <v:shape style="position:absolute;margin-left:93.221153pt;margin-top:107.173134pt;width:7.1pt;height:8.9pt;mso-position-horizontal-relative:page;mso-position-vertical-relative:page;z-index:9664" type="#_x0000_t202" filled="false" stroked="false">
            <v:textbox inset="0,0,0,0" style="layout-flow:vertical;mso-layout-flow-alt:bottom-to-top">
              <w:txbxContent>
                <w:p>
                  <w:pPr>
                    <w:spacing w:before="8"/>
                    <w:ind w:left="20" w:right="-35" w:firstLine="0"/>
                    <w:jc w:val="left"/>
                    <w:rPr>
                      <w:rFonts w:ascii="Arial"/>
                      <w:sz w:val="10"/>
                    </w:rPr>
                  </w:pPr>
                  <w:r>
                    <w:rPr>
                      <w:rFonts w:ascii="Arial"/>
                      <w:spacing w:val="-2"/>
                      <w:w w:val="125"/>
                      <w:sz w:val="10"/>
                    </w:rPr>
                    <w:t>40</w:t>
                  </w:r>
                </w:p>
              </w:txbxContent>
            </v:textbox>
            <w10:wrap type="none"/>
          </v:shape>
        </w:pict>
      </w:r>
      <w:r>
        <w:rPr/>
        <w:pict>
          <v:shape style="position:absolute;margin-left:93.100487pt;margin-top:78.842377pt;width:7.1pt;height:8.9pt;mso-position-horizontal-relative:page;mso-position-vertical-relative:page;z-index:9688" type="#_x0000_t202" filled="false" stroked="false">
            <v:textbox inset="0,0,0,0" style="layout-flow:vertical;mso-layout-flow-alt:bottom-to-top">
              <w:txbxContent>
                <w:p>
                  <w:pPr>
                    <w:spacing w:before="8"/>
                    <w:ind w:left="20" w:right="-35" w:firstLine="0"/>
                    <w:jc w:val="left"/>
                    <w:rPr>
                      <w:rFonts w:ascii="Arial"/>
                      <w:sz w:val="10"/>
                    </w:rPr>
                  </w:pPr>
                  <w:r>
                    <w:rPr>
                      <w:rFonts w:ascii="Arial"/>
                      <w:spacing w:val="-2"/>
                      <w:w w:val="125"/>
                      <w:sz w:val="10"/>
                    </w:rPr>
                    <w:t>60</w:t>
                  </w:r>
                </w:p>
              </w:txbxContent>
            </v:textbox>
            <w10:wrap type="none"/>
          </v:shape>
        </w:pict>
      </w:r>
      <w:r>
        <w:rPr/>
        <w:pict>
          <v:shape style="position:absolute;margin-left:93.676224pt;margin-top:394.143738pt;width:7.35pt;height:9.15pt;mso-position-horizontal-relative:page;mso-position-vertical-relative:page;z-index:9712" type="#_x0000_t202" filled="false" stroked="false">
            <v:textbox inset="0,0,0,0" style="layout-flow:vertical;mso-layout-flow-alt:bottom-to-top">
              <w:txbxContent>
                <w:p>
                  <w:pPr>
                    <w:spacing w:before="12"/>
                    <w:ind w:left="20" w:right="-35" w:firstLine="0"/>
                    <w:jc w:val="left"/>
                    <w:rPr>
                      <w:rFonts w:ascii="Arial"/>
                      <w:sz w:val="10"/>
                    </w:rPr>
                  </w:pPr>
                  <w:r>
                    <w:rPr>
                      <w:rFonts w:ascii="Arial"/>
                      <w:spacing w:val="-2"/>
                      <w:w w:val="130"/>
                      <w:sz w:val="10"/>
                    </w:rPr>
                    <w:t>20</w:t>
                  </w:r>
                </w:p>
              </w:txbxContent>
            </v:textbox>
            <w10:wrap type="none"/>
          </v:shape>
        </w:pict>
      </w:r>
      <w:r>
        <w:rPr/>
        <w:pict>
          <v:shape style="position:absolute;margin-left:93.676224pt;margin-top:360.439209pt;width:7.35pt;height:9.15pt;mso-position-horizontal-relative:page;mso-position-vertical-relative:page;z-index:9736" type="#_x0000_t202" filled="false" stroked="false">
            <v:textbox inset="0,0,0,0" style="layout-flow:vertical;mso-layout-flow-alt:bottom-to-top">
              <w:txbxContent>
                <w:p>
                  <w:pPr>
                    <w:spacing w:before="12"/>
                    <w:ind w:left="20" w:right="-35" w:firstLine="0"/>
                    <w:jc w:val="left"/>
                    <w:rPr>
                      <w:rFonts w:ascii="Arial"/>
                      <w:sz w:val="10"/>
                    </w:rPr>
                  </w:pPr>
                  <w:r>
                    <w:rPr>
                      <w:rFonts w:ascii="Arial"/>
                      <w:spacing w:val="-2"/>
                      <w:w w:val="130"/>
                      <w:sz w:val="10"/>
                    </w:rPr>
                    <w:t>40</w:t>
                  </w:r>
                </w:p>
              </w:txbxContent>
            </v:textbox>
            <w10:wrap type="none"/>
          </v:shape>
        </w:pict>
      </w:r>
      <w:r>
        <w:rPr/>
        <w:pict>
          <v:shape style="position:absolute;margin-left:93.549568pt;margin-top:326.566406pt;width:7.35pt;height:9.15pt;mso-position-horizontal-relative:page;mso-position-vertical-relative:page;z-index:9760" type="#_x0000_t202" filled="false" stroked="false">
            <v:textbox inset="0,0,0,0" style="layout-flow:vertical;mso-layout-flow-alt:bottom-to-top">
              <w:txbxContent>
                <w:p>
                  <w:pPr>
                    <w:spacing w:before="12"/>
                    <w:ind w:left="20" w:right="-35" w:firstLine="0"/>
                    <w:jc w:val="left"/>
                    <w:rPr>
                      <w:rFonts w:ascii="Arial"/>
                      <w:sz w:val="10"/>
                    </w:rPr>
                  </w:pPr>
                  <w:r>
                    <w:rPr>
                      <w:rFonts w:ascii="Arial"/>
                      <w:spacing w:val="-2"/>
                      <w:w w:val="130"/>
                      <w:sz w:val="10"/>
                    </w:rPr>
                    <w:t>60</w:t>
                  </w:r>
                </w:p>
              </w:txbxContent>
            </v:textbox>
            <w10:wrap type="none"/>
          </v:shape>
        </w:pict>
      </w:r>
      <w:r>
        <w:rPr/>
        <w:pict>
          <v:shape style="position:absolute;margin-left:97.446037pt;margin-top:165.138275pt;width:7.1pt;height:5.55pt;mso-position-horizontal-relative:page;mso-position-vertical-relative:page;z-index:9784" type="#_x0000_t202" filled="false" stroked="false">
            <v:textbox inset="0,0,0,0" style="layout-flow:vertical;mso-layout-flow-alt:bottom-to-top">
              <w:txbxContent>
                <w:p>
                  <w:pPr>
                    <w:spacing w:before="8"/>
                    <w:ind w:left="20" w:right="0" w:firstLine="0"/>
                    <w:jc w:val="left"/>
                    <w:rPr>
                      <w:rFonts w:ascii="Arial"/>
                      <w:sz w:val="10"/>
                    </w:rPr>
                  </w:pPr>
                  <w:r>
                    <w:rPr>
                      <w:rFonts w:ascii="Arial"/>
                      <w:w w:val="125"/>
                      <w:sz w:val="10"/>
                    </w:rPr>
                    <w:t>0</w:t>
                  </w:r>
                </w:p>
              </w:txbxContent>
            </v:textbox>
            <w10:wrap type="none"/>
          </v:shape>
        </w:pict>
      </w:r>
      <w:r>
        <w:rPr/>
        <w:pict>
          <v:shape style="position:absolute;margin-left:98.110741pt;margin-top:429.671783pt;width:7.35pt;height:5.65pt;mso-position-horizontal-relative:page;mso-position-vertical-relative:page;z-index:9808" type="#_x0000_t202" filled="false" stroked="false">
            <v:textbox inset="0,0,0,0" style="layout-flow:vertical;mso-layout-flow-alt:bottom-to-top">
              <w:txbxContent>
                <w:p>
                  <w:pPr>
                    <w:spacing w:before="12"/>
                    <w:ind w:left="20" w:right="0" w:firstLine="0"/>
                    <w:jc w:val="left"/>
                    <w:rPr>
                      <w:rFonts w:ascii="Arial"/>
                      <w:sz w:val="10"/>
                    </w:rPr>
                  </w:pPr>
                  <w:r>
                    <w:rPr>
                      <w:rFonts w:ascii="Arial"/>
                      <w:w w:val="130"/>
                      <w:sz w:val="10"/>
                    </w:rPr>
                    <w:t>0</w:t>
                  </w:r>
                </w:p>
              </w:txbxContent>
            </v:textbox>
            <w10:wrap type="none"/>
          </v:shape>
        </w:pict>
      </w:r>
      <w:r>
        <w:rPr/>
        <w:pict>
          <v:shape style="position:absolute;margin-left:303.739746pt;margin-top:209.736984pt;width:6.8pt;height:10.85pt;mso-position-horizontal-relative:page;mso-position-vertical-relative:page;z-index:9832" type="#_x0000_t202" filled="false" stroked="false">
            <v:textbox inset="0,0,0,0" style="layout-flow:vertical;mso-layout-flow-alt:bottom-to-top">
              <w:txbxContent>
                <w:p>
                  <w:pPr>
                    <w:spacing w:before="13"/>
                    <w:ind w:left="20" w:right="-81" w:firstLine="0"/>
                    <w:jc w:val="left"/>
                    <w:rPr>
                      <w:rFonts w:ascii="Arial"/>
                      <w:sz w:val="9"/>
                    </w:rPr>
                  </w:pPr>
                  <w:r>
                    <w:rPr>
                      <w:rFonts w:ascii="Arial"/>
                      <w:w w:val="136"/>
                      <w:sz w:val="9"/>
                    </w:rPr>
                    <w:t>-</w:t>
                  </w:r>
                  <w:r>
                    <w:rPr>
                      <w:rFonts w:ascii="Arial"/>
                      <w:spacing w:val="-1"/>
                      <w:w w:val="136"/>
                      <w:sz w:val="9"/>
                    </w:rPr>
                    <w:t>2</w:t>
                  </w:r>
                  <w:r>
                    <w:rPr>
                      <w:rFonts w:ascii="Arial"/>
                      <w:w w:val="136"/>
                      <w:sz w:val="9"/>
                    </w:rPr>
                    <w:t>0</w:t>
                  </w:r>
                </w:p>
              </w:txbxContent>
            </v:textbox>
            <w10:wrap type="none"/>
          </v:shape>
        </w:pict>
      </w:r>
      <w:r>
        <w:rPr/>
        <w:pict>
          <v:shape style="position:absolute;margin-left:307.720795pt;margin-top:147.372665pt;width:6.8pt;height:8.75pt;mso-position-horizontal-relative:page;mso-position-vertical-relative:page;z-index:9856" type="#_x0000_t202" filled="false" stroked="false">
            <v:textbox inset="0,0,0,0" style="layout-flow:vertical;mso-layout-flow-alt:bottom-to-top">
              <w:txbxContent>
                <w:p>
                  <w:pPr>
                    <w:spacing w:before="13"/>
                    <w:ind w:left="20" w:right="-37" w:firstLine="0"/>
                    <w:jc w:val="left"/>
                    <w:rPr>
                      <w:rFonts w:ascii="Arial"/>
                      <w:sz w:val="9"/>
                    </w:rPr>
                  </w:pPr>
                  <w:r>
                    <w:rPr>
                      <w:rFonts w:ascii="Arial"/>
                      <w:spacing w:val="-2"/>
                      <w:w w:val="136"/>
                      <w:sz w:val="9"/>
                    </w:rPr>
                    <w:t>20</w:t>
                  </w:r>
                </w:p>
              </w:txbxContent>
            </v:textbox>
            <w10:wrap type="none"/>
          </v:shape>
        </w:pict>
      </w:r>
      <w:r>
        <w:rPr/>
        <w:pict>
          <v:shape style="position:absolute;margin-left:307.720795pt;margin-top:115.738197pt;width:6.8pt;height:8.75pt;mso-position-horizontal-relative:page;mso-position-vertical-relative:page;z-index:9880" type="#_x0000_t202" filled="false" stroked="false">
            <v:textbox inset="0,0,0,0" style="layout-flow:vertical;mso-layout-flow-alt:bottom-to-top">
              <w:txbxContent>
                <w:p>
                  <w:pPr>
                    <w:spacing w:before="13"/>
                    <w:ind w:left="20" w:right="-37" w:firstLine="0"/>
                    <w:jc w:val="left"/>
                    <w:rPr>
                      <w:rFonts w:ascii="Arial"/>
                      <w:sz w:val="9"/>
                    </w:rPr>
                  </w:pPr>
                  <w:r>
                    <w:rPr>
                      <w:rFonts w:ascii="Arial"/>
                      <w:spacing w:val="-2"/>
                      <w:w w:val="136"/>
                      <w:sz w:val="9"/>
                    </w:rPr>
                    <w:t>40</w:t>
                  </w:r>
                </w:p>
              </w:txbxContent>
            </v:textbox>
            <w10:wrap type="none"/>
          </v:shape>
        </w:pict>
      </w:r>
      <w:r>
        <w:rPr/>
        <w:pict>
          <v:shape style="position:absolute;margin-left:307.607086pt;margin-top:83.945793pt;width:6.8pt;height:8.75pt;mso-position-horizontal-relative:page;mso-position-vertical-relative:page;z-index:9904" type="#_x0000_t202" filled="false" stroked="false">
            <v:textbox inset="0,0,0,0" style="layout-flow:vertical;mso-layout-flow-alt:bottom-to-top">
              <w:txbxContent>
                <w:p>
                  <w:pPr>
                    <w:spacing w:before="13"/>
                    <w:ind w:left="20" w:right="-37" w:firstLine="0"/>
                    <w:jc w:val="left"/>
                    <w:rPr>
                      <w:rFonts w:ascii="Arial"/>
                      <w:sz w:val="9"/>
                    </w:rPr>
                  </w:pPr>
                  <w:r>
                    <w:rPr>
                      <w:rFonts w:ascii="Arial"/>
                      <w:spacing w:val="-2"/>
                      <w:w w:val="136"/>
                      <w:sz w:val="9"/>
                    </w:rPr>
                    <w:t>60</w:t>
                  </w:r>
                </w:p>
              </w:txbxContent>
            </v:textbox>
            <w10:wrap type="none"/>
          </v:shape>
        </w:pict>
      </w:r>
      <w:r>
        <w:rPr/>
        <w:pict>
          <v:shape style="position:absolute;margin-left:311.701324pt;margin-top:180.718674pt;width:6.8pt;height:5.45pt;mso-position-horizontal-relative:page;mso-position-vertical-relative:page;z-index:9928" type="#_x0000_t202" filled="false" stroked="false">
            <v:textbox inset="0,0,0,0" style="layout-flow:vertical;mso-layout-flow-alt:bottom-to-top">
              <w:txbxContent>
                <w:p>
                  <w:pPr>
                    <w:spacing w:before="13"/>
                    <w:ind w:left="20" w:right="0" w:firstLine="0"/>
                    <w:jc w:val="left"/>
                    <w:rPr>
                      <w:rFonts w:ascii="Arial"/>
                      <w:sz w:val="9"/>
                    </w:rPr>
                  </w:pPr>
                  <w:r>
                    <w:rPr>
                      <w:rFonts w:ascii="Arial"/>
                      <w:w w:val="136"/>
                      <w:sz w:val="9"/>
                    </w:rPr>
                    <w:t>0</w:t>
                  </w:r>
                </w:p>
              </w:txbxContent>
            </v:textbox>
            <w10:wrap type="none"/>
          </v:shape>
        </w:pict>
      </w:r>
    </w:p>
    <w:sectPr>
      <w:pgSz w:w="12240" w:h="15840"/>
      <w:pgMar w:header="0" w:footer="1003" w:top="1460" w:bottom="1200" w:left="162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Math">
    <w:altName w:val="Cambria Math"/>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20020pt;margin-top:730.856018pt;width:9.6pt;height:13.05pt;mso-position-horizontal-relative:page;mso-position-vertical-relative:page;z-index:-4659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65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65664"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65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65616"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65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65568" type="#_x0000_t202" filled="false" stroked="false">
          <v:textbox inset="0,0,0,0">
            <w:txbxContent>
              <w:p>
                <w:pPr>
                  <w:spacing w:line="245" w:lineRule="exact" w:before="0"/>
                  <w:ind w:left="20" w:right="-2" w:firstLine="0"/>
                  <w:jc w:val="left"/>
                  <w:rPr>
                    <w:rFonts w:ascii="Calibri"/>
                    <w:sz w:val="22"/>
                  </w:rPr>
                </w:pPr>
                <w:r>
                  <w:rPr>
                    <w:rFonts w:ascii="Calibri"/>
                    <w:sz w:val="22"/>
                  </w:rPr>
                  <w:t>70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65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5520" from="85.103996pt,681.220032pt" to="229.123996pt,681.220032pt" stroked="true" strokeweight=".71997pt" strokecolor="#000000">
          <w10:wrap type="none"/>
        </v:line>
      </w:pict>
    </w:r>
    <w:r>
      <w:rPr/>
      <w:pict>
        <v:shape style="position:absolute;margin-left:84.103996pt;margin-top:709.761475pt;width:166.25pt;height:12pt;mso-position-horizontal-relative:page;mso-position-vertical-relative:page;z-index:-465496" type="#_x0000_t202" filled="false" stroked="false">
          <v:textbox inset="0,0,0,0">
            <w:txbxContent>
              <w:p>
                <w:pPr>
                  <w:spacing w:line="224" w:lineRule="exact" w:before="0"/>
                  <w:ind w:left="20" w:right="-3" w:firstLine="0"/>
                  <w:jc w:val="left"/>
                  <w:rPr>
                    <w:sz w:val="20"/>
                  </w:rPr>
                </w:pPr>
                <w:r>
                  <w:rPr>
                    <w:sz w:val="20"/>
                  </w:rPr>
                  <w:t>Mercedes Benz (Monografía Municipal).</w:t>
                </w:r>
              </w:p>
            </w:txbxContent>
          </v:textbox>
          <w10:wrap type="none"/>
        </v:shape>
      </w:pict>
    </w:r>
    <w:r>
      <w:rPr/>
      <w:pict>
        <v:shape style="position:absolute;margin-left:513.859985pt;margin-top:730.856018pt;width:15.3pt;height:13.05pt;mso-position-horizontal-relative:page;mso-position-vertical-relative:page;z-index:-4654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76</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65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77</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65424" type="#_x0000_t202" filled="false" stroked="false">
          <v:textbox inset="0,0,0,0">
            <w:txbxContent>
              <w:p>
                <w:pPr>
                  <w:spacing w:line="245" w:lineRule="exact" w:before="0"/>
                  <w:ind w:left="20" w:right="-2" w:firstLine="0"/>
                  <w:jc w:val="left"/>
                  <w:rPr>
                    <w:rFonts w:ascii="Calibri"/>
                    <w:sz w:val="22"/>
                  </w:rPr>
                </w:pPr>
                <w:r>
                  <w:rPr>
                    <w:rFonts w:ascii="Calibri"/>
                    <w:sz w:val="22"/>
                  </w:rPr>
                  <w:t>80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65928"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654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65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85</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65352" type="#_x0000_t202" filled="false" stroked="false">
          <v:textbox inset="0,0,0,0">
            <w:txbxContent>
              <w:p>
                <w:pPr>
                  <w:spacing w:line="245" w:lineRule="exact" w:before="0"/>
                  <w:ind w:left="20" w:right="-2" w:firstLine="0"/>
                  <w:jc w:val="left"/>
                  <w:rPr>
                    <w:rFonts w:ascii="Calibri"/>
                    <w:sz w:val="22"/>
                  </w:rPr>
                </w:pPr>
                <w:r>
                  <w:rPr>
                    <w:rFonts w:ascii="Calibri"/>
                    <w:sz w:val="22"/>
                  </w:rPr>
                  <w:t>90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65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653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96</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65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652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65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117</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65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652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651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651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651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651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65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166</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650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8.339996pt;margin-top:730.856018pt;width:20.75pt;height:13.05pt;mso-position-horizontal-relative:page;mso-position-vertical-relative:page;z-index:-465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182</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650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649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658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8pt;height:13.05pt;mso-position-horizontal-relative:page;mso-position-vertical-relative:page;z-index:-464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217</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465856" from="85.103996pt,646.780029pt" to="229.123996pt,646.780029pt" stroked="true" strokeweight=".71997pt" strokecolor="#000000">
          <w10:wrap type="none"/>
        </v:line>
      </w:pict>
    </w:r>
    <w:r>
      <w:rPr/>
      <w:pict>
        <v:shape style="position:absolute;margin-left:84.103996pt;margin-top:709.761475pt;width:113.6pt;height:12pt;mso-position-horizontal-relative:page;mso-position-vertical-relative:page;z-index:-465832" type="#_x0000_t202" filled="false" stroked="false">
          <v:textbox inset="0,0,0,0">
            <w:txbxContent>
              <w:p>
                <w:pPr>
                  <w:spacing w:line="224" w:lineRule="exact" w:before="0"/>
                  <w:ind w:left="20" w:right="-1" w:firstLine="0"/>
                  <w:jc w:val="left"/>
                  <w:rPr>
                    <w:sz w:val="20"/>
                  </w:rPr>
                </w:pPr>
                <w:r>
                  <w:rPr>
                    <w:sz w:val="20"/>
                  </w:rPr>
                  <w:t>maquinaria y equipo de 2.8.</w:t>
                </w:r>
              </w:p>
            </w:txbxContent>
          </v:textbox>
          <w10:wrap type="none"/>
        </v:shape>
      </w:pict>
    </w:r>
    <w:r>
      <w:rPr/>
      <w:pict>
        <v:shape style="position:absolute;margin-left:513.859985pt;margin-top:730.856018pt;width:15.3pt;height:13.05pt;mso-position-horizontal-relative:page;mso-position-vertical-relative:page;z-index:-465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65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27</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65760"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657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65712"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9">
    <w:multiLevelType w:val="hybridMultilevel"/>
    <w:lvl w:ilvl="0">
      <w:start w:val="1"/>
      <w:numFmt w:val="lowerLetter"/>
      <w:lvlText w:val="%1)"/>
      <w:lvlJc w:val="left"/>
      <w:pPr>
        <w:ind w:left="822" w:hanging="360"/>
        <w:jc w:val="left"/>
      </w:pPr>
      <w:rPr>
        <w:rFonts w:hint="default" w:ascii="Times New Roman" w:hAnsi="Times New Roman" w:eastAsia="Times New Roman" w:cs="Times New Roman"/>
        <w:spacing w:val="-29"/>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1">
    <w:multiLevelType w:val="hybridMultilevel"/>
    <w:lvl w:ilvl="0">
      <w:start w:val="334"/>
      <w:numFmt w:val="decimal"/>
      <w:lvlText w:val="%1"/>
      <w:lvlJc w:val="left"/>
      <w:pPr>
        <w:ind w:left="102" w:hanging="420"/>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996" w:hanging="420"/>
      </w:pPr>
      <w:rPr>
        <w:rFonts w:hint="default"/>
      </w:rPr>
    </w:lvl>
    <w:lvl w:ilvl="2">
      <w:start w:val="1"/>
      <w:numFmt w:val="bullet"/>
      <w:lvlText w:val="•"/>
      <w:lvlJc w:val="left"/>
      <w:pPr>
        <w:ind w:left="1892" w:hanging="420"/>
      </w:pPr>
      <w:rPr>
        <w:rFonts w:hint="default"/>
      </w:rPr>
    </w:lvl>
    <w:lvl w:ilvl="3">
      <w:start w:val="1"/>
      <w:numFmt w:val="bullet"/>
      <w:lvlText w:val="•"/>
      <w:lvlJc w:val="left"/>
      <w:pPr>
        <w:ind w:left="2788" w:hanging="420"/>
      </w:pPr>
      <w:rPr>
        <w:rFonts w:hint="default"/>
      </w:rPr>
    </w:lvl>
    <w:lvl w:ilvl="4">
      <w:start w:val="1"/>
      <w:numFmt w:val="bullet"/>
      <w:lvlText w:val="•"/>
      <w:lvlJc w:val="left"/>
      <w:pPr>
        <w:ind w:left="3684" w:hanging="420"/>
      </w:pPr>
      <w:rPr>
        <w:rFonts w:hint="default"/>
      </w:rPr>
    </w:lvl>
    <w:lvl w:ilvl="5">
      <w:start w:val="1"/>
      <w:numFmt w:val="bullet"/>
      <w:lvlText w:val="•"/>
      <w:lvlJc w:val="left"/>
      <w:pPr>
        <w:ind w:left="4580" w:hanging="420"/>
      </w:pPr>
      <w:rPr>
        <w:rFonts w:hint="default"/>
      </w:rPr>
    </w:lvl>
    <w:lvl w:ilvl="6">
      <w:start w:val="1"/>
      <w:numFmt w:val="bullet"/>
      <w:lvlText w:val="•"/>
      <w:lvlJc w:val="left"/>
      <w:pPr>
        <w:ind w:left="5476" w:hanging="420"/>
      </w:pPr>
      <w:rPr>
        <w:rFonts w:hint="default"/>
      </w:rPr>
    </w:lvl>
    <w:lvl w:ilvl="7">
      <w:start w:val="1"/>
      <w:numFmt w:val="bullet"/>
      <w:lvlText w:val="•"/>
      <w:lvlJc w:val="left"/>
      <w:pPr>
        <w:ind w:left="6372" w:hanging="420"/>
      </w:pPr>
      <w:rPr>
        <w:rFonts w:hint="default"/>
      </w:rPr>
    </w:lvl>
    <w:lvl w:ilvl="8">
      <w:start w:val="1"/>
      <w:numFmt w:val="bullet"/>
      <w:lvlText w:val="•"/>
      <w:lvlJc w:val="left"/>
      <w:pPr>
        <w:ind w:left="7268" w:hanging="420"/>
      </w:pPr>
      <w:rPr>
        <w:rFonts w:hint="default"/>
      </w:rPr>
    </w:lvl>
  </w:abstractNum>
  <w:abstractNum w:abstractNumId="30">
    <w:multiLevelType w:val="hybridMultilevel"/>
    <w:lvl w:ilvl="0">
      <w:start w:val="331"/>
      <w:numFmt w:val="decimal"/>
      <w:lvlText w:val="%1"/>
      <w:lvlJc w:val="left"/>
      <w:pPr>
        <w:ind w:left="524" w:hanging="423"/>
        <w:jc w:val="left"/>
      </w:pPr>
      <w:rPr>
        <w:rFonts w:hint="default" w:ascii="Times New Roman" w:hAnsi="Times New Roman" w:eastAsia="Times New Roman" w:cs="Times New Roman"/>
        <w:w w:val="100"/>
        <w:sz w:val="24"/>
        <w:szCs w:val="24"/>
      </w:rPr>
    </w:lvl>
    <w:lvl w:ilvl="1">
      <w:start w:val="1"/>
      <w:numFmt w:val="bullet"/>
      <w:lvlText w:val="•"/>
      <w:lvlJc w:val="left"/>
      <w:pPr>
        <w:ind w:left="1374" w:hanging="423"/>
      </w:pPr>
      <w:rPr>
        <w:rFonts w:hint="default"/>
      </w:rPr>
    </w:lvl>
    <w:lvl w:ilvl="2">
      <w:start w:val="1"/>
      <w:numFmt w:val="bullet"/>
      <w:lvlText w:val="•"/>
      <w:lvlJc w:val="left"/>
      <w:pPr>
        <w:ind w:left="2228" w:hanging="423"/>
      </w:pPr>
      <w:rPr>
        <w:rFonts w:hint="default"/>
      </w:rPr>
    </w:lvl>
    <w:lvl w:ilvl="3">
      <w:start w:val="1"/>
      <w:numFmt w:val="bullet"/>
      <w:lvlText w:val="•"/>
      <w:lvlJc w:val="left"/>
      <w:pPr>
        <w:ind w:left="3082" w:hanging="423"/>
      </w:pPr>
      <w:rPr>
        <w:rFonts w:hint="default"/>
      </w:rPr>
    </w:lvl>
    <w:lvl w:ilvl="4">
      <w:start w:val="1"/>
      <w:numFmt w:val="bullet"/>
      <w:lvlText w:val="•"/>
      <w:lvlJc w:val="left"/>
      <w:pPr>
        <w:ind w:left="3936" w:hanging="423"/>
      </w:pPr>
      <w:rPr>
        <w:rFonts w:hint="default"/>
      </w:rPr>
    </w:lvl>
    <w:lvl w:ilvl="5">
      <w:start w:val="1"/>
      <w:numFmt w:val="bullet"/>
      <w:lvlText w:val="•"/>
      <w:lvlJc w:val="left"/>
      <w:pPr>
        <w:ind w:left="4790" w:hanging="423"/>
      </w:pPr>
      <w:rPr>
        <w:rFonts w:hint="default"/>
      </w:rPr>
    </w:lvl>
    <w:lvl w:ilvl="6">
      <w:start w:val="1"/>
      <w:numFmt w:val="bullet"/>
      <w:lvlText w:val="•"/>
      <w:lvlJc w:val="left"/>
      <w:pPr>
        <w:ind w:left="5644" w:hanging="423"/>
      </w:pPr>
      <w:rPr>
        <w:rFonts w:hint="default"/>
      </w:rPr>
    </w:lvl>
    <w:lvl w:ilvl="7">
      <w:start w:val="1"/>
      <w:numFmt w:val="bullet"/>
      <w:lvlText w:val="•"/>
      <w:lvlJc w:val="left"/>
      <w:pPr>
        <w:ind w:left="6498" w:hanging="423"/>
      </w:pPr>
      <w:rPr>
        <w:rFonts w:hint="default"/>
      </w:rPr>
    </w:lvl>
    <w:lvl w:ilvl="8">
      <w:start w:val="1"/>
      <w:numFmt w:val="bullet"/>
      <w:lvlText w:val="•"/>
      <w:lvlJc w:val="left"/>
      <w:pPr>
        <w:ind w:left="7352" w:hanging="423"/>
      </w:pPr>
      <w:rPr>
        <w:rFonts w:hint="default"/>
      </w:rPr>
    </w:lvl>
  </w:abstractNum>
  <w:abstractNum w:abstractNumId="29">
    <w:multiLevelType w:val="hybridMultilevel"/>
    <w:lvl w:ilvl="0">
      <w:start w:val="326"/>
      <w:numFmt w:val="decimal"/>
      <w:lvlText w:val="%1"/>
      <w:lvlJc w:val="left"/>
      <w:pPr>
        <w:ind w:left="524" w:hanging="423"/>
        <w:jc w:val="left"/>
      </w:pPr>
      <w:rPr>
        <w:rFonts w:hint="default" w:ascii="Times New Roman" w:hAnsi="Times New Roman" w:eastAsia="Times New Roman" w:cs="Times New Roman"/>
        <w:w w:val="100"/>
        <w:sz w:val="24"/>
        <w:szCs w:val="24"/>
      </w:rPr>
    </w:lvl>
    <w:lvl w:ilvl="1">
      <w:start w:val="1"/>
      <w:numFmt w:val="bullet"/>
      <w:lvlText w:val="•"/>
      <w:lvlJc w:val="left"/>
      <w:pPr>
        <w:ind w:left="1374" w:hanging="423"/>
      </w:pPr>
      <w:rPr>
        <w:rFonts w:hint="default"/>
      </w:rPr>
    </w:lvl>
    <w:lvl w:ilvl="2">
      <w:start w:val="1"/>
      <w:numFmt w:val="bullet"/>
      <w:lvlText w:val="•"/>
      <w:lvlJc w:val="left"/>
      <w:pPr>
        <w:ind w:left="2228" w:hanging="423"/>
      </w:pPr>
      <w:rPr>
        <w:rFonts w:hint="default"/>
      </w:rPr>
    </w:lvl>
    <w:lvl w:ilvl="3">
      <w:start w:val="1"/>
      <w:numFmt w:val="bullet"/>
      <w:lvlText w:val="•"/>
      <w:lvlJc w:val="left"/>
      <w:pPr>
        <w:ind w:left="3082" w:hanging="423"/>
      </w:pPr>
      <w:rPr>
        <w:rFonts w:hint="default"/>
      </w:rPr>
    </w:lvl>
    <w:lvl w:ilvl="4">
      <w:start w:val="1"/>
      <w:numFmt w:val="bullet"/>
      <w:lvlText w:val="•"/>
      <w:lvlJc w:val="left"/>
      <w:pPr>
        <w:ind w:left="3936" w:hanging="423"/>
      </w:pPr>
      <w:rPr>
        <w:rFonts w:hint="default"/>
      </w:rPr>
    </w:lvl>
    <w:lvl w:ilvl="5">
      <w:start w:val="1"/>
      <w:numFmt w:val="bullet"/>
      <w:lvlText w:val="•"/>
      <w:lvlJc w:val="left"/>
      <w:pPr>
        <w:ind w:left="4790" w:hanging="423"/>
      </w:pPr>
      <w:rPr>
        <w:rFonts w:hint="default"/>
      </w:rPr>
    </w:lvl>
    <w:lvl w:ilvl="6">
      <w:start w:val="1"/>
      <w:numFmt w:val="bullet"/>
      <w:lvlText w:val="•"/>
      <w:lvlJc w:val="left"/>
      <w:pPr>
        <w:ind w:left="5644" w:hanging="423"/>
      </w:pPr>
      <w:rPr>
        <w:rFonts w:hint="default"/>
      </w:rPr>
    </w:lvl>
    <w:lvl w:ilvl="7">
      <w:start w:val="1"/>
      <w:numFmt w:val="bullet"/>
      <w:lvlText w:val="•"/>
      <w:lvlJc w:val="left"/>
      <w:pPr>
        <w:ind w:left="6498" w:hanging="423"/>
      </w:pPr>
      <w:rPr>
        <w:rFonts w:hint="default"/>
      </w:rPr>
    </w:lvl>
    <w:lvl w:ilvl="8">
      <w:start w:val="1"/>
      <w:numFmt w:val="bullet"/>
      <w:lvlText w:val="•"/>
      <w:lvlJc w:val="left"/>
      <w:pPr>
        <w:ind w:left="7352" w:hanging="423"/>
      </w:pPr>
      <w:rPr>
        <w:rFonts w:hint="default"/>
      </w:rPr>
    </w:lvl>
  </w:abstractNum>
  <w:abstractNum w:abstractNumId="28">
    <w:multiLevelType w:val="hybridMultilevel"/>
    <w:lvl w:ilvl="0">
      <w:start w:val="311"/>
      <w:numFmt w:val="decimal"/>
      <w:lvlText w:val="%1"/>
      <w:lvlJc w:val="left"/>
      <w:pPr>
        <w:ind w:left="102" w:hanging="423"/>
        <w:jc w:val="left"/>
      </w:pPr>
      <w:rPr>
        <w:rFonts w:hint="default" w:ascii="Times New Roman" w:hAnsi="Times New Roman" w:eastAsia="Times New Roman" w:cs="Times New Roman"/>
        <w:w w:val="100"/>
        <w:sz w:val="24"/>
        <w:szCs w:val="24"/>
      </w:rPr>
    </w:lvl>
    <w:lvl w:ilvl="1">
      <w:start w:val="1"/>
      <w:numFmt w:val="bullet"/>
      <w:lvlText w:val="•"/>
      <w:lvlJc w:val="left"/>
      <w:pPr>
        <w:ind w:left="996" w:hanging="423"/>
      </w:pPr>
      <w:rPr>
        <w:rFonts w:hint="default"/>
      </w:rPr>
    </w:lvl>
    <w:lvl w:ilvl="2">
      <w:start w:val="1"/>
      <w:numFmt w:val="bullet"/>
      <w:lvlText w:val="•"/>
      <w:lvlJc w:val="left"/>
      <w:pPr>
        <w:ind w:left="1892" w:hanging="423"/>
      </w:pPr>
      <w:rPr>
        <w:rFonts w:hint="default"/>
      </w:rPr>
    </w:lvl>
    <w:lvl w:ilvl="3">
      <w:start w:val="1"/>
      <w:numFmt w:val="bullet"/>
      <w:lvlText w:val="•"/>
      <w:lvlJc w:val="left"/>
      <w:pPr>
        <w:ind w:left="2788" w:hanging="423"/>
      </w:pPr>
      <w:rPr>
        <w:rFonts w:hint="default"/>
      </w:rPr>
    </w:lvl>
    <w:lvl w:ilvl="4">
      <w:start w:val="1"/>
      <w:numFmt w:val="bullet"/>
      <w:lvlText w:val="•"/>
      <w:lvlJc w:val="left"/>
      <w:pPr>
        <w:ind w:left="3684" w:hanging="423"/>
      </w:pPr>
      <w:rPr>
        <w:rFonts w:hint="default"/>
      </w:rPr>
    </w:lvl>
    <w:lvl w:ilvl="5">
      <w:start w:val="1"/>
      <w:numFmt w:val="bullet"/>
      <w:lvlText w:val="•"/>
      <w:lvlJc w:val="left"/>
      <w:pPr>
        <w:ind w:left="4580" w:hanging="423"/>
      </w:pPr>
      <w:rPr>
        <w:rFonts w:hint="default"/>
      </w:rPr>
    </w:lvl>
    <w:lvl w:ilvl="6">
      <w:start w:val="1"/>
      <w:numFmt w:val="bullet"/>
      <w:lvlText w:val="•"/>
      <w:lvlJc w:val="left"/>
      <w:pPr>
        <w:ind w:left="5476" w:hanging="423"/>
      </w:pPr>
      <w:rPr>
        <w:rFonts w:hint="default"/>
      </w:rPr>
    </w:lvl>
    <w:lvl w:ilvl="7">
      <w:start w:val="1"/>
      <w:numFmt w:val="bullet"/>
      <w:lvlText w:val="•"/>
      <w:lvlJc w:val="left"/>
      <w:pPr>
        <w:ind w:left="6372" w:hanging="423"/>
      </w:pPr>
      <w:rPr>
        <w:rFonts w:hint="default"/>
      </w:rPr>
    </w:lvl>
    <w:lvl w:ilvl="8">
      <w:start w:val="1"/>
      <w:numFmt w:val="bullet"/>
      <w:lvlText w:val="•"/>
      <w:lvlJc w:val="left"/>
      <w:pPr>
        <w:ind w:left="7268" w:hanging="423"/>
      </w:pPr>
      <w:rPr>
        <w:rFonts w:hint="default"/>
      </w:rPr>
    </w:lvl>
  </w:abstractNum>
  <w:abstractNum w:abstractNumId="27">
    <w:multiLevelType w:val="hybridMultilevel"/>
    <w:lvl w:ilvl="0">
      <w:start w:val="33"/>
      <w:numFmt w:val="decimal"/>
      <w:lvlText w:val="%1"/>
      <w:lvlJc w:val="left"/>
      <w:pPr>
        <w:ind w:left="102" w:hanging="30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996" w:hanging="300"/>
      </w:pPr>
      <w:rPr>
        <w:rFonts w:hint="default"/>
      </w:rPr>
    </w:lvl>
    <w:lvl w:ilvl="2">
      <w:start w:val="1"/>
      <w:numFmt w:val="bullet"/>
      <w:lvlText w:val="•"/>
      <w:lvlJc w:val="left"/>
      <w:pPr>
        <w:ind w:left="1892" w:hanging="300"/>
      </w:pPr>
      <w:rPr>
        <w:rFonts w:hint="default"/>
      </w:rPr>
    </w:lvl>
    <w:lvl w:ilvl="3">
      <w:start w:val="1"/>
      <w:numFmt w:val="bullet"/>
      <w:lvlText w:val="•"/>
      <w:lvlJc w:val="left"/>
      <w:pPr>
        <w:ind w:left="2788" w:hanging="300"/>
      </w:pPr>
      <w:rPr>
        <w:rFonts w:hint="default"/>
      </w:rPr>
    </w:lvl>
    <w:lvl w:ilvl="4">
      <w:start w:val="1"/>
      <w:numFmt w:val="bullet"/>
      <w:lvlText w:val="•"/>
      <w:lvlJc w:val="left"/>
      <w:pPr>
        <w:ind w:left="3684" w:hanging="300"/>
      </w:pPr>
      <w:rPr>
        <w:rFonts w:hint="default"/>
      </w:rPr>
    </w:lvl>
    <w:lvl w:ilvl="5">
      <w:start w:val="1"/>
      <w:numFmt w:val="bullet"/>
      <w:lvlText w:val="•"/>
      <w:lvlJc w:val="left"/>
      <w:pPr>
        <w:ind w:left="4580" w:hanging="300"/>
      </w:pPr>
      <w:rPr>
        <w:rFonts w:hint="default"/>
      </w:rPr>
    </w:lvl>
    <w:lvl w:ilvl="6">
      <w:start w:val="1"/>
      <w:numFmt w:val="bullet"/>
      <w:lvlText w:val="•"/>
      <w:lvlJc w:val="left"/>
      <w:pPr>
        <w:ind w:left="5476" w:hanging="300"/>
      </w:pPr>
      <w:rPr>
        <w:rFonts w:hint="default"/>
      </w:rPr>
    </w:lvl>
    <w:lvl w:ilvl="7">
      <w:start w:val="1"/>
      <w:numFmt w:val="bullet"/>
      <w:lvlText w:val="•"/>
      <w:lvlJc w:val="left"/>
      <w:pPr>
        <w:ind w:left="6372" w:hanging="300"/>
      </w:pPr>
      <w:rPr>
        <w:rFonts w:hint="default"/>
      </w:rPr>
    </w:lvl>
    <w:lvl w:ilvl="8">
      <w:start w:val="1"/>
      <w:numFmt w:val="bullet"/>
      <w:lvlText w:val="•"/>
      <w:lvlJc w:val="left"/>
      <w:pPr>
        <w:ind w:left="7268" w:hanging="300"/>
      </w:pPr>
      <w:rPr>
        <w:rFonts w:hint="default"/>
      </w:rPr>
    </w:lvl>
  </w:abstractNum>
  <w:abstractNum w:abstractNumId="26">
    <w:multiLevelType w:val="hybridMultilevel"/>
    <w:lvl w:ilvl="0">
      <w:start w:val="24"/>
      <w:numFmt w:val="decimal"/>
      <w:lvlText w:val="%1"/>
      <w:lvlJc w:val="left"/>
      <w:pPr>
        <w:ind w:left="102" w:hanging="300"/>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996" w:hanging="300"/>
      </w:pPr>
      <w:rPr>
        <w:rFonts w:hint="default"/>
      </w:rPr>
    </w:lvl>
    <w:lvl w:ilvl="2">
      <w:start w:val="1"/>
      <w:numFmt w:val="bullet"/>
      <w:lvlText w:val="•"/>
      <w:lvlJc w:val="left"/>
      <w:pPr>
        <w:ind w:left="1892" w:hanging="300"/>
      </w:pPr>
      <w:rPr>
        <w:rFonts w:hint="default"/>
      </w:rPr>
    </w:lvl>
    <w:lvl w:ilvl="3">
      <w:start w:val="1"/>
      <w:numFmt w:val="bullet"/>
      <w:lvlText w:val="•"/>
      <w:lvlJc w:val="left"/>
      <w:pPr>
        <w:ind w:left="2788" w:hanging="300"/>
      </w:pPr>
      <w:rPr>
        <w:rFonts w:hint="default"/>
      </w:rPr>
    </w:lvl>
    <w:lvl w:ilvl="4">
      <w:start w:val="1"/>
      <w:numFmt w:val="bullet"/>
      <w:lvlText w:val="•"/>
      <w:lvlJc w:val="left"/>
      <w:pPr>
        <w:ind w:left="3684" w:hanging="300"/>
      </w:pPr>
      <w:rPr>
        <w:rFonts w:hint="default"/>
      </w:rPr>
    </w:lvl>
    <w:lvl w:ilvl="5">
      <w:start w:val="1"/>
      <w:numFmt w:val="bullet"/>
      <w:lvlText w:val="•"/>
      <w:lvlJc w:val="left"/>
      <w:pPr>
        <w:ind w:left="4580" w:hanging="300"/>
      </w:pPr>
      <w:rPr>
        <w:rFonts w:hint="default"/>
      </w:rPr>
    </w:lvl>
    <w:lvl w:ilvl="6">
      <w:start w:val="1"/>
      <w:numFmt w:val="bullet"/>
      <w:lvlText w:val="•"/>
      <w:lvlJc w:val="left"/>
      <w:pPr>
        <w:ind w:left="5476" w:hanging="300"/>
      </w:pPr>
      <w:rPr>
        <w:rFonts w:hint="default"/>
      </w:rPr>
    </w:lvl>
    <w:lvl w:ilvl="7">
      <w:start w:val="1"/>
      <w:numFmt w:val="bullet"/>
      <w:lvlText w:val="•"/>
      <w:lvlJc w:val="left"/>
      <w:pPr>
        <w:ind w:left="6372" w:hanging="300"/>
      </w:pPr>
      <w:rPr>
        <w:rFonts w:hint="default"/>
      </w:rPr>
    </w:lvl>
    <w:lvl w:ilvl="8">
      <w:start w:val="1"/>
      <w:numFmt w:val="bullet"/>
      <w:lvlText w:val="•"/>
      <w:lvlJc w:val="left"/>
      <w:pPr>
        <w:ind w:left="7268" w:hanging="300"/>
      </w:pPr>
      <w:rPr>
        <w:rFonts w:hint="default"/>
      </w:rPr>
    </w:lvl>
  </w:abstractNum>
  <w:abstractNum w:abstractNumId="25">
    <w:multiLevelType w:val="hybridMultilevel"/>
    <w:lvl w:ilvl="0">
      <w:start w:val="32"/>
      <w:numFmt w:val="decimal"/>
      <w:lvlText w:val="%1"/>
      <w:lvlJc w:val="left"/>
      <w:pPr>
        <w:ind w:left="102" w:hanging="300"/>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996" w:hanging="300"/>
      </w:pPr>
      <w:rPr>
        <w:rFonts w:hint="default"/>
      </w:rPr>
    </w:lvl>
    <w:lvl w:ilvl="2">
      <w:start w:val="1"/>
      <w:numFmt w:val="bullet"/>
      <w:lvlText w:val="•"/>
      <w:lvlJc w:val="left"/>
      <w:pPr>
        <w:ind w:left="1892" w:hanging="300"/>
      </w:pPr>
      <w:rPr>
        <w:rFonts w:hint="default"/>
      </w:rPr>
    </w:lvl>
    <w:lvl w:ilvl="3">
      <w:start w:val="1"/>
      <w:numFmt w:val="bullet"/>
      <w:lvlText w:val="•"/>
      <w:lvlJc w:val="left"/>
      <w:pPr>
        <w:ind w:left="2788" w:hanging="300"/>
      </w:pPr>
      <w:rPr>
        <w:rFonts w:hint="default"/>
      </w:rPr>
    </w:lvl>
    <w:lvl w:ilvl="4">
      <w:start w:val="1"/>
      <w:numFmt w:val="bullet"/>
      <w:lvlText w:val="•"/>
      <w:lvlJc w:val="left"/>
      <w:pPr>
        <w:ind w:left="3684" w:hanging="300"/>
      </w:pPr>
      <w:rPr>
        <w:rFonts w:hint="default"/>
      </w:rPr>
    </w:lvl>
    <w:lvl w:ilvl="5">
      <w:start w:val="1"/>
      <w:numFmt w:val="bullet"/>
      <w:lvlText w:val="•"/>
      <w:lvlJc w:val="left"/>
      <w:pPr>
        <w:ind w:left="4580" w:hanging="300"/>
      </w:pPr>
      <w:rPr>
        <w:rFonts w:hint="default"/>
      </w:rPr>
    </w:lvl>
    <w:lvl w:ilvl="6">
      <w:start w:val="1"/>
      <w:numFmt w:val="bullet"/>
      <w:lvlText w:val="•"/>
      <w:lvlJc w:val="left"/>
      <w:pPr>
        <w:ind w:left="5476" w:hanging="300"/>
      </w:pPr>
      <w:rPr>
        <w:rFonts w:hint="default"/>
      </w:rPr>
    </w:lvl>
    <w:lvl w:ilvl="7">
      <w:start w:val="1"/>
      <w:numFmt w:val="bullet"/>
      <w:lvlText w:val="•"/>
      <w:lvlJc w:val="left"/>
      <w:pPr>
        <w:ind w:left="6372" w:hanging="300"/>
      </w:pPr>
      <w:rPr>
        <w:rFonts w:hint="default"/>
      </w:rPr>
    </w:lvl>
    <w:lvl w:ilvl="8">
      <w:start w:val="1"/>
      <w:numFmt w:val="bullet"/>
      <w:lvlText w:val="•"/>
      <w:lvlJc w:val="left"/>
      <w:pPr>
        <w:ind w:left="7268" w:hanging="300"/>
      </w:pPr>
      <w:rPr>
        <w:rFonts w:hint="default"/>
      </w:rPr>
    </w:lvl>
  </w:abstractNum>
  <w:abstractNum w:abstractNumId="24">
    <w:multiLevelType w:val="hybridMultilevel"/>
    <w:lvl w:ilvl="0">
      <w:start w:val="26"/>
      <w:numFmt w:val="decimal"/>
      <w:lvlText w:val="%1"/>
      <w:lvlJc w:val="left"/>
      <w:pPr>
        <w:ind w:left="102" w:hanging="300"/>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996" w:hanging="300"/>
      </w:pPr>
      <w:rPr>
        <w:rFonts w:hint="default"/>
      </w:rPr>
    </w:lvl>
    <w:lvl w:ilvl="2">
      <w:start w:val="1"/>
      <w:numFmt w:val="bullet"/>
      <w:lvlText w:val="•"/>
      <w:lvlJc w:val="left"/>
      <w:pPr>
        <w:ind w:left="1892" w:hanging="300"/>
      </w:pPr>
      <w:rPr>
        <w:rFonts w:hint="default"/>
      </w:rPr>
    </w:lvl>
    <w:lvl w:ilvl="3">
      <w:start w:val="1"/>
      <w:numFmt w:val="bullet"/>
      <w:lvlText w:val="•"/>
      <w:lvlJc w:val="left"/>
      <w:pPr>
        <w:ind w:left="2788" w:hanging="300"/>
      </w:pPr>
      <w:rPr>
        <w:rFonts w:hint="default"/>
      </w:rPr>
    </w:lvl>
    <w:lvl w:ilvl="4">
      <w:start w:val="1"/>
      <w:numFmt w:val="bullet"/>
      <w:lvlText w:val="•"/>
      <w:lvlJc w:val="left"/>
      <w:pPr>
        <w:ind w:left="3684" w:hanging="300"/>
      </w:pPr>
      <w:rPr>
        <w:rFonts w:hint="default"/>
      </w:rPr>
    </w:lvl>
    <w:lvl w:ilvl="5">
      <w:start w:val="1"/>
      <w:numFmt w:val="bullet"/>
      <w:lvlText w:val="•"/>
      <w:lvlJc w:val="left"/>
      <w:pPr>
        <w:ind w:left="4580" w:hanging="300"/>
      </w:pPr>
      <w:rPr>
        <w:rFonts w:hint="default"/>
      </w:rPr>
    </w:lvl>
    <w:lvl w:ilvl="6">
      <w:start w:val="1"/>
      <w:numFmt w:val="bullet"/>
      <w:lvlText w:val="•"/>
      <w:lvlJc w:val="left"/>
      <w:pPr>
        <w:ind w:left="5476" w:hanging="300"/>
      </w:pPr>
      <w:rPr>
        <w:rFonts w:hint="default"/>
      </w:rPr>
    </w:lvl>
    <w:lvl w:ilvl="7">
      <w:start w:val="1"/>
      <w:numFmt w:val="bullet"/>
      <w:lvlText w:val="•"/>
      <w:lvlJc w:val="left"/>
      <w:pPr>
        <w:ind w:left="6372" w:hanging="300"/>
      </w:pPr>
      <w:rPr>
        <w:rFonts w:hint="default"/>
      </w:rPr>
    </w:lvl>
    <w:lvl w:ilvl="8">
      <w:start w:val="1"/>
      <w:numFmt w:val="bullet"/>
      <w:lvlText w:val="•"/>
      <w:lvlJc w:val="left"/>
      <w:pPr>
        <w:ind w:left="7268" w:hanging="300"/>
      </w:pPr>
      <w:rPr>
        <w:rFonts w:hint="default"/>
      </w:rPr>
    </w:lvl>
  </w:abstractNum>
  <w:abstractNum w:abstractNumId="23">
    <w:multiLevelType w:val="hybridMultilevel"/>
    <w:lvl w:ilvl="0">
      <w:start w:val="1"/>
      <w:numFmt w:val="lowerLetter"/>
      <w:lvlText w:val="%1)"/>
      <w:lvlJc w:val="left"/>
      <w:pPr>
        <w:ind w:left="842" w:hanging="360"/>
        <w:jc w:val="right"/>
      </w:pPr>
      <w:rPr>
        <w:rFonts w:hint="default" w:ascii="Times New Roman" w:hAnsi="Times New Roman" w:eastAsia="Times New Roman" w:cs="Times New Roman"/>
        <w:b/>
        <w:bCs/>
        <w:spacing w:val="-20"/>
        <w:w w:val="99"/>
        <w:sz w:val="24"/>
        <w:szCs w:val="24"/>
      </w:rPr>
    </w:lvl>
    <w:lvl w:ilvl="1">
      <w:start w:val="1"/>
      <w:numFmt w:val="bullet"/>
      <w:lvlText w:val="•"/>
      <w:lvlJc w:val="left"/>
      <w:pPr>
        <w:ind w:left="1664" w:hanging="360"/>
      </w:pPr>
      <w:rPr>
        <w:rFonts w:hint="default"/>
      </w:rPr>
    </w:lvl>
    <w:lvl w:ilvl="2">
      <w:start w:val="1"/>
      <w:numFmt w:val="bullet"/>
      <w:lvlText w:val="•"/>
      <w:lvlJc w:val="left"/>
      <w:pPr>
        <w:ind w:left="2488" w:hanging="360"/>
      </w:pPr>
      <w:rPr>
        <w:rFonts w:hint="default"/>
      </w:rPr>
    </w:lvl>
    <w:lvl w:ilvl="3">
      <w:start w:val="1"/>
      <w:numFmt w:val="bullet"/>
      <w:lvlText w:val="•"/>
      <w:lvlJc w:val="left"/>
      <w:pPr>
        <w:ind w:left="3312" w:hanging="360"/>
      </w:pPr>
      <w:rPr>
        <w:rFonts w:hint="default"/>
      </w:rPr>
    </w:lvl>
    <w:lvl w:ilvl="4">
      <w:start w:val="1"/>
      <w:numFmt w:val="bullet"/>
      <w:lvlText w:val="•"/>
      <w:lvlJc w:val="left"/>
      <w:pPr>
        <w:ind w:left="4136"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84" w:hanging="360"/>
      </w:pPr>
      <w:rPr>
        <w:rFonts w:hint="default"/>
      </w:rPr>
    </w:lvl>
    <w:lvl w:ilvl="7">
      <w:start w:val="1"/>
      <w:numFmt w:val="bullet"/>
      <w:lvlText w:val="•"/>
      <w:lvlJc w:val="left"/>
      <w:pPr>
        <w:ind w:left="6608" w:hanging="360"/>
      </w:pPr>
      <w:rPr>
        <w:rFonts w:hint="default"/>
      </w:rPr>
    </w:lvl>
    <w:lvl w:ilvl="8">
      <w:start w:val="1"/>
      <w:numFmt w:val="bullet"/>
      <w:lvlText w:val="•"/>
      <w:lvlJc w:val="left"/>
      <w:pPr>
        <w:ind w:left="7432" w:hanging="360"/>
      </w:pPr>
      <w:rPr>
        <w:rFonts w:hint="default"/>
      </w:rPr>
    </w:lvl>
  </w:abstractNum>
  <w:abstractNum w:abstractNumId="22">
    <w:multiLevelType w:val="hybridMultilevel"/>
    <w:lvl w:ilvl="0">
      <w:start w:val="1"/>
      <w:numFmt w:val="decimal"/>
      <w:lvlText w:val="%1."/>
      <w:lvlJc w:val="left"/>
      <w:pPr>
        <w:ind w:left="822" w:hanging="360"/>
        <w:jc w:val="left"/>
      </w:pPr>
      <w:rPr>
        <w:rFonts w:hint="default" w:ascii="Times New Roman" w:hAnsi="Times New Roman" w:eastAsia="Times New Roman" w:cs="Times New Roman"/>
        <w:spacing w:val="-21"/>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1">
    <w:multiLevelType w:val="hybridMultilevel"/>
    <w:lvl w:ilvl="0">
      <w:start w:val="1"/>
      <w:numFmt w:val="decimal"/>
      <w:lvlText w:val="%1"/>
      <w:lvlJc w:val="left"/>
      <w:pPr>
        <w:ind w:left="122" w:hanging="667"/>
        <w:jc w:val="left"/>
      </w:pPr>
      <w:rPr>
        <w:rFonts w:hint="default"/>
      </w:rPr>
    </w:lvl>
    <w:lvl w:ilvl="1">
      <w:start w:val="150"/>
      <w:numFmt w:val="decimal"/>
      <w:lvlText w:val="%1.%2"/>
      <w:lvlJc w:val="left"/>
      <w:pPr>
        <w:ind w:left="122" w:hanging="667"/>
        <w:jc w:val="left"/>
      </w:pPr>
      <w:rPr>
        <w:rFonts w:hint="default" w:ascii="Times New Roman" w:hAnsi="Times New Roman" w:eastAsia="Times New Roman" w:cs="Times New Roman"/>
        <w:spacing w:val="-5"/>
        <w:w w:val="99"/>
        <w:sz w:val="24"/>
        <w:szCs w:val="24"/>
      </w:rPr>
    </w:lvl>
    <w:lvl w:ilvl="2">
      <w:start w:val="1"/>
      <w:numFmt w:val="decimal"/>
      <w:lvlText w:val="%3."/>
      <w:lvlJc w:val="left"/>
      <w:pPr>
        <w:ind w:left="1030" w:hanging="360"/>
        <w:jc w:val="left"/>
      </w:pPr>
      <w:rPr>
        <w:rFonts w:hint="default"/>
        <w:spacing w:val="-2"/>
        <w:w w:val="99"/>
      </w:rPr>
    </w:lvl>
    <w:lvl w:ilvl="3">
      <w:start w:val="1"/>
      <w:numFmt w:val="bullet"/>
      <w:lvlText w:val="•"/>
      <w:lvlJc w:val="left"/>
      <w:pPr>
        <w:ind w:left="2042" w:hanging="360"/>
      </w:pPr>
      <w:rPr>
        <w:rFonts w:hint="default"/>
      </w:rPr>
    </w:lvl>
    <w:lvl w:ilvl="4">
      <w:start w:val="1"/>
      <w:numFmt w:val="bullet"/>
      <w:lvlText w:val="•"/>
      <w:lvlJc w:val="left"/>
      <w:pPr>
        <w:ind w:left="3045" w:hanging="360"/>
      </w:pPr>
      <w:rPr>
        <w:rFonts w:hint="default"/>
      </w:rPr>
    </w:lvl>
    <w:lvl w:ilvl="5">
      <w:start w:val="1"/>
      <w:numFmt w:val="bullet"/>
      <w:lvlText w:val="•"/>
      <w:lvlJc w:val="left"/>
      <w:pPr>
        <w:ind w:left="4047" w:hanging="360"/>
      </w:pPr>
      <w:rPr>
        <w:rFonts w:hint="default"/>
      </w:rPr>
    </w:lvl>
    <w:lvl w:ilvl="6">
      <w:start w:val="1"/>
      <w:numFmt w:val="bullet"/>
      <w:lvlText w:val="•"/>
      <w:lvlJc w:val="left"/>
      <w:pPr>
        <w:ind w:left="5050" w:hanging="360"/>
      </w:pPr>
      <w:rPr>
        <w:rFonts w:hint="default"/>
      </w:rPr>
    </w:lvl>
    <w:lvl w:ilvl="7">
      <w:start w:val="1"/>
      <w:numFmt w:val="bullet"/>
      <w:lvlText w:val="•"/>
      <w:lvlJc w:val="left"/>
      <w:pPr>
        <w:ind w:left="6052" w:hanging="360"/>
      </w:pPr>
      <w:rPr>
        <w:rFonts w:hint="default"/>
      </w:rPr>
    </w:lvl>
    <w:lvl w:ilvl="8">
      <w:start w:val="1"/>
      <w:numFmt w:val="bullet"/>
      <w:lvlText w:val="•"/>
      <w:lvlJc w:val="left"/>
      <w:pPr>
        <w:ind w:left="7055" w:hanging="360"/>
      </w:pPr>
      <w:rPr>
        <w:rFonts w:hint="default"/>
      </w:rPr>
    </w:lvl>
  </w:abstractNum>
  <w:abstractNum w:abstractNumId="20">
    <w:multiLevelType w:val="hybridMultilevel"/>
    <w:lvl w:ilvl="0">
      <w:start w:val="4"/>
      <w:numFmt w:val="decimal"/>
      <w:lvlText w:val="%1"/>
      <w:lvlJc w:val="left"/>
      <w:pPr>
        <w:ind w:left="582" w:hanging="480"/>
        <w:jc w:val="left"/>
      </w:pPr>
      <w:rPr>
        <w:rFonts w:hint="default"/>
      </w:rPr>
    </w:lvl>
    <w:lvl w:ilvl="1">
      <w:start w:val="2"/>
      <w:numFmt w:val="decimal"/>
      <w:lvlText w:val="%1.%2."/>
      <w:lvlJc w:val="left"/>
      <w:pPr>
        <w:ind w:left="582" w:hanging="48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spacing w:val="-1"/>
        <w:w w:val="99"/>
        <w:sz w:val="24"/>
        <w:szCs w:val="24"/>
      </w:rPr>
    </w:lvl>
    <w:lvl w:ilvl="3">
      <w:start w:val="1"/>
      <w:numFmt w:val="lowerLetter"/>
      <w:lvlText w:val="%4)"/>
      <w:lvlJc w:val="left"/>
      <w:pPr>
        <w:ind w:left="842" w:hanging="360"/>
        <w:jc w:val="left"/>
      </w:pPr>
      <w:rPr>
        <w:rFonts w:hint="default" w:ascii="Times New Roman" w:hAnsi="Times New Roman" w:eastAsia="Times New Roman" w:cs="Times New Roman"/>
        <w:spacing w:val="-6"/>
        <w:w w:val="99"/>
        <w:sz w:val="24"/>
        <w:szCs w:val="24"/>
      </w:rPr>
    </w:lvl>
    <w:lvl w:ilvl="4">
      <w:start w:val="1"/>
      <w:numFmt w:val="bullet"/>
      <w:lvlText w:val="•"/>
      <w:lvlJc w:val="left"/>
      <w:pPr>
        <w:ind w:left="2117" w:hanging="360"/>
      </w:pPr>
      <w:rPr>
        <w:rFonts w:hint="default"/>
      </w:rPr>
    </w:lvl>
    <w:lvl w:ilvl="5">
      <w:start w:val="1"/>
      <w:numFmt w:val="bullet"/>
      <w:lvlText w:val="•"/>
      <w:lvlJc w:val="left"/>
      <w:pPr>
        <w:ind w:left="3274" w:hanging="360"/>
      </w:pPr>
      <w:rPr>
        <w:rFonts w:hint="default"/>
      </w:rPr>
    </w:lvl>
    <w:lvl w:ilvl="6">
      <w:start w:val="1"/>
      <w:numFmt w:val="bullet"/>
      <w:lvlText w:val="•"/>
      <w:lvlJc w:val="left"/>
      <w:pPr>
        <w:ind w:left="4431" w:hanging="360"/>
      </w:pPr>
      <w:rPr>
        <w:rFonts w:hint="default"/>
      </w:rPr>
    </w:lvl>
    <w:lvl w:ilvl="7">
      <w:start w:val="1"/>
      <w:numFmt w:val="bullet"/>
      <w:lvlText w:val="•"/>
      <w:lvlJc w:val="left"/>
      <w:pPr>
        <w:ind w:left="5588" w:hanging="360"/>
      </w:pPr>
      <w:rPr>
        <w:rFonts w:hint="default"/>
      </w:rPr>
    </w:lvl>
    <w:lvl w:ilvl="8">
      <w:start w:val="1"/>
      <w:numFmt w:val="bullet"/>
      <w:lvlText w:val="•"/>
      <w:lvlJc w:val="left"/>
      <w:pPr>
        <w:ind w:left="6745" w:hanging="360"/>
      </w:pPr>
      <w:rPr>
        <w:rFonts w:hint="default"/>
      </w:rPr>
    </w:lvl>
  </w:abstractNum>
  <w:abstractNum w:abstractNumId="18">
    <w:multiLevelType w:val="hybridMultilevel"/>
    <w:lvl w:ilvl="0">
      <w:start w:val="4"/>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702" w:hanging="600"/>
        <w:jc w:val="left"/>
      </w:pPr>
      <w:rPr>
        <w:rFonts w:hint="default" w:ascii="Times New Roman" w:hAnsi="Times New Roman" w:eastAsia="Times New Roman" w:cs="Times New Roman"/>
        <w:b/>
        <w:bCs/>
        <w:spacing w:val="-4"/>
        <w:w w:val="99"/>
        <w:sz w:val="24"/>
        <w:szCs w:val="24"/>
      </w:rPr>
    </w:lvl>
    <w:lvl w:ilvl="3">
      <w:start w:val="1"/>
      <w:numFmt w:val="bullet"/>
      <w:lvlText w:val="•"/>
      <w:lvlJc w:val="left"/>
      <w:pPr>
        <w:ind w:left="2557" w:hanging="600"/>
      </w:pPr>
      <w:rPr>
        <w:rFonts w:hint="default"/>
      </w:rPr>
    </w:lvl>
    <w:lvl w:ilvl="4">
      <w:start w:val="1"/>
      <w:numFmt w:val="bullet"/>
      <w:lvlText w:val="•"/>
      <w:lvlJc w:val="left"/>
      <w:pPr>
        <w:ind w:left="3486" w:hanging="600"/>
      </w:pPr>
      <w:rPr>
        <w:rFonts w:hint="default"/>
      </w:rPr>
    </w:lvl>
    <w:lvl w:ilvl="5">
      <w:start w:val="1"/>
      <w:numFmt w:val="bullet"/>
      <w:lvlText w:val="•"/>
      <w:lvlJc w:val="left"/>
      <w:pPr>
        <w:ind w:left="4415" w:hanging="600"/>
      </w:pPr>
      <w:rPr>
        <w:rFonts w:hint="default"/>
      </w:rPr>
    </w:lvl>
    <w:lvl w:ilvl="6">
      <w:start w:val="1"/>
      <w:numFmt w:val="bullet"/>
      <w:lvlText w:val="•"/>
      <w:lvlJc w:val="left"/>
      <w:pPr>
        <w:ind w:left="5344" w:hanging="600"/>
      </w:pPr>
      <w:rPr>
        <w:rFonts w:hint="default"/>
      </w:rPr>
    </w:lvl>
    <w:lvl w:ilvl="7">
      <w:start w:val="1"/>
      <w:numFmt w:val="bullet"/>
      <w:lvlText w:val="•"/>
      <w:lvlJc w:val="left"/>
      <w:pPr>
        <w:ind w:left="6273" w:hanging="600"/>
      </w:pPr>
      <w:rPr>
        <w:rFonts w:hint="default"/>
      </w:rPr>
    </w:lvl>
    <w:lvl w:ilvl="8">
      <w:start w:val="1"/>
      <w:numFmt w:val="bullet"/>
      <w:lvlText w:val="•"/>
      <w:lvlJc w:val="left"/>
      <w:pPr>
        <w:ind w:left="7202" w:hanging="600"/>
      </w:pPr>
      <w:rPr>
        <w:rFonts w:hint="default"/>
      </w:rPr>
    </w:lvl>
  </w:abstractNum>
  <w:abstractNum w:abstractNumId="17">
    <w:multiLevelType w:val="hybridMultilevel"/>
    <w:lvl w:ilvl="0">
      <w:start w:val="3"/>
      <w:numFmt w:val="decimal"/>
      <w:lvlText w:val="%1"/>
      <w:lvlJc w:val="left"/>
      <w:pPr>
        <w:ind w:left="1350" w:hanging="540"/>
        <w:jc w:val="left"/>
      </w:pPr>
      <w:rPr>
        <w:rFonts w:hint="default"/>
      </w:rPr>
    </w:lvl>
    <w:lvl w:ilvl="1">
      <w:start w:val="4"/>
      <w:numFmt w:val="decimal"/>
      <w:lvlText w:val="%1.%2"/>
      <w:lvlJc w:val="left"/>
      <w:pPr>
        <w:ind w:left="1350" w:hanging="540"/>
        <w:jc w:val="left"/>
      </w:pPr>
      <w:rPr>
        <w:rFonts w:hint="default"/>
      </w:rPr>
    </w:lvl>
    <w:lvl w:ilvl="2">
      <w:start w:val="1"/>
      <w:numFmt w:val="decimal"/>
      <w:lvlText w:val="%1.%2.%3"/>
      <w:lvlJc w:val="left"/>
      <w:pPr>
        <w:ind w:left="1350" w:hanging="540"/>
        <w:jc w:val="right"/>
      </w:pPr>
      <w:rPr>
        <w:rFonts w:hint="default" w:ascii="Times New Roman" w:hAnsi="Times New Roman" w:eastAsia="Times New Roman" w:cs="Times New Roman"/>
        <w:b/>
        <w:bCs/>
        <w:spacing w:val="-1"/>
        <w:w w:val="99"/>
        <w:sz w:val="24"/>
        <w:szCs w:val="24"/>
      </w:rPr>
    </w:lvl>
    <w:lvl w:ilvl="3">
      <w:start w:val="1"/>
      <w:numFmt w:val="bullet"/>
      <w:lvlText w:val="•"/>
      <w:lvlJc w:val="left"/>
      <w:pPr>
        <w:ind w:left="3670" w:hanging="540"/>
      </w:pPr>
      <w:rPr>
        <w:rFonts w:hint="default"/>
      </w:rPr>
    </w:lvl>
    <w:lvl w:ilvl="4">
      <w:start w:val="1"/>
      <w:numFmt w:val="bullet"/>
      <w:lvlText w:val="•"/>
      <w:lvlJc w:val="left"/>
      <w:pPr>
        <w:ind w:left="4440" w:hanging="540"/>
      </w:pPr>
      <w:rPr>
        <w:rFonts w:hint="default"/>
      </w:rPr>
    </w:lvl>
    <w:lvl w:ilvl="5">
      <w:start w:val="1"/>
      <w:numFmt w:val="bullet"/>
      <w:lvlText w:val="•"/>
      <w:lvlJc w:val="left"/>
      <w:pPr>
        <w:ind w:left="5210" w:hanging="540"/>
      </w:pPr>
      <w:rPr>
        <w:rFonts w:hint="default"/>
      </w:rPr>
    </w:lvl>
    <w:lvl w:ilvl="6">
      <w:start w:val="1"/>
      <w:numFmt w:val="bullet"/>
      <w:lvlText w:val="•"/>
      <w:lvlJc w:val="left"/>
      <w:pPr>
        <w:ind w:left="5980" w:hanging="540"/>
      </w:pPr>
      <w:rPr>
        <w:rFonts w:hint="default"/>
      </w:rPr>
    </w:lvl>
    <w:lvl w:ilvl="7">
      <w:start w:val="1"/>
      <w:numFmt w:val="bullet"/>
      <w:lvlText w:val="•"/>
      <w:lvlJc w:val="left"/>
      <w:pPr>
        <w:ind w:left="6750" w:hanging="540"/>
      </w:pPr>
      <w:rPr>
        <w:rFonts w:hint="default"/>
      </w:rPr>
    </w:lvl>
    <w:lvl w:ilvl="8">
      <w:start w:val="1"/>
      <w:numFmt w:val="bullet"/>
      <w:lvlText w:val="•"/>
      <w:lvlJc w:val="left"/>
      <w:pPr>
        <w:ind w:left="7520" w:hanging="540"/>
      </w:pPr>
      <w:rPr>
        <w:rFonts w:hint="default"/>
      </w:rPr>
    </w:lvl>
  </w:abstractNum>
  <w:abstractNum w:abstractNumId="16">
    <w:multiLevelType w:val="hybridMultilevel"/>
    <w:lvl w:ilvl="0">
      <w:start w:val="3"/>
      <w:numFmt w:val="decimal"/>
      <w:lvlText w:val="%1"/>
      <w:lvlJc w:val="left"/>
      <w:pPr>
        <w:ind w:left="462" w:hanging="360"/>
        <w:jc w:val="left"/>
      </w:pPr>
      <w:rPr>
        <w:rFonts w:hint="default"/>
      </w:rPr>
    </w:lvl>
    <w:lvl w:ilvl="1">
      <w:start w:val="4"/>
      <w:numFmt w:val="decimal"/>
      <w:lvlText w:val="%1.%2"/>
      <w:lvlJc w:val="left"/>
      <w:pPr>
        <w:ind w:left="462" w:hanging="360"/>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5">
    <w:multiLevelType w:val="hybridMultilevel"/>
    <w:lvl w:ilvl="0">
      <w:start w:val="3"/>
      <w:numFmt w:val="decimal"/>
      <w:lvlText w:val="%1"/>
      <w:lvlJc w:val="left"/>
      <w:pPr>
        <w:ind w:left="522" w:hanging="420"/>
        <w:jc w:val="left"/>
      </w:pPr>
      <w:rPr>
        <w:rFonts w:hint="default"/>
      </w:rPr>
    </w:lvl>
    <w:lvl w:ilvl="1">
      <w:start w:val="3"/>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2511" w:hanging="540"/>
      </w:pPr>
      <w:rPr>
        <w:rFonts w:hint="default"/>
      </w:rPr>
    </w:lvl>
    <w:lvl w:ilvl="4">
      <w:start w:val="1"/>
      <w:numFmt w:val="bullet"/>
      <w:lvlText w:val="•"/>
      <w:lvlJc w:val="left"/>
      <w:pPr>
        <w:ind w:left="3446" w:hanging="540"/>
      </w:pPr>
      <w:rPr>
        <w:rFonts w:hint="default"/>
      </w:rPr>
    </w:lvl>
    <w:lvl w:ilvl="5">
      <w:start w:val="1"/>
      <w:numFmt w:val="bullet"/>
      <w:lvlText w:val="•"/>
      <w:lvlJc w:val="left"/>
      <w:pPr>
        <w:ind w:left="4382" w:hanging="540"/>
      </w:pPr>
      <w:rPr>
        <w:rFonts w:hint="default"/>
      </w:rPr>
    </w:lvl>
    <w:lvl w:ilvl="6">
      <w:start w:val="1"/>
      <w:numFmt w:val="bullet"/>
      <w:lvlText w:val="•"/>
      <w:lvlJc w:val="left"/>
      <w:pPr>
        <w:ind w:left="5317" w:hanging="540"/>
      </w:pPr>
      <w:rPr>
        <w:rFonts w:hint="default"/>
      </w:rPr>
    </w:lvl>
    <w:lvl w:ilvl="7">
      <w:start w:val="1"/>
      <w:numFmt w:val="bullet"/>
      <w:lvlText w:val="•"/>
      <w:lvlJc w:val="left"/>
      <w:pPr>
        <w:ind w:left="6253" w:hanging="540"/>
      </w:pPr>
      <w:rPr>
        <w:rFonts w:hint="default"/>
      </w:rPr>
    </w:lvl>
    <w:lvl w:ilvl="8">
      <w:start w:val="1"/>
      <w:numFmt w:val="bullet"/>
      <w:lvlText w:val="•"/>
      <w:lvlJc w:val="left"/>
      <w:pPr>
        <w:ind w:left="7188" w:hanging="540"/>
      </w:pPr>
      <w:rPr>
        <w:rFonts w:hint="default"/>
      </w:rPr>
    </w:lvl>
  </w:abstractNum>
  <w:abstractNum w:abstractNumId="14">
    <w:multiLevelType w:val="hybridMultilevel"/>
    <w:lvl w:ilvl="0">
      <w:start w:val="3"/>
      <w:numFmt w:val="decimal"/>
      <w:lvlText w:val="%1"/>
      <w:lvlJc w:val="left"/>
      <w:pPr>
        <w:ind w:left="522" w:hanging="420"/>
        <w:jc w:val="left"/>
      </w:pPr>
      <w:rPr>
        <w:rFonts w:hint="default"/>
      </w:rPr>
    </w:lvl>
    <w:lvl w:ilvl="1">
      <w:start w:val="2"/>
      <w:numFmt w:val="decimal"/>
      <w:lvlText w:val="%1.%2."/>
      <w:lvlJc w:val="left"/>
      <w:pPr>
        <w:ind w:left="522" w:hanging="42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spacing w:val="-2"/>
        <w:w w:val="99"/>
        <w:sz w:val="24"/>
        <w:szCs w:val="24"/>
      </w:rPr>
    </w:lvl>
    <w:lvl w:ilvl="3">
      <w:start w:val="1"/>
      <w:numFmt w:val="bullet"/>
      <w:lvlText w:val="•"/>
      <w:lvlJc w:val="left"/>
      <w:pPr>
        <w:ind w:left="2511" w:hanging="540"/>
      </w:pPr>
      <w:rPr>
        <w:rFonts w:hint="default"/>
      </w:rPr>
    </w:lvl>
    <w:lvl w:ilvl="4">
      <w:start w:val="1"/>
      <w:numFmt w:val="bullet"/>
      <w:lvlText w:val="•"/>
      <w:lvlJc w:val="left"/>
      <w:pPr>
        <w:ind w:left="3446" w:hanging="540"/>
      </w:pPr>
      <w:rPr>
        <w:rFonts w:hint="default"/>
      </w:rPr>
    </w:lvl>
    <w:lvl w:ilvl="5">
      <w:start w:val="1"/>
      <w:numFmt w:val="bullet"/>
      <w:lvlText w:val="•"/>
      <w:lvlJc w:val="left"/>
      <w:pPr>
        <w:ind w:left="4382" w:hanging="540"/>
      </w:pPr>
      <w:rPr>
        <w:rFonts w:hint="default"/>
      </w:rPr>
    </w:lvl>
    <w:lvl w:ilvl="6">
      <w:start w:val="1"/>
      <w:numFmt w:val="bullet"/>
      <w:lvlText w:val="•"/>
      <w:lvlJc w:val="left"/>
      <w:pPr>
        <w:ind w:left="5317" w:hanging="540"/>
      </w:pPr>
      <w:rPr>
        <w:rFonts w:hint="default"/>
      </w:rPr>
    </w:lvl>
    <w:lvl w:ilvl="7">
      <w:start w:val="1"/>
      <w:numFmt w:val="bullet"/>
      <w:lvlText w:val="•"/>
      <w:lvlJc w:val="left"/>
      <w:pPr>
        <w:ind w:left="6253" w:hanging="540"/>
      </w:pPr>
      <w:rPr>
        <w:rFonts w:hint="default"/>
      </w:rPr>
    </w:lvl>
    <w:lvl w:ilvl="8">
      <w:start w:val="1"/>
      <w:numFmt w:val="bullet"/>
      <w:lvlText w:val="•"/>
      <w:lvlJc w:val="left"/>
      <w:pPr>
        <w:ind w:left="7188" w:hanging="540"/>
      </w:pPr>
      <w:rPr>
        <w:rFonts w:hint="default"/>
      </w:rPr>
    </w:lvl>
  </w:abstractNum>
  <w:abstractNum w:abstractNumId="13">
    <w:multiLevelType w:val="hybridMultilevel"/>
    <w:lvl w:ilvl="0">
      <w:start w:val="2"/>
      <w:numFmt w:val="decimal"/>
      <w:lvlText w:val="%1"/>
      <w:lvlJc w:val="left"/>
      <w:pPr>
        <w:ind w:left="522" w:hanging="420"/>
        <w:jc w:val="left"/>
      </w:pPr>
      <w:rPr>
        <w:rFonts w:hint="default"/>
      </w:rPr>
    </w:lvl>
    <w:lvl w:ilvl="1">
      <w:start w:val="8"/>
      <w:numFmt w:val="decimal"/>
      <w:lvlText w:val="%1.%2."/>
      <w:lvlJc w:val="left"/>
      <w:pPr>
        <w:ind w:left="522" w:hanging="420"/>
        <w:jc w:val="left"/>
      </w:pPr>
      <w:rPr>
        <w:rFonts w:hint="default" w:ascii="Times New Roman" w:hAnsi="Times New Roman" w:eastAsia="Times New Roman" w:cs="Times New Roman"/>
        <w:b/>
        <w:bCs/>
        <w:spacing w:val="-4"/>
        <w:w w:val="99"/>
        <w:sz w:val="24"/>
        <w:szCs w:val="24"/>
      </w:rPr>
    </w:lvl>
    <w:lvl w:ilvl="2">
      <w:start w:val="1"/>
      <w:numFmt w:val="lowerLetter"/>
      <w:lvlText w:val="%3)"/>
      <w:lvlJc w:val="left"/>
      <w:pPr>
        <w:ind w:left="842" w:hanging="697"/>
        <w:jc w:val="left"/>
      </w:pPr>
      <w:rPr>
        <w:rFonts w:hint="default" w:ascii="Times New Roman" w:hAnsi="Times New Roman" w:eastAsia="Times New Roman" w:cs="Times New Roman"/>
        <w:spacing w:val="-30"/>
        <w:w w:val="99"/>
        <w:sz w:val="24"/>
        <w:szCs w:val="24"/>
      </w:rPr>
    </w:lvl>
    <w:lvl w:ilvl="3">
      <w:start w:val="1"/>
      <w:numFmt w:val="bullet"/>
      <w:lvlText w:val="•"/>
      <w:lvlJc w:val="left"/>
      <w:pPr>
        <w:ind w:left="2666" w:hanging="697"/>
      </w:pPr>
      <w:rPr>
        <w:rFonts w:hint="default"/>
      </w:rPr>
    </w:lvl>
    <w:lvl w:ilvl="4">
      <w:start w:val="1"/>
      <w:numFmt w:val="bullet"/>
      <w:lvlText w:val="•"/>
      <w:lvlJc w:val="left"/>
      <w:pPr>
        <w:ind w:left="3580" w:hanging="697"/>
      </w:pPr>
      <w:rPr>
        <w:rFonts w:hint="default"/>
      </w:rPr>
    </w:lvl>
    <w:lvl w:ilvl="5">
      <w:start w:val="1"/>
      <w:numFmt w:val="bullet"/>
      <w:lvlText w:val="•"/>
      <w:lvlJc w:val="left"/>
      <w:pPr>
        <w:ind w:left="4493" w:hanging="697"/>
      </w:pPr>
      <w:rPr>
        <w:rFonts w:hint="default"/>
      </w:rPr>
    </w:lvl>
    <w:lvl w:ilvl="6">
      <w:start w:val="1"/>
      <w:numFmt w:val="bullet"/>
      <w:lvlText w:val="•"/>
      <w:lvlJc w:val="left"/>
      <w:pPr>
        <w:ind w:left="5406" w:hanging="697"/>
      </w:pPr>
      <w:rPr>
        <w:rFonts w:hint="default"/>
      </w:rPr>
    </w:lvl>
    <w:lvl w:ilvl="7">
      <w:start w:val="1"/>
      <w:numFmt w:val="bullet"/>
      <w:lvlText w:val="•"/>
      <w:lvlJc w:val="left"/>
      <w:pPr>
        <w:ind w:left="6320" w:hanging="697"/>
      </w:pPr>
      <w:rPr>
        <w:rFonts w:hint="default"/>
      </w:rPr>
    </w:lvl>
    <w:lvl w:ilvl="8">
      <w:start w:val="1"/>
      <w:numFmt w:val="bullet"/>
      <w:lvlText w:val="•"/>
      <w:lvlJc w:val="left"/>
      <w:pPr>
        <w:ind w:left="7233" w:hanging="697"/>
      </w:pPr>
      <w:rPr>
        <w:rFonts w:hint="default"/>
      </w:rPr>
    </w:lvl>
  </w:abstractNum>
  <w:abstractNum w:abstractNumId="12">
    <w:multiLevelType w:val="hybridMultilevel"/>
    <w:lvl w:ilvl="0">
      <w:start w:val="1"/>
      <w:numFmt w:val="decimal"/>
      <w:lvlText w:val="%1."/>
      <w:lvlJc w:val="left"/>
      <w:pPr>
        <w:ind w:left="822" w:hanging="697"/>
        <w:jc w:val="left"/>
      </w:pPr>
      <w:rPr>
        <w:rFonts w:hint="default" w:ascii="Times New Roman" w:hAnsi="Times New Roman" w:eastAsia="Times New Roman" w:cs="Times New Roman"/>
        <w:spacing w:val="-18"/>
        <w:w w:val="99"/>
        <w:sz w:val="24"/>
        <w:szCs w:val="24"/>
      </w:rPr>
    </w:lvl>
    <w:lvl w:ilvl="1">
      <w:start w:val="1"/>
      <w:numFmt w:val="bullet"/>
      <w:lvlText w:val="•"/>
      <w:lvlJc w:val="left"/>
      <w:pPr>
        <w:ind w:left="1644" w:hanging="697"/>
      </w:pPr>
      <w:rPr>
        <w:rFonts w:hint="default"/>
      </w:rPr>
    </w:lvl>
    <w:lvl w:ilvl="2">
      <w:start w:val="1"/>
      <w:numFmt w:val="bullet"/>
      <w:lvlText w:val="•"/>
      <w:lvlJc w:val="left"/>
      <w:pPr>
        <w:ind w:left="2468" w:hanging="697"/>
      </w:pPr>
      <w:rPr>
        <w:rFonts w:hint="default"/>
      </w:rPr>
    </w:lvl>
    <w:lvl w:ilvl="3">
      <w:start w:val="1"/>
      <w:numFmt w:val="bullet"/>
      <w:lvlText w:val="•"/>
      <w:lvlJc w:val="left"/>
      <w:pPr>
        <w:ind w:left="3292" w:hanging="697"/>
      </w:pPr>
      <w:rPr>
        <w:rFonts w:hint="default"/>
      </w:rPr>
    </w:lvl>
    <w:lvl w:ilvl="4">
      <w:start w:val="1"/>
      <w:numFmt w:val="bullet"/>
      <w:lvlText w:val="•"/>
      <w:lvlJc w:val="left"/>
      <w:pPr>
        <w:ind w:left="4116" w:hanging="697"/>
      </w:pPr>
      <w:rPr>
        <w:rFonts w:hint="default"/>
      </w:rPr>
    </w:lvl>
    <w:lvl w:ilvl="5">
      <w:start w:val="1"/>
      <w:numFmt w:val="bullet"/>
      <w:lvlText w:val="•"/>
      <w:lvlJc w:val="left"/>
      <w:pPr>
        <w:ind w:left="4940" w:hanging="697"/>
      </w:pPr>
      <w:rPr>
        <w:rFonts w:hint="default"/>
      </w:rPr>
    </w:lvl>
    <w:lvl w:ilvl="6">
      <w:start w:val="1"/>
      <w:numFmt w:val="bullet"/>
      <w:lvlText w:val="•"/>
      <w:lvlJc w:val="left"/>
      <w:pPr>
        <w:ind w:left="5764" w:hanging="697"/>
      </w:pPr>
      <w:rPr>
        <w:rFonts w:hint="default"/>
      </w:rPr>
    </w:lvl>
    <w:lvl w:ilvl="7">
      <w:start w:val="1"/>
      <w:numFmt w:val="bullet"/>
      <w:lvlText w:val="•"/>
      <w:lvlJc w:val="left"/>
      <w:pPr>
        <w:ind w:left="6588" w:hanging="697"/>
      </w:pPr>
      <w:rPr>
        <w:rFonts w:hint="default"/>
      </w:rPr>
    </w:lvl>
    <w:lvl w:ilvl="8">
      <w:start w:val="1"/>
      <w:numFmt w:val="bullet"/>
      <w:lvlText w:val="•"/>
      <w:lvlJc w:val="left"/>
      <w:pPr>
        <w:ind w:left="7412" w:hanging="697"/>
      </w:pPr>
      <w:rPr>
        <w:rFonts w:hint="default"/>
      </w:rPr>
    </w:lvl>
  </w:abstractNum>
  <w:abstractNum w:abstractNumId="11">
    <w:multiLevelType w:val="hybridMultilevel"/>
    <w:lvl w:ilvl="0">
      <w:start w:val="1"/>
      <w:numFmt w:val="upperRoman"/>
      <w:lvlText w:val="%1."/>
      <w:lvlJc w:val="left"/>
      <w:pPr>
        <w:ind w:left="2229" w:hanging="992"/>
        <w:jc w:val="right"/>
      </w:pPr>
      <w:rPr>
        <w:rFonts w:hint="default" w:ascii="Times New Roman" w:hAnsi="Times New Roman" w:eastAsia="Times New Roman" w:cs="Times New Roman"/>
        <w:spacing w:val="-4"/>
        <w:w w:val="99"/>
        <w:sz w:val="24"/>
        <w:szCs w:val="24"/>
      </w:rPr>
    </w:lvl>
    <w:lvl w:ilvl="1">
      <w:start w:val="1"/>
      <w:numFmt w:val="lowerLetter"/>
      <w:lvlText w:val="%2)"/>
      <w:lvlJc w:val="left"/>
      <w:pPr>
        <w:ind w:left="842" w:hanging="697"/>
        <w:jc w:val="left"/>
      </w:pPr>
      <w:rPr>
        <w:rFonts w:hint="default" w:ascii="Times New Roman" w:hAnsi="Times New Roman" w:eastAsia="Times New Roman" w:cs="Times New Roman"/>
        <w:spacing w:val="-29"/>
        <w:w w:val="99"/>
        <w:sz w:val="24"/>
        <w:szCs w:val="24"/>
      </w:rPr>
    </w:lvl>
    <w:lvl w:ilvl="2">
      <w:start w:val="1"/>
      <w:numFmt w:val="bullet"/>
      <w:lvlText w:val="•"/>
      <w:lvlJc w:val="left"/>
      <w:pPr>
        <w:ind w:left="2980" w:hanging="697"/>
      </w:pPr>
      <w:rPr>
        <w:rFonts w:hint="default"/>
      </w:rPr>
    </w:lvl>
    <w:lvl w:ilvl="3">
      <w:start w:val="1"/>
      <w:numFmt w:val="bullet"/>
      <w:lvlText w:val="•"/>
      <w:lvlJc w:val="left"/>
      <w:pPr>
        <w:ind w:left="3740" w:hanging="697"/>
      </w:pPr>
      <w:rPr>
        <w:rFonts w:hint="default"/>
      </w:rPr>
    </w:lvl>
    <w:lvl w:ilvl="4">
      <w:start w:val="1"/>
      <w:numFmt w:val="bullet"/>
      <w:lvlText w:val="•"/>
      <w:lvlJc w:val="left"/>
      <w:pPr>
        <w:ind w:left="4500" w:hanging="697"/>
      </w:pPr>
      <w:rPr>
        <w:rFonts w:hint="default"/>
      </w:rPr>
    </w:lvl>
    <w:lvl w:ilvl="5">
      <w:start w:val="1"/>
      <w:numFmt w:val="bullet"/>
      <w:lvlText w:val="•"/>
      <w:lvlJc w:val="left"/>
      <w:pPr>
        <w:ind w:left="5260" w:hanging="697"/>
      </w:pPr>
      <w:rPr>
        <w:rFonts w:hint="default"/>
      </w:rPr>
    </w:lvl>
    <w:lvl w:ilvl="6">
      <w:start w:val="1"/>
      <w:numFmt w:val="bullet"/>
      <w:lvlText w:val="•"/>
      <w:lvlJc w:val="left"/>
      <w:pPr>
        <w:ind w:left="6020" w:hanging="697"/>
      </w:pPr>
      <w:rPr>
        <w:rFonts w:hint="default"/>
      </w:rPr>
    </w:lvl>
    <w:lvl w:ilvl="7">
      <w:start w:val="1"/>
      <w:numFmt w:val="bullet"/>
      <w:lvlText w:val="•"/>
      <w:lvlJc w:val="left"/>
      <w:pPr>
        <w:ind w:left="6780" w:hanging="697"/>
      </w:pPr>
      <w:rPr>
        <w:rFonts w:hint="default"/>
      </w:rPr>
    </w:lvl>
    <w:lvl w:ilvl="8">
      <w:start w:val="1"/>
      <w:numFmt w:val="bullet"/>
      <w:lvlText w:val="•"/>
      <w:lvlJc w:val="left"/>
      <w:pPr>
        <w:ind w:left="7540" w:hanging="697"/>
      </w:pPr>
      <w:rPr>
        <w:rFonts w:hint="default"/>
      </w:rPr>
    </w:lvl>
  </w:abstractNum>
  <w:abstractNum w:abstractNumId="10">
    <w:multiLevelType w:val="hybridMultilevel"/>
    <w:lvl w:ilvl="0">
      <w:start w:val="2"/>
      <w:numFmt w:val="decimal"/>
      <w:lvlText w:val="%1"/>
      <w:lvlJc w:val="left"/>
      <w:pPr>
        <w:ind w:left="542" w:hanging="420"/>
        <w:jc w:val="left"/>
      </w:pPr>
      <w:rPr>
        <w:rFonts w:hint="default"/>
      </w:rPr>
    </w:lvl>
    <w:lvl w:ilvl="1">
      <w:start w:val="4"/>
      <w:numFmt w:val="decimal"/>
      <w:lvlText w:val="%1.%2"/>
      <w:lvlJc w:val="left"/>
      <w:pPr>
        <w:ind w:left="542" w:hanging="420"/>
        <w:jc w:val="left"/>
      </w:pPr>
      <w:rPr>
        <w:rFonts w:hint="default" w:ascii="Times New Roman" w:hAnsi="Times New Roman" w:eastAsia="Times New Roman" w:cs="Times New Roman"/>
        <w:b/>
        <w:bCs/>
        <w:spacing w:val="-4"/>
        <w:w w:val="99"/>
        <w:sz w:val="24"/>
        <w:szCs w:val="24"/>
      </w:rPr>
    </w:lvl>
    <w:lvl w:ilvl="2">
      <w:start w:val="1"/>
      <w:numFmt w:val="lowerLetter"/>
      <w:lvlText w:val="%3)"/>
      <w:lvlJc w:val="left"/>
      <w:pPr>
        <w:ind w:left="462" w:hanging="348"/>
        <w:jc w:val="left"/>
      </w:pPr>
      <w:rPr>
        <w:rFonts w:hint="default" w:ascii="Times New Roman" w:hAnsi="Times New Roman" w:eastAsia="Times New Roman" w:cs="Times New Roman"/>
        <w:spacing w:val="-30"/>
        <w:w w:val="99"/>
        <w:sz w:val="24"/>
        <w:szCs w:val="24"/>
      </w:rPr>
    </w:lvl>
    <w:lvl w:ilvl="3">
      <w:start w:val="1"/>
      <w:numFmt w:val="bullet"/>
      <w:lvlText w:val="•"/>
      <w:lvlJc w:val="left"/>
      <w:pPr>
        <w:ind w:left="2433" w:hanging="348"/>
      </w:pPr>
      <w:rPr>
        <w:rFonts w:hint="default"/>
      </w:rPr>
    </w:lvl>
    <w:lvl w:ilvl="4">
      <w:start w:val="1"/>
      <w:numFmt w:val="bullet"/>
      <w:lvlText w:val="•"/>
      <w:lvlJc w:val="left"/>
      <w:pPr>
        <w:ind w:left="3380" w:hanging="348"/>
      </w:pPr>
      <w:rPr>
        <w:rFonts w:hint="default"/>
      </w:rPr>
    </w:lvl>
    <w:lvl w:ilvl="5">
      <w:start w:val="1"/>
      <w:numFmt w:val="bullet"/>
      <w:lvlText w:val="•"/>
      <w:lvlJc w:val="left"/>
      <w:pPr>
        <w:ind w:left="4326" w:hanging="348"/>
      </w:pPr>
      <w:rPr>
        <w:rFonts w:hint="default"/>
      </w:rPr>
    </w:lvl>
    <w:lvl w:ilvl="6">
      <w:start w:val="1"/>
      <w:numFmt w:val="bullet"/>
      <w:lvlText w:val="•"/>
      <w:lvlJc w:val="left"/>
      <w:pPr>
        <w:ind w:left="5273" w:hanging="348"/>
      </w:pPr>
      <w:rPr>
        <w:rFonts w:hint="default"/>
      </w:rPr>
    </w:lvl>
    <w:lvl w:ilvl="7">
      <w:start w:val="1"/>
      <w:numFmt w:val="bullet"/>
      <w:lvlText w:val="•"/>
      <w:lvlJc w:val="left"/>
      <w:pPr>
        <w:ind w:left="6220" w:hanging="348"/>
      </w:pPr>
      <w:rPr>
        <w:rFonts w:hint="default"/>
      </w:rPr>
    </w:lvl>
    <w:lvl w:ilvl="8">
      <w:start w:val="1"/>
      <w:numFmt w:val="bullet"/>
      <w:lvlText w:val="•"/>
      <w:lvlJc w:val="left"/>
      <w:pPr>
        <w:ind w:left="7166" w:hanging="348"/>
      </w:pPr>
      <w:rPr>
        <w:rFonts w:hint="default"/>
      </w:rPr>
    </w:lvl>
  </w:abstractNum>
  <w:abstractNum w:abstractNumId="9">
    <w:multiLevelType w:val="hybridMultilevel"/>
    <w:lvl w:ilvl="0">
      <w:start w:val="2"/>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b/>
        <w:bCs/>
        <w:spacing w:val="-2"/>
        <w:w w:val="99"/>
        <w:sz w:val="24"/>
        <w:szCs w:val="24"/>
      </w:rPr>
    </w:lvl>
    <w:lvl w:ilvl="2">
      <w:start w:val="1"/>
      <w:numFmt w:val="decimal"/>
      <w:lvlText w:val="%3."/>
      <w:lvlJc w:val="left"/>
      <w:pPr>
        <w:ind w:left="474" w:hanging="336"/>
        <w:jc w:val="left"/>
      </w:pPr>
      <w:rPr>
        <w:rFonts w:hint="default" w:ascii="Times New Roman" w:hAnsi="Times New Roman" w:eastAsia="Times New Roman" w:cs="Times New Roman"/>
        <w:spacing w:val="-24"/>
        <w:w w:val="99"/>
        <w:sz w:val="24"/>
        <w:szCs w:val="24"/>
      </w:rPr>
    </w:lvl>
    <w:lvl w:ilvl="3">
      <w:start w:val="1"/>
      <w:numFmt w:val="bullet"/>
      <w:lvlText w:val="•"/>
      <w:lvlJc w:val="left"/>
      <w:pPr>
        <w:ind w:left="2229" w:hanging="336"/>
      </w:pPr>
      <w:rPr>
        <w:rFonts w:hint="default"/>
      </w:rPr>
    </w:lvl>
    <w:lvl w:ilvl="4">
      <w:start w:val="1"/>
      <w:numFmt w:val="bullet"/>
      <w:lvlText w:val="•"/>
      <w:lvlJc w:val="left"/>
      <w:pPr>
        <w:ind w:left="3104" w:hanging="336"/>
      </w:pPr>
      <w:rPr>
        <w:rFonts w:hint="default"/>
      </w:rPr>
    </w:lvl>
    <w:lvl w:ilvl="5">
      <w:start w:val="1"/>
      <w:numFmt w:val="bullet"/>
      <w:lvlText w:val="•"/>
      <w:lvlJc w:val="left"/>
      <w:pPr>
        <w:ind w:left="3978" w:hanging="336"/>
      </w:pPr>
      <w:rPr>
        <w:rFonts w:hint="default"/>
      </w:rPr>
    </w:lvl>
    <w:lvl w:ilvl="6">
      <w:start w:val="1"/>
      <w:numFmt w:val="bullet"/>
      <w:lvlText w:val="•"/>
      <w:lvlJc w:val="left"/>
      <w:pPr>
        <w:ind w:left="4853" w:hanging="336"/>
      </w:pPr>
      <w:rPr>
        <w:rFonts w:hint="default"/>
      </w:rPr>
    </w:lvl>
    <w:lvl w:ilvl="7">
      <w:start w:val="1"/>
      <w:numFmt w:val="bullet"/>
      <w:lvlText w:val="•"/>
      <w:lvlJc w:val="left"/>
      <w:pPr>
        <w:ind w:left="5728" w:hanging="336"/>
      </w:pPr>
      <w:rPr>
        <w:rFonts w:hint="default"/>
      </w:rPr>
    </w:lvl>
    <w:lvl w:ilvl="8">
      <w:start w:val="1"/>
      <w:numFmt w:val="bullet"/>
      <w:lvlText w:val="•"/>
      <w:lvlJc w:val="left"/>
      <w:pPr>
        <w:ind w:left="6602" w:hanging="336"/>
      </w:pPr>
      <w:rPr>
        <w:rFonts w:hint="default"/>
      </w:rPr>
    </w:lvl>
  </w:abstractNum>
  <w:abstractNum w:abstractNumId="8">
    <w:multiLevelType w:val="hybridMultilevel"/>
    <w:lvl w:ilvl="0">
      <w:start w:val="1"/>
      <w:numFmt w:val="bullet"/>
      <w:lvlText w:val="•"/>
      <w:lvlJc w:val="left"/>
      <w:pPr>
        <w:ind w:left="102" w:hanging="708"/>
      </w:pPr>
      <w:rPr>
        <w:rFonts w:hint="default" w:ascii="Times New Roman" w:hAnsi="Times New Roman" w:eastAsia="Times New Roman" w:cs="Times New Roman"/>
        <w:w w:val="99"/>
        <w:sz w:val="24"/>
        <w:szCs w:val="24"/>
      </w:rPr>
    </w:lvl>
    <w:lvl w:ilvl="1">
      <w:start w:val="1"/>
      <w:numFmt w:val="bullet"/>
      <w:lvlText w:val="•"/>
      <w:lvlJc w:val="left"/>
      <w:pPr>
        <w:ind w:left="996" w:hanging="708"/>
      </w:pPr>
      <w:rPr>
        <w:rFonts w:hint="default"/>
      </w:rPr>
    </w:lvl>
    <w:lvl w:ilvl="2">
      <w:start w:val="1"/>
      <w:numFmt w:val="bullet"/>
      <w:lvlText w:val="•"/>
      <w:lvlJc w:val="left"/>
      <w:pPr>
        <w:ind w:left="1892" w:hanging="708"/>
      </w:pPr>
      <w:rPr>
        <w:rFonts w:hint="default"/>
      </w:rPr>
    </w:lvl>
    <w:lvl w:ilvl="3">
      <w:start w:val="1"/>
      <w:numFmt w:val="bullet"/>
      <w:lvlText w:val="•"/>
      <w:lvlJc w:val="left"/>
      <w:pPr>
        <w:ind w:left="2788" w:hanging="708"/>
      </w:pPr>
      <w:rPr>
        <w:rFonts w:hint="default"/>
      </w:rPr>
    </w:lvl>
    <w:lvl w:ilvl="4">
      <w:start w:val="1"/>
      <w:numFmt w:val="bullet"/>
      <w:lvlText w:val="•"/>
      <w:lvlJc w:val="left"/>
      <w:pPr>
        <w:ind w:left="3684" w:hanging="708"/>
      </w:pPr>
      <w:rPr>
        <w:rFonts w:hint="default"/>
      </w:rPr>
    </w:lvl>
    <w:lvl w:ilvl="5">
      <w:start w:val="1"/>
      <w:numFmt w:val="bullet"/>
      <w:lvlText w:val="•"/>
      <w:lvlJc w:val="left"/>
      <w:pPr>
        <w:ind w:left="4580" w:hanging="708"/>
      </w:pPr>
      <w:rPr>
        <w:rFonts w:hint="default"/>
      </w:rPr>
    </w:lvl>
    <w:lvl w:ilvl="6">
      <w:start w:val="1"/>
      <w:numFmt w:val="bullet"/>
      <w:lvlText w:val="•"/>
      <w:lvlJc w:val="left"/>
      <w:pPr>
        <w:ind w:left="5476" w:hanging="708"/>
      </w:pPr>
      <w:rPr>
        <w:rFonts w:hint="default"/>
      </w:rPr>
    </w:lvl>
    <w:lvl w:ilvl="7">
      <w:start w:val="1"/>
      <w:numFmt w:val="bullet"/>
      <w:lvlText w:val="•"/>
      <w:lvlJc w:val="left"/>
      <w:pPr>
        <w:ind w:left="6372" w:hanging="708"/>
      </w:pPr>
      <w:rPr>
        <w:rFonts w:hint="default"/>
      </w:rPr>
    </w:lvl>
    <w:lvl w:ilvl="8">
      <w:start w:val="1"/>
      <w:numFmt w:val="bullet"/>
      <w:lvlText w:val="•"/>
      <w:lvlJc w:val="left"/>
      <w:pPr>
        <w:ind w:left="7268" w:hanging="708"/>
      </w:pPr>
      <w:rPr>
        <w:rFonts w:hint="default"/>
      </w:rPr>
    </w:lvl>
  </w:abstractNum>
  <w:abstractNum w:abstractNumId="7">
    <w:multiLevelType w:val="hybridMultilevel"/>
    <w:lvl w:ilvl="0">
      <w:start w:val="1"/>
      <w:numFmt w:val="decimal"/>
      <w:lvlText w:val="%1"/>
      <w:lvlJc w:val="left"/>
      <w:pPr>
        <w:ind w:left="822" w:hanging="720"/>
        <w:jc w:val="left"/>
      </w:pPr>
      <w:rPr>
        <w:rFonts w:hint="default"/>
      </w:rPr>
    </w:lvl>
    <w:lvl w:ilvl="1">
      <w:start w:val="3"/>
      <w:numFmt w:val="decimal"/>
      <w:lvlText w:val="%1.%2"/>
      <w:lvlJc w:val="left"/>
      <w:pPr>
        <w:ind w:left="822" w:hanging="720"/>
        <w:jc w:val="left"/>
      </w:pPr>
      <w:rPr>
        <w:rFonts w:hint="default"/>
      </w:rPr>
    </w:lvl>
    <w:lvl w:ilvl="2">
      <w:start w:val="3"/>
      <w:numFmt w:val="decimal"/>
      <w:lvlText w:val="%1.%2.%3"/>
      <w:lvlJc w:val="left"/>
      <w:pPr>
        <w:ind w:left="822" w:hanging="720"/>
        <w:jc w:val="left"/>
      </w:pPr>
      <w:rPr>
        <w:rFonts w:hint="default"/>
      </w:rPr>
    </w:lvl>
    <w:lvl w:ilvl="3">
      <w:start w:val="1"/>
      <w:numFmt w:val="decimal"/>
      <w:lvlText w:val="%1.%2.%3.%4"/>
      <w:lvlJc w:val="left"/>
      <w:pPr>
        <w:ind w:left="822" w:hanging="720"/>
        <w:jc w:val="left"/>
      </w:pPr>
      <w:rPr>
        <w:rFonts w:hint="default" w:ascii="Times New Roman" w:hAnsi="Times New Roman" w:eastAsia="Times New Roman" w:cs="Times New Roman"/>
        <w:b/>
        <w:bCs/>
        <w:spacing w:val="-2"/>
        <w:w w:val="99"/>
        <w:sz w:val="24"/>
        <w:szCs w:val="24"/>
      </w:rPr>
    </w:lvl>
    <w:lvl w:ilvl="4">
      <w:start w:val="1"/>
      <w:numFmt w:val="decimal"/>
      <w:lvlText w:val="%5."/>
      <w:lvlJc w:val="left"/>
      <w:pPr>
        <w:ind w:left="842" w:hanging="697"/>
        <w:jc w:val="left"/>
      </w:pPr>
      <w:rPr>
        <w:rFonts w:hint="default" w:ascii="Times New Roman" w:hAnsi="Times New Roman" w:eastAsia="Times New Roman" w:cs="Times New Roman"/>
        <w:spacing w:val="-24"/>
        <w:w w:val="99"/>
        <w:sz w:val="24"/>
        <w:szCs w:val="24"/>
      </w:rPr>
    </w:lvl>
    <w:lvl w:ilvl="5">
      <w:start w:val="1"/>
      <w:numFmt w:val="bullet"/>
      <w:lvlText w:val="•"/>
      <w:lvlJc w:val="left"/>
      <w:pPr>
        <w:ind w:left="4493" w:hanging="697"/>
      </w:pPr>
      <w:rPr>
        <w:rFonts w:hint="default"/>
      </w:rPr>
    </w:lvl>
    <w:lvl w:ilvl="6">
      <w:start w:val="1"/>
      <w:numFmt w:val="bullet"/>
      <w:lvlText w:val="•"/>
      <w:lvlJc w:val="left"/>
      <w:pPr>
        <w:ind w:left="5406" w:hanging="697"/>
      </w:pPr>
      <w:rPr>
        <w:rFonts w:hint="default"/>
      </w:rPr>
    </w:lvl>
    <w:lvl w:ilvl="7">
      <w:start w:val="1"/>
      <w:numFmt w:val="bullet"/>
      <w:lvlText w:val="•"/>
      <w:lvlJc w:val="left"/>
      <w:pPr>
        <w:ind w:left="6320" w:hanging="697"/>
      </w:pPr>
      <w:rPr>
        <w:rFonts w:hint="default"/>
      </w:rPr>
    </w:lvl>
    <w:lvl w:ilvl="8">
      <w:start w:val="1"/>
      <w:numFmt w:val="bullet"/>
      <w:lvlText w:val="•"/>
      <w:lvlJc w:val="left"/>
      <w:pPr>
        <w:ind w:left="7233" w:hanging="697"/>
      </w:pPr>
      <w:rPr>
        <w:rFonts w:hint="default"/>
      </w:rPr>
    </w:lvl>
  </w:abstractNum>
  <w:abstractNum w:abstractNumId="6">
    <w:multiLevelType w:val="hybridMultilevel"/>
    <w:lvl w:ilvl="0">
      <w:start w:val="1"/>
      <w:numFmt w:val="decimal"/>
      <w:lvlText w:val="%1)"/>
      <w:lvlJc w:val="left"/>
      <w:pPr>
        <w:ind w:left="822" w:hanging="697"/>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644" w:hanging="697"/>
      </w:pPr>
      <w:rPr>
        <w:rFonts w:hint="default"/>
      </w:rPr>
    </w:lvl>
    <w:lvl w:ilvl="2">
      <w:start w:val="1"/>
      <w:numFmt w:val="bullet"/>
      <w:lvlText w:val="•"/>
      <w:lvlJc w:val="left"/>
      <w:pPr>
        <w:ind w:left="2468" w:hanging="697"/>
      </w:pPr>
      <w:rPr>
        <w:rFonts w:hint="default"/>
      </w:rPr>
    </w:lvl>
    <w:lvl w:ilvl="3">
      <w:start w:val="1"/>
      <w:numFmt w:val="bullet"/>
      <w:lvlText w:val="•"/>
      <w:lvlJc w:val="left"/>
      <w:pPr>
        <w:ind w:left="3292" w:hanging="697"/>
      </w:pPr>
      <w:rPr>
        <w:rFonts w:hint="default"/>
      </w:rPr>
    </w:lvl>
    <w:lvl w:ilvl="4">
      <w:start w:val="1"/>
      <w:numFmt w:val="bullet"/>
      <w:lvlText w:val="•"/>
      <w:lvlJc w:val="left"/>
      <w:pPr>
        <w:ind w:left="4116" w:hanging="697"/>
      </w:pPr>
      <w:rPr>
        <w:rFonts w:hint="default"/>
      </w:rPr>
    </w:lvl>
    <w:lvl w:ilvl="5">
      <w:start w:val="1"/>
      <w:numFmt w:val="bullet"/>
      <w:lvlText w:val="•"/>
      <w:lvlJc w:val="left"/>
      <w:pPr>
        <w:ind w:left="4940" w:hanging="697"/>
      </w:pPr>
      <w:rPr>
        <w:rFonts w:hint="default"/>
      </w:rPr>
    </w:lvl>
    <w:lvl w:ilvl="6">
      <w:start w:val="1"/>
      <w:numFmt w:val="bullet"/>
      <w:lvlText w:val="•"/>
      <w:lvlJc w:val="left"/>
      <w:pPr>
        <w:ind w:left="5764" w:hanging="697"/>
      </w:pPr>
      <w:rPr>
        <w:rFonts w:hint="default"/>
      </w:rPr>
    </w:lvl>
    <w:lvl w:ilvl="7">
      <w:start w:val="1"/>
      <w:numFmt w:val="bullet"/>
      <w:lvlText w:val="•"/>
      <w:lvlJc w:val="left"/>
      <w:pPr>
        <w:ind w:left="6588" w:hanging="697"/>
      </w:pPr>
      <w:rPr>
        <w:rFonts w:hint="default"/>
      </w:rPr>
    </w:lvl>
    <w:lvl w:ilvl="8">
      <w:start w:val="1"/>
      <w:numFmt w:val="bullet"/>
      <w:lvlText w:val="•"/>
      <w:lvlJc w:val="left"/>
      <w:pPr>
        <w:ind w:left="7412" w:hanging="697"/>
      </w:pPr>
      <w:rPr>
        <w:rFonts w:hint="default"/>
      </w:rPr>
    </w:lvl>
  </w:abstractNum>
  <w:abstractNum w:abstractNumId="5">
    <w:multiLevelType w:val="hybridMultilevel"/>
    <w:lvl w:ilvl="0">
      <w:start w:val="1"/>
      <w:numFmt w:val="decimal"/>
      <w:lvlText w:val="%1"/>
      <w:lvlJc w:val="left"/>
      <w:pPr>
        <w:ind w:left="542" w:hanging="420"/>
        <w:jc w:val="left"/>
      </w:pPr>
      <w:rPr>
        <w:rFonts w:hint="default"/>
      </w:rPr>
    </w:lvl>
    <w:lvl w:ilvl="1">
      <w:start w:val="3"/>
      <w:numFmt w:val="decimal"/>
      <w:lvlText w:val="%1.%2."/>
      <w:lvlJc w:val="left"/>
      <w:pPr>
        <w:ind w:left="542" w:hanging="42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662" w:hanging="540"/>
        <w:jc w:val="left"/>
      </w:pPr>
      <w:rPr>
        <w:rFonts w:hint="default" w:ascii="Times New Roman" w:hAnsi="Times New Roman" w:eastAsia="Times New Roman" w:cs="Times New Roman"/>
        <w:b/>
        <w:bCs/>
        <w:spacing w:val="-4"/>
        <w:w w:val="99"/>
        <w:sz w:val="24"/>
        <w:szCs w:val="24"/>
      </w:rPr>
    </w:lvl>
    <w:lvl w:ilvl="3">
      <w:start w:val="1"/>
      <w:numFmt w:val="decimal"/>
      <w:lvlText w:val="%4."/>
      <w:lvlJc w:val="left"/>
      <w:pPr>
        <w:ind w:left="842" w:hanging="360"/>
        <w:jc w:val="left"/>
      </w:pPr>
      <w:rPr>
        <w:rFonts w:hint="default" w:ascii="Times New Roman" w:hAnsi="Times New Roman" w:eastAsia="Times New Roman" w:cs="Times New Roman"/>
        <w:spacing w:val="-3"/>
        <w:w w:val="99"/>
        <w:sz w:val="24"/>
        <w:szCs w:val="24"/>
      </w:rPr>
    </w:lvl>
    <w:lvl w:ilvl="4">
      <w:start w:val="1"/>
      <w:numFmt w:val="bullet"/>
      <w:lvlText w:val="•"/>
      <w:lvlJc w:val="left"/>
      <w:pPr>
        <w:ind w:left="2900" w:hanging="360"/>
      </w:pPr>
      <w:rPr>
        <w:rFonts w:hint="default"/>
      </w:rPr>
    </w:lvl>
    <w:lvl w:ilvl="5">
      <w:start w:val="1"/>
      <w:numFmt w:val="bullet"/>
      <w:lvlText w:val="•"/>
      <w:lvlJc w:val="left"/>
      <w:pPr>
        <w:ind w:left="3930" w:hanging="360"/>
      </w:pPr>
      <w:rPr>
        <w:rFonts w:hint="default"/>
      </w:rPr>
    </w:lvl>
    <w:lvl w:ilvl="6">
      <w:start w:val="1"/>
      <w:numFmt w:val="bullet"/>
      <w:lvlText w:val="•"/>
      <w:lvlJc w:val="left"/>
      <w:pPr>
        <w:ind w:left="4960" w:hanging="360"/>
      </w:pPr>
      <w:rPr>
        <w:rFonts w:hint="default"/>
      </w:rPr>
    </w:lvl>
    <w:lvl w:ilvl="7">
      <w:start w:val="1"/>
      <w:numFmt w:val="bullet"/>
      <w:lvlText w:val="•"/>
      <w:lvlJc w:val="left"/>
      <w:pPr>
        <w:ind w:left="5990" w:hanging="360"/>
      </w:pPr>
      <w:rPr>
        <w:rFonts w:hint="default"/>
      </w:rPr>
    </w:lvl>
    <w:lvl w:ilvl="8">
      <w:start w:val="1"/>
      <w:numFmt w:val="bullet"/>
      <w:lvlText w:val="•"/>
      <w:lvlJc w:val="left"/>
      <w:pPr>
        <w:ind w:left="7020" w:hanging="360"/>
      </w:pPr>
      <w:rPr>
        <w:rFonts w:hint="default"/>
      </w:rPr>
    </w:lvl>
  </w:abstractNum>
  <w:abstractNum w:abstractNumId="4">
    <w:multiLevelType w:val="hybridMultilevel"/>
    <w:lvl w:ilvl="0">
      <w:start w:val="1"/>
      <w:numFmt w:val="decimal"/>
      <w:lvlText w:val="%1"/>
      <w:lvlJc w:val="left"/>
      <w:pPr>
        <w:ind w:left="482" w:hanging="360"/>
        <w:jc w:val="left"/>
      </w:pPr>
      <w:rPr>
        <w:rFonts w:hint="default"/>
      </w:rPr>
    </w:lvl>
    <w:lvl w:ilvl="1">
      <w:start w:val="1"/>
      <w:numFmt w:val="decimal"/>
      <w:lvlText w:val="%1.%2"/>
      <w:lvlJc w:val="left"/>
      <w:pPr>
        <w:ind w:left="482" w:hanging="360"/>
        <w:jc w:val="left"/>
      </w:pPr>
      <w:rPr>
        <w:rFonts w:hint="default" w:ascii="Times New Roman" w:hAnsi="Times New Roman" w:eastAsia="Times New Roman" w:cs="Times New Roman"/>
        <w:b/>
        <w:bCs/>
        <w:w w:val="100"/>
        <w:sz w:val="24"/>
        <w:szCs w:val="24"/>
      </w:rPr>
    </w:lvl>
    <w:lvl w:ilvl="2">
      <w:start w:val="1"/>
      <w:numFmt w:val="decimal"/>
      <w:lvlText w:val="%1.%2.%3"/>
      <w:lvlJc w:val="left"/>
      <w:pPr>
        <w:ind w:left="662" w:hanging="540"/>
        <w:jc w:val="left"/>
      </w:pPr>
      <w:rPr>
        <w:rFonts w:hint="default" w:ascii="Times New Roman" w:hAnsi="Times New Roman" w:eastAsia="Times New Roman" w:cs="Times New Roman"/>
        <w:b/>
        <w:bCs/>
        <w:w w:val="100"/>
        <w:sz w:val="24"/>
        <w:szCs w:val="24"/>
      </w:rPr>
    </w:lvl>
    <w:lvl w:ilvl="3">
      <w:start w:val="1"/>
      <w:numFmt w:val="decimal"/>
      <w:lvlText w:val="%4."/>
      <w:lvlJc w:val="left"/>
      <w:pPr>
        <w:ind w:left="822" w:hanging="697"/>
        <w:jc w:val="left"/>
      </w:pPr>
      <w:rPr>
        <w:rFonts w:hint="default" w:ascii="Times New Roman" w:hAnsi="Times New Roman" w:eastAsia="Times New Roman" w:cs="Times New Roman"/>
        <w:spacing w:val="-30"/>
        <w:w w:val="99"/>
        <w:sz w:val="24"/>
        <w:szCs w:val="24"/>
      </w:rPr>
    </w:lvl>
    <w:lvl w:ilvl="4">
      <w:start w:val="1"/>
      <w:numFmt w:val="bullet"/>
      <w:lvlText w:val="•"/>
      <w:lvlJc w:val="left"/>
      <w:pPr>
        <w:ind w:left="2880" w:hanging="697"/>
      </w:pPr>
      <w:rPr>
        <w:rFonts w:hint="default"/>
      </w:rPr>
    </w:lvl>
    <w:lvl w:ilvl="5">
      <w:start w:val="1"/>
      <w:numFmt w:val="bullet"/>
      <w:lvlText w:val="•"/>
      <w:lvlJc w:val="left"/>
      <w:pPr>
        <w:ind w:left="3910" w:hanging="697"/>
      </w:pPr>
      <w:rPr>
        <w:rFonts w:hint="default"/>
      </w:rPr>
    </w:lvl>
    <w:lvl w:ilvl="6">
      <w:start w:val="1"/>
      <w:numFmt w:val="bullet"/>
      <w:lvlText w:val="•"/>
      <w:lvlJc w:val="left"/>
      <w:pPr>
        <w:ind w:left="4940" w:hanging="697"/>
      </w:pPr>
      <w:rPr>
        <w:rFonts w:hint="default"/>
      </w:rPr>
    </w:lvl>
    <w:lvl w:ilvl="7">
      <w:start w:val="1"/>
      <w:numFmt w:val="bullet"/>
      <w:lvlText w:val="•"/>
      <w:lvlJc w:val="left"/>
      <w:pPr>
        <w:ind w:left="5970" w:hanging="697"/>
      </w:pPr>
      <w:rPr>
        <w:rFonts w:hint="default"/>
      </w:rPr>
    </w:lvl>
    <w:lvl w:ilvl="8">
      <w:start w:val="1"/>
      <w:numFmt w:val="bullet"/>
      <w:lvlText w:val="•"/>
      <w:lvlJc w:val="left"/>
      <w:pPr>
        <w:ind w:left="7000" w:hanging="697"/>
      </w:pPr>
      <w:rPr>
        <w:rFonts w:hint="default"/>
      </w:rPr>
    </w:lvl>
  </w:abstractNum>
  <w:abstractNum w:abstractNumId="3">
    <w:multiLevelType w:val="hybridMultilevel"/>
    <w:lvl w:ilvl="0">
      <w:start w:val="3"/>
      <w:numFmt w:val="decimal"/>
      <w:lvlText w:val="%1"/>
      <w:lvlJc w:val="left"/>
      <w:pPr>
        <w:ind w:left="640" w:hanging="420"/>
        <w:jc w:val="left"/>
      </w:pPr>
      <w:rPr>
        <w:rFonts w:hint="default"/>
      </w:rPr>
    </w:lvl>
    <w:lvl w:ilvl="1">
      <w:start w:val="1"/>
      <w:numFmt w:val="decimal"/>
      <w:lvlText w:val="%1.%2."/>
      <w:lvlJc w:val="left"/>
      <w:pPr>
        <w:ind w:left="640" w:hanging="420"/>
        <w:jc w:val="left"/>
      </w:pPr>
      <w:rPr>
        <w:rFonts w:hint="default" w:ascii="Times New Roman" w:hAnsi="Times New Roman" w:eastAsia="Times New Roman" w:cs="Times New Roman"/>
        <w:w w:val="100"/>
        <w:sz w:val="24"/>
        <w:szCs w:val="24"/>
      </w:rPr>
    </w:lvl>
    <w:lvl w:ilvl="2">
      <w:start w:val="1"/>
      <w:numFmt w:val="decimal"/>
      <w:lvlText w:val="%1.%2.%3."/>
      <w:lvlJc w:val="left"/>
      <w:pPr>
        <w:ind w:left="1329" w:hanging="659"/>
        <w:jc w:val="left"/>
      </w:pPr>
      <w:rPr>
        <w:rFonts w:hint="default" w:ascii="Times New Roman" w:hAnsi="Times New Roman" w:eastAsia="Times New Roman" w:cs="Times New Roman"/>
        <w:spacing w:val="-1"/>
        <w:w w:val="100"/>
        <w:sz w:val="24"/>
        <w:szCs w:val="24"/>
      </w:rPr>
    </w:lvl>
    <w:lvl w:ilvl="3">
      <w:start w:val="1"/>
      <w:numFmt w:val="bullet"/>
      <w:lvlText w:val="•"/>
      <w:lvlJc w:val="left"/>
      <w:pPr>
        <w:ind w:left="2272" w:hanging="659"/>
      </w:pPr>
      <w:rPr>
        <w:rFonts w:hint="default"/>
      </w:rPr>
    </w:lvl>
    <w:lvl w:ilvl="4">
      <w:start w:val="1"/>
      <w:numFmt w:val="bullet"/>
      <w:lvlText w:val="•"/>
      <w:lvlJc w:val="left"/>
      <w:pPr>
        <w:ind w:left="3225" w:hanging="659"/>
      </w:pPr>
      <w:rPr>
        <w:rFonts w:hint="default"/>
      </w:rPr>
    </w:lvl>
    <w:lvl w:ilvl="5">
      <w:start w:val="1"/>
      <w:numFmt w:val="bullet"/>
      <w:lvlText w:val="•"/>
      <w:lvlJc w:val="left"/>
      <w:pPr>
        <w:ind w:left="4177" w:hanging="659"/>
      </w:pPr>
      <w:rPr>
        <w:rFonts w:hint="default"/>
      </w:rPr>
    </w:lvl>
    <w:lvl w:ilvl="6">
      <w:start w:val="1"/>
      <w:numFmt w:val="bullet"/>
      <w:lvlText w:val="•"/>
      <w:lvlJc w:val="left"/>
      <w:pPr>
        <w:ind w:left="5130" w:hanging="659"/>
      </w:pPr>
      <w:rPr>
        <w:rFonts w:hint="default"/>
      </w:rPr>
    </w:lvl>
    <w:lvl w:ilvl="7">
      <w:start w:val="1"/>
      <w:numFmt w:val="bullet"/>
      <w:lvlText w:val="•"/>
      <w:lvlJc w:val="left"/>
      <w:pPr>
        <w:ind w:left="6082" w:hanging="659"/>
      </w:pPr>
      <w:rPr>
        <w:rFonts w:hint="default"/>
      </w:rPr>
    </w:lvl>
    <w:lvl w:ilvl="8">
      <w:start w:val="1"/>
      <w:numFmt w:val="bullet"/>
      <w:lvlText w:val="•"/>
      <w:lvlJc w:val="left"/>
      <w:pPr>
        <w:ind w:left="7035" w:hanging="659"/>
      </w:pPr>
      <w:rPr>
        <w:rFonts w:hint="default"/>
      </w:rPr>
    </w:lvl>
  </w:abstractNum>
  <w:abstractNum w:abstractNumId="2">
    <w:multiLevelType w:val="hybridMultilevel"/>
    <w:lvl w:ilvl="0">
      <w:start w:val="2"/>
      <w:numFmt w:val="decimal"/>
      <w:lvlText w:val="%1"/>
      <w:lvlJc w:val="left"/>
      <w:pPr>
        <w:ind w:left="640" w:hanging="420"/>
        <w:jc w:val="left"/>
      </w:pPr>
      <w:rPr>
        <w:rFonts w:hint="default"/>
      </w:rPr>
    </w:lvl>
    <w:lvl w:ilvl="1">
      <w:start w:val="1"/>
      <w:numFmt w:val="decimal"/>
      <w:lvlText w:val="%1.%2."/>
      <w:lvlJc w:val="left"/>
      <w:pPr>
        <w:ind w:left="640" w:hanging="420"/>
        <w:jc w:val="left"/>
      </w:pPr>
      <w:rPr>
        <w:rFonts w:hint="default" w:ascii="Times New Roman" w:hAnsi="Times New Roman" w:eastAsia="Times New Roman" w:cs="Times New Roman"/>
        <w:w w:val="99"/>
        <w:sz w:val="24"/>
        <w:szCs w:val="24"/>
      </w:rPr>
    </w:lvl>
    <w:lvl w:ilvl="2">
      <w:start w:val="1"/>
      <w:numFmt w:val="bullet"/>
      <w:lvlText w:val="•"/>
      <w:lvlJc w:val="left"/>
      <w:pPr>
        <w:ind w:left="2300" w:hanging="420"/>
      </w:pPr>
      <w:rPr>
        <w:rFonts w:hint="default"/>
      </w:rPr>
    </w:lvl>
    <w:lvl w:ilvl="3">
      <w:start w:val="1"/>
      <w:numFmt w:val="bullet"/>
      <w:lvlText w:val="•"/>
      <w:lvlJc w:val="left"/>
      <w:pPr>
        <w:ind w:left="3130" w:hanging="420"/>
      </w:pPr>
      <w:rPr>
        <w:rFonts w:hint="default"/>
      </w:rPr>
    </w:lvl>
    <w:lvl w:ilvl="4">
      <w:start w:val="1"/>
      <w:numFmt w:val="bullet"/>
      <w:lvlText w:val="•"/>
      <w:lvlJc w:val="left"/>
      <w:pPr>
        <w:ind w:left="3960" w:hanging="420"/>
      </w:pPr>
      <w:rPr>
        <w:rFonts w:hint="default"/>
      </w:rPr>
    </w:lvl>
    <w:lvl w:ilvl="5">
      <w:start w:val="1"/>
      <w:numFmt w:val="bullet"/>
      <w:lvlText w:val="•"/>
      <w:lvlJc w:val="left"/>
      <w:pPr>
        <w:ind w:left="4790" w:hanging="420"/>
      </w:pPr>
      <w:rPr>
        <w:rFonts w:hint="default"/>
      </w:rPr>
    </w:lvl>
    <w:lvl w:ilvl="6">
      <w:start w:val="1"/>
      <w:numFmt w:val="bullet"/>
      <w:lvlText w:val="•"/>
      <w:lvlJc w:val="left"/>
      <w:pPr>
        <w:ind w:left="5620" w:hanging="420"/>
      </w:pPr>
      <w:rPr>
        <w:rFonts w:hint="default"/>
      </w:rPr>
    </w:lvl>
    <w:lvl w:ilvl="7">
      <w:start w:val="1"/>
      <w:numFmt w:val="bullet"/>
      <w:lvlText w:val="•"/>
      <w:lvlJc w:val="left"/>
      <w:pPr>
        <w:ind w:left="6450" w:hanging="420"/>
      </w:pPr>
      <w:rPr>
        <w:rFonts w:hint="default"/>
      </w:rPr>
    </w:lvl>
    <w:lvl w:ilvl="8">
      <w:start w:val="1"/>
      <w:numFmt w:val="bullet"/>
      <w:lvlText w:val="•"/>
      <w:lvlJc w:val="left"/>
      <w:pPr>
        <w:ind w:left="7280" w:hanging="420"/>
      </w:pPr>
      <w:rPr>
        <w:rFonts w:hint="default"/>
      </w:rPr>
    </w:lvl>
  </w:abstractNum>
  <w:abstractNum w:abstractNumId="1">
    <w:multiLevelType w:val="hybridMultilevel"/>
    <w:lvl w:ilvl="0">
      <w:start w:val="1"/>
      <w:numFmt w:val="decimal"/>
      <w:lvlText w:val="%1"/>
      <w:lvlJc w:val="left"/>
      <w:pPr>
        <w:ind w:left="640" w:hanging="420"/>
        <w:jc w:val="left"/>
      </w:pPr>
      <w:rPr>
        <w:rFonts w:hint="default"/>
      </w:rPr>
    </w:lvl>
    <w:lvl w:ilvl="1">
      <w:start w:val="3"/>
      <w:numFmt w:val="decimal"/>
      <w:lvlText w:val="%1.%2."/>
      <w:lvlJc w:val="left"/>
      <w:pPr>
        <w:ind w:left="640" w:hanging="420"/>
        <w:jc w:val="left"/>
      </w:pPr>
      <w:rPr>
        <w:rFonts w:hint="default" w:ascii="Times New Roman" w:hAnsi="Times New Roman" w:eastAsia="Times New Roman" w:cs="Times New Roman"/>
        <w:w w:val="99"/>
        <w:sz w:val="24"/>
        <w:szCs w:val="24"/>
      </w:rPr>
    </w:lvl>
    <w:lvl w:ilvl="2">
      <w:start w:val="1"/>
      <w:numFmt w:val="decimal"/>
      <w:lvlText w:val="%1.%2.%3."/>
      <w:lvlJc w:val="left"/>
      <w:pPr>
        <w:ind w:left="1269" w:hanging="599"/>
        <w:jc w:val="left"/>
      </w:pPr>
      <w:rPr>
        <w:rFonts w:hint="default" w:ascii="Times New Roman" w:hAnsi="Times New Roman" w:eastAsia="Times New Roman" w:cs="Times New Roman"/>
        <w:spacing w:val="-1"/>
        <w:w w:val="99"/>
        <w:sz w:val="24"/>
        <w:szCs w:val="24"/>
      </w:rPr>
    </w:lvl>
    <w:lvl w:ilvl="3">
      <w:start w:val="1"/>
      <w:numFmt w:val="bullet"/>
      <w:lvlText w:val="•"/>
      <w:lvlJc w:val="left"/>
      <w:pPr>
        <w:ind w:left="2885" w:hanging="599"/>
      </w:pPr>
      <w:rPr>
        <w:rFonts w:hint="default"/>
      </w:rPr>
    </w:lvl>
    <w:lvl w:ilvl="4">
      <w:start w:val="1"/>
      <w:numFmt w:val="bullet"/>
      <w:lvlText w:val="•"/>
      <w:lvlJc w:val="left"/>
      <w:pPr>
        <w:ind w:left="3750" w:hanging="599"/>
      </w:pPr>
      <w:rPr>
        <w:rFonts w:hint="default"/>
      </w:rPr>
    </w:lvl>
    <w:lvl w:ilvl="5">
      <w:start w:val="1"/>
      <w:numFmt w:val="bullet"/>
      <w:lvlText w:val="•"/>
      <w:lvlJc w:val="left"/>
      <w:pPr>
        <w:ind w:left="4615" w:hanging="599"/>
      </w:pPr>
      <w:rPr>
        <w:rFonts w:hint="default"/>
      </w:rPr>
    </w:lvl>
    <w:lvl w:ilvl="6">
      <w:start w:val="1"/>
      <w:numFmt w:val="bullet"/>
      <w:lvlText w:val="•"/>
      <w:lvlJc w:val="left"/>
      <w:pPr>
        <w:ind w:left="5480" w:hanging="599"/>
      </w:pPr>
      <w:rPr>
        <w:rFonts w:hint="default"/>
      </w:rPr>
    </w:lvl>
    <w:lvl w:ilvl="7">
      <w:start w:val="1"/>
      <w:numFmt w:val="bullet"/>
      <w:lvlText w:val="•"/>
      <w:lvlJc w:val="left"/>
      <w:pPr>
        <w:ind w:left="6345" w:hanging="599"/>
      </w:pPr>
      <w:rPr>
        <w:rFonts w:hint="default"/>
      </w:rPr>
    </w:lvl>
    <w:lvl w:ilvl="8">
      <w:start w:val="1"/>
      <w:numFmt w:val="bullet"/>
      <w:lvlText w:val="•"/>
      <w:lvlJc w:val="left"/>
      <w:pPr>
        <w:ind w:left="7210" w:hanging="599"/>
      </w:pPr>
      <w:rPr>
        <w:rFonts w:hint="default"/>
      </w:rPr>
    </w:lvl>
  </w:abstractNum>
  <w:abstractNum w:abstractNumId="0">
    <w:multiLevelType w:val="hybridMultilevel"/>
    <w:lvl w:ilvl="0">
      <w:start w:val="1"/>
      <w:numFmt w:val="decimal"/>
      <w:lvlText w:val="%1"/>
      <w:lvlJc w:val="left"/>
      <w:pPr>
        <w:ind w:left="580" w:hanging="360"/>
        <w:jc w:val="left"/>
      </w:pPr>
      <w:rPr>
        <w:rFonts w:hint="default"/>
      </w:rPr>
    </w:lvl>
    <w:lvl w:ilvl="1">
      <w:start w:val="2"/>
      <w:numFmt w:val="decimal"/>
      <w:lvlText w:val="%1.%2"/>
      <w:lvlJc w:val="left"/>
      <w:pPr>
        <w:ind w:left="580" w:hanging="360"/>
        <w:jc w:val="left"/>
      </w:pPr>
      <w:rPr>
        <w:rFonts w:hint="default" w:ascii="Times New Roman" w:hAnsi="Times New Roman" w:eastAsia="Times New Roman" w:cs="Times New Roman"/>
        <w:w w:val="99"/>
        <w:sz w:val="24"/>
        <w:szCs w:val="24"/>
      </w:rPr>
    </w:lvl>
    <w:lvl w:ilvl="2">
      <w:start w:val="1"/>
      <w:numFmt w:val="decimal"/>
      <w:lvlText w:val="%1.%2.%3."/>
      <w:lvlJc w:val="left"/>
      <w:pPr>
        <w:ind w:left="1269" w:hanging="599"/>
        <w:jc w:val="left"/>
      </w:pPr>
      <w:rPr>
        <w:rFonts w:hint="default" w:ascii="Times New Roman" w:hAnsi="Times New Roman" w:eastAsia="Times New Roman" w:cs="Times New Roman"/>
        <w:spacing w:val="-1"/>
        <w:w w:val="99"/>
        <w:sz w:val="24"/>
        <w:szCs w:val="24"/>
      </w:rPr>
    </w:lvl>
    <w:lvl w:ilvl="3">
      <w:start w:val="1"/>
      <w:numFmt w:val="bullet"/>
      <w:lvlText w:val="•"/>
      <w:lvlJc w:val="left"/>
      <w:pPr>
        <w:ind w:left="2966" w:hanging="599"/>
      </w:pPr>
      <w:rPr>
        <w:rFonts w:hint="default"/>
      </w:rPr>
    </w:lvl>
    <w:lvl w:ilvl="4">
      <w:start w:val="1"/>
      <w:numFmt w:val="bullet"/>
      <w:lvlText w:val="•"/>
      <w:lvlJc w:val="left"/>
      <w:pPr>
        <w:ind w:left="3820" w:hanging="599"/>
      </w:pPr>
      <w:rPr>
        <w:rFonts w:hint="default"/>
      </w:rPr>
    </w:lvl>
    <w:lvl w:ilvl="5">
      <w:start w:val="1"/>
      <w:numFmt w:val="bullet"/>
      <w:lvlText w:val="•"/>
      <w:lvlJc w:val="left"/>
      <w:pPr>
        <w:ind w:left="4673" w:hanging="599"/>
      </w:pPr>
      <w:rPr>
        <w:rFonts w:hint="default"/>
      </w:rPr>
    </w:lvl>
    <w:lvl w:ilvl="6">
      <w:start w:val="1"/>
      <w:numFmt w:val="bullet"/>
      <w:lvlText w:val="•"/>
      <w:lvlJc w:val="left"/>
      <w:pPr>
        <w:ind w:left="5526" w:hanging="599"/>
      </w:pPr>
      <w:rPr>
        <w:rFonts w:hint="default"/>
      </w:rPr>
    </w:lvl>
    <w:lvl w:ilvl="7">
      <w:start w:val="1"/>
      <w:numFmt w:val="bullet"/>
      <w:lvlText w:val="•"/>
      <w:lvlJc w:val="left"/>
      <w:pPr>
        <w:ind w:left="6380" w:hanging="599"/>
      </w:pPr>
      <w:rPr>
        <w:rFonts w:hint="default"/>
      </w:rPr>
    </w:lvl>
    <w:lvl w:ilvl="8">
      <w:start w:val="1"/>
      <w:numFmt w:val="bullet"/>
      <w:lvlText w:val="•"/>
      <w:lvlJc w:val="left"/>
      <w:pPr>
        <w:ind w:left="7233" w:hanging="599"/>
      </w:pPr>
      <w:rPr>
        <w:rFonts w:hint="default"/>
      </w:rPr>
    </w:lvl>
  </w:abstractNum>
  <w:num w:numId="20">
    <w:abstractNumId w:val="19"/>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64"/>
      <w:ind w:left="221" w:right="188"/>
    </w:pPr>
    <w:rPr>
      <w:rFonts w:ascii="Times New Roman" w:hAnsi="Times New Roman" w:eastAsia="Times New Roman" w:cs="Times New Roman"/>
      <w:b/>
      <w:bCs/>
      <w:sz w:val="24"/>
      <w:szCs w:val="24"/>
    </w:rPr>
  </w:style>
  <w:style w:styleId="TOC2" w:type="paragraph">
    <w:name w:val="TOC 2"/>
    <w:basedOn w:val="Normal"/>
    <w:uiPriority w:val="1"/>
    <w:qFormat/>
    <w:pPr>
      <w:spacing w:before="39"/>
      <w:ind w:left="640" w:hanging="419"/>
    </w:pPr>
    <w:rPr>
      <w:rFonts w:ascii="Times New Roman" w:hAnsi="Times New Roman" w:eastAsia="Times New Roman" w:cs="Times New Roman"/>
      <w:sz w:val="24"/>
      <w:szCs w:val="24"/>
    </w:rPr>
  </w:style>
  <w:style w:styleId="TOC3" w:type="paragraph">
    <w:name w:val="TOC 3"/>
    <w:basedOn w:val="Normal"/>
    <w:uiPriority w:val="1"/>
    <w:qFormat/>
    <w:pPr>
      <w:spacing w:before="39"/>
      <w:ind w:left="1269" w:hanging="598"/>
    </w:pPr>
    <w:rPr>
      <w:rFonts w:ascii="Times New Roman" w:hAnsi="Times New Roman" w:eastAsia="Times New Roman" w:cs="Times New Roman"/>
      <w:sz w:val="24"/>
      <w:szCs w:val="24"/>
    </w:rPr>
  </w:style>
  <w:style w:styleId="TOC4" w:type="paragraph">
    <w:name w:val="TOC 4"/>
    <w:basedOn w:val="Normal"/>
    <w:uiPriority w:val="1"/>
    <w:qFormat/>
    <w:pPr>
      <w:spacing w:before="39"/>
      <w:ind w:left="1135" w:right="188"/>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53"/>
      <w:ind w:left="579" w:right="597"/>
      <w:jc w:val="center"/>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spacing w:before="125"/>
      <w:ind w:left="102" w:right="121"/>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48"/>
      <w:ind w:left="822" w:hanging="360"/>
    </w:pPr>
    <w:rPr>
      <w:rFonts w:ascii="Times New Roman" w:hAnsi="Times New Roman" w:eastAsia="Times New Roman" w:cs="Times New Roman"/>
    </w:rPr>
  </w:style>
  <w:style w:styleId="TableParagraph" w:type="paragraph">
    <w:name w:val="Table Paragraph"/>
    <w:basedOn w:val="Normal"/>
    <w:uiPriority w:val="1"/>
    <w:qFormat/>
    <w:pPr>
      <w:jc w:val="righ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image" Target="media/image3.pn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footer" Target="footer8.xml"/><Relationship Id="rId16" Type="http://schemas.openxmlformats.org/officeDocument/2006/relationships/footer" Target="footer9.xml"/><Relationship Id="rId17" Type="http://schemas.openxmlformats.org/officeDocument/2006/relationships/footer" Target="footer10.xml"/><Relationship Id="rId18" Type="http://schemas.openxmlformats.org/officeDocument/2006/relationships/footer" Target="footer11.xml"/><Relationship Id="rId19" Type="http://schemas.openxmlformats.org/officeDocument/2006/relationships/footer" Target="footer12.xml"/><Relationship Id="rId20" Type="http://schemas.openxmlformats.org/officeDocument/2006/relationships/footer" Target="footer13.xml"/><Relationship Id="rId21" Type="http://schemas.openxmlformats.org/officeDocument/2006/relationships/footer" Target="footer14.xml"/><Relationship Id="rId22" Type="http://schemas.openxmlformats.org/officeDocument/2006/relationships/footer" Target="footer15.xml"/><Relationship Id="rId23" Type="http://schemas.openxmlformats.org/officeDocument/2006/relationships/footer" Target="footer16.xml"/><Relationship Id="rId24" Type="http://schemas.openxmlformats.org/officeDocument/2006/relationships/hyperlink" Target="http://deacero.com/" TargetMode="External"/><Relationship Id="rId25" Type="http://schemas.openxmlformats.org/officeDocument/2006/relationships/footer" Target="footer17.xml"/><Relationship Id="rId26" Type="http://schemas.openxmlformats.org/officeDocument/2006/relationships/footer" Target="footer18.xml"/><Relationship Id="rId27" Type="http://schemas.openxmlformats.org/officeDocument/2006/relationships/footer" Target="footer19.xml"/><Relationship Id="rId28" Type="http://schemas.openxmlformats.org/officeDocument/2006/relationships/footer" Target="footer20.xml"/><Relationship Id="rId29" Type="http://schemas.openxmlformats.org/officeDocument/2006/relationships/footer" Target="footer21.xml"/><Relationship Id="rId30" Type="http://schemas.openxmlformats.org/officeDocument/2006/relationships/footer" Target="footer22.xml"/><Relationship Id="rId31" Type="http://schemas.openxmlformats.org/officeDocument/2006/relationships/image" Target="media/image4.jpeg"/><Relationship Id="rId32" Type="http://schemas.openxmlformats.org/officeDocument/2006/relationships/footer" Target="footer23.xml"/><Relationship Id="rId33" Type="http://schemas.openxmlformats.org/officeDocument/2006/relationships/footer" Target="footer24.xml"/><Relationship Id="rId34" Type="http://schemas.openxmlformats.org/officeDocument/2006/relationships/footer" Target="footer25.xml"/><Relationship Id="rId35" Type="http://schemas.openxmlformats.org/officeDocument/2006/relationships/footer" Target="footer26.xml"/><Relationship Id="rId36" Type="http://schemas.openxmlformats.org/officeDocument/2006/relationships/footer" Target="footer27.xml"/><Relationship Id="rId37" Type="http://schemas.openxmlformats.org/officeDocument/2006/relationships/footer" Target="footer28.xml"/><Relationship Id="rId38" Type="http://schemas.openxmlformats.org/officeDocument/2006/relationships/footer" Target="footer29.xml"/><Relationship Id="rId39" Type="http://schemas.openxmlformats.org/officeDocument/2006/relationships/footer" Target="footer30.xml"/><Relationship Id="rId40" Type="http://schemas.openxmlformats.org/officeDocument/2006/relationships/footer" Target="footer31.xml"/><Relationship Id="rId41" Type="http://schemas.openxmlformats.org/officeDocument/2006/relationships/image" Target="media/image5.png"/><Relationship Id="rId42" Type="http://schemas.openxmlformats.org/officeDocument/2006/relationships/image" Target="media/image6.png"/><Relationship Id="rId43" Type="http://schemas.openxmlformats.org/officeDocument/2006/relationships/image" Target="media/image7.png"/><Relationship Id="rId44" Type="http://schemas.openxmlformats.org/officeDocument/2006/relationships/image" Target="media/image8.png"/><Relationship Id="rId45" Type="http://schemas.openxmlformats.org/officeDocument/2006/relationships/image" Target="media/image9.png"/><Relationship Id="rId46" Type="http://schemas.openxmlformats.org/officeDocument/2006/relationships/image" Target="media/image10.png"/><Relationship Id="rId47" Type="http://schemas.openxmlformats.org/officeDocument/2006/relationships/image" Target="media/image11.png"/><Relationship Id="rId48" Type="http://schemas.openxmlformats.org/officeDocument/2006/relationships/image" Target="media/image12.png"/><Relationship Id="rId49" Type="http://schemas.openxmlformats.org/officeDocument/2006/relationships/image" Target="media/image13.png"/><Relationship Id="rId50" Type="http://schemas.openxmlformats.org/officeDocument/2006/relationships/image" Target="media/image14.png"/><Relationship Id="rId51" Type="http://schemas.openxmlformats.org/officeDocument/2006/relationships/image" Target="media/image15.png"/><Relationship Id="rId52" Type="http://schemas.openxmlformats.org/officeDocument/2006/relationships/image" Target="media/image16.png"/><Relationship Id="rId53" Type="http://schemas.openxmlformats.org/officeDocument/2006/relationships/footer" Target="footer32.xml"/><Relationship Id="rId54" Type="http://schemas.openxmlformats.org/officeDocument/2006/relationships/footer" Target="footer33.xml"/><Relationship Id="rId55" Type="http://schemas.openxmlformats.org/officeDocument/2006/relationships/hyperlink" Target="http://scholar.google.es/citations?user=UaRFXdAAAAAJ&amp;amp;hl=es&amp;amp;oi=sra" TargetMode="External"/><Relationship Id="rId56" Type="http://schemas.openxmlformats.org/officeDocument/2006/relationships/hyperlink" Target="http://www.eluniversaledomex.mx/naucalpan/nota32362.html" TargetMode="External"/><Relationship Id="rId57" Type="http://schemas.openxmlformats.org/officeDocument/2006/relationships/footer" Target="footer34.xml"/><Relationship Id="rId58" Type="http://schemas.openxmlformats.org/officeDocument/2006/relationships/hyperlink" Target="http://campus.usal.es/%7Eacpa/democracialocal/pdfs/MonografiaEstadodeMexico.p" TargetMode="External"/><Relationship Id="rId59" Type="http://schemas.openxmlformats.org/officeDocument/2006/relationships/hyperlink" Target="http://www.imco.org.mx/" TargetMode="External"/><Relationship Id="rId60" Type="http://schemas.openxmlformats.org/officeDocument/2006/relationships/footer" Target="footer35.xml"/><Relationship Id="rId61" Type="http://schemas.openxmlformats.org/officeDocument/2006/relationships/hyperlink" Target="http://edomex.milenio.com/cdb/doc/noticias2011/" TargetMode="External"/><Relationship Id="rId62" Type="http://schemas.openxmlformats.org/officeDocument/2006/relationships/hyperlink" Target="http://ideas.repec.org/a/mes/postke/v29y2006i1p149-170.html" TargetMode="External"/><Relationship Id="rId63" Type="http://schemas.openxmlformats.org/officeDocument/2006/relationships/hyperlink" Target="http://ideas.repec.org/s/mes/postke.html" TargetMode="External"/><Relationship Id="rId64" Type="http://schemas.openxmlformats.org/officeDocument/2006/relationships/hyperlink" Target="http://www.sre.gob.mx/coordinacionpolitica/images/stories/documentos_gobiernos/pmtlalnepantla.pdf" TargetMode="External"/><Relationship Id="rId65" Type="http://schemas.openxmlformats.org/officeDocument/2006/relationships/hyperlink" Target="http://www.jstor.org/stable/10.2307/4537750" TargetMode="External"/><Relationship Id="rId66" Type="http://schemas.openxmlformats.org/officeDocument/2006/relationships/hyperlink" Target="http://www.nber.org/papers/w11432" TargetMode="External"/><Relationship Id="rId67" Type="http://schemas.openxmlformats.org/officeDocument/2006/relationships/hyperlink" Target="http://ideas.repec.org/s/ucm/wpaper.html" TargetMode="External"/><Relationship Id="rId68" Type="http://schemas.openxmlformats.org/officeDocument/2006/relationships/footer" Target="footer36.xml"/><Relationship Id="rId69" Type="http://schemas.openxmlformats.org/officeDocument/2006/relationships/footer" Target="footer37.xml"/><Relationship Id="rId70" Type="http://schemas.openxmlformats.org/officeDocument/2006/relationships/image" Target="media/image17.jpeg"/><Relationship Id="rId71" Type="http://schemas.openxmlformats.org/officeDocument/2006/relationships/image" Target="media/image18.jpeg"/><Relationship Id="rId72" Type="http://schemas.openxmlformats.org/officeDocument/2006/relationships/image" Target="media/image19.jpeg"/><Relationship Id="rId73" Type="http://schemas.openxmlformats.org/officeDocument/2006/relationships/image" Target="media/image20.jpeg"/><Relationship Id="rId74" Type="http://schemas.openxmlformats.org/officeDocument/2006/relationships/image" Target="media/image21.jpeg"/><Relationship Id="rId75" Type="http://schemas.openxmlformats.org/officeDocument/2006/relationships/image" Target="media/image22.jpeg"/><Relationship Id="rId76" Type="http://schemas.openxmlformats.org/officeDocument/2006/relationships/image" Target="media/image23.jpeg"/><Relationship Id="rId77" Type="http://schemas.openxmlformats.org/officeDocument/2006/relationships/image" Target="media/image24.jpeg"/><Relationship Id="rId78" Type="http://schemas.openxmlformats.org/officeDocument/2006/relationships/image" Target="media/image25.jpeg"/><Relationship Id="rId79" Type="http://schemas.openxmlformats.org/officeDocument/2006/relationships/image" Target="media/image26.jpeg"/><Relationship Id="rId80" Type="http://schemas.openxmlformats.org/officeDocument/2006/relationships/image" Target="media/image27.jpeg"/><Relationship Id="rId81" Type="http://schemas.openxmlformats.org/officeDocument/2006/relationships/image" Target="media/image28.jpeg"/><Relationship Id="rId82" Type="http://schemas.openxmlformats.org/officeDocument/2006/relationships/image" Target="media/image29.jpeg"/><Relationship Id="rId83" Type="http://schemas.openxmlformats.org/officeDocument/2006/relationships/image" Target="media/image30.jpeg"/><Relationship Id="rId84" Type="http://schemas.openxmlformats.org/officeDocument/2006/relationships/image" Target="media/image31.jpeg"/><Relationship Id="rId85" Type="http://schemas.openxmlformats.org/officeDocument/2006/relationships/image" Target="media/image32.jpeg"/><Relationship Id="rId86" Type="http://schemas.openxmlformats.org/officeDocument/2006/relationships/image" Target="media/image33.jpeg"/><Relationship Id="rId87" Type="http://schemas.openxmlformats.org/officeDocument/2006/relationships/image" Target="media/image34.jpeg"/><Relationship Id="rId88" Type="http://schemas.openxmlformats.org/officeDocument/2006/relationships/footer" Target="footer38.xml"/><Relationship Id="rId89" Type="http://schemas.openxmlformats.org/officeDocument/2006/relationships/footer" Target="footer39.xml"/><Relationship Id="rId90" Type="http://schemas.openxmlformats.org/officeDocument/2006/relationships/footer" Target="footer40.xml"/><Relationship Id="rId91" Type="http://schemas.openxmlformats.org/officeDocument/2006/relationships/image" Target="media/image35.png"/><Relationship Id="rId92" Type="http://schemas.openxmlformats.org/officeDocument/2006/relationships/image" Target="media/image36.png"/><Relationship Id="rId93" Type="http://schemas.openxmlformats.org/officeDocument/2006/relationships/image" Target="media/image37.png"/><Relationship Id="rId94" Type="http://schemas.openxmlformats.org/officeDocument/2006/relationships/image" Target="media/image38.png"/><Relationship Id="rId95" Type="http://schemas.openxmlformats.org/officeDocument/2006/relationships/image" Target="media/image39.png"/><Relationship Id="rId96" Type="http://schemas.openxmlformats.org/officeDocument/2006/relationships/image" Target="media/image40.png"/><Relationship Id="rId97" Type="http://schemas.openxmlformats.org/officeDocument/2006/relationships/image" Target="media/image41.png"/><Relationship Id="rId98" Type="http://schemas.openxmlformats.org/officeDocument/2006/relationships/image" Target="media/image42.png"/><Relationship Id="rId99" Type="http://schemas.openxmlformats.org/officeDocument/2006/relationships/image" Target="media/image43.png"/><Relationship Id="rId100" Type="http://schemas.openxmlformats.org/officeDocument/2006/relationships/image" Target="media/image44.png"/><Relationship Id="rId101" Type="http://schemas.openxmlformats.org/officeDocument/2006/relationships/image" Target="media/image45.png"/><Relationship Id="rId102" Type="http://schemas.openxmlformats.org/officeDocument/2006/relationships/image" Target="media/image46.png"/><Relationship Id="rId103" Type="http://schemas.openxmlformats.org/officeDocument/2006/relationships/image" Target="media/image47.png"/><Relationship Id="rId104" Type="http://schemas.openxmlformats.org/officeDocument/2006/relationships/image" Target="media/image48.png"/><Relationship Id="rId105" Type="http://schemas.openxmlformats.org/officeDocument/2006/relationships/image" Target="media/image49.png"/><Relationship Id="rId106" Type="http://schemas.openxmlformats.org/officeDocument/2006/relationships/image" Target="media/image50.png"/><Relationship Id="rId107" Type="http://schemas.openxmlformats.org/officeDocument/2006/relationships/image" Target="media/image51.png"/><Relationship Id="rId108" Type="http://schemas.openxmlformats.org/officeDocument/2006/relationships/image" Target="media/image52.png"/><Relationship Id="rId109" Type="http://schemas.openxmlformats.org/officeDocument/2006/relationships/image" Target="media/image53.png"/><Relationship Id="rId110" Type="http://schemas.openxmlformats.org/officeDocument/2006/relationships/image" Target="media/image54.png"/><Relationship Id="rId111" Type="http://schemas.openxmlformats.org/officeDocument/2006/relationships/image" Target="media/image55.png"/><Relationship Id="rId112" Type="http://schemas.openxmlformats.org/officeDocument/2006/relationships/image" Target="media/image56.png"/><Relationship Id="rId113" Type="http://schemas.openxmlformats.org/officeDocument/2006/relationships/image" Target="media/image57.png"/><Relationship Id="rId114" Type="http://schemas.openxmlformats.org/officeDocument/2006/relationships/image" Target="media/image58.png"/><Relationship Id="rId115" Type="http://schemas.openxmlformats.org/officeDocument/2006/relationships/image" Target="media/image59.png"/><Relationship Id="rId116" Type="http://schemas.openxmlformats.org/officeDocument/2006/relationships/image" Target="media/image60.png"/><Relationship Id="rId117" Type="http://schemas.openxmlformats.org/officeDocument/2006/relationships/image" Target="media/image61.png"/><Relationship Id="rId118" Type="http://schemas.openxmlformats.org/officeDocument/2006/relationships/image" Target="media/image62.png"/><Relationship Id="rId119" Type="http://schemas.openxmlformats.org/officeDocument/2006/relationships/image" Target="media/image63.png"/><Relationship Id="rId120" Type="http://schemas.openxmlformats.org/officeDocument/2006/relationships/image" Target="media/image64.png"/><Relationship Id="rId121" Type="http://schemas.openxmlformats.org/officeDocument/2006/relationships/image" Target="media/image65.png"/><Relationship Id="rId122" Type="http://schemas.openxmlformats.org/officeDocument/2006/relationships/image" Target="media/image66.png"/><Relationship Id="rId123" Type="http://schemas.openxmlformats.org/officeDocument/2006/relationships/image" Target="media/image67.png"/><Relationship Id="rId124" Type="http://schemas.openxmlformats.org/officeDocument/2006/relationships/image" Target="media/image68.png"/><Relationship Id="rId125" Type="http://schemas.openxmlformats.org/officeDocument/2006/relationships/image" Target="media/image69.png"/><Relationship Id="rId126" Type="http://schemas.openxmlformats.org/officeDocument/2006/relationships/image" Target="media/image70.png"/><Relationship Id="rId127" Type="http://schemas.openxmlformats.org/officeDocument/2006/relationships/image" Target="media/image71.png"/><Relationship Id="rId128" Type="http://schemas.openxmlformats.org/officeDocument/2006/relationships/image" Target="media/image72.png"/><Relationship Id="rId129" Type="http://schemas.openxmlformats.org/officeDocument/2006/relationships/image" Target="media/image73.png"/><Relationship Id="rId130" Type="http://schemas.openxmlformats.org/officeDocument/2006/relationships/image" Target="media/image74.png"/><Relationship Id="rId131" Type="http://schemas.openxmlformats.org/officeDocument/2006/relationships/image" Target="media/image75.png"/><Relationship Id="rId132" Type="http://schemas.openxmlformats.org/officeDocument/2006/relationships/image" Target="media/image76.png"/><Relationship Id="rId133" Type="http://schemas.openxmlformats.org/officeDocument/2006/relationships/image" Target="media/image77.png"/><Relationship Id="rId134" Type="http://schemas.openxmlformats.org/officeDocument/2006/relationships/image" Target="media/image78.png"/><Relationship Id="rId135" Type="http://schemas.openxmlformats.org/officeDocument/2006/relationships/image" Target="media/image79.png"/><Relationship Id="rId136" Type="http://schemas.openxmlformats.org/officeDocument/2006/relationships/image" Target="media/image80.png"/><Relationship Id="rId137" Type="http://schemas.openxmlformats.org/officeDocument/2006/relationships/image" Target="media/image81.png"/><Relationship Id="rId138" Type="http://schemas.openxmlformats.org/officeDocument/2006/relationships/image" Target="media/image82.png"/><Relationship Id="rId139" Type="http://schemas.openxmlformats.org/officeDocument/2006/relationships/image" Target="media/image83.png"/><Relationship Id="rId140" Type="http://schemas.openxmlformats.org/officeDocument/2006/relationships/image" Target="media/image84.png"/><Relationship Id="rId141" Type="http://schemas.openxmlformats.org/officeDocument/2006/relationships/image" Target="media/image85.png"/><Relationship Id="rId142" Type="http://schemas.openxmlformats.org/officeDocument/2006/relationships/image" Target="media/image86.png"/><Relationship Id="rId143" Type="http://schemas.openxmlformats.org/officeDocument/2006/relationships/image" Target="media/image87.png"/><Relationship Id="rId144" Type="http://schemas.openxmlformats.org/officeDocument/2006/relationships/image" Target="media/image88.png"/><Relationship Id="rId145" Type="http://schemas.openxmlformats.org/officeDocument/2006/relationships/image" Target="media/image89.png"/><Relationship Id="rId146" Type="http://schemas.openxmlformats.org/officeDocument/2006/relationships/image" Target="media/image90.png"/><Relationship Id="rId147" Type="http://schemas.openxmlformats.org/officeDocument/2006/relationships/image" Target="media/image91.png"/><Relationship Id="rId148" Type="http://schemas.openxmlformats.org/officeDocument/2006/relationships/image" Target="media/image92.png"/><Relationship Id="rId149" Type="http://schemas.openxmlformats.org/officeDocument/2006/relationships/image" Target="media/image93.png"/><Relationship Id="rId150" Type="http://schemas.openxmlformats.org/officeDocument/2006/relationships/image" Target="media/image94.png"/><Relationship Id="rId151" Type="http://schemas.openxmlformats.org/officeDocument/2006/relationships/image" Target="media/image95.png"/><Relationship Id="rId152" Type="http://schemas.openxmlformats.org/officeDocument/2006/relationships/image" Target="media/image96.png"/><Relationship Id="rId153" Type="http://schemas.openxmlformats.org/officeDocument/2006/relationships/image" Target="media/image97.png"/><Relationship Id="rId154" Type="http://schemas.openxmlformats.org/officeDocument/2006/relationships/image" Target="media/image98.png"/><Relationship Id="rId155" Type="http://schemas.openxmlformats.org/officeDocument/2006/relationships/image" Target="media/image99.png"/><Relationship Id="rId156" Type="http://schemas.openxmlformats.org/officeDocument/2006/relationships/image" Target="media/image100.png"/><Relationship Id="rId157" Type="http://schemas.openxmlformats.org/officeDocument/2006/relationships/image" Target="media/image101.png"/><Relationship Id="rId158" Type="http://schemas.openxmlformats.org/officeDocument/2006/relationships/image" Target="media/image102.png"/><Relationship Id="rId159" Type="http://schemas.openxmlformats.org/officeDocument/2006/relationships/image" Target="media/image103.png"/><Relationship Id="rId160" Type="http://schemas.openxmlformats.org/officeDocument/2006/relationships/image" Target="media/image104.png"/><Relationship Id="rId161" Type="http://schemas.openxmlformats.org/officeDocument/2006/relationships/image" Target="media/image105.png"/><Relationship Id="rId162" Type="http://schemas.openxmlformats.org/officeDocument/2006/relationships/image" Target="media/image106.png"/><Relationship Id="rId163" Type="http://schemas.openxmlformats.org/officeDocument/2006/relationships/image" Target="media/image107.png"/><Relationship Id="rId164" Type="http://schemas.openxmlformats.org/officeDocument/2006/relationships/image" Target="media/image108.png"/><Relationship Id="rId165" Type="http://schemas.openxmlformats.org/officeDocument/2006/relationships/image" Target="media/image109.png"/><Relationship Id="rId166" Type="http://schemas.openxmlformats.org/officeDocument/2006/relationships/image" Target="media/image110.png"/><Relationship Id="rId167" Type="http://schemas.openxmlformats.org/officeDocument/2006/relationships/image" Target="media/image111.png"/><Relationship Id="rId168" Type="http://schemas.openxmlformats.org/officeDocument/2006/relationships/image" Target="media/image112.png"/><Relationship Id="rId169" Type="http://schemas.openxmlformats.org/officeDocument/2006/relationships/image" Target="media/image113.png"/><Relationship Id="rId170" Type="http://schemas.openxmlformats.org/officeDocument/2006/relationships/image" Target="media/image114.png"/><Relationship Id="rId171" Type="http://schemas.openxmlformats.org/officeDocument/2006/relationships/image" Target="media/image115.png"/><Relationship Id="rId172" Type="http://schemas.openxmlformats.org/officeDocument/2006/relationships/image" Target="media/image116.png"/><Relationship Id="rId173" Type="http://schemas.openxmlformats.org/officeDocument/2006/relationships/image" Target="media/image117.png"/><Relationship Id="rId174" Type="http://schemas.openxmlformats.org/officeDocument/2006/relationships/image" Target="media/image118.png"/><Relationship Id="rId175" Type="http://schemas.openxmlformats.org/officeDocument/2006/relationships/image" Target="media/image119.png"/><Relationship Id="rId176" Type="http://schemas.openxmlformats.org/officeDocument/2006/relationships/image" Target="media/image120.png"/><Relationship Id="rId177" Type="http://schemas.openxmlformats.org/officeDocument/2006/relationships/image" Target="media/image121.png"/><Relationship Id="rId178" Type="http://schemas.openxmlformats.org/officeDocument/2006/relationships/image" Target="media/image122.png"/><Relationship Id="rId179" Type="http://schemas.openxmlformats.org/officeDocument/2006/relationships/image" Target="media/image123.png"/><Relationship Id="rId180" Type="http://schemas.openxmlformats.org/officeDocument/2006/relationships/image" Target="media/image124.png"/><Relationship Id="rId181" Type="http://schemas.openxmlformats.org/officeDocument/2006/relationships/image" Target="media/image125.png"/><Relationship Id="rId182" Type="http://schemas.openxmlformats.org/officeDocument/2006/relationships/image" Target="media/image126.png"/><Relationship Id="rId183" Type="http://schemas.openxmlformats.org/officeDocument/2006/relationships/image" Target="media/image127.png"/><Relationship Id="rId184" Type="http://schemas.openxmlformats.org/officeDocument/2006/relationships/image" Target="media/image128.png"/><Relationship Id="rId185" Type="http://schemas.openxmlformats.org/officeDocument/2006/relationships/image" Target="media/image129.png"/><Relationship Id="rId186" Type="http://schemas.openxmlformats.org/officeDocument/2006/relationships/image" Target="media/image130.png"/><Relationship Id="rId187" Type="http://schemas.openxmlformats.org/officeDocument/2006/relationships/image" Target="media/image131.png"/><Relationship Id="rId188" Type="http://schemas.openxmlformats.org/officeDocument/2006/relationships/image" Target="media/image132.png"/><Relationship Id="rId189" Type="http://schemas.openxmlformats.org/officeDocument/2006/relationships/image" Target="media/image133.png"/><Relationship Id="rId190" Type="http://schemas.openxmlformats.org/officeDocument/2006/relationships/image" Target="media/image134.png"/><Relationship Id="rId191" Type="http://schemas.openxmlformats.org/officeDocument/2006/relationships/image" Target="media/image135.png"/><Relationship Id="rId192" Type="http://schemas.openxmlformats.org/officeDocument/2006/relationships/image" Target="media/image136.png"/><Relationship Id="rId193" Type="http://schemas.openxmlformats.org/officeDocument/2006/relationships/image" Target="media/image137.png"/><Relationship Id="rId194" Type="http://schemas.openxmlformats.org/officeDocument/2006/relationships/image" Target="media/image138.png"/><Relationship Id="rId195" Type="http://schemas.openxmlformats.org/officeDocument/2006/relationships/image" Target="media/image139.png"/><Relationship Id="rId196" Type="http://schemas.openxmlformats.org/officeDocument/2006/relationships/image" Target="media/image140.png"/><Relationship Id="rId197" Type="http://schemas.openxmlformats.org/officeDocument/2006/relationships/image" Target="media/image141.png"/><Relationship Id="rId198" Type="http://schemas.openxmlformats.org/officeDocument/2006/relationships/image" Target="media/image142.png"/><Relationship Id="rId199" Type="http://schemas.openxmlformats.org/officeDocument/2006/relationships/image" Target="media/image143.png"/><Relationship Id="rId200" Type="http://schemas.openxmlformats.org/officeDocument/2006/relationships/image" Target="media/image144.png"/><Relationship Id="rId201" Type="http://schemas.openxmlformats.org/officeDocument/2006/relationships/image" Target="media/image145.png"/><Relationship Id="rId202" Type="http://schemas.openxmlformats.org/officeDocument/2006/relationships/image" Target="media/image146.png"/><Relationship Id="rId203" Type="http://schemas.openxmlformats.org/officeDocument/2006/relationships/image" Target="media/image147.png"/><Relationship Id="rId204" Type="http://schemas.openxmlformats.org/officeDocument/2006/relationships/image" Target="media/image148.png"/><Relationship Id="rId205" Type="http://schemas.openxmlformats.org/officeDocument/2006/relationships/image" Target="media/image149.png"/><Relationship Id="rId206" Type="http://schemas.openxmlformats.org/officeDocument/2006/relationships/image" Target="media/image150.png"/><Relationship Id="rId207" Type="http://schemas.openxmlformats.org/officeDocument/2006/relationships/image" Target="media/image151.png"/><Relationship Id="rId208" Type="http://schemas.openxmlformats.org/officeDocument/2006/relationships/image" Target="media/image152.png"/><Relationship Id="rId209" Type="http://schemas.openxmlformats.org/officeDocument/2006/relationships/image" Target="media/image153.png"/><Relationship Id="rId210" Type="http://schemas.openxmlformats.org/officeDocument/2006/relationships/image" Target="media/image154.png"/><Relationship Id="rId211" Type="http://schemas.openxmlformats.org/officeDocument/2006/relationships/image" Target="media/image155.png"/><Relationship Id="rId212" Type="http://schemas.openxmlformats.org/officeDocument/2006/relationships/image" Target="media/image156.png"/><Relationship Id="rId213" Type="http://schemas.openxmlformats.org/officeDocument/2006/relationships/image" Target="media/image157.png"/><Relationship Id="rId214" Type="http://schemas.openxmlformats.org/officeDocument/2006/relationships/image" Target="media/image158.png"/><Relationship Id="rId215" Type="http://schemas.openxmlformats.org/officeDocument/2006/relationships/image" Target="media/image159.png"/><Relationship Id="rId216" Type="http://schemas.openxmlformats.org/officeDocument/2006/relationships/image" Target="media/image160.png"/><Relationship Id="rId217" Type="http://schemas.openxmlformats.org/officeDocument/2006/relationships/image" Target="media/image161.png"/><Relationship Id="rId218" Type="http://schemas.openxmlformats.org/officeDocument/2006/relationships/image" Target="media/image162.png"/><Relationship Id="rId219" Type="http://schemas.openxmlformats.org/officeDocument/2006/relationships/image" Target="media/image163.png"/><Relationship Id="rId220" Type="http://schemas.openxmlformats.org/officeDocument/2006/relationships/image" Target="media/image164.png"/><Relationship Id="rId221" Type="http://schemas.openxmlformats.org/officeDocument/2006/relationships/image" Target="media/image165.png"/><Relationship Id="rId222" Type="http://schemas.openxmlformats.org/officeDocument/2006/relationships/image" Target="media/image166.png"/><Relationship Id="rId223" Type="http://schemas.openxmlformats.org/officeDocument/2006/relationships/image" Target="media/image167.png"/><Relationship Id="rId224" Type="http://schemas.openxmlformats.org/officeDocument/2006/relationships/image" Target="media/image168.png"/><Relationship Id="rId225" Type="http://schemas.openxmlformats.org/officeDocument/2006/relationships/image" Target="media/image169.png"/><Relationship Id="rId226" Type="http://schemas.openxmlformats.org/officeDocument/2006/relationships/image" Target="media/image170.png"/><Relationship Id="rId227" Type="http://schemas.openxmlformats.org/officeDocument/2006/relationships/image" Target="media/image171.png"/><Relationship Id="rId228" Type="http://schemas.openxmlformats.org/officeDocument/2006/relationships/image" Target="media/image172.png"/><Relationship Id="rId229" Type="http://schemas.openxmlformats.org/officeDocument/2006/relationships/image" Target="media/image173.png"/><Relationship Id="rId230" Type="http://schemas.openxmlformats.org/officeDocument/2006/relationships/image" Target="media/image174.png"/><Relationship Id="rId231" Type="http://schemas.openxmlformats.org/officeDocument/2006/relationships/image" Target="media/image175.png"/><Relationship Id="rId232" Type="http://schemas.openxmlformats.org/officeDocument/2006/relationships/image" Target="media/image176.png"/><Relationship Id="rId233" Type="http://schemas.openxmlformats.org/officeDocument/2006/relationships/image" Target="media/image177.png"/><Relationship Id="rId234" Type="http://schemas.openxmlformats.org/officeDocument/2006/relationships/image" Target="media/image178.png"/><Relationship Id="rId235" Type="http://schemas.openxmlformats.org/officeDocument/2006/relationships/image" Target="media/image179.png"/><Relationship Id="rId236" Type="http://schemas.openxmlformats.org/officeDocument/2006/relationships/image" Target="media/image180.png"/><Relationship Id="rId237" Type="http://schemas.openxmlformats.org/officeDocument/2006/relationships/image" Target="media/image181.png"/><Relationship Id="rId238" Type="http://schemas.openxmlformats.org/officeDocument/2006/relationships/image" Target="media/image182.png"/><Relationship Id="rId239" Type="http://schemas.openxmlformats.org/officeDocument/2006/relationships/image" Target="media/image183.png"/><Relationship Id="rId240" Type="http://schemas.openxmlformats.org/officeDocument/2006/relationships/image" Target="media/image184.png"/><Relationship Id="rId241" Type="http://schemas.openxmlformats.org/officeDocument/2006/relationships/image" Target="media/image185.png"/><Relationship Id="rId242" Type="http://schemas.openxmlformats.org/officeDocument/2006/relationships/image" Target="media/image186.png"/><Relationship Id="rId243" Type="http://schemas.openxmlformats.org/officeDocument/2006/relationships/image" Target="media/image187.png"/><Relationship Id="rId244" Type="http://schemas.openxmlformats.org/officeDocument/2006/relationships/image" Target="media/image188.png"/><Relationship Id="rId245" Type="http://schemas.openxmlformats.org/officeDocument/2006/relationships/image" Target="media/image189.png"/><Relationship Id="rId246" Type="http://schemas.openxmlformats.org/officeDocument/2006/relationships/image" Target="media/image190.png"/><Relationship Id="rId247" Type="http://schemas.openxmlformats.org/officeDocument/2006/relationships/image" Target="media/image191.png"/><Relationship Id="rId248" Type="http://schemas.openxmlformats.org/officeDocument/2006/relationships/image" Target="media/image192.png"/><Relationship Id="rId249" Type="http://schemas.openxmlformats.org/officeDocument/2006/relationships/image" Target="media/image193.png"/><Relationship Id="rId250" Type="http://schemas.openxmlformats.org/officeDocument/2006/relationships/image" Target="media/image194.png"/><Relationship Id="rId251" Type="http://schemas.openxmlformats.org/officeDocument/2006/relationships/image" Target="media/image195.png"/><Relationship Id="rId252" Type="http://schemas.openxmlformats.org/officeDocument/2006/relationships/image" Target="media/image196.png"/><Relationship Id="rId253" Type="http://schemas.openxmlformats.org/officeDocument/2006/relationships/image" Target="media/image197.png"/><Relationship Id="rId254" Type="http://schemas.openxmlformats.org/officeDocument/2006/relationships/image" Target="media/image198.png"/><Relationship Id="rId255" Type="http://schemas.openxmlformats.org/officeDocument/2006/relationships/image" Target="media/image199.png"/><Relationship Id="rId256" Type="http://schemas.openxmlformats.org/officeDocument/2006/relationships/image" Target="media/image200.png"/><Relationship Id="rId257" Type="http://schemas.openxmlformats.org/officeDocument/2006/relationships/image" Target="media/image201.png"/><Relationship Id="rId258" Type="http://schemas.openxmlformats.org/officeDocument/2006/relationships/image" Target="media/image202.png"/><Relationship Id="rId259" Type="http://schemas.openxmlformats.org/officeDocument/2006/relationships/image" Target="media/image203.png"/><Relationship Id="rId260" Type="http://schemas.openxmlformats.org/officeDocument/2006/relationships/image" Target="media/image204.png"/><Relationship Id="rId261" Type="http://schemas.openxmlformats.org/officeDocument/2006/relationships/image" Target="media/image205.png"/><Relationship Id="rId262" Type="http://schemas.openxmlformats.org/officeDocument/2006/relationships/image" Target="media/image206.png"/><Relationship Id="rId263" Type="http://schemas.openxmlformats.org/officeDocument/2006/relationships/image" Target="media/image207.png"/><Relationship Id="rId264" Type="http://schemas.openxmlformats.org/officeDocument/2006/relationships/image" Target="media/image208.png"/><Relationship Id="rId265" Type="http://schemas.openxmlformats.org/officeDocument/2006/relationships/image" Target="media/image209.png"/><Relationship Id="rId266" Type="http://schemas.openxmlformats.org/officeDocument/2006/relationships/image" Target="media/image210.png"/><Relationship Id="rId267" Type="http://schemas.openxmlformats.org/officeDocument/2006/relationships/image" Target="media/image211.png"/><Relationship Id="rId268" Type="http://schemas.openxmlformats.org/officeDocument/2006/relationships/image" Target="media/image212.png"/><Relationship Id="rId269" Type="http://schemas.openxmlformats.org/officeDocument/2006/relationships/image" Target="media/image213.png"/><Relationship Id="rId270" Type="http://schemas.openxmlformats.org/officeDocument/2006/relationships/image" Target="media/image214.png"/><Relationship Id="rId271" Type="http://schemas.openxmlformats.org/officeDocument/2006/relationships/image" Target="media/image215.png"/><Relationship Id="rId272" Type="http://schemas.openxmlformats.org/officeDocument/2006/relationships/image" Target="media/image216.png"/><Relationship Id="rId273" Type="http://schemas.openxmlformats.org/officeDocument/2006/relationships/image" Target="media/image217.png"/><Relationship Id="rId274" Type="http://schemas.openxmlformats.org/officeDocument/2006/relationships/image" Target="media/image218.png"/><Relationship Id="rId275" Type="http://schemas.openxmlformats.org/officeDocument/2006/relationships/image" Target="media/image219.png"/><Relationship Id="rId276" Type="http://schemas.openxmlformats.org/officeDocument/2006/relationships/image" Target="media/image220.png"/><Relationship Id="rId277" Type="http://schemas.openxmlformats.org/officeDocument/2006/relationships/image" Target="media/image221.png"/><Relationship Id="rId278" Type="http://schemas.openxmlformats.org/officeDocument/2006/relationships/image" Target="media/image222.png"/><Relationship Id="rId279" Type="http://schemas.openxmlformats.org/officeDocument/2006/relationships/image" Target="media/image223.png"/><Relationship Id="rId280" Type="http://schemas.openxmlformats.org/officeDocument/2006/relationships/image" Target="media/image224.png"/><Relationship Id="rId281" Type="http://schemas.openxmlformats.org/officeDocument/2006/relationships/image" Target="media/image225.png"/><Relationship Id="rId282" Type="http://schemas.openxmlformats.org/officeDocument/2006/relationships/image" Target="media/image226.png"/><Relationship Id="rId283" Type="http://schemas.openxmlformats.org/officeDocument/2006/relationships/image" Target="media/image227.png"/><Relationship Id="rId284" Type="http://schemas.openxmlformats.org/officeDocument/2006/relationships/image" Target="media/image228.png"/><Relationship Id="rId285" Type="http://schemas.openxmlformats.org/officeDocument/2006/relationships/image" Target="media/image229.png"/><Relationship Id="rId286" Type="http://schemas.openxmlformats.org/officeDocument/2006/relationships/image" Target="media/image230.png"/><Relationship Id="rId287" Type="http://schemas.openxmlformats.org/officeDocument/2006/relationships/image" Target="media/image231.png"/><Relationship Id="rId288" Type="http://schemas.openxmlformats.org/officeDocument/2006/relationships/image" Target="media/image232.png"/><Relationship Id="rId289" Type="http://schemas.openxmlformats.org/officeDocument/2006/relationships/image" Target="media/image233.png"/><Relationship Id="rId290" Type="http://schemas.openxmlformats.org/officeDocument/2006/relationships/image" Target="media/image234.png"/><Relationship Id="rId291" Type="http://schemas.openxmlformats.org/officeDocument/2006/relationships/image" Target="media/image235.png"/><Relationship Id="rId292" Type="http://schemas.openxmlformats.org/officeDocument/2006/relationships/image" Target="media/image236.png"/><Relationship Id="rId293" Type="http://schemas.openxmlformats.org/officeDocument/2006/relationships/image" Target="media/image237.png"/><Relationship Id="rId294" Type="http://schemas.openxmlformats.org/officeDocument/2006/relationships/image" Target="media/image238.png"/><Relationship Id="rId295" Type="http://schemas.openxmlformats.org/officeDocument/2006/relationships/image" Target="media/image239.png"/><Relationship Id="rId296" Type="http://schemas.openxmlformats.org/officeDocument/2006/relationships/image" Target="media/image240.png"/><Relationship Id="rId297" Type="http://schemas.openxmlformats.org/officeDocument/2006/relationships/image" Target="media/image241.png"/><Relationship Id="rId298" Type="http://schemas.openxmlformats.org/officeDocument/2006/relationships/image" Target="media/image242.png"/><Relationship Id="rId299" Type="http://schemas.openxmlformats.org/officeDocument/2006/relationships/image" Target="media/image243.png"/><Relationship Id="rId300" Type="http://schemas.openxmlformats.org/officeDocument/2006/relationships/image" Target="media/image244.png"/><Relationship Id="rId301" Type="http://schemas.openxmlformats.org/officeDocument/2006/relationships/image" Target="media/image245.png"/><Relationship Id="rId302" Type="http://schemas.openxmlformats.org/officeDocument/2006/relationships/image" Target="media/image246.png"/><Relationship Id="rId303" Type="http://schemas.openxmlformats.org/officeDocument/2006/relationships/image" Target="media/image247.png"/><Relationship Id="rId304" Type="http://schemas.openxmlformats.org/officeDocument/2006/relationships/image" Target="media/image248.png"/><Relationship Id="rId305" Type="http://schemas.openxmlformats.org/officeDocument/2006/relationships/image" Target="media/image249.png"/><Relationship Id="rId306" Type="http://schemas.openxmlformats.org/officeDocument/2006/relationships/image" Target="media/image250.png"/><Relationship Id="rId307" Type="http://schemas.openxmlformats.org/officeDocument/2006/relationships/image" Target="media/image251.png"/><Relationship Id="rId308" Type="http://schemas.openxmlformats.org/officeDocument/2006/relationships/image" Target="media/image252.png"/><Relationship Id="rId309" Type="http://schemas.openxmlformats.org/officeDocument/2006/relationships/image" Target="media/image253.png"/><Relationship Id="rId310" Type="http://schemas.openxmlformats.org/officeDocument/2006/relationships/image" Target="media/image254.png"/><Relationship Id="rId311" Type="http://schemas.openxmlformats.org/officeDocument/2006/relationships/image" Target="media/image255.png"/><Relationship Id="rId312" Type="http://schemas.openxmlformats.org/officeDocument/2006/relationships/image" Target="media/image256.png"/><Relationship Id="rId313" Type="http://schemas.openxmlformats.org/officeDocument/2006/relationships/image" Target="media/image257.png"/><Relationship Id="rId314" Type="http://schemas.openxmlformats.org/officeDocument/2006/relationships/image" Target="media/image258.png"/><Relationship Id="rId315" Type="http://schemas.openxmlformats.org/officeDocument/2006/relationships/image" Target="media/image259.png"/><Relationship Id="rId316" Type="http://schemas.openxmlformats.org/officeDocument/2006/relationships/image" Target="media/image260.png"/><Relationship Id="rId317" Type="http://schemas.openxmlformats.org/officeDocument/2006/relationships/image" Target="media/image261.png"/><Relationship Id="rId318" Type="http://schemas.openxmlformats.org/officeDocument/2006/relationships/image" Target="media/image262.png"/><Relationship Id="rId319" Type="http://schemas.openxmlformats.org/officeDocument/2006/relationships/image" Target="media/image263.png"/><Relationship Id="rId320" Type="http://schemas.openxmlformats.org/officeDocument/2006/relationships/image" Target="media/image264.png"/><Relationship Id="rId321" Type="http://schemas.openxmlformats.org/officeDocument/2006/relationships/image" Target="media/image265.png"/><Relationship Id="rId322" Type="http://schemas.openxmlformats.org/officeDocument/2006/relationships/image" Target="media/image266.png"/><Relationship Id="rId323" Type="http://schemas.openxmlformats.org/officeDocument/2006/relationships/image" Target="media/image267.png"/><Relationship Id="rId324" Type="http://schemas.openxmlformats.org/officeDocument/2006/relationships/image" Target="media/image268.png"/><Relationship Id="rId325" Type="http://schemas.openxmlformats.org/officeDocument/2006/relationships/image" Target="media/image269.png"/><Relationship Id="rId326" Type="http://schemas.openxmlformats.org/officeDocument/2006/relationships/image" Target="media/image270.png"/><Relationship Id="rId327" Type="http://schemas.openxmlformats.org/officeDocument/2006/relationships/image" Target="media/image271.png"/><Relationship Id="rId328" Type="http://schemas.openxmlformats.org/officeDocument/2006/relationships/image" Target="media/image272.png"/><Relationship Id="rId329" Type="http://schemas.openxmlformats.org/officeDocument/2006/relationships/image" Target="media/image273.png"/><Relationship Id="rId330" Type="http://schemas.openxmlformats.org/officeDocument/2006/relationships/image" Target="media/image274.png"/><Relationship Id="rId331" Type="http://schemas.openxmlformats.org/officeDocument/2006/relationships/image" Target="media/image275.png"/><Relationship Id="rId332" Type="http://schemas.openxmlformats.org/officeDocument/2006/relationships/image" Target="media/image276.png"/><Relationship Id="rId333" Type="http://schemas.openxmlformats.org/officeDocument/2006/relationships/image" Target="media/image277.png"/><Relationship Id="rId334" Type="http://schemas.openxmlformats.org/officeDocument/2006/relationships/image" Target="media/image278.png"/><Relationship Id="rId335" Type="http://schemas.openxmlformats.org/officeDocument/2006/relationships/image" Target="media/image279.png"/><Relationship Id="rId336" Type="http://schemas.openxmlformats.org/officeDocument/2006/relationships/image" Target="media/image280.png"/><Relationship Id="rId337" Type="http://schemas.openxmlformats.org/officeDocument/2006/relationships/image" Target="media/image281.png"/><Relationship Id="rId338" Type="http://schemas.openxmlformats.org/officeDocument/2006/relationships/image" Target="media/image282.png"/><Relationship Id="rId339" Type="http://schemas.openxmlformats.org/officeDocument/2006/relationships/image" Target="media/image283.png"/><Relationship Id="rId340" Type="http://schemas.openxmlformats.org/officeDocument/2006/relationships/image" Target="media/image284.png"/><Relationship Id="rId341" Type="http://schemas.openxmlformats.org/officeDocument/2006/relationships/image" Target="media/image285.png"/><Relationship Id="rId342" Type="http://schemas.openxmlformats.org/officeDocument/2006/relationships/image" Target="media/image286.png"/><Relationship Id="rId343" Type="http://schemas.openxmlformats.org/officeDocument/2006/relationships/image" Target="media/image287.png"/><Relationship Id="rId344" Type="http://schemas.openxmlformats.org/officeDocument/2006/relationships/image" Target="media/image288.png"/><Relationship Id="rId345" Type="http://schemas.openxmlformats.org/officeDocument/2006/relationships/image" Target="media/image289.png"/><Relationship Id="rId346" Type="http://schemas.openxmlformats.org/officeDocument/2006/relationships/image" Target="media/image290.png"/><Relationship Id="rId347" Type="http://schemas.openxmlformats.org/officeDocument/2006/relationships/image" Target="media/image291.png"/><Relationship Id="rId348" Type="http://schemas.openxmlformats.org/officeDocument/2006/relationships/image" Target="media/image292.png"/><Relationship Id="rId349" Type="http://schemas.openxmlformats.org/officeDocument/2006/relationships/image" Target="media/image293.png"/><Relationship Id="rId350" Type="http://schemas.openxmlformats.org/officeDocument/2006/relationships/image" Target="media/image294.png"/><Relationship Id="rId351" Type="http://schemas.openxmlformats.org/officeDocument/2006/relationships/image" Target="media/image295.png"/><Relationship Id="rId352" Type="http://schemas.openxmlformats.org/officeDocument/2006/relationships/image" Target="media/image296.png"/><Relationship Id="rId353" Type="http://schemas.openxmlformats.org/officeDocument/2006/relationships/image" Target="media/image297.png"/><Relationship Id="rId354" Type="http://schemas.openxmlformats.org/officeDocument/2006/relationships/image" Target="media/image298.png"/><Relationship Id="rId355" Type="http://schemas.openxmlformats.org/officeDocument/2006/relationships/image" Target="media/image299.png"/><Relationship Id="rId356" Type="http://schemas.openxmlformats.org/officeDocument/2006/relationships/image" Target="media/image300.png"/><Relationship Id="rId357" Type="http://schemas.openxmlformats.org/officeDocument/2006/relationships/image" Target="media/image301.png"/><Relationship Id="rId358" Type="http://schemas.openxmlformats.org/officeDocument/2006/relationships/image" Target="media/image302.png"/><Relationship Id="rId359" Type="http://schemas.openxmlformats.org/officeDocument/2006/relationships/image" Target="media/image303.png"/><Relationship Id="rId360" Type="http://schemas.openxmlformats.org/officeDocument/2006/relationships/image" Target="media/image304.png"/><Relationship Id="rId361" Type="http://schemas.openxmlformats.org/officeDocument/2006/relationships/image" Target="media/image305.png"/><Relationship Id="rId362" Type="http://schemas.openxmlformats.org/officeDocument/2006/relationships/image" Target="media/image306.png"/><Relationship Id="rId363" Type="http://schemas.openxmlformats.org/officeDocument/2006/relationships/image" Target="media/image307.png"/><Relationship Id="rId364" Type="http://schemas.openxmlformats.org/officeDocument/2006/relationships/image" Target="media/image308.png"/><Relationship Id="rId365" Type="http://schemas.openxmlformats.org/officeDocument/2006/relationships/image" Target="media/image309.png"/><Relationship Id="rId366" Type="http://schemas.openxmlformats.org/officeDocument/2006/relationships/image" Target="media/image310.png"/><Relationship Id="rId367" Type="http://schemas.openxmlformats.org/officeDocument/2006/relationships/image" Target="media/image311.png"/><Relationship Id="rId368" Type="http://schemas.openxmlformats.org/officeDocument/2006/relationships/image" Target="media/image312.png"/><Relationship Id="rId369" Type="http://schemas.openxmlformats.org/officeDocument/2006/relationships/image" Target="media/image313.png"/><Relationship Id="rId370" Type="http://schemas.openxmlformats.org/officeDocument/2006/relationships/image" Target="media/image314.png"/><Relationship Id="rId371" Type="http://schemas.openxmlformats.org/officeDocument/2006/relationships/image" Target="media/image315.png"/><Relationship Id="rId372" Type="http://schemas.openxmlformats.org/officeDocument/2006/relationships/image" Target="media/image316.png"/><Relationship Id="rId373" Type="http://schemas.openxmlformats.org/officeDocument/2006/relationships/image" Target="media/image317.png"/><Relationship Id="rId374" Type="http://schemas.openxmlformats.org/officeDocument/2006/relationships/image" Target="media/image318.png"/><Relationship Id="rId375" Type="http://schemas.openxmlformats.org/officeDocument/2006/relationships/image" Target="media/image319.png"/><Relationship Id="rId376" Type="http://schemas.openxmlformats.org/officeDocument/2006/relationships/image" Target="media/image320.png"/><Relationship Id="rId377" Type="http://schemas.openxmlformats.org/officeDocument/2006/relationships/image" Target="media/image321.png"/><Relationship Id="rId378" Type="http://schemas.openxmlformats.org/officeDocument/2006/relationships/image" Target="media/image322.png"/><Relationship Id="rId379" Type="http://schemas.openxmlformats.org/officeDocument/2006/relationships/image" Target="media/image323.png"/><Relationship Id="rId380" Type="http://schemas.openxmlformats.org/officeDocument/2006/relationships/image" Target="media/image324.png"/><Relationship Id="rId381" Type="http://schemas.openxmlformats.org/officeDocument/2006/relationships/image" Target="media/image325.png"/><Relationship Id="rId382" Type="http://schemas.openxmlformats.org/officeDocument/2006/relationships/image" Target="media/image326.png"/><Relationship Id="rId383" Type="http://schemas.openxmlformats.org/officeDocument/2006/relationships/image" Target="media/image327.png"/><Relationship Id="rId384" Type="http://schemas.openxmlformats.org/officeDocument/2006/relationships/image" Target="media/image328.png"/><Relationship Id="rId385" Type="http://schemas.openxmlformats.org/officeDocument/2006/relationships/image" Target="media/image329.png"/><Relationship Id="rId386" Type="http://schemas.openxmlformats.org/officeDocument/2006/relationships/image" Target="media/image330.png"/><Relationship Id="rId387" Type="http://schemas.openxmlformats.org/officeDocument/2006/relationships/image" Target="media/image331.png"/><Relationship Id="rId388" Type="http://schemas.openxmlformats.org/officeDocument/2006/relationships/image" Target="media/image332.png"/><Relationship Id="rId389" Type="http://schemas.openxmlformats.org/officeDocument/2006/relationships/image" Target="media/image333.png"/><Relationship Id="rId390" Type="http://schemas.openxmlformats.org/officeDocument/2006/relationships/image" Target="media/image334.png"/><Relationship Id="rId391" Type="http://schemas.openxmlformats.org/officeDocument/2006/relationships/image" Target="media/image335.png"/><Relationship Id="rId392" Type="http://schemas.openxmlformats.org/officeDocument/2006/relationships/image" Target="media/image336.png"/><Relationship Id="rId393" Type="http://schemas.openxmlformats.org/officeDocument/2006/relationships/image" Target="media/image337.png"/><Relationship Id="rId394" Type="http://schemas.openxmlformats.org/officeDocument/2006/relationships/image" Target="media/image338.png"/><Relationship Id="rId395" Type="http://schemas.openxmlformats.org/officeDocument/2006/relationships/image" Target="media/image339.png"/><Relationship Id="rId396" Type="http://schemas.openxmlformats.org/officeDocument/2006/relationships/image" Target="media/image340.png"/><Relationship Id="rId397" Type="http://schemas.openxmlformats.org/officeDocument/2006/relationships/image" Target="media/image341.png"/><Relationship Id="rId398" Type="http://schemas.openxmlformats.org/officeDocument/2006/relationships/image" Target="media/image342.png"/><Relationship Id="rId399" Type="http://schemas.openxmlformats.org/officeDocument/2006/relationships/image" Target="media/image343.png"/><Relationship Id="rId400" Type="http://schemas.openxmlformats.org/officeDocument/2006/relationships/image" Target="media/image344.png"/><Relationship Id="rId401" Type="http://schemas.openxmlformats.org/officeDocument/2006/relationships/image" Target="media/image345.png"/><Relationship Id="rId402" Type="http://schemas.openxmlformats.org/officeDocument/2006/relationships/image" Target="media/image346.png"/><Relationship Id="rId403" Type="http://schemas.openxmlformats.org/officeDocument/2006/relationships/image" Target="media/image347.png"/><Relationship Id="rId404" Type="http://schemas.openxmlformats.org/officeDocument/2006/relationships/image" Target="media/image348.png"/><Relationship Id="rId405" Type="http://schemas.openxmlformats.org/officeDocument/2006/relationships/image" Target="media/image349.png"/><Relationship Id="rId406" Type="http://schemas.openxmlformats.org/officeDocument/2006/relationships/image" Target="media/image350.png"/><Relationship Id="rId407" Type="http://schemas.openxmlformats.org/officeDocument/2006/relationships/image" Target="media/image351.png"/><Relationship Id="rId408" Type="http://schemas.openxmlformats.org/officeDocument/2006/relationships/image" Target="media/image352.png"/><Relationship Id="rId409" Type="http://schemas.openxmlformats.org/officeDocument/2006/relationships/image" Target="media/image353.png"/><Relationship Id="rId410" Type="http://schemas.openxmlformats.org/officeDocument/2006/relationships/image" Target="media/image354.png"/><Relationship Id="rId411" Type="http://schemas.openxmlformats.org/officeDocument/2006/relationships/image" Target="media/image355.png"/><Relationship Id="rId412" Type="http://schemas.openxmlformats.org/officeDocument/2006/relationships/image" Target="media/image356.png"/><Relationship Id="rId413" Type="http://schemas.openxmlformats.org/officeDocument/2006/relationships/image" Target="media/image357.png"/><Relationship Id="rId414" Type="http://schemas.openxmlformats.org/officeDocument/2006/relationships/image" Target="media/image358.png"/><Relationship Id="rId415" Type="http://schemas.openxmlformats.org/officeDocument/2006/relationships/image" Target="media/image359.png"/><Relationship Id="rId416" Type="http://schemas.openxmlformats.org/officeDocument/2006/relationships/image" Target="media/image360.png"/><Relationship Id="rId417" Type="http://schemas.openxmlformats.org/officeDocument/2006/relationships/image" Target="media/image361.png"/><Relationship Id="rId418" Type="http://schemas.openxmlformats.org/officeDocument/2006/relationships/image" Target="media/image362.png"/><Relationship Id="rId419" Type="http://schemas.openxmlformats.org/officeDocument/2006/relationships/image" Target="media/image363.png"/><Relationship Id="rId420" Type="http://schemas.openxmlformats.org/officeDocument/2006/relationships/image" Target="media/image364.png"/><Relationship Id="rId421" Type="http://schemas.openxmlformats.org/officeDocument/2006/relationships/image" Target="media/image365.png"/><Relationship Id="rId422" Type="http://schemas.openxmlformats.org/officeDocument/2006/relationships/image" Target="media/image366.png"/><Relationship Id="rId423" Type="http://schemas.openxmlformats.org/officeDocument/2006/relationships/image" Target="media/image367.png"/><Relationship Id="rId424" Type="http://schemas.openxmlformats.org/officeDocument/2006/relationships/image" Target="media/image368.png"/><Relationship Id="rId425" Type="http://schemas.openxmlformats.org/officeDocument/2006/relationships/image" Target="media/image369.png"/><Relationship Id="rId426" Type="http://schemas.openxmlformats.org/officeDocument/2006/relationships/image" Target="media/image370.png"/><Relationship Id="rId427" Type="http://schemas.openxmlformats.org/officeDocument/2006/relationships/image" Target="media/image371.png"/><Relationship Id="rId428" Type="http://schemas.openxmlformats.org/officeDocument/2006/relationships/image" Target="media/image372.png"/><Relationship Id="rId429" Type="http://schemas.openxmlformats.org/officeDocument/2006/relationships/image" Target="media/image373.png"/><Relationship Id="rId430" Type="http://schemas.openxmlformats.org/officeDocument/2006/relationships/image" Target="media/image374.png"/><Relationship Id="rId431" Type="http://schemas.openxmlformats.org/officeDocument/2006/relationships/image" Target="media/image375.png"/><Relationship Id="rId432" Type="http://schemas.openxmlformats.org/officeDocument/2006/relationships/image" Target="media/image376.png"/><Relationship Id="rId433" Type="http://schemas.openxmlformats.org/officeDocument/2006/relationships/image" Target="media/image377.png"/><Relationship Id="rId434" Type="http://schemas.openxmlformats.org/officeDocument/2006/relationships/image" Target="media/image378.png"/><Relationship Id="rId435" Type="http://schemas.openxmlformats.org/officeDocument/2006/relationships/image" Target="media/image379.png"/><Relationship Id="rId436" Type="http://schemas.openxmlformats.org/officeDocument/2006/relationships/image" Target="media/image380.png"/><Relationship Id="rId437" Type="http://schemas.openxmlformats.org/officeDocument/2006/relationships/image" Target="media/image381.png"/><Relationship Id="rId43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erms:created xsi:type="dcterms:W3CDTF">2017-05-23T02:19:48Z</dcterms:created>
  <dcterms:modified xsi:type="dcterms:W3CDTF">2017-05-23T02:19:48Z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2013-02-13T00:00:00Z</vt:filetime>
  </property>
  <property fmtid="{D5CDD505-2E9C-101B-9397-08002B2CF9AE}" pid="3" name="Creator">
    <vt:lpwstr>Microsoft® Word 2010</vt:lpwstr>
  </property>
  <property fmtid="{D5CDD505-2E9C-101B-9397-08002B2CF9AE}" pid="4" name="LastSaved">
    <vt:filetime>2017-05-23T00:00:00Z</vt:filetime>
  </property>
</Properties>
</file>